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A900D3" w:rsidRDefault="0015356A">
      <w:pPr>
        <w:jc w:val="center"/>
        <w:rPr>
          <w:u w:val="single"/>
        </w:rPr>
      </w:pPr>
      <w:r>
        <w:rPr>
          <w:u w:val="single"/>
        </w:rPr>
        <w:t>Choose three out of the four main sources (Cicero Verrines 2.4.105–15; Ovid’s Fasti 4.417-620; Ovid Metamorphoses 5.341-661; Claudian De Raptu Proserpinae). Then give a detailed account of the flowers and vegetation in these sources and include analysis of</w:t>
      </w:r>
      <w:r>
        <w:rPr>
          <w:u w:val="single"/>
        </w:rPr>
        <w:t xml:space="preserve"> reasons for the difference in treatments.</w:t>
      </w:r>
    </w:p>
    <w:p w14:paraId="00000002" w14:textId="77777777" w:rsidR="00A900D3" w:rsidRDefault="00A900D3">
      <w:pPr>
        <w:jc w:val="center"/>
        <w:rPr>
          <w:u w:val="single"/>
        </w:rPr>
      </w:pPr>
    </w:p>
    <w:p w14:paraId="00000003" w14:textId="77777777" w:rsidR="00A900D3" w:rsidRDefault="00A900D3"/>
    <w:p w14:paraId="00000004" w14:textId="6804EB86" w:rsidR="00A900D3" w:rsidRDefault="0015356A">
      <w:r>
        <w:t xml:space="preserve">The myth of </w:t>
      </w:r>
      <w:r w:rsidR="00A46B63">
        <w:t>Proserpinae</w:t>
      </w:r>
      <w:r>
        <w:t xml:space="preserve">’s abduction has been around for hundreds of years. The first known written telling of the myth is </w:t>
      </w:r>
      <w:r w:rsidRPr="00E72FC1">
        <w:t>the</w:t>
      </w:r>
      <w:r w:rsidRPr="00E72FC1">
        <w:rPr>
          <w:i/>
          <w:iCs/>
        </w:rPr>
        <w:t xml:space="preserve"> Homeric Hymn to </w:t>
      </w:r>
      <w:r w:rsidR="00A46B63">
        <w:rPr>
          <w:i/>
          <w:iCs/>
        </w:rPr>
        <w:t>Demeter</w:t>
      </w:r>
      <w:r>
        <w:t>.</w:t>
      </w:r>
      <w:r w:rsidR="00E72FC1">
        <w:rPr>
          <w:rStyle w:val="FootnoteReference"/>
        </w:rPr>
        <w:footnoteReference w:id="1"/>
      </w:r>
      <w:r>
        <w:t xml:space="preserve"> In Roman times both Ovid and Claudian retold this myth, both </w:t>
      </w:r>
      <w:r>
        <w:t xml:space="preserve">focus on different aspects. Ovid’s telling is part of the larger work of </w:t>
      </w:r>
      <w:r>
        <w:rPr>
          <w:i/>
        </w:rPr>
        <w:t>Metamorphoses</w:t>
      </w:r>
      <w:r>
        <w:t xml:space="preserve"> which contains </w:t>
      </w:r>
      <w:r w:rsidR="00E72FC1">
        <w:t>several</w:t>
      </w:r>
      <w:r>
        <w:t xml:space="preserve"> transformation myths.</w:t>
      </w:r>
      <w:r w:rsidR="00E72FC1">
        <w:rPr>
          <w:rStyle w:val="FootnoteReference"/>
        </w:rPr>
        <w:footnoteReference w:id="2"/>
      </w:r>
      <w:r>
        <w:t xml:space="preserve"> This work was written during the time of Augustus in 8CE in Latin hexameter.</w:t>
      </w:r>
      <w:r w:rsidR="00E72FC1">
        <w:rPr>
          <w:rStyle w:val="FootnoteReference"/>
        </w:rPr>
        <w:footnoteReference w:id="3"/>
      </w:r>
      <w:r>
        <w:t xml:space="preserve"> Claudian’s </w:t>
      </w:r>
      <w:r>
        <w:rPr>
          <w:i/>
        </w:rPr>
        <w:t xml:space="preserve">De Raptu, </w:t>
      </w:r>
      <w:r>
        <w:t>an unfinished poetic w</w:t>
      </w:r>
      <w:r>
        <w:t xml:space="preserve">ork, has the </w:t>
      </w:r>
      <w:r w:rsidR="00A46B63">
        <w:t>Proserpinae</w:t>
      </w:r>
      <w:r>
        <w:t xml:space="preserve"> abduction as its sole subject.</w:t>
      </w:r>
      <w:r w:rsidR="00E72FC1">
        <w:rPr>
          <w:rStyle w:val="FootnoteReference"/>
        </w:rPr>
        <w:footnoteReference w:id="4"/>
      </w:r>
      <w:r>
        <w:t xml:space="preserve"> Written during the 4th century CE under Honorius, this work ends abruptly before </w:t>
      </w:r>
      <w:r w:rsidR="00A46B63">
        <w:t>Ceres</w:t>
      </w:r>
      <w:r>
        <w:t xml:space="preserve"> can reunite with </w:t>
      </w:r>
      <w:r w:rsidR="00A46B63">
        <w:t>Proserpinae</w:t>
      </w:r>
      <w:r>
        <w:t>.</w:t>
      </w:r>
      <w:r w:rsidR="00E72FC1">
        <w:rPr>
          <w:rStyle w:val="FootnoteReference"/>
        </w:rPr>
        <w:footnoteReference w:id="5"/>
      </w:r>
      <w:r>
        <w:t xml:space="preserve"> This abrupt ending is believed to be a result of Claudian dying before he was able </w:t>
      </w:r>
      <w:r>
        <w:t>to finish his work.</w:t>
      </w:r>
      <w:r w:rsidR="00E72FC1">
        <w:rPr>
          <w:rStyle w:val="FootnoteReference"/>
        </w:rPr>
        <w:footnoteReference w:id="6"/>
      </w:r>
      <w:r>
        <w:t xml:space="preserve"> The </w:t>
      </w:r>
      <w:r w:rsidR="00A46B63">
        <w:t>Proserpinae</w:t>
      </w:r>
      <w:r>
        <w:t xml:space="preserve"> abduction myth is also referenced by Cicero in his speech against Verrines.</w:t>
      </w:r>
      <w:r w:rsidR="00E72FC1">
        <w:rPr>
          <w:rStyle w:val="FootnoteReference"/>
        </w:rPr>
        <w:footnoteReference w:id="7"/>
      </w:r>
      <w:r>
        <w:t xml:space="preserve"> Cicero was a renowned orator who was well-known for his rhetoric and often used mythic stories in his argument.</w:t>
      </w:r>
    </w:p>
    <w:p w14:paraId="00000005" w14:textId="77777777" w:rsidR="00A900D3" w:rsidRDefault="00A900D3"/>
    <w:p w14:paraId="00000006" w14:textId="56671398" w:rsidR="00A900D3" w:rsidRDefault="0015356A">
      <w:r>
        <w:t>The flowers and vegetation appea</w:t>
      </w:r>
      <w:r>
        <w:t>r repeatedly in all tellings of the myth showing that they are significant, but what are they conveying? The different ways in which the authors treat the flowers may give clues as to the symbolism and meaning they carry. The repeated presence of flowers a</w:t>
      </w:r>
      <w:r>
        <w:t xml:space="preserve">nd vegetation within a myth suggest they have a message to convey. The mythologising of plants suggests that they do carry symbolic communications and associations. An analysis of the different treatment of these plants within each version of the myth can </w:t>
      </w:r>
      <w:r>
        <w:t xml:space="preserve">reveal what these associations might be. The flowers are a significant part of the narrative in the </w:t>
      </w:r>
      <w:r w:rsidR="00A46B63">
        <w:t>Proserpinae</w:t>
      </w:r>
      <w:r>
        <w:t xml:space="preserve"> myth and they carry meaning. The plants help tell the story of </w:t>
      </w:r>
      <w:r w:rsidR="00A46B63">
        <w:t>Proserpinae</w:t>
      </w:r>
      <w:r>
        <w:t>’s transformation from maidenhead to womanhood and they make the link be</w:t>
      </w:r>
      <w:r>
        <w:t>tween human fertility and the land's fertility. The difference in treatment of the flowers and vegetation in the versions all present this common theme.</w:t>
      </w:r>
    </w:p>
    <w:p w14:paraId="00000007" w14:textId="77777777" w:rsidR="00A900D3" w:rsidRDefault="00A900D3"/>
    <w:p w14:paraId="00000008" w14:textId="6028BE9C" w:rsidR="00A900D3" w:rsidRDefault="0015356A">
      <w:pPr>
        <w:rPr>
          <w:u w:val="single"/>
        </w:rPr>
      </w:pPr>
      <w:r>
        <w:t>Some scholarship on the flowers and their use in the myth focuses on the cultural symbolic association</w:t>
      </w:r>
      <w:r>
        <w:t>s within wider Greco-Roman society.</w:t>
      </w:r>
      <w:r w:rsidR="00E72FC1">
        <w:rPr>
          <w:rStyle w:val="FootnoteReference"/>
        </w:rPr>
        <w:footnoteReference w:id="8"/>
      </w:r>
      <w:r>
        <w:t xml:space="preserve"> This can be seen by authors choosing to include plants such as the pomegranate that holds connotations of fertility and death.</w:t>
      </w:r>
      <w:r w:rsidR="00E72FC1">
        <w:rPr>
          <w:rStyle w:val="FootnoteReference"/>
        </w:rPr>
        <w:footnoteReference w:id="9"/>
      </w:r>
      <w:r>
        <w:t xml:space="preserve"> </w:t>
      </w:r>
      <w:r>
        <w:t>Narrative literary theory is also employed by scholars to understand the role t</w:t>
      </w:r>
      <w:r>
        <w:t xml:space="preserve">he plants play in shaping the </w:t>
      </w:r>
      <w:r>
        <w:lastRenderedPageBreak/>
        <w:t>narrative and characterisation and driving the plot.</w:t>
      </w:r>
      <w:r w:rsidR="00E72FC1">
        <w:rPr>
          <w:rStyle w:val="FootnoteReference"/>
        </w:rPr>
        <w:footnoteReference w:id="10"/>
      </w:r>
      <w:r>
        <w:t xml:space="preserve"> </w:t>
      </w:r>
      <w:r>
        <w:t xml:space="preserve">The use of the pomegranate to show the moment of </w:t>
      </w:r>
      <w:r w:rsidR="00A46B63">
        <w:t>Proserpinae</w:t>
      </w:r>
      <w:r>
        <w:t>’s transition from maidenhood to womanhood.</w:t>
      </w:r>
    </w:p>
    <w:p w14:paraId="00000009" w14:textId="77777777" w:rsidR="00A900D3" w:rsidRDefault="00A900D3"/>
    <w:p w14:paraId="0000000A" w14:textId="06787107" w:rsidR="00A900D3" w:rsidRDefault="0015356A">
      <w:r w:rsidRPr="00E72FC1">
        <w:rPr>
          <w:bCs/>
        </w:rPr>
        <w:t>Flowers and vegetation are a recurrin</w:t>
      </w:r>
      <w:r w:rsidRPr="00E72FC1">
        <w:rPr>
          <w:bCs/>
        </w:rPr>
        <w:t xml:space="preserve">g element in all versions of the </w:t>
      </w:r>
      <w:r w:rsidR="00A46B63">
        <w:rPr>
          <w:bCs/>
        </w:rPr>
        <w:t>Proserpinae</w:t>
      </w:r>
      <w:r w:rsidRPr="00E72FC1">
        <w:rPr>
          <w:bCs/>
        </w:rPr>
        <w:t xml:space="preserve"> abduction myth.</w:t>
      </w:r>
      <w:r>
        <w:t xml:space="preserve"> Ovid’s use of flowers is thought-out and deliberate to bring in the known aspects from the </w:t>
      </w:r>
      <w:r w:rsidRPr="00E72FC1">
        <w:rPr>
          <w:i/>
          <w:iCs/>
        </w:rPr>
        <w:t>Homeric Hymn</w:t>
      </w:r>
      <w:r>
        <w:t xml:space="preserve">. Mentions of violets and lilies appear in both tellings when describing the meadow where </w:t>
      </w:r>
      <w:r w:rsidR="00A46B63">
        <w:t>Proserpinae</w:t>
      </w:r>
      <w:r>
        <w:t xml:space="preserve"> played.</w:t>
      </w:r>
      <w:r w:rsidR="00E72FC1">
        <w:rPr>
          <w:rStyle w:val="FootnoteReference"/>
        </w:rPr>
        <w:footnoteReference w:id="11"/>
      </w:r>
      <w:r>
        <w:t xml:space="preserve"> Although he uses a limited number of named plants within the </w:t>
      </w:r>
      <w:r>
        <w:rPr>
          <w:i/>
        </w:rPr>
        <w:t>Metamorphoses</w:t>
      </w:r>
      <w:r>
        <w:t>, the plants he does name all hold a significance and lend a deeper understanding to the story. The imagery that Claudian paints is vivid and full of description. Thi</w:t>
      </w:r>
      <w:r>
        <w:t>s extends to his presentation of the flowers and vegetation with him going as far as to name the trees that listen in on the abduction.</w:t>
      </w:r>
      <w:r w:rsidR="00E72FC1">
        <w:rPr>
          <w:rStyle w:val="FootnoteReference"/>
        </w:rPr>
        <w:footnoteReference w:id="12"/>
      </w:r>
      <w:r>
        <w:t xml:space="preserve"> To a large extent, when Claudian names the plants, he does so in order to encourage the audience to make associations wi</w:t>
      </w:r>
      <w:r>
        <w:t xml:space="preserve">th related myths or deities. This places the </w:t>
      </w:r>
      <w:r w:rsidR="00A46B63">
        <w:t>Proserpinae</w:t>
      </w:r>
      <w:r>
        <w:t xml:space="preserve"> myth in a much wider context and emphasises its cosmic significance. Although there is not much mention of flowers with the Verrines, Cicero mentions the meadow as having “flowers in profusion at all </w:t>
      </w:r>
      <w:r>
        <w:t>seasons” to powerfully conjure up a multi-layered meanings embedded in the myth.</w:t>
      </w:r>
      <w:r w:rsidR="00E72FC1">
        <w:rPr>
          <w:rStyle w:val="FootnoteReference"/>
        </w:rPr>
        <w:footnoteReference w:id="13"/>
      </w:r>
    </w:p>
    <w:p w14:paraId="0000000B" w14:textId="77777777" w:rsidR="00A900D3" w:rsidRDefault="00A900D3"/>
    <w:p w14:paraId="0000000C" w14:textId="2C192ABE" w:rsidR="00A900D3" w:rsidRDefault="0015356A">
      <w:r w:rsidRPr="00E72FC1">
        <w:rPr>
          <w:bCs/>
        </w:rPr>
        <w:t xml:space="preserve">Ovid’s </w:t>
      </w:r>
      <w:r w:rsidRPr="00E72FC1">
        <w:rPr>
          <w:bCs/>
          <w:i/>
          <w:iCs/>
        </w:rPr>
        <w:t>Metamorphoses</w:t>
      </w:r>
      <w:r w:rsidRPr="00E72FC1">
        <w:rPr>
          <w:bCs/>
        </w:rPr>
        <w:t xml:space="preserve"> is a Roman retelling of the myth that follows the ancient Greek </w:t>
      </w:r>
      <w:r w:rsidRPr="00E72FC1">
        <w:rPr>
          <w:bCs/>
          <w:i/>
          <w:iCs/>
        </w:rPr>
        <w:t xml:space="preserve">Homeric Hymn to </w:t>
      </w:r>
      <w:r w:rsidR="00A46B63">
        <w:rPr>
          <w:bCs/>
          <w:i/>
          <w:iCs/>
        </w:rPr>
        <w:t>Demeter</w:t>
      </w:r>
      <w:r w:rsidRPr="00E72FC1">
        <w:rPr>
          <w:bCs/>
        </w:rPr>
        <w:t xml:space="preserve"> in the key features of the plot.</w:t>
      </w:r>
      <w:r>
        <w:t xml:space="preserve"> The main points of the </w:t>
      </w:r>
      <w:r w:rsidRPr="00E72FC1">
        <w:rPr>
          <w:i/>
          <w:iCs/>
        </w:rPr>
        <w:t>Homeric H</w:t>
      </w:r>
      <w:r w:rsidRPr="00E72FC1">
        <w:rPr>
          <w:i/>
          <w:iCs/>
        </w:rPr>
        <w:t>ymn</w:t>
      </w:r>
      <w:r>
        <w:t xml:space="preserve"> such as the abduction from the meadow, </w:t>
      </w:r>
      <w:r w:rsidR="00A46B63">
        <w:t>Ceres</w:t>
      </w:r>
      <w:r>
        <w:t xml:space="preserve"> roaming the earth in her search and causing a famine, </w:t>
      </w:r>
      <w:r w:rsidR="00A46B63">
        <w:t>Proserpinae</w:t>
      </w:r>
      <w:r>
        <w:t xml:space="preserve"> eating the pomegranate and the issue finally being resolved with a compromise between </w:t>
      </w:r>
      <w:r w:rsidR="00A46B63">
        <w:t>Jupiter</w:t>
      </w:r>
      <w:r>
        <w:t xml:space="preserve"> and </w:t>
      </w:r>
      <w:r w:rsidR="00A46B63">
        <w:t>Ceres</w:t>
      </w:r>
      <w:r>
        <w:t xml:space="preserve"> are all included within the </w:t>
      </w:r>
      <w:r>
        <w:rPr>
          <w:i/>
        </w:rPr>
        <w:t>Metamorph</w:t>
      </w:r>
      <w:r>
        <w:rPr>
          <w:i/>
        </w:rPr>
        <w:t>oses.</w:t>
      </w:r>
      <w:r w:rsidR="00E72FC1" w:rsidRPr="00E72FC1">
        <w:rPr>
          <w:rStyle w:val="FootnoteReference"/>
          <w:iCs/>
        </w:rPr>
        <w:footnoteReference w:id="14"/>
      </w:r>
      <w:r>
        <w:t xml:space="preserve"> Although the overall work of </w:t>
      </w:r>
      <w:r w:rsidR="00E72FC1">
        <w:t>this section</w:t>
      </w:r>
      <w:r>
        <w:t xml:space="preserve"> of </w:t>
      </w:r>
      <w:r>
        <w:rPr>
          <w:i/>
        </w:rPr>
        <w:t>Metamorphoses</w:t>
      </w:r>
      <w:r>
        <w:t xml:space="preserve"> does not follow the </w:t>
      </w:r>
      <w:r w:rsidRPr="00E72FC1">
        <w:rPr>
          <w:i/>
          <w:iCs/>
        </w:rPr>
        <w:t>Homeric Hymn</w:t>
      </w:r>
      <w:r>
        <w:t xml:space="preserve"> in </w:t>
      </w:r>
      <w:r w:rsidR="00E72FC1">
        <w:t>all</w:t>
      </w:r>
      <w:r>
        <w:t xml:space="preserve"> the details, the key points of the plot are repeated. These aspects are mentioned for the progression and familiarity of the story but are not the main </w:t>
      </w:r>
      <w:r>
        <w:t xml:space="preserve">focus of Ovid’s work. Ovid places more of an emphasis on the transformations that take place in the story and in some instances adds in transformations to the story, such as Ceres turning Ascalaphus into a screech-owl for his message of </w:t>
      </w:r>
      <w:r w:rsidR="00A46B63">
        <w:t>Proserpinae</w:t>
      </w:r>
      <w:r>
        <w:t xml:space="preserve"> eating t</w:t>
      </w:r>
      <w:r>
        <w:t>he pomegranate.</w:t>
      </w:r>
      <w:r w:rsidR="00E72FC1">
        <w:rPr>
          <w:rStyle w:val="FootnoteReference"/>
        </w:rPr>
        <w:footnoteReference w:id="15"/>
      </w:r>
      <w:r>
        <w:t xml:space="preserve"> This added transformation ties this myth to the theme of the work as a whole.</w:t>
      </w:r>
    </w:p>
    <w:p w14:paraId="0000000D" w14:textId="77777777" w:rsidR="00A900D3" w:rsidRDefault="00A900D3"/>
    <w:p w14:paraId="0000000E" w14:textId="14611E8B" w:rsidR="00A900D3" w:rsidRDefault="0015356A">
      <w:r w:rsidRPr="00E72FC1">
        <w:rPr>
          <w:bCs/>
        </w:rPr>
        <w:t xml:space="preserve">Ovid presents a flowery meadow as the scene of the abduction and names three particular flowers that </w:t>
      </w:r>
      <w:r w:rsidR="00E72FC1" w:rsidRPr="00E72FC1">
        <w:rPr>
          <w:bCs/>
        </w:rPr>
        <w:t>feature:</w:t>
      </w:r>
      <w:r w:rsidRPr="00E72FC1">
        <w:rPr>
          <w:bCs/>
        </w:rPr>
        <w:t xml:space="preserve"> violets, white lilies and crocuses.</w:t>
      </w:r>
      <w:r>
        <w:rPr>
          <w:b/>
        </w:rPr>
        <w:t xml:space="preserve"> </w:t>
      </w:r>
      <w:r w:rsidRPr="00E72FC1">
        <w:rPr>
          <w:bCs/>
        </w:rPr>
        <w:t>Hinds</w:t>
      </w:r>
      <w:r>
        <w:t xml:space="preserve"> mentions </w:t>
      </w:r>
      <w:r>
        <w:t xml:space="preserve">how the flowers named are less varied than the ones mentioned in the </w:t>
      </w:r>
      <w:r w:rsidRPr="00E72FC1">
        <w:rPr>
          <w:i/>
          <w:iCs/>
        </w:rPr>
        <w:t xml:space="preserve">Homeric Hymn to </w:t>
      </w:r>
      <w:r w:rsidR="00A46B63">
        <w:rPr>
          <w:i/>
          <w:iCs/>
        </w:rPr>
        <w:t>Demeter</w:t>
      </w:r>
      <w:r>
        <w:t>.</w:t>
      </w:r>
      <w:r w:rsidR="00E72FC1">
        <w:rPr>
          <w:rStyle w:val="FootnoteReference"/>
        </w:rPr>
        <w:footnoteReference w:id="16"/>
      </w:r>
      <w:r>
        <w:t xml:space="preserve"> In </w:t>
      </w:r>
      <w:r w:rsidRPr="00E72FC1">
        <w:rPr>
          <w:i/>
          <w:iCs/>
        </w:rPr>
        <w:t>Metamorphoses</w:t>
      </w:r>
      <w:r>
        <w:t xml:space="preserve"> Ovid says "aut violas aut candida lilia", giving specific focus to the violets and lilies that were present.</w:t>
      </w:r>
      <w:r w:rsidR="00E72FC1">
        <w:rPr>
          <w:rStyle w:val="FootnoteReference"/>
        </w:rPr>
        <w:footnoteReference w:id="17"/>
      </w:r>
      <w:r>
        <w:t xml:space="preserve"> This shows Ovid’s familiarity with t</w:t>
      </w:r>
      <w:r>
        <w:t xml:space="preserve">he </w:t>
      </w:r>
      <w:r w:rsidRPr="00E72FC1">
        <w:rPr>
          <w:i/>
          <w:iCs/>
        </w:rPr>
        <w:t>Homeric Hymn</w:t>
      </w:r>
      <w:r>
        <w:t xml:space="preserve">. Within the </w:t>
      </w:r>
      <w:r w:rsidRPr="00E72FC1">
        <w:rPr>
          <w:i/>
          <w:iCs/>
        </w:rPr>
        <w:t>Homeric Hymn</w:t>
      </w:r>
      <w:r>
        <w:t xml:space="preserve"> there are two lists of flowers, one at the beginning and one at the end.</w:t>
      </w:r>
      <w:r w:rsidR="00E72FC1">
        <w:rPr>
          <w:rStyle w:val="FootnoteReference"/>
        </w:rPr>
        <w:footnoteReference w:id="18"/>
      </w:r>
      <w:r>
        <w:t xml:space="preserve"> In the first of the </w:t>
      </w:r>
      <w:r w:rsidR="00E72FC1">
        <w:t>list’s</w:t>
      </w:r>
      <w:r>
        <w:t xml:space="preserve"> violets </w:t>
      </w:r>
      <w:r>
        <w:lastRenderedPageBreak/>
        <w:t>are among the flowers mentioned.</w:t>
      </w:r>
      <w:r w:rsidR="00E72FC1">
        <w:rPr>
          <w:rStyle w:val="FootnoteReference"/>
        </w:rPr>
        <w:footnoteReference w:id="19"/>
      </w:r>
      <w:r>
        <w:t xml:space="preserve"> This changes in the second list to lilia.</w:t>
      </w:r>
      <w:r w:rsidR="00E72FC1">
        <w:rPr>
          <w:rStyle w:val="FootnoteReference"/>
        </w:rPr>
        <w:footnoteReference w:id="20"/>
      </w:r>
      <w:r>
        <w:t xml:space="preserve"> As Ovid mentions both of these fl</w:t>
      </w:r>
      <w:r>
        <w:t xml:space="preserve">owers by name it could be understood that he is making reference to both of these lists within his work. To further support this idea, Ovid does not specifically say which flowers </w:t>
      </w:r>
      <w:r w:rsidR="00A46B63">
        <w:t>Proserpinae</w:t>
      </w:r>
      <w:r>
        <w:t xml:space="preserve"> picks but rather that she could have picked either one of these t</w:t>
      </w:r>
      <w:r>
        <w:t>wo.</w:t>
      </w:r>
      <w:r w:rsidR="00E72FC1">
        <w:rPr>
          <w:rStyle w:val="FootnoteReference"/>
        </w:rPr>
        <w:footnoteReference w:id="21"/>
      </w:r>
    </w:p>
    <w:p w14:paraId="0000000F" w14:textId="1954E83F" w:rsidR="00A900D3" w:rsidRDefault="0015356A">
      <w:pPr>
        <w:rPr>
          <w:b/>
        </w:rPr>
      </w:pPr>
      <w:r>
        <w:t xml:space="preserve">The meadow could be seen as a symbol of youth and natural beauty. When it is first presented to the reader, the meadow is pure and untouched. It has not been spoiled, much like </w:t>
      </w:r>
      <w:r w:rsidR="00A46B63">
        <w:t>Proserpinae</w:t>
      </w:r>
      <w:r>
        <w:t xml:space="preserve"> is at this point in the story.</w:t>
      </w:r>
    </w:p>
    <w:p w14:paraId="00000010" w14:textId="629D6A6C" w:rsidR="00A900D3" w:rsidRDefault="0015356A">
      <w:pPr>
        <w:spacing w:before="240" w:after="240"/>
      </w:pPr>
      <w:r w:rsidRPr="00E72FC1">
        <w:rPr>
          <w:bCs/>
        </w:rPr>
        <w:t>Ovid deliberately creates an asso</w:t>
      </w:r>
      <w:r w:rsidRPr="00E72FC1">
        <w:rPr>
          <w:bCs/>
        </w:rPr>
        <w:t xml:space="preserve">ciation between </w:t>
      </w:r>
      <w:r w:rsidR="00A46B63">
        <w:rPr>
          <w:bCs/>
        </w:rPr>
        <w:t>Proserpinae</w:t>
      </w:r>
      <w:r w:rsidRPr="00E72FC1">
        <w:rPr>
          <w:bCs/>
        </w:rPr>
        <w:t xml:space="preserve"> and flowers.</w:t>
      </w:r>
      <w:r>
        <w:rPr>
          <w:b/>
        </w:rPr>
        <w:t xml:space="preserve"> </w:t>
      </w:r>
      <w:r>
        <w:t xml:space="preserve">When </w:t>
      </w:r>
      <w:r w:rsidR="00A46B63">
        <w:t>Proserpinae</w:t>
      </w:r>
      <w:r>
        <w:t xml:space="preserve"> is playing in the meadow with the other </w:t>
      </w:r>
      <w:r w:rsidR="00E72FC1">
        <w:t>maidens,</w:t>
      </w:r>
      <w:r>
        <w:t xml:space="preserve"> she gathers flowers and hopes to collect more than everyone else.</w:t>
      </w:r>
      <w:r w:rsidR="00E72FC1">
        <w:rPr>
          <w:rStyle w:val="FootnoteReference"/>
        </w:rPr>
        <w:footnoteReference w:id="22"/>
      </w:r>
      <w:r>
        <w:t xml:space="preserve"> Ovid describes this on lines 5.393-4 by describing how she fills “her basket and her b</w:t>
      </w:r>
      <w:r>
        <w:t>osom” with the flowers she gathers “with girlish eagerness”.</w:t>
      </w:r>
      <w:r w:rsidR="00E72FC1">
        <w:rPr>
          <w:rStyle w:val="FootnoteReference"/>
        </w:rPr>
        <w:footnoteReference w:id="23"/>
      </w:r>
      <w:r>
        <w:t xml:space="preserve"> This description not only emphasises her youthfulness but also shows the association she has with flowers. By </w:t>
      </w:r>
      <w:r w:rsidR="00A46B63">
        <w:t>Proserpinae</w:t>
      </w:r>
      <w:r>
        <w:t xml:space="preserve"> keeping the flowers close to her body the reader is able to connect her to</w:t>
      </w:r>
      <w:r>
        <w:t xml:space="preserve"> the flowers of the meadow. This association with flowers reflects how she is also picked from the meadow by </w:t>
      </w:r>
      <w:r w:rsidR="00A46B63">
        <w:t>Pluto</w:t>
      </w:r>
      <w:r>
        <w:t xml:space="preserve">. She is like a pretty flower in the spring meadow, destined to be picked by an admirer. </w:t>
      </w:r>
    </w:p>
    <w:p w14:paraId="00000011" w14:textId="76C050BD" w:rsidR="00A900D3" w:rsidRDefault="0015356A">
      <w:pPr>
        <w:spacing w:before="240" w:after="240"/>
        <w:rPr>
          <w:b/>
        </w:rPr>
      </w:pPr>
      <w:r w:rsidRPr="001E52EA">
        <w:rPr>
          <w:bCs/>
        </w:rPr>
        <w:t>On the abduction the meadow is defiled by the attack</w:t>
      </w:r>
      <w:r>
        <w:rPr>
          <w:b/>
        </w:rPr>
        <w:t>.</w:t>
      </w:r>
      <w:r>
        <w:t xml:space="preserve"> </w:t>
      </w:r>
      <w:r w:rsidRPr="001E52EA">
        <w:rPr>
          <w:bCs/>
        </w:rPr>
        <w:t>Gruzelier</w:t>
      </w:r>
      <w:r>
        <w:t xml:space="preserve"> comments on the use of language in Ovid’s telling of the abduction.</w:t>
      </w:r>
      <w:r w:rsidR="001E52EA">
        <w:rPr>
          <w:rStyle w:val="FootnoteReference"/>
        </w:rPr>
        <w:footnoteReference w:id="24"/>
      </w:r>
      <w:r>
        <w:t xml:space="preserve"> On line 5.401 Ovid mentions how when </w:t>
      </w:r>
      <w:r w:rsidR="00A46B63">
        <w:t>Proserpinae</w:t>
      </w:r>
      <w:r>
        <w:t xml:space="preserve"> is abducted by </w:t>
      </w:r>
      <w:r w:rsidR="00A46B63">
        <w:t>Pluto</w:t>
      </w:r>
      <w:r>
        <w:t xml:space="preserve"> there is a loss of flowers.</w:t>
      </w:r>
      <w:r w:rsidR="001E52EA">
        <w:rPr>
          <w:rStyle w:val="FootnoteReference"/>
        </w:rPr>
        <w:footnoteReference w:id="25"/>
      </w:r>
      <w:r>
        <w:t xml:space="preserve"> Ovid specifically writes “virgineum … dolorem” about the flowers being lost.</w:t>
      </w:r>
      <w:r w:rsidR="001E52EA">
        <w:rPr>
          <w:rStyle w:val="FootnoteReference"/>
        </w:rPr>
        <w:footnoteReference w:id="26"/>
      </w:r>
      <w:r w:rsidR="001E52EA">
        <w:t xml:space="preserve"> </w:t>
      </w:r>
      <w:r>
        <w:t>Thi</w:t>
      </w:r>
      <w:r>
        <w:t xml:space="preserve">s use of language is using the loss of the flowers as a metaphor for </w:t>
      </w:r>
      <w:r w:rsidR="00A46B63">
        <w:t>Proserpinae</w:t>
      </w:r>
      <w:r>
        <w:t xml:space="preserve"> losing her virginity.</w:t>
      </w:r>
      <w:r w:rsidR="001E52EA">
        <w:rPr>
          <w:rStyle w:val="FootnoteReference"/>
        </w:rPr>
        <w:footnoteReference w:id="27"/>
      </w:r>
      <w:r>
        <w:t xml:space="preserve"> This idea further implies the link between </w:t>
      </w:r>
      <w:r w:rsidR="00A46B63">
        <w:t>Proserpinae</w:t>
      </w:r>
      <w:r>
        <w:t xml:space="preserve"> and the meadow. Just as she is shown to be defiled by losing her virginity to abduction, the meadow </w:t>
      </w:r>
      <w:r>
        <w:t xml:space="preserve">is defiled by losing its flowers in the process of </w:t>
      </w:r>
      <w:r w:rsidR="00A46B63">
        <w:t>Pluto</w:t>
      </w:r>
      <w:r>
        <w:t xml:space="preserve"> taking her. It seems the way in which the meadow and </w:t>
      </w:r>
      <w:r w:rsidR="00A46B63">
        <w:t>Proserpinae</w:t>
      </w:r>
      <w:r>
        <w:t xml:space="preserve"> are described and combined in the description leads easily to the impression that she is the flower that has been plucked.</w:t>
      </w:r>
    </w:p>
    <w:p w14:paraId="00000012" w14:textId="3C1697A8" w:rsidR="00A900D3" w:rsidRDefault="0015356A">
      <w:pPr>
        <w:spacing w:before="240" w:after="240"/>
      </w:pPr>
      <w:r w:rsidRPr="001E52EA">
        <w:rPr>
          <w:bCs/>
        </w:rPr>
        <w:t>The pomegrana</w:t>
      </w:r>
      <w:r w:rsidRPr="001E52EA">
        <w:rPr>
          <w:bCs/>
        </w:rPr>
        <w:t xml:space="preserve">te features within the </w:t>
      </w:r>
      <w:r w:rsidR="00A46B63">
        <w:rPr>
          <w:bCs/>
        </w:rPr>
        <w:t>Proserpinae</w:t>
      </w:r>
      <w:r w:rsidRPr="001E52EA">
        <w:rPr>
          <w:bCs/>
        </w:rPr>
        <w:t xml:space="preserve"> myth and carries with it associations of sexuality and fertility but also, to some extent, it has become associated with death.</w:t>
      </w:r>
      <w:r>
        <w:rPr>
          <w:b/>
        </w:rPr>
        <w:t xml:space="preserve"> </w:t>
      </w:r>
      <w:r>
        <w:t xml:space="preserve">Ovid includes the pomegranate episode within his telling in reference to the </w:t>
      </w:r>
      <w:r w:rsidRPr="001E52EA">
        <w:rPr>
          <w:i/>
          <w:iCs/>
        </w:rPr>
        <w:t xml:space="preserve">Hymn to </w:t>
      </w:r>
      <w:r w:rsidR="00A46B63">
        <w:rPr>
          <w:i/>
          <w:iCs/>
        </w:rPr>
        <w:t>Demeter</w:t>
      </w:r>
      <w:r>
        <w:t>.</w:t>
      </w:r>
      <w:r w:rsidR="001E52EA">
        <w:rPr>
          <w:rStyle w:val="FootnoteReference"/>
        </w:rPr>
        <w:footnoteReference w:id="28"/>
      </w:r>
      <w:r>
        <w:t xml:space="preserve"> </w:t>
      </w:r>
      <w:r>
        <w:t xml:space="preserve">This episode only lasts for a few lines but in using it Ovid brings in not only a link to the Homeric Hymn but also the associations the pomegranate holds. This episode also, perhaps, shows a hidden transformation within </w:t>
      </w:r>
      <w:r w:rsidR="00A46B63">
        <w:t>Proserpinae</w:t>
      </w:r>
      <w:r>
        <w:t>, from maiden to mature w</w:t>
      </w:r>
      <w:r>
        <w:t xml:space="preserve">oman. </w:t>
      </w:r>
      <w:r w:rsidRPr="001E52EA">
        <w:rPr>
          <w:bCs/>
        </w:rPr>
        <w:t>Mitchell</w:t>
      </w:r>
      <w:r>
        <w:rPr>
          <w:b/>
        </w:rPr>
        <w:t xml:space="preserve"> </w:t>
      </w:r>
      <w:r>
        <w:t>describes the significance of the pomegranate’s colour.</w:t>
      </w:r>
      <w:r w:rsidR="001E52EA">
        <w:rPr>
          <w:rStyle w:val="FootnoteReference"/>
        </w:rPr>
        <w:footnoteReference w:id="29"/>
      </w:r>
      <w:r>
        <w:t xml:space="preserve"> Being noted as “puniceum pomum”</w:t>
      </w:r>
      <w:r>
        <w:rPr>
          <w:b/>
        </w:rPr>
        <w:t xml:space="preserve"> </w:t>
      </w:r>
      <w:r>
        <w:t xml:space="preserve">the </w:t>
      </w:r>
      <w:r>
        <w:lastRenderedPageBreak/>
        <w:t>pomegranate is known to be the colour of love, passion and sexual maturity.</w:t>
      </w:r>
      <w:r w:rsidR="001E52EA">
        <w:rPr>
          <w:rStyle w:val="FootnoteReference"/>
        </w:rPr>
        <w:footnoteReference w:id="30"/>
      </w:r>
      <w:r>
        <w:t xml:space="preserve"> By being associated with this plant </w:t>
      </w:r>
      <w:r w:rsidR="00A46B63">
        <w:t>Proserpinae</w:t>
      </w:r>
      <w:r>
        <w:t xml:space="preserve"> is no longer a</w:t>
      </w:r>
      <w:r>
        <w:t xml:space="preserve"> child but has become a mature woman. </w:t>
      </w:r>
      <w:r w:rsidRPr="001E52EA">
        <w:rPr>
          <w:bCs/>
        </w:rPr>
        <w:t>Foley</w:t>
      </w:r>
      <w:r>
        <w:rPr>
          <w:b/>
        </w:rPr>
        <w:t xml:space="preserve"> </w:t>
      </w:r>
      <w:r>
        <w:t xml:space="preserve">notes these associations within the </w:t>
      </w:r>
      <w:r w:rsidRPr="001E52EA">
        <w:rPr>
          <w:i/>
          <w:iCs/>
        </w:rPr>
        <w:t>Homeric Hymn</w:t>
      </w:r>
      <w:r>
        <w:t>, possibly where these associations originated.</w:t>
      </w:r>
      <w:r w:rsidR="001E52EA">
        <w:rPr>
          <w:rStyle w:val="FootnoteReference"/>
        </w:rPr>
        <w:footnoteReference w:id="31"/>
      </w:r>
      <w:r>
        <w:t xml:space="preserve"> </w:t>
      </w:r>
      <w:r w:rsidR="001F79D9">
        <w:t>Sh</w:t>
      </w:r>
      <w:r>
        <w:t>e adds that to these ideas of sexuality, the pomegranate is also associated with death due to its blood-red colour.</w:t>
      </w:r>
      <w:r w:rsidR="001E52EA">
        <w:rPr>
          <w:rStyle w:val="FootnoteReference"/>
        </w:rPr>
        <w:footnoteReference w:id="32"/>
      </w:r>
      <w:r>
        <w:t xml:space="preserve"> </w:t>
      </w:r>
      <w:r>
        <w:t xml:space="preserve">This double meaning suggests the consummation of marriage and sexual seduction occur between </w:t>
      </w:r>
      <w:r w:rsidR="00A46B63">
        <w:t>Pluto</w:t>
      </w:r>
      <w:r>
        <w:t xml:space="preserve"> and </w:t>
      </w:r>
      <w:r w:rsidR="00A46B63">
        <w:t>Proserpinae</w:t>
      </w:r>
      <w:r>
        <w:t xml:space="preserve">. This eating of the pomegranate is the volta of the story, it is the turning point at which </w:t>
      </w:r>
      <w:r w:rsidR="00A46B63">
        <w:t>Proserpinae</w:t>
      </w:r>
      <w:r>
        <w:t xml:space="preserve"> ties her fate to </w:t>
      </w:r>
      <w:r w:rsidR="00A46B63">
        <w:t>Pluto</w:t>
      </w:r>
      <w:r>
        <w:t>. B</w:t>
      </w:r>
      <w:r>
        <w:t xml:space="preserve">ut if this is the case, why is </w:t>
      </w:r>
      <w:r w:rsidR="00A46B63">
        <w:t>Pluto</w:t>
      </w:r>
      <w:r>
        <w:t xml:space="preserve"> not present in Ovid’s telling of the pomegranate episode?  In the </w:t>
      </w:r>
      <w:r w:rsidRPr="001E52EA">
        <w:rPr>
          <w:i/>
          <w:iCs/>
        </w:rPr>
        <w:t>Homeric Hymn</w:t>
      </w:r>
      <w:r>
        <w:t xml:space="preserve"> it is shown that </w:t>
      </w:r>
      <w:r w:rsidR="00A46B63">
        <w:t>Pluto</w:t>
      </w:r>
      <w:r>
        <w:t xml:space="preserve"> gave the pomegranate seeds to </w:t>
      </w:r>
      <w:r w:rsidR="00A46B63">
        <w:t>Proserpinae</w:t>
      </w:r>
      <w:r>
        <w:t xml:space="preserve"> to eat.</w:t>
      </w:r>
      <w:r w:rsidR="001E52EA">
        <w:rPr>
          <w:rStyle w:val="FootnoteReference"/>
        </w:rPr>
        <w:footnoteReference w:id="33"/>
      </w:r>
      <w:r>
        <w:t xml:space="preserve"> However, in the </w:t>
      </w:r>
      <w:r>
        <w:rPr>
          <w:i/>
        </w:rPr>
        <w:t>Metamorphoses</w:t>
      </w:r>
      <w:r>
        <w:t xml:space="preserve"> </w:t>
      </w:r>
      <w:r w:rsidR="00A46B63">
        <w:t>Pluto</w:t>
      </w:r>
      <w:r>
        <w:t xml:space="preserve"> is not present at </w:t>
      </w:r>
      <w:r w:rsidR="00A46B63">
        <w:t>Proserpinae</w:t>
      </w:r>
      <w:r>
        <w:t xml:space="preserve"> eat</w:t>
      </w:r>
      <w:r>
        <w:t>ing the seeds.</w:t>
      </w:r>
      <w:r w:rsidR="001E52EA">
        <w:rPr>
          <w:rStyle w:val="FootnoteReference"/>
        </w:rPr>
        <w:footnoteReference w:id="34"/>
      </w:r>
      <w:r>
        <w:t xml:space="preserve"> This is especially curious since this is commonly understood as the consummating of the marriage. We could perhaps understand this as </w:t>
      </w:r>
      <w:r w:rsidR="00A46B63">
        <w:t>Proserpinae</w:t>
      </w:r>
      <w:r>
        <w:t xml:space="preserve">’s consent to this union. Throughout the story, Ovid gives the indication of love from </w:t>
      </w:r>
      <w:r w:rsidR="00A46B63">
        <w:t>Pluto</w:t>
      </w:r>
      <w:r>
        <w:t xml:space="preserve"> to </w:t>
      </w:r>
      <w:r w:rsidR="00A46B63">
        <w:t>Proserpinae</w:t>
      </w:r>
      <w:r>
        <w:t xml:space="preserve">. Could this act of eating the seeds without </w:t>
      </w:r>
      <w:r w:rsidR="00A46B63">
        <w:t>Pluto</w:t>
      </w:r>
      <w:r>
        <w:t xml:space="preserve"> show that </w:t>
      </w:r>
      <w:r w:rsidR="00A46B63">
        <w:t>Proserpinae</w:t>
      </w:r>
      <w:r>
        <w:t xml:space="preserve"> has now agreed to their relationship?  As Ovid writes on lines 5.534-8: "for the girl had already broken her fast, and while, simple child that she was, she wandered in the tr</w:t>
      </w:r>
      <w:r>
        <w:t>im gardens, she had plucked a purple pomegranate hanging from a bending bough, and peeling off the yellowish rind, she had eaten seven of the seeds."</w:t>
      </w:r>
      <w:r w:rsidR="001E52EA">
        <w:rPr>
          <w:rStyle w:val="FootnoteReference"/>
        </w:rPr>
        <w:footnoteReference w:id="35"/>
      </w:r>
      <w:r>
        <w:t xml:space="preserve"> It seems clear that in both the </w:t>
      </w:r>
      <w:r w:rsidRPr="00A46B63">
        <w:rPr>
          <w:i/>
          <w:iCs/>
        </w:rPr>
        <w:t>Homeric Hymn</w:t>
      </w:r>
      <w:r>
        <w:t xml:space="preserve"> and the </w:t>
      </w:r>
      <w:r w:rsidRPr="00A46B63">
        <w:rPr>
          <w:i/>
          <w:iCs/>
        </w:rPr>
        <w:t>Metamorphoses</w:t>
      </w:r>
      <w:r>
        <w:t xml:space="preserve"> it is the female experience that is a c</w:t>
      </w:r>
      <w:r>
        <w:t>entral concern.</w:t>
      </w:r>
    </w:p>
    <w:p w14:paraId="00000013" w14:textId="5FBC2FB9" w:rsidR="00A900D3" w:rsidRDefault="0015356A">
      <w:pPr>
        <w:spacing w:before="240" w:after="240"/>
      </w:pPr>
      <w:r w:rsidRPr="001E52EA">
        <w:rPr>
          <w:bCs/>
        </w:rPr>
        <w:t xml:space="preserve">Claudian’s </w:t>
      </w:r>
      <w:r w:rsidRPr="001E52EA">
        <w:rPr>
          <w:bCs/>
          <w:i/>
        </w:rPr>
        <w:t>De Raptu</w:t>
      </w:r>
      <w:r w:rsidRPr="001E52EA">
        <w:rPr>
          <w:bCs/>
        </w:rPr>
        <w:t xml:space="preserve"> tells the story of </w:t>
      </w:r>
      <w:r w:rsidR="00A46B63">
        <w:rPr>
          <w:bCs/>
        </w:rPr>
        <w:t>Proserpinae</w:t>
      </w:r>
      <w:r w:rsidRPr="001E52EA">
        <w:rPr>
          <w:bCs/>
        </w:rPr>
        <w:t xml:space="preserve"> in a lengthy and elaborate poetic retelling.</w:t>
      </w:r>
      <w:r>
        <w:rPr>
          <w:b/>
        </w:rPr>
        <w:t xml:space="preserve"> </w:t>
      </w:r>
      <w:r>
        <w:t>His telling of the myth is multi-layered with a lot of referencing to other poetic works, especially that of Ovid. He creates a highly textured a</w:t>
      </w:r>
      <w:r>
        <w:t xml:space="preserve">nd sensory world full of allusion with subtle references. </w:t>
      </w:r>
      <w:r w:rsidRPr="001E52EA">
        <w:rPr>
          <w:bCs/>
        </w:rPr>
        <w:t>Formisano</w:t>
      </w:r>
      <w:r>
        <w:rPr>
          <w:b/>
        </w:rPr>
        <w:t xml:space="preserve"> </w:t>
      </w:r>
      <w:r>
        <w:t>looks at the language used within the text and discusses how the context of the work is metaphorical.</w:t>
      </w:r>
      <w:r w:rsidR="001E52EA">
        <w:rPr>
          <w:rStyle w:val="FootnoteReference"/>
        </w:rPr>
        <w:footnoteReference w:id="36"/>
      </w:r>
      <w:r>
        <w:t xml:space="preserve"> A key example of this is how “legere” is used as a syllepsis in lines 2.119 and 2.137 </w:t>
      </w:r>
      <w:r>
        <w:t>to mean both "gather" and "read".</w:t>
      </w:r>
      <w:r w:rsidR="001E52EA">
        <w:rPr>
          <w:rStyle w:val="FootnoteReference"/>
        </w:rPr>
        <w:footnoteReference w:id="37"/>
      </w:r>
      <w:r>
        <w:t xml:space="preserve"> This shows how Claudian played with words to interweave the reader with the story. He relies on a sophisticated audience who would be able to recognise the references he uses. When Claudian is writing, the myth of </w:t>
      </w:r>
      <w:r w:rsidR="00A46B63">
        <w:t>Proserpinae</w:t>
      </w:r>
      <w:r>
        <w:t xml:space="preserve"> has been around for one thousand years. This hymn would be well known and could mean that Claudian has consciously repeated the flowers he mentions.</w:t>
      </w:r>
    </w:p>
    <w:p w14:paraId="00000014" w14:textId="06FFF418" w:rsidR="00A900D3" w:rsidRDefault="0015356A">
      <w:pPr>
        <w:spacing w:before="240" w:after="240"/>
      </w:pPr>
      <w:r>
        <w:t>Claudian develops the standard plot of the story with some additions. One of these additions is Venus be</w:t>
      </w:r>
      <w:r>
        <w:t xml:space="preserve">ing part of the plot to abduct </w:t>
      </w:r>
      <w:r w:rsidR="00A46B63">
        <w:t>Proserpinae</w:t>
      </w:r>
      <w:r>
        <w:t>.</w:t>
      </w:r>
      <w:r w:rsidR="001E52EA">
        <w:rPr>
          <w:rStyle w:val="FootnoteReference"/>
        </w:rPr>
        <w:footnoteReference w:id="38"/>
      </w:r>
      <w:r>
        <w:t xml:space="preserve"> Even though Venus is present within Ovid’s telling, her role within the plot against </w:t>
      </w:r>
      <w:r w:rsidR="00A46B63">
        <w:t>Proserpinae</w:t>
      </w:r>
      <w:r>
        <w:t xml:space="preserve"> is different. At 2.122 Venus is said to pick the first flowers.</w:t>
      </w:r>
      <w:r w:rsidR="001E52EA">
        <w:rPr>
          <w:rStyle w:val="FootnoteReference"/>
        </w:rPr>
        <w:footnoteReference w:id="39"/>
      </w:r>
      <w:r>
        <w:t xml:space="preserve"> This could be a reference to a different story within</w:t>
      </w:r>
      <w:r>
        <w:t xml:space="preserve"> the </w:t>
      </w:r>
      <w:r>
        <w:rPr>
          <w:i/>
        </w:rPr>
        <w:t>Metamorphoses</w:t>
      </w:r>
      <w:r>
        <w:t xml:space="preserve"> </w:t>
      </w:r>
      <w:r>
        <w:lastRenderedPageBreak/>
        <w:t>in which Venus’ lover Adonis is killed by a boar and turned into the anemone.</w:t>
      </w:r>
      <w:r w:rsidR="001E52EA">
        <w:rPr>
          <w:rStyle w:val="FootnoteReference"/>
        </w:rPr>
        <w:footnoteReference w:id="40"/>
      </w:r>
      <w:r>
        <w:t xml:space="preserve"> Claudian bringing in this story not only shows his knowledge of Ovid but also references signs of sorrow that are to come with the abduction of </w:t>
      </w:r>
      <w:r w:rsidR="00A46B63">
        <w:t>Proserpinae</w:t>
      </w:r>
      <w:r>
        <w:t xml:space="preserve">. By using Venus and calling it </w:t>
      </w:r>
      <w:r>
        <w:rPr>
          <w:i/>
        </w:rPr>
        <w:t xml:space="preserve">De Raptu, </w:t>
      </w:r>
      <w:r>
        <w:t xml:space="preserve">Claudian prepares the audience for the sadness and tragedy that is to come. Claudian uses other flowers in his telling of the myth to further show his understanding of previous tellings of the myth. </w:t>
      </w:r>
      <w:r w:rsidRPr="001E52EA">
        <w:rPr>
          <w:bCs/>
        </w:rPr>
        <w:t>Gruzelier</w:t>
      </w:r>
      <w:r>
        <w:t xml:space="preserve"> s</w:t>
      </w:r>
      <w:r>
        <w:t xml:space="preserve">uggests that the mention of hyacinths </w:t>
      </w:r>
      <w:r>
        <w:t xml:space="preserve">is a reference to a story in Ovid’s </w:t>
      </w:r>
      <w:r>
        <w:rPr>
          <w:i/>
        </w:rPr>
        <w:t xml:space="preserve">Metamorphoses </w:t>
      </w:r>
      <w:r>
        <w:t>10.206-215.</w:t>
      </w:r>
      <w:r w:rsidR="001E52EA">
        <w:rPr>
          <w:rStyle w:val="FootnoteReference"/>
        </w:rPr>
        <w:footnoteReference w:id="41"/>
      </w:r>
      <w:r w:rsidR="001E52EA">
        <w:rPr>
          <w:rStyle w:val="FootnoteReference"/>
        </w:rPr>
        <w:footnoteReference w:id="42"/>
      </w:r>
      <w:r>
        <w:t xml:space="preserve"> This is further backed up by </w:t>
      </w:r>
      <w:r w:rsidRPr="001E52EA">
        <w:rPr>
          <w:bCs/>
        </w:rPr>
        <w:t>Hinds</w:t>
      </w:r>
      <w:r>
        <w:t xml:space="preserve"> who discusses how the hyacinth was used in the Attic traditions and was seen as the Ovidian flower.</w:t>
      </w:r>
      <w:r w:rsidR="001E52EA">
        <w:rPr>
          <w:rStyle w:val="FootnoteReference"/>
        </w:rPr>
        <w:footnoteReference w:id="43"/>
      </w:r>
      <w:r>
        <w:t xml:space="preserve"> He also sugge</w:t>
      </w:r>
      <w:r>
        <w:t xml:space="preserve">sts that the mentions of narcissus </w:t>
      </w:r>
      <w:r>
        <w:t xml:space="preserve">and adonis </w:t>
      </w:r>
      <w:r>
        <w:t xml:space="preserve">also refer to stories in the </w:t>
      </w:r>
      <w:r>
        <w:rPr>
          <w:i/>
        </w:rPr>
        <w:t>Metamorphoses</w:t>
      </w:r>
      <w:r>
        <w:t xml:space="preserve"> and are placed in the story to weave in these stories to the abduction of </w:t>
      </w:r>
      <w:r w:rsidR="00A46B63">
        <w:t>Proserpinae</w:t>
      </w:r>
      <w:r>
        <w:t>, drawing parallels and placing them all within a wider cosmos.</w:t>
      </w:r>
      <w:r w:rsidR="001E52EA">
        <w:rPr>
          <w:rStyle w:val="FootnoteReference"/>
        </w:rPr>
        <w:footnoteReference w:id="44"/>
      </w:r>
    </w:p>
    <w:p w14:paraId="00000015" w14:textId="514BAB06" w:rsidR="00A900D3" w:rsidRDefault="0015356A">
      <w:pPr>
        <w:spacing w:before="240" w:after="240"/>
      </w:pPr>
      <w:r w:rsidRPr="001E52EA">
        <w:rPr>
          <w:bCs/>
        </w:rPr>
        <w:t>T</w:t>
      </w:r>
      <w:r w:rsidRPr="001E52EA">
        <w:rPr>
          <w:bCs/>
        </w:rPr>
        <w:t>he flower symbolism is a recurring theme in all the retelling and has become culturally embedded to the point where references to the flowers were used effectively in legal arguments where their symbolism was universally understood.</w:t>
      </w:r>
      <w:r>
        <w:t xml:space="preserve"> In his speech against V</w:t>
      </w:r>
      <w:r>
        <w:t xml:space="preserve">errines, Cicero uses the connotations that come with the </w:t>
      </w:r>
      <w:r w:rsidR="00A46B63">
        <w:t>Proserpinae</w:t>
      </w:r>
      <w:r>
        <w:t xml:space="preserve"> abduction myth to represent the seriousness of the crimes committed by the defendant. By describing the area of the crime as a meadow with “flowers in profusion at all seasons” </w:t>
      </w:r>
      <w:r>
        <w:t>C</w:t>
      </w:r>
      <w:r>
        <w:t xml:space="preserve">icero is making a clear reference to the meadow that </w:t>
      </w:r>
      <w:r w:rsidR="00A46B63">
        <w:t>Proserpinae</w:t>
      </w:r>
      <w:r>
        <w:t xml:space="preserve"> was abducted from.</w:t>
      </w:r>
      <w:r w:rsidR="001E52EA">
        <w:rPr>
          <w:rStyle w:val="FootnoteReference"/>
        </w:rPr>
        <w:footnoteReference w:id="45"/>
      </w:r>
      <w:r>
        <w:t xml:space="preserve"> The meadow and its flowers would have an association of youthful innocence as is seen within the myth of </w:t>
      </w:r>
      <w:r w:rsidR="00A46B63">
        <w:t>Proserpinae</w:t>
      </w:r>
      <w:r>
        <w:t xml:space="preserve">’s abduction. It would seem that the innocence of </w:t>
      </w:r>
      <w:r w:rsidR="00A46B63">
        <w:t>Proserpinae</w:t>
      </w:r>
      <w:r>
        <w:t xml:space="preserve"> is also the innocence of land such as this. Cicero is paralleling the stealing of </w:t>
      </w:r>
      <w:r w:rsidR="00A46B63">
        <w:t>Ceres</w:t>
      </w:r>
      <w:r>
        <w:t xml:space="preserve">’s statue to the abduction of </w:t>
      </w:r>
      <w:r w:rsidR="00A46B63">
        <w:t>Proserpinae</w:t>
      </w:r>
      <w:r>
        <w:t>, showing the crime once committed against the daughter has now been committed against the mother.</w:t>
      </w:r>
      <w:r w:rsidR="001E52EA">
        <w:rPr>
          <w:rStyle w:val="FootnoteReference"/>
        </w:rPr>
        <w:footnoteReference w:id="46"/>
      </w:r>
    </w:p>
    <w:p w14:paraId="00000016" w14:textId="041D3BC2" w:rsidR="00A900D3" w:rsidRDefault="0015356A">
      <w:pPr>
        <w:spacing w:before="240" w:after="240"/>
      </w:pPr>
      <w:r w:rsidRPr="001E52EA">
        <w:rPr>
          <w:bCs/>
        </w:rPr>
        <w:t xml:space="preserve">The character of </w:t>
      </w:r>
      <w:r w:rsidR="00A46B63">
        <w:rPr>
          <w:bCs/>
        </w:rPr>
        <w:t>Proserpinae</w:t>
      </w:r>
      <w:r w:rsidRPr="001E52EA">
        <w:rPr>
          <w:bCs/>
        </w:rPr>
        <w:t xml:space="preserve"> carries the responsibility within the story to represent the fertility of the land as well as the female journey from girlhood to womanhood.</w:t>
      </w:r>
      <w:r>
        <w:t xml:space="preserve"> </w:t>
      </w:r>
      <w:r w:rsidR="00A46B63">
        <w:t>Proserpinae</w:t>
      </w:r>
      <w:r>
        <w:t>’s association to the flowers that is so often incited by authors has given her the two connotations o</w:t>
      </w:r>
      <w:r>
        <w:t>f fertile land and fertile youth.</w:t>
      </w:r>
      <w:r w:rsidR="001E52EA">
        <w:rPr>
          <w:rStyle w:val="FootnoteReference"/>
        </w:rPr>
        <w:footnoteReference w:id="47"/>
      </w:r>
      <w:r>
        <w:t xml:space="preserve"> The natural beauty of the meadow connects to </w:t>
      </w:r>
      <w:r w:rsidR="00A46B63">
        <w:t>Proserpinae</w:t>
      </w:r>
      <w:r>
        <w:t xml:space="preserve">’s natural youthful beauty that flowers much in the same way that violets and lilies do. This narrative is seen in every instantiation of </w:t>
      </w:r>
      <w:r>
        <w:t xml:space="preserve">the myth from the </w:t>
      </w:r>
      <w:r w:rsidRPr="00331705">
        <w:rPr>
          <w:i/>
          <w:iCs/>
        </w:rPr>
        <w:t>Homeric Hymn</w:t>
      </w:r>
      <w:r>
        <w:t xml:space="preserve"> to the </w:t>
      </w:r>
      <w:r w:rsidRPr="00331705">
        <w:rPr>
          <w:i/>
          <w:iCs/>
        </w:rPr>
        <w:t>De Raptu</w:t>
      </w:r>
      <w:r w:rsidR="00331705">
        <w:t>.</w:t>
      </w:r>
      <w:r>
        <w:t xml:space="preserve"> This lies parallel to the transformation of </w:t>
      </w:r>
      <w:r w:rsidR="00A46B63">
        <w:t>Proserpinae</w:t>
      </w:r>
      <w:r>
        <w:t>, who matures from the beginning of the story. The abduction can be seen as her movement from being a child to being a mature woman. As Claudian writes on</w:t>
      </w:r>
      <w:r>
        <w:t xml:space="preserve"> lines 3.238-41 “leaden grey seeped over the grass; the streams failed; the meadows were scaly with blight and nothing survived the horses' breath; I saw privets pale, roses expire, lilies shrivel away”.</w:t>
      </w:r>
      <w:r w:rsidR="00331705">
        <w:rPr>
          <w:rStyle w:val="FootnoteReference"/>
        </w:rPr>
        <w:footnoteReference w:id="48"/>
      </w:r>
      <w:r>
        <w:t xml:space="preserve"> This shows the idea of the land losing its brightnes</w:t>
      </w:r>
      <w:r>
        <w:t xml:space="preserve">s reflecting </w:t>
      </w:r>
      <w:r>
        <w:lastRenderedPageBreak/>
        <w:t>not only the abduction but also how a maiden’s beauty may be seen to dim as she moves from being fertile youth to mature woman.</w:t>
      </w:r>
    </w:p>
    <w:p w14:paraId="00000017" w14:textId="72107171" w:rsidR="00A900D3" w:rsidRDefault="0015356A">
      <w:r>
        <w:t xml:space="preserve">What we can see from these </w:t>
      </w:r>
      <w:r w:rsidR="00A46B63">
        <w:t>telling’s</w:t>
      </w:r>
      <w:r>
        <w:t xml:space="preserve"> of the myth is that the flowers and vegetation used within them are a crucial r</w:t>
      </w:r>
      <w:r>
        <w:t xml:space="preserve">ecurring element to the story. These Roman retellings have taken the associations and familiarity from the </w:t>
      </w:r>
      <w:r w:rsidRPr="00A46B63">
        <w:rPr>
          <w:i/>
          <w:iCs/>
        </w:rPr>
        <w:t>Homeric Hymn</w:t>
      </w:r>
      <w:r>
        <w:t xml:space="preserve"> and presented it in a way that Roman audiences would recognise and be able to understand within its wider context. One of the more promi</w:t>
      </w:r>
      <w:r>
        <w:t xml:space="preserve">nent associations being between </w:t>
      </w:r>
      <w:r w:rsidR="00A46B63">
        <w:t>Proserpinae</w:t>
      </w:r>
      <w:r>
        <w:t xml:space="preserve"> and the meadow, these authors have used it to convey their own message such as Cicero using it in a legal speech or Ovid and Cla</w:t>
      </w:r>
      <w:r w:rsidR="00660FE9">
        <w:t>u</w:t>
      </w:r>
      <w:r>
        <w:t>dian using it to compare fertile youth and fertile land. Although there is a differen</w:t>
      </w:r>
      <w:r>
        <w:t>ce in treatment of the flowers and vegetation used, they all present one common theme</w:t>
      </w:r>
      <w:r>
        <w:t xml:space="preserve">: the fertility of the land and the fertility of </w:t>
      </w:r>
      <w:r w:rsidR="00A46B63">
        <w:t>Proserpinae</w:t>
      </w:r>
      <w:r>
        <w:t xml:space="preserve"> are interconnected and fragile, like that of the flowers in the meadow where she played.</w:t>
      </w:r>
    </w:p>
    <w:p w14:paraId="315B7BC5" w14:textId="6071DC6A" w:rsidR="00331705" w:rsidRDefault="00331705"/>
    <w:p w14:paraId="0B21AEF2" w14:textId="264124A0" w:rsidR="00FB39BF" w:rsidRDefault="00FB39BF"/>
    <w:p w14:paraId="2C26D622" w14:textId="68F19F2E" w:rsidR="00FB39BF" w:rsidRDefault="00FB39BF"/>
    <w:p w14:paraId="187496D5" w14:textId="4BCB2B2A" w:rsidR="00FB39BF" w:rsidRDefault="00FB39BF"/>
    <w:p w14:paraId="4C43D687" w14:textId="6189E4F0" w:rsidR="00FB39BF" w:rsidRDefault="00FB39BF"/>
    <w:p w14:paraId="0220BA9C" w14:textId="3CA3A9F8" w:rsidR="00FB39BF" w:rsidRDefault="00FB39BF"/>
    <w:p w14:paraId="6DBC6AE1" w14:textId="705D3E22" w:rsidR="00FB39BF" w:rsidRDefault="00FB39BF"/>
    <w:p w14:paraId="44259D0E" w14:textId="720701EB" w:rsidR="00FB39BF" w:rsidRDefault="00FB39BF"/>
    <w:p w14:paraId="11E17A6D" w14:textId="12226A5D" w:rsidR="00FB39BF" w:rsidRDefault="00FB39BF"/>
    <w:p w14:paraId="4D571F31" w14:textId="2254777D" w:rsidR="00FB39BF" w:rsidRDefault="00FB39BF"/>
    <w:p w14:paraId="1D78C457" w14:textId="3D10ED7C" w:rsidR="00FB39BF" w:rsidRDefault="00FB39BF"/>
    <w:p w14:paraId="4D738A82" w14:textId="64957C9C" w:rsidR="00FB39BF" w:rsidRDefault="00FB39BF"/>
    <w:p w14:paraId="55DA4F47" w14:textId="33203222" w:rsidR="00FB39BF" w:rsidRDefault="00FB39BF"/>
    <w:p w14:paraId="753005EF" w14:textId="4E609BE2" w:rsidR="00FB39BF" w:rsidRDefault="00FB39BF"/>
    <w:p w14:paraId="6B4902E4" w14:textId="6B00E434" w:rsidR="00FB39BF" w:rsidRDefault="00FB39BF"/>
    <w:p w14:paraId="1C3F9701" w14:textId="4E90BB6F" w:rsidR="00FB39BF" w:rsidRDefault="00FB39BF"/>
    <w:p w14:paraId="21736266" w14:textId="6292AB0F" w:rsidR="00FB39BF" w:rsidRDefault="00FB39BF"/>
    <w:p w14:paraId="2FB94DA5" w14:textId="72E47BB2" w:rsidR="00FB39BF" w:rsidRDefault="00FB39BF"/>
    <w:p w14:paraId="426A43D1" w14:textId="01B86EFD" w:rsidR="00FB39BF" w:rsidRDefault="00FB39BF"/>
    <w:p w14:paraId="1B868D05" w14:textId="13DCB9A2" w:rsidR="00FB39BF" w:rsidRDefault="00FB39BF"/>
    <w:p w14:paraId="15CA4AE7" w14:textId="0CA84B99" w:rsidR="00FB39BF" w:rsidRDefault="00FB39BF"/>
    <w:p w14:paraId="2F68F198" w14:textId="680912DB" w:rsidR="00FB39BF" w:rsidRDefault="00FB39BF"/>
    <w:p w14:paraId="3F255611" w14:textId="1663A358" w:rsidR="00FB39BF" w:rsidRDefault="00FB39BF"/>
    <w:p w14:paraId="077E204B" w14:textId="0CA98F00" w:rsidR="00FB39BF" w:rsidRDefault="00FB39BF"/>
    <w:p w14:paraId="5FDFBDDA" w14:textId="25833FA5" w:rsidR="00FB39BF" w:rsidRDefault="00FB39BF"/>
    <w:p w14:paraId="372D628D" w14:textId="632A8B3F" w:rsidR="00FB39BF" w:rsidRDefault="00FB39BF"/>
    <w:p w14:paraId="722CC96C" w14:textId="3B3836C3" w:rsidR="00FB39BF" w:rsidRDefault="00FB39BF"/>
    <w:p w14:paraId="76999A7F" w14:textId="7DC8FB29" w:rsidR="00FB39BF" w:rsidRDefault="00FB39BF"/>
    <w:p w14:paraId="22584C02" w14:textId="3068A2CC" w:rsidR="00FB39BF" w:rsidRDefault="00FB39BF"/>
    <w:p w14:paraId="393A3D2F" w14:textId="0A49FC15" w:rsidR="00FB39BF" w:rsidRDefault="00FB39BF"/>
    <w:p w14:paraId="38BA89A9" w14:textId="77777777" w:rsidR="007A1E51" w:rsidRDefault="007A1E51"/>
    <w:p w14:paraId="524088D5" w14:textId="47057DDE" w:rsidR="00331705" w:rsidRDefault="00331705">
      <w:pPr>
        <w:rPr>
          <w:u w:val="single"/>
        </w:rPr>
      </w:pPr>
      <w:r>
        <w:rPr>
          <w:u w:val="single"/>
        </w:rPr>
        <w:lastRenderedPageBreak/>
        <w:t>Bibliography</w:t>
      </w:r>
    </w:p>
    <w:p w14:paraId="714CE43D" w14:textId="2DDCF7EA" w:rsidR="00660FE9" w:rsidRDefault="00660FE9">
      <w:pPr>
        <w:rPr>
          <w:u w:val="single"/>
        </w:rPr>
      </w:pPr>
    </w:p>
    <w:p w14:paraId="111F9A50" w14:textId="26058A44" w:rsidR="00660FE9" w:rsidRDefault="00660FE9">
      <w:pPr>
        <w:rPr>
          <w:u w:val="single"/>
        </w:rPr>
      </w:pPr>
      <w:r>
        <w:rPr>
          <w:u w:val="single"/>
        </w:rPr>
        <w:t>Ancient Works</w:t>
      </w:r>
    </w:p>
    <w:p w14:paraId="7CAD2CD5" w14:textId="77777777" w:rsidR="00660FE9" w:rsidRDefault="00660FE9" w:rsidP="00660FE9">
      <w:pPr>
        <w:rPr>
          <w:bCs/>
        </w:rPr>
      </w:pPr>
    </w:p>
    <w:p w14:paraId="0B588746" w14:textId="77777777" w:rsidR="00FB39BF" w:rsidRPr="001C5F38" w:rsidRDefault="00FB39BF" w:rsidP="00660FE9">
      <w:pPr>
        <w:rPr>
          <w:bCs/>
        </w:rPr>
      </w:pPr>
      <w:r>
        <w:rPr>
          <w:bCs/>
        </w:rPr>
        <w:t xml:space="preserve">Anonymous, </w:t>
      </w:r>
      <w:r>
        <w:rPr>
          <w:bCs/>
          <w:i/>
          <w:iCs/>
        </w:rPr>
        <w:t xml:space="preserve">The Homeric Hymns, </w:t>
      </w:r>
      <w:r>
        <w:rPr>
          <w:bCs/>
        </w:rPr>
        <w:t>H.G. Evelyn-White (trans.), 1914, Cambridge, Harvard University Press</w:t>
      </w:r>
    </w:p>
    <w:p w14:paraId="5E4A2FD7" w14:textId="77777777" w:rsidR="00FB39BF" w:rsidRPr="00660FE9" w:rsidRDefault="00FB39BF">
      <w:pPr>
        <w:rPr>
          <w:bCs/>
        </w:rPr>
      </w:pPr>
      <w:r>
        <w:rPr>
          <w:bCs/>
        </w:rPr>
        <w:t xml:space="preserve">Cicero, </w:t>
      </w:r>
      <w:r w:rsidRPr="00FB39BF">
        <w:rPr>
          <w:bCs/>
          <w:i/>
          <w:iCs/>
        </w:rPr>
        <w:t>Verrines</w:t>
      </w:r>
      <w:r>
        <w:rPr>
          <w:bCs/>
          <w:i/>
          <w:iCs/>
        </w:rPr>
        <w:t xml:space="preserve">, </w:t>
      </w:r>
      <w:r>
        <w:rPr>
          <w:bCs/>
        </w:rPr>
        <w:t>L.H.G. Greenwood (trans.), 1928, Cambridge, Harvard University Press</w:t>
      </w:r>
    </w:p>
    <w:p w14:paraId="5F1A39C6" w14:textId="77777777" w:rsidR="00FB39BF" w:rsidRDefault="00FB39BF">
      <w:pPr>
        <w:rPr>
          <w:bCs/>
        </w:rPr>
      </w:pPr>
      <w:r>
        <w:rPr>
          <w:bCs/>
        </w:rPr>
        <w:t xml:space="preserve">Claudian, </w:t>
      </w:r>
      <w:r w:rsidRPr="001C5F38">
        <w:rPr>
          <w:bCs/>
          <w:i/>
          <w:iCs/>
        </w:rPr>
        <w:t>De Raptu Proserpinae</w:t>
      </w:r>
      <w:r>
        <w:rPr>
          <w:bCs/>
          <w:i/>
          <w:iCs/>
        </w:rPr>
        <w:t xml:space="preserve">, </w:t>
      </w:r>
      <w:r>
        <w:rPr>
          <w:bCs/>
        </w:rPr>
        <w:t>M. Platnauer (trans.), 1922, Cambridge, Harvard University Press</w:t>
      </w:r>
    </w:p>
    <w:p w14:paraId="0C2745A3" w14:textId="77777777" w:rsidR="00FB39BF" w:rsidRPr="001C5F38" w:rsidRDefault="00FB39BF" w:rsidP="00660FE9">
      <w:pPr>
        <w:rPr>
          <w:bCs/>
        </w:rPr>
      </w:pPr>
      <w:r>
        <w:rPr>
          <w:bCs/>
        </w:rPr>
        <w:t xml:space="preserve">Ovid, </w:t>
      </w:r>
      <w:r>
        <w:rPr>
          <w:bCs/>
          <w:i/>
          <w:iCs/>
        </w:rPr>
        <w:t xml:space="preserve">Metamorphoses, </w:t>
      </w:r>
      <w:r>
        <w:rPr>
          <w:bCs/>
        </w:rPr>
        <w:t>F. Miller (trans.), 1916, Cambridge, Harvard University Press</w:t>
      </w:r>
    </w:p>
    <w:p w14:paraId="30C6102A" w14:textId="77777777" w:rsidR="00660FE9" w:rsidRDefault="00660FE9">
      <w:pPr>
        <w:rPr>
          <w:u w:val="single"/>
        </w:rPr>
      </w:pPr>
    </w:p>
    <w:p w14:paraId="49D70EFB" w14:textId="17534F28" w:rsidR="00660FE9" w:rsidRDefault="00660FE9">
      <w:pPr>
        <w:rPr>
          <w:u w:val="single"/>
        </w:rPr>
      </w:pPr>
      <w:r>
        <w:rPr>
          <w:u w:val="single"/>
        </w:rPr>
        <w:t>Modern Scholarship</w:t>
      </w:r>
    </w:p>
    <w:p w14:paraId="11F03896" w14:textId="47B79A0C" w:rsidR="00331705" w:rsidRDefault="00331705"/>
    <w:p w14:paraId="44786BEF" w14:textId="49FA1567" w:rsidR="00FB39BF" w:rsidRPr="00FB39BF" w:rsidRDefault="00FB39BF">
      <w:pPr>
        <w:rPr>
          <w:bCs/>
        </w:rPr>
      </w:pPr>
      <w:r>
        <w:rPr>
          <w:bCs/>
        </w:rPr>
        <w:t xml:space="preserve">Atsma, A. (2017) </w:t>
      </w:r>
      <w:r>
        <w:rPr>
          <w:bCs/>
          <w:i/>
          <w:iCs/>
        </w:rPr>
        <w:t xml:space="preserve">Claudian, Rape of Proserpine, </w:t>
      </w:r>
      <w:r>
        <w:rPr>
          <w:bCs/>
        </w:rPr>
        <w:t xml:space="preserve">available at: </w:t>
      </w:r>
      <w:r w:rsidRPr="00FB39BF">
        <w:rPr>
          <w:bCs/>
        </w:rPr>
        <w:t>https://www.theoi.com/Text/ClaudianProserpine.html</w:t>
      </w:r>
      <w:r>
        <w:rPr>
          <w:bCs/>
        </w:rPr>
        <w:t xml:space="preserve"> (accessed: 31/01/2021)</w:t>
      </w:r>
    </w:p>
    <w:p w14:paraId="5AD187B7" w14:textId="77777777" w:rsidR="00FB39BF" w:rsidRPr="00FB39BF" w:rsidRDefault="00FB39BF">
      <w:pPr>
        <w:rPr>
          <w:bCs/>
        </w:rPr>
      </w:pPr>
      <w:r>
        <w:rPr>
          <w:bCs/>
        </w:rPr>
        <w:t xml:space="preserve">Cullhed, S. (2017) ‘Proserpina in Pieces: Claudian On Her Rape’, </w:t>
      </w:r>
      <w:r>
        <w:rPr>
          <w:bCs/>
          <w:i/>
          <w:iCs/>
        </w:rPr>
        <w:t xml:space="preserve">Critical Studies in Greek and Roman Literature, </w:t>
      </w:r>
      <w:r>
        <w:rPr>
          <w:bCs/>
        </w:rPr>
        <w:t>48(1), pp.82-94</w:t>
      </w:r>
    </w:p>
    <w:p w14:paraId="335053CB" w14:textId="77777777" w:rsidR="00FB39BF" w:rsidRPr="00660FE9" w:rsidRDefault="00FB39BF">
      <w:pPr>
        <w:rPr>
          <w:bCs/>
        </w:rPr>
      </w:pPr>
      <w:r>
        <w:rPr>
          <w:bCs/>
        </w:rPr>
        <w:t xml:space="preserve">Foley, H. (1994) </w:t>
      </w:r>
      <w:r>
        <w:rPr>
          <w:bCs/>
          <w:i/>
          <w:iCs/>
        </w:rPr>
        <w:t xml:space="preserve">The Homeric Hymn to Demeter: Translation, Commentary and Interpretive Essays, </w:t>
      </w:r>
      <w:r>
        <w:rPr>
          <w:bCs/>
        </w:rPr>
        <w:t>Princeton: Princeton University Press</w:t>
      </w:r>
    </w:p>
    <w:p w14:paraId="2BAB6432" w14:textId="77777777" w:rsidR="00FB39BF" w:rsidRPr="00660FE9" w:rsidRDefault="00FB39BF" w:rsidP="00660FE9">
      <w:pPr>
        <w:rPr>
          <w:bCs/>
        </w:rPr>
      </w:pPr>
      <w:r>
        <w:rPr>
          <w:bCs/>
        </w:rPr>
        <w:t xml:space="preserve">Formisano, M (2021) ‘Legens. Ambiguity, Syllepsis and Allegory in Claudian’s De Raptu Proserpinae’, in Voehler, M., Fuhrer, T. and Frangoulidis, S. (ed.), </w:t>
      </w:r>
      <w:r>
        <w:rPr>
          <w:bCs/>
          <w:i/>
          <w:iCs/>
        </w:rPr>
        <w:t xml:space="preserve">Strategies of Ambiguity in Ancient Literature, </w:t>
      </w:r>
      <w:r>
        <w:rPr>
          <w:bCs/>
        </w:rPr>
        <w:t>Berlin: De Gruyter</w:t>
      </w:r>
    </w:p>
    <w:p w14:paraId="692F96A5" w14:textId="77777777" w:rsidR="00FB39BF" w:rsidRPr="00FB39BF" w:rsidRDefault="00FB39BF">
      <w:pPr>
        <w:rPr>
          <w:bCs/>
        </w:rPr>
      </w:pPr>
      <w:r>
        <w:rPr>
          <w:bCs/>
        </w:rPr>
        <w:t xml:space="preserve">Gruzelier, C.E. (1988) ‘Temporal and Timeless in Claudian’s ‘De Raptu Proserpinae’’, </w:t>
      </w:r>
      <w:r>
        <w:rPr>
          <w:bCs/>
          <w:i/>
          <w:iCs/>
        </w:rPr>
        <w:t xml:space="preserve">Greece and Rome, </w:t>
      </w:r>
      <w:r>
        <w:rPr>
          <w:bCs/>
        </w:rPr>
        <w:t>35(1), pp.56-72</w:t>
      </w:r>
    </w:p>
    <w:p w14:paraId="61B338E4" w14:textId="77777777" w:rsidR="00FB39BF" w:rsidRPr="00FB39BF" w:rsidRDefault="00FB39BF">
      <w:pPr>
        <w:rPr>
          <w:bCs/>
        </w:rPr>
      </w:pPr>
      <w:r>
        <w:rPr>
          <w:bCs/>
        </w:rPr>
        <w:t xml:space="preserve">Hinds, S. (1987) </w:t>
      </w:r>
      <w:r>
        <w:rPr>
          <w:bCs/>
          <w:i/>
          <w:iCs/>
        </w:rPr>
        <w:t xml:space="preserve">The Metamorphoses of Persephone: Ovid and the Self-Conscious Muse, </w:t>
      </w:r>
      <w:r>
        <w:rPr>
          <w:bCs/>
        </w:rPr>
        <w:t>Cambridge: Cambridge University Press</w:t>
      </w:r>
    </w:p>
    <w:p w14:paraId="339A73D2" w14:textId="50A47198" w:rsidR="00FB39BF" w:rsidRPr="00660FE9" w:rsidRDefault="00FB39BF">
      <w:pPr>
        <w:rPr>
          <w:bCs/>
        </w:rPr>
      </w:pPr>
      <w:r>
        <w:rPr>
          <w:bCs/>
        </w:rPr>
        <w:t xml:space="preserve">Johnson, M. (2016) ‘Guide to the Classics: Ovid’s Metamorphoses and Reading Rape’, </w:t>
      </w:r>
      <w:r>
        <w:rPr>
          <w:bCs/>
          <w:i/>
          <w:iCs/>
        </w:rPr>
        <w:t xml:space="preserve">The Conversation </w:t>
      </w:r>
      <w:r>
        <w:rPr>
          <w:bCs/>
        </w:rPr>
        <w:t xml:space="preserve">[blog], available at: </w:t>
      </w:r>
      <w:r w:rsidRPr="00FB39BF">
        <w:rPr>
          <w:bCs/>
        </w:rPr>
        <w:t>https://theconversation.com/guide-to-the-classics-ovids-metamorphoses-and-reading-rape-65316</w:t>
      </w:r>
      <w:r>
        <w:rPr>
          <w:bCs/>
        </w:rPr>
        <w:t xml:space="preserve"> (Accessed: 03/02/2021)</w:t>
      </w:r>
    </w:p>
    <w:p w14:paraId="475A15D5" w14:textId="77777777" w:rsidR="00FB39BF" w:rsidRPr="00FB39BF" w:rsidRDefault="00FB39BF">
      <w:r>
        <w:rPr>
          <w:bCs/>
        </w:rPr>
        <w:t xml:space="preserve">Salzman-Mitchell, P. (2005) </w:t>
      </w:r>
      <w:r>
        <w:rPr>
          <w:bCs/>
          <w:i/>
          <w:iCs/>
        </w:rPr>
        <w:t>A Web of Fantasies: Gaze, Image and Gender in Ovid’s Metamorphoses,</w:t>
      </w:r>
      <w:r>
        <w:t xml:space="preserve"> Columbus: The Ohio State University.</w:t>
      </w:r>
    </w:p>
    <w:sectPr w:rsidR="00FB39BF" w:rsidRPr="00FB39B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0D3590" w14:textId="77777777" w:rsidR="0015356A" w:rsidRDefault="0015356A" w:rsidP="00E72FC1">
      <w:pPr>
        <w:spacing w:line="240" w:lineRule="auto"/>
      </w:pPr>
      <w:r>
        <w:separator/>
      </w:r>
    </w:p>
  </w:endnote>
  <w:endnote w:type="continuationSeparator" w:id="0">
    <w:p w14:paraId="23D82C4A" w14:textId="77777777" w:rsidR="0015356A" w:rsidRDefault="0015356A" w:rsidP="00E72F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53746E" w14:textId="77777777" w:rsidR="0015356A" w:rsidRDefault="0015356A" w:rsidP="00E72FC1">
      <w:pPr>
        <w:spacing w:line="240" w:lineRule="auto"/>
      </w:pPr>
      <w:r>
        <w:separator/>
      </w:r>
    </w:p>
  </w:footnote>
  <w:footnote w:type="continuationSeparator" w:id="0">
    <w:p w14:paraId="76A9DE7F" w14:textId="77777777" w:rsidR="0015356A" w:rsidRDefault="0015356A" w:rsidP="00E72FC1">
      <w:pPr>
        <w:spacing w:line="240" w:lineRule="auto"/>
      </w:pPr>
      <w:r>
        <w:continuationSeparator/>
      </w:r>
    </w:p>
  </w:footnote>
  <w:footnote w:id="1">
    <w:p w14:paraId="240ABC2B" w14:textId="2DAED4A1" w:rsidR="00E72FC1" w:rsidRPr="00E72FC1" w:rsidRDefault="00E72FC1">
      <w:pPr>
        <w:pStyle w:val="FootnoteText"/>
        <w:rPr>
          <w:lang w:val="en-GB"/>
        </w:rPr>
      </w:pPr>
      <w:r>
        <w:rPr>
          <w:rStyle w:val="FootnoteReference"/>
        </w:rPr>
        <w:footnoteRef/>
      </w:r>
      <w:r>
        <w:t xml:space="preserve"> </w:t>
      </w:r>
      <w:r>
        <w:rPr>
          <w:lang w:val="en-GB"/>
        </w:rPr>
        <w:t>H</w:t>
      </w:r>
      <w:r w:rsidR="00DF7600">
        <w:rPr>
          <w:lang w:val="en-GB"/>
        </w:rPr>
        <w:t>om. Hymn Dem.</w:t>
      </w:r>
    </w:p>
  </w:footnote>
  <w:footnote w:id="2">
    <w:p w14:paraId="5E490C9F" w14:textId="5834B862" w:rsidR="00E72FC1" w:rsidRPr="00E72FC1" w:rsidRDefault="00E72FC1">
      <w:pPr>
        <w:pStyle w:val="FootnoteText"/>
        <w:rPr>
          <w:lang w:val="en-GB"/>
        </w:rPr>
      </w:pPr>
      <w:r>
        <w:rPr>
          <w:rStyle w:val="FootnoteReference"/>
        </w:rPr>
        <w:footnoteRef/>
      </w:r>
      <w:r>
        <w:t xml:space="preserve"> </w:t>
      </w:r>
      <w:r w:rsidR="00DF7600">
        <w:rPr>
          <w:lang w:val="en-GB"/>
        </w:rPr>
        <w:t>Ov. Met.</w:t>
      </w:r>
      <w:r w:rsidR="00814594">
        <w:rPr>
          <w:lang w:val="en-GB"/>
        </w:rPr>
        <w:t xml:space="preserve"> </w:t>
      </w:r>
      <w:r w:rsidR="00814594">
        <w:rPr>
          <w:lang w:val="en-GB"/>
        </w:rPr>
        <w:t>5.341-</w:t>
      </w:r>
      <w:r w:rsidR="00C371A3">
        <w:rPr>
          <w:lang w:val="en-GB"/>
        </w:rPr>
        <w:t>661</w:t>
      </w:r>
    </w:p>
  </w:footnote>
  <w:footnote w:id="3">
    <w:p w14:paraId="4A06D068" w14:textId="5A398E41" w:rsidR="00E72FC1" w:rsidRPr="00E72FC1" w:rsidRDefault="00E72FC1">
      <w:pPr>
        <w:pStyle w:val="FootnoteText"/>
        <w:rPr>
          <w:lang w:val="en-GB"/>
        </w:rPr>
      </w:pPr>
      <w:r>
        <w:rPr>
          <w:rStyle w:val="FootnoteReference"/>
        </w:rPr>
        <w:footnoteRef/>
      </w:r>
      <w:r>
        <w:t xml:space="preserve"> </w:t>
      </w:r>
      <w:r w:rsidR="00F55DFA">
        <w:rPr>
          <w:lang w:val="en-GB"/>
        </w:rPr>
        <w:t>Johnson</w:t>
      </w:r>
      <w:r w:rsidR="00DF7600">
        <w:rPr>
          <w:lang w:val="en-GB"/>
        </w:rPr>
        <w:t>, 2016</w:t>
      </w:r>
    </w:p>
  </w:footnote>
  <w:footnote w:id="4">
    <w:p w14:paraId="5E092DC0" w14:textId="784A271D" w:rsidR="00E72FC1" w:rsidRPr="00E72FC1" w:rsidRDefault="00E72FC1">
      <w:pPr>
        <w:pStyle w:val="FootnoteText"/>
        <w:rPr>
          <w:lang w:val="en-GB"/>
        </w:rPr>
      </w:pPr>
      <w:r>
        <w:rPr>
          <w:rStyle w:val="FootnoteReference"/>
        </w:rPr>
        <w:footnoteRef/>
      </w:r>
      <w:r>
        <w:t xml:space="preserve"> </w:t>
      </w:r>
      <w:r w:rsidR="00DF7600">
        <w:t xml:space="preserve">Claud. </w:t>
      </w:r>
      <w:r>
        <w:rPr>
          <w:lang w:val="en-GB"/>
        </w:rPr>
        <w:t>De Raptu</w:t>
      </w:r>
    </w:p>
  </w:footnote>
  <w:footnote w:id="5">
    <w:p w14:paraId="57813AF1" w14:textId="21ABCC55" w:rsidR="00E72FC1" w:rsidRPr="00E72FC1" w:rsidRDefault="00E72FC1">
      <w:pPr>
        <w:pStyle w:val="FootnoteText"/>
        <w:rPr>
          <w:lang w:val="en-GB"/>
        </w:rPr>
      </w:pPr>
      <w:r>
        <w:rPr>
          <w:rStyle w:val="FootnoteReference"/>
        </w:rPr>
        <w:footnoteRef/>
      </w:r>
      <w:r>
        <w:t xml:space="preserve"> </w:t>
      </w:r>
      <w:r w:rsidR="00DF7600">
        <w:rPr>
          <w:lang w:val="en-GB"/>
        </w:rPr>
        <w:t>Atsma, 2017</w:t>
      </w:r>
    </w:p>
  </w:footnote>
  <w:footnote w:id="6">
    <w:p w14:paraId="7AD4D360" w14:textId="34CD84B8" w:rsidR="00E72FC1" w:rsidRPr="00E72FC1" w:rsidRDefault="00E72FC1">
      <w:pPr>
        <w:pStyle w:val="FootnoteText"/>
        <w:rPr>
          <w:lang w:val="en-GB"/>
        </w:rPr>
      </w:pPr>
      <w:r>
        <w:rPr>
          <w:rStyle w:val="FootnoteReference"/>
        </w:rPr>
        <w:footnoteRef/>
      </w:r>
      <w:r>
        <w:t xml:space="preserve"> </w:t>
      </w:r>
      <w:r w:rsidR="00F55DFA">
        <w:rPr>
          <w:lang w:val="en-GB"/>
        </w:rPr>
        <w:t>Cullhed</w:t>
      </w:r>
      <w:r w:rsidR="00DF7600">
        <w:rPr>
          <w:lang w:val="en-GB"/>
        </w:rPr>
        <w:t>, 2017</w:t>
      </w:r>
    </w:p>
  </w:footnote>
  <w:footnote w:id="7">
    <w:p w14:paraId="6D43F1EF" w14:textId="67E1956C" w:rsidR="00E72FC1" w:rsidRPr="00E72FC1" w:rsidRDefault="00E72FC1">
      <w:pPr>
        <w:pStyle w:val="FootnoteText"/>
        <w:rPr>
          <w:lang w:val="en-GB"/>
        </w:rPr>
      </w:pPr>
      <w:r>
        <w:rPr>
          <w:rStyle w:val="FootnoteReference"/>
        </w:rPr>
        <w:footnoteRef/>
      </w:r>
      <w:r>
        <w:t xml:space="preserve"> </w:t>
      </w:r>
      <w:r w:rsidR="00DF7600">
        <w:t xml:space="preserve">Cic. </w:t>
      </w:r>
      <w:r>
        <w:rPr>
          <w:lang w:val="en-GB"/>
        </w:rPr>
        <w:t>Verr</w:t>
      </w:r>
      <w:r w:rsidR="00DF7600">
        <w:rPr>
          <w:lang w:val="en-GB"/>
        </w:rPr>
        <w:t>.</w:t>
      </w:r>
    </w:p>
  </w:footnote>
  <w:footnote w:id="8">
    <w:p w14:paraId="4BF02197" w14:textId="09FC4C4C" w:rsidR="00E72FC1" w:rsidRPr="00E72FC1" w:rsidRDefault="00E72FC1">
      <w:pPr>
        <w:pStyle w:val="FootnoteText"/>
        <w:rPr>
          <w:lang w:val="en-GB"/>
        </w:rPr>
      </w:pPr>
      <w:r>
        <w:rPr>
          <w:rStyle w:val="FootnoteReference"/>
        </w:rPr>
        <w:footnoteRef/>
      </w:r>
      <w:r>
        <w:t xml:space="preserve"> Hinds,</w:t>
      </w:r>
      <w:r w:rsidR="00DF7600">
        <w:t xml:space="preserve"> 1987</w:t>
      </w:r>
      <w:r w:rsidR="001F79D9">
        <w:t>;</w:t>
      </w:r>
      <w:r>
        <w:t xml:space="preserve"> Foley</w:t>
      </w:r>
      <w:r w:rsidR="00DF7600">
        <w:t>, 1994</w:t>
      </w:r>
    </w:p>
  </w:footnote>
  <w:footnote w:id="9">
    <w:p w14:paraId="30E2B9C4" w14:textId="6D48795D" w:rsidR="00E72FC1" w:rsidRPr="00E72FC1" w:rsidRDefault="00E72FC1">
      <w:pPr>
        <w:pStyle w:val="FootnoteText"/>
        <w:rPr>
          <w:lang w:val="en-GB"/>
        </w:rPr>
      </w:pPr>
      <w:r>
        <w:rPr>
          <w:rStyle w:val="FootnoteReference"/>
        </w:rPr>
        <w:footnoteRef/>
      </w:r>
      <w:r>
        <w:t xml:space="preserve"> </w:t>
      </w:r>
      <w:r>
        <w:rPr>
          <w:lang w:val="en-GB"/>
        </w:rPr>
        <w:t>H</w:t>
      </w:r>
      <w:r w:rsidR="00DF7600">
        <w:rPr>
          <w:lang w:val="en-GB"/>
        </w:rPr>
        <w:t xml:space="preserve">om. </w:t>
      </w:r>
      <w:r>
        <w:rPr>
          <w:lang w:val="en-GB"/>
        </w:rPr>
        <w:t>H</w:t>
      </w:r>
      <w:r w:rsidR="00DF7600">
        <w:rPr>
          <w:lang w:val="en-GB"/>
        </w:rPr>
        <w:t xml:space="preserve">ymn </w:t>
      </w:r>
      <w:r>
        <w:rPr>
          <w:lang w:val="en-GB"/>
        </w:rPr>
        <w:t>D</w:t>
      </w:r>
      <w:r w:rsidR="00DF7600">
        <w:rPr>
          <w:lang w:val="en-GB"/>
        </w:rPr>
        <w:t>em. 371.</w:t>
      </w:r>
      <w:r w:rsidR="001F79D9">
        <w:rPr>
          <w:lang w:val="en-GB"/>
        </w:rPr>
        <w:t>;</w:t>
      </w:r>
      <w:r>
        <w:rPr>
          <w:lang w:val="en-GB"/>
        </w:rPr>
        <w:t xml:space="preserve"> </w:t>
      </w:r>
      <w:r w:rsidR="00DF7600">
        <w:rPr>
          <w:lang w:val="en-GB"/>
        </w:rPr>
        <w:t xml:space="preserve">Ov. </w:t>
      </w:r>
      <w:r>
        <w:rPr>
          <w:lang w:val="en-GB"/>
        </w:rPr>
        <w:t>Met</w:t>
      </w:r>
      <w:r w:rsidR="00DF7600">
        <w:rPr>
          <w:lang w:val="en-GB"/>
        </w:rPr>
        <w:t>. 5.534-8.</w:t>
      </w:r>
    </w:p>
  </w:footnote>
  <w:footnote w:id="10">
    <w:p w14:paraId="436E2FF7" w14:textId="59999B33" w:rsidR="00E72FC1" w:rsidRPr="00E72FC1" w:rsidRDefault="00E72FC1">
      <w:pPr>
        <w:pStyle w:val="FootnoteText"/>
        <w:rPr>
          <w:lang w:val="en-GB"/>
        </w:rPr>
      </w:pPr>
      <w:r>
        <w:rPr>
          <w:rStyle w:val="FootnoteReference"/>
        </w:rPr>
        <w:footnoteRef/>
      </w:r>
      <w:r>
        <w:t xml:space="preserve"> </w:t>
      </w:r>
      <w:r>
        <w:rPr>
          <w:lang w:val="en-GB"/>
        </w:rPr>
        <w:t>Gruzelier,</w:t>
      </w:r>
      <w:r w:rsidR="00DF7600">
        <w:rPr>
          <w:lang w:val="en-GB"/>
        </w:rPr>
        <w:t xml:space="preserve"> 1988</w:t>
      </w:r>
      <w:r w:rsidR="001F79D9">
        <w:rPr>
          <w:lang w:val="en-GB"/>
        </w:rPr>
        <w:t>;</w:t>
      </w:r>
      <w:r>
        <w:rPr>
          <w:lang w:val="en-GB"/>
        </w:rPr>
        <w:t xml:space="preserve"> Formisano,</w:t>
      </w:r>
      <w:r w:rsidR="00DF7600">
        <w:rPr>
          <w:lang w:val="en-GB"/>
        </w:rPr>
        <w:t xml:space="preserve"> 2021</w:t>
      </w:r>
      <w:r w:rsidR="001F79D9">
        <w:rPr>
          <w:lang w:val="en-GB"/>
        </w:rPr>
        <w:t>;</w:t>
      </w:r>
      <w:r>
        <w:rPr>
          <w:lang w:val="en-GB"/>
        </w:rPr>
        <w:t xml:space="preserve"> </w:t>
      </w:r>
      <w:r w:rsidR="00814594">
        <w:rPr>
          <w:lang w:val="en-GB"/>
        </w:rPr>
        <w:t>Salzman-Mitchell</w:t>
      </w:r>
      <w:r w:rsidR="00DF7600">
        <w:rPr>
          <w:lang w:val="en-GB"/>
        </w:rPr>
        <w:t>, 2005</w:t>
      </w:r>
      <w:r w:rsidR="00814594">
        <w:rPr>
          <w:lang w:val="en-GB"/>
        </w:rPr>
        <w:t>.</w:t>
      </w:r>
    </w:p>
  </w:footnote>
  <w:footnote w:id="11">
    <w:p w14:paraId="3E2429F3" w14:textId="646108C4" w:rsidR="00E72FC1" w:rsidRPr="00E72FC1" w:rsidRDefault="00E72FC1">
      <w:pPr>
        <w:pStyle w:val="FootnoteText"/>
        <w:rPr>
          <w:lang w:val="en-GB"/>
        </w:rPr>
      </w:pPr>
      <w:r>
        <w:rPr>
          <w:rStyle w:val="FootnoteReference"/>
        </w:rPr>
        <w:footnoteRef/>
      </w:r>
      <w:r>
        <w:t xml:space="preserve"> </w:t>
      </w:r>
      <w:r w:rsidR="00814594">
        <w:t xml:space="preserve">Ov. </w:t>
      </w:r>
      <w:r>
        <w:rPr>
          <w:lang w:val="en-GB"/>
        </w:rPr>
        <w:t>Met</w:t>
      </w:r>
      <w:r w:rsidR="00814594">
        <w:rPr>
          <w:lang w:val="en-GB"/>
        </w:rPr>
        <w:t>. 5.392</w:t>
      </w:r>
      <w:r w:rsidR="001F79D9">
        <w:rPr>
          <w:lang w:val="en-GB"/>
        </w:rPr>
        <w:t>;</w:t>
      </w:r>
      <w:r>
        <w:rPr>
          <w:lang w:val="en-GB"/>
        </w:rPr>
        <w:t xml:space="preserve"> H</w:t>
      </w:r>
      <w:r w:rsidR="00814594">
        <w:rPr>
          <w:lang w:val="en-GB"/>
        </w:rPr>
        <w:t xml:space="preserve">om. </w:t>
      </w:r>
      <w:r>
        <w:rPr>
          <w:lang w:val="en-GB"/>
        </w:rPr>
        <w:t>H</w:t>
      </w:r>
      <w:r w:rsidR="00814594">
        <w:rPr>
          <w:lang w:val="en-GB"/>
        </w:rPr>
        <w:t xml:space="preserve">ymn </w:t>
      </w:r>
      <w:r>
        <w:rPr>
          <w:lang w:val="en-GB"/>
        </w:rPr>
        <w:t>D</w:t>
      </w:r>
      <w:r w:rsidR="00814594">
        <w:rPr>
          <w:lang w:val="en-GB"/>
        </w:rPr>
        <w:t>em. 7</w:t>
      </w:r>
    </w:p>
  </w:footnote>
  <w:footnote w:id="12">
    <w:p w14:paraId="0E5CE896" w14:textId="036A707A" w:rsidR="00E72FC1" w:rsidRPr="00E72FC1" w:rsidRDefault="00E72FC1">
      <w:pPr>
        <w:pStyle w:val="FootnoteText"/>
        <w:rPr>
          <w:lang w:val="en-GB"/>
        </w:rPr>
      </w:pPr>
      <w:r>
        <w:rPr>
          <w:rStyle w:val="FootnoteReference"/>
        </w:rPr>
        <w:footnoteRef/>
      </w:r>
      <w:r>
        <w:t xml:space="preserve"> </w:t>
      </w:r>
      <w:r w:rsidR="00814594">
        <w:t xml:space="preserve">Claud. </w:t>
      </w:r>
      <w:r>
        <w:rPr>
          <w:lang w:val="en-GB"/>
        </w:rPr>
        <w:t>De Raptu</w:t>
      </w:r>
      <w:r w:rsidR="00814594">
        <w:rPr>
          <w:lang w:val="en-GB"/>
        </w:rPr>
        <w:t>. 2.107-11</w:t>
      </w:r>
    </w:p>
  </w:footnote>
  <w:footnote w:id="13">
    <w:p w14:paraId="76E8076C" w14:textId="4A372276" w:rsidR="00E72FC1" w:rsidRPr="00E72FC1" w:rsidRDefault="00E72FC1">
      <w:pPr>
        <w:pStyle w:val="FootnoteText"/>
        <w:rPr>
          <w:lang w:val="en-GB"/>
        </w:rPr>
      </w:pPr>
      <w:r>
        <w:rPr>
          <w:rStyle w:val="FootnoteReference"/>
        </w:rPr>
        <w:footnoteRef/>
      </w:r>
      <w:r>
        <w:t xml:space="preserve"> </w:t>
      </w:r>
      <w:r w:rsidR="00814594">
        <w:t xml:space="preserve">Cic. </w:t>
      </w:r>
      <w:r>
        <w:rPr>
          <w:lang w:val="en-GB"/>
        </w:rPr>
        <w:t>Verr</w:t>
      </w:r>
      <w:r w:rsidR="00814594">
        <w:rPr>
          <w:lang w:val="en-GB"/>
        </w:rPr>
        <w:t>. 2.4.107</w:t>
      </w:r>
    </w:p>
  </w:footnote>
  <w:footnote w:id="14">
    <w:p w14:paraId="46DC726B" w14:textId="28FDF427" w:rsidR="00E72FC1" w:rsidRPr="00E72FC1" w:rsidRDefault="00E72FC1">
      <w:pPr>
        <w:pStyle w:val="FootnoteText"/>
        <w:rPr>
          <w:lang w:val="en-GB"/>
        </w:rPr>
      </w:pPr>
      <w:r>
        <w:rPr>
          <w:rStyle w:val="FootnoteReference"/>
        </w:rPr>
        <w:footnoteRef/>
      </w:r>
      <w:r>
        <w:t xml:space="preserve"> </w:t>
      </w:r>
      <w:r>
        <w:rPr>
          <w:lang w:val="en-GB"/>
        </w:rPr>
        <w:t>H</w:t>
      </w:r>
      <w:r w:rsidR="00814594">
        <w:rPr>
          <w:lang w:val="en-GB"/>
        </w:rPr>
        <w:t xml:space="preserve">om. </w:t>
      </w:r>
      <w:r>
        <w:rPr>
          <w:lang w:val="en-GB"/>
        </w:rPr>
        <w:t>H</w:t>
      </w:r>
      <w:r w:rsidR="00814594">
        <w:rPr>
          <w:lang w:val="en-GB"/>
        </w:rPr>
        <w:t xml:space="preserve">ymn </w:t>
      </w:r>
      <w:r>
        <w:rPr>
          <w:lang w:val="en-GB"/>
        </w:rPr>
        <w:t>D</w:t>
      </w:r>
      <w:r w:rsidR="00814594">
        <w:rPr>
          <w:lang w:val="en-GB"/>
        </w:rPr>
        <w:t>em.</w:t>
      </w:r>
      <w:r w:rsidR="001F79D9">
        <w:rPr>
          <w:lang w:val="en-GB"/>
        </w:rPr>
        <w:t>;</w:t>
      </w:r>
      <w:r>
        <w:rPr>
          <w:lang w:val="en-GB"/>
        </w:rPr>
        <w:t xml:space="preserve"> </w:t>
      </w:r>
      <w:r w:rsidR="00814594">
        <w:rPr>
          <w:lang w:val="en-GB"/>
        </w:rPr>
        <w:t xml:space="preserve">Ov. </w:t>
      </w:r>
      <w:r>
        <w:rPr>
          <w:lang w:val="en-GB"/>
        </w:rPr>
        <w:t>Met</w:t>
      </w:r>
      <w:r w:rsidR="00814594">
        <w:rPr>
          <w:lang w:val="en-GB"/>
        </w:rPr>
        <w:t>. 5.341-</w:t>
      </w:r>
      <w:r w:rsidR="00C371A3">
        <w:rPr>
          <w:lang w:val="en-GB"/>
        </w:rPr>
        <w:t>661</w:t>
      </w:r>
    </w:p>
  </w:footnote>
  <w:footnote w:id="15">
    <w:p w14:paraId="0987CE47" w14:textId="0FF8D8C4" w:rsidR="00E72FC1" w:rsidRPr="00E72FC1" w:rsidRDefault="00E72FC1">
      <w:pPr>
        <w:pStyle w:val="FootnoteText"/>
        <w:rPr>
          <w:lang w:val="en-GB"/>
        </w:rPr>
      </w:pPr>
      <w:r>
        <w:rPr>
          <w:rStyle w:val="FootnoteReference"/>
        </w:rPr>
        <w:footnoteRef/>
      </w:r>
      <w:r>
        <w:t xml:space="preserve"> </w:t>
      </w:r>
      <w:r w:rsidR="00C371A3">
        <w:t xml:space="preserve">Ov. </w:t>
      </w:r>
      <w:r>
        <w:rPr>
          <w:lang w:val="en-GB"/>
        </w:rPr>
        <w:t>Met</w:t>
      </w:r>
      <w:r w:rsidR="00C371A3">
        <w:rPr>
          <w:lang w:val="en-GB"/>
        </w:rPr>
        <w:t>. 5.539</w:t>
      </w:r>
    </w:p>
  </w:footnote>
  <w:footnote w:id="16">
    <w:p w14:paraId="2A2601E4" w14:textId="6E084854" w:rsidR="00E72FC1" w:rsidRPr="00E72FC1" w:rsidRDefault="00E72FC1">
      <w:pPr>
        <w:pStyle w:val="FootnoteText"/>
        <w:rPr>
          <w:lang w:val="en-GB"/>
        </w:rPr>
      </w:pPr>
      <w:r>
        <w:rPr>
          <w:rStyle w:val="FootnoteReference"/>
        </w:rPr>
        <w:footnoteRef/>
      </w:r>
      <w:r>
        <w:t xml:space="preserve"> </w:t>
      </w:r>
      <w:r>
        <w:rPr>
          <w:lang w:val="en-GB"/>
        </w:rPr>
        <w:t>Hinds</w:t>
      </w:r>
      <w:r w:rsidR="00C371A3">
        <w:rPr>
          <w:lang w:val="en-GB"/>
        </w:rPr>
        <w:t>, 1987</w:t>
      </w:r>
    </w:p>
  </w:footnote>
  <w:footnote w:id="17">
    <w:p w14:paraId="2726D826" w14:textId="7BE0B51A" w:rsidR="00E72FC1" w:rsidRPr="00E72FC1" w:rsidRDefault="00E72FC1">
      <w:pPr>
        <w:pStyle w:val="FootnoteText"/>
        <w:rPr>
          <w:lang w:val="en-GB"/>
        </w:rPr>
      </w:pPr>
      <w:r>
        <w:rPr>
          <w:rStyle w:val="FootnoteReference"/>
        </w:rPr>
        <w:footnoteRef/>
      </w:r>
      <w:r>
        <w:t xml:space="preserve"> </w:t>
      </w:r>
      <w:r w:rsidR="00C371A3">
        <w:t xml:space="preserve">Ov. </w:t>
      </w:r>
      <w:r>
        <w:rPr>
          <w:lang w:val="en-GB"/>
        </w:rPr>
        <w:t>Met</w:t>
      </w:r>
      <w:r w:rsidR="00C371A3">
        <w:rPr>
          <w:lang w:val="en-GB"/>
        </w:rPr>
        <w:t>. 5.392</w:t>
      </w:r>
    </w:p>
  </w:footnote>
  <w:footnote w:id="18">
    <w:p w14:paraId="758ED87B" w14:textId="166EF649" w:rsidR="00E72FC1" w:rsidRPr="00E72FC1" w:rsidRDefault="00E72FC1">
      <w:pPr>
        <w:pStyle w:val="FootnoteText"/>
        <w:rPr>
          <w:lang w:val="en-GB"/>
        </w:rPr>
      </w:pPr>
      <w:r>
        <w:rPr>
          <w:rStyle w:val="FootnoteReference"/>
        </w:rPr>
        <w:footnoteRef/>
      </w:r>
      <w:r>
        <w:t xml:space="preserve"> </w:t>
      </w:r>
      <w:r>
        <w:rPr>
          <w:lang w:val="en-GB"/>
        </w:rPr>
        <w:t>H</w:t>
      </w:r>
      <w:r w:rsidR="00C371A3">
        <w:rPr>
          <w:lang w:val="en-GB"/>
        </w:rPr>
        <w:t xml:space="preserve">om. </w:t>
      </w:r>
      <w:r>
        <w:rPr>
          <w:lang w:val="en-GB"/>
        </w:rPr>
        <w:t>H</w:t>
      </w:r>
      <w:r w:rsidR="00C371A3">
        <w:rPr>
          <w:lang w:val="en-GB"/>
        </w:rPr>
        <w:t xml:space="preserve">ymn </w:t>
      </w:r>
      <w:r>
        <w:rPr>
          <w:lang w:val="en-GB"/>
        </w:rPr>
        <w:t>D</w:t>
      </w:r>
      <w:r w:rsidR="00C371A3">
        <w:rPr>
          <w:lang w:val="en-GB"/>
        </w:rPr>
        <w:t>em. 7, 427</w:t>
      </w:r>
    </w:p>
  </w:footnote>
  <w:footnote w:id="19">
    <w:p w14:paraId="002AC02D" w14:textId="6D60C071" w:rsidR="00E72FC1" w:rsidRPr="00E72FC1" w:rsidRDefault="00E72FC1">
      <w:pPr>
        <w:pStyle w:val="FootnoteText"/>
        <w:rPr>
          <w:lang w:val="en-GB"/>
        </w:rPr>
      </w:pPr>
      <w:r>
        <w:rPr>
          <w:rStyle w:val="FootnoteReference"/>
        </w:rPr>
        <w:footnoteRef/>
      </w:r>
      <w:r>
        <w:t xml:space="preserve"> </w:t>
      </w:r>
      <w:r>
        <w:rPr>
          <w:lang w:val="en-GB"/>
        </w:rPr>
        <w:t>H</w:t>
      </w:r>
      <w:r w:rsidR="00C371A3">
        <w:rPr>
          <w:lang w:val="en-GB"/>
        </w:rPr>
        <w:t xml:space="preserve">om. </w:t>
      </w:r>
      <w:r>
        <w:rPr>
          <w:lang w:val="en-GB"/>
        </w:rPr>
        <w:t>H</w:t>
      </w:r>
      <w:r w:rsidR="00C371A3">
        <w:rPr>
          <w:lang w:val="en-GB"/>
        </w:rPr>
        <w:t xml:space="preserve">ymn </w:t>
      </w:r>
      <w:r>
        <w:rPr>
          <w:lang w:val="en-GB"/>
        </w:rPr>
        <w:t>D</w:t>
      </w:r>
      <w:r w:rsidR="00C371A3">
        <w:rPr>
          <w:lang w:val="en-GB"/>
        </w:rPr>
        <w:t>em. 7</w:t>
      </w:r>
    </w:p>
  </w:footnote>
  <w:footnote w:id="20">
    <w:p w14:paraId="5963B4FD" w14:textId="54F26452" w:rsidR="00E72FC1" w:rsidRPr="00E72FC1" w:rsidRDefault="00E72FC1">
      <w:pPr>
        <w:pStyle w:val="FootnoteText"/>
        <w:rPr>
          <w:lang w:val="en-GB"/>
        </w:rPr>
      </w:pPr>
      <w:r>
        <w:rPr>
          <w:rStyle w:val="FootnoteReference"/>
        </w:rPr>
        <w:footnoteRef/>
      </w:r>
      <w:r>
        <w:t xml:space="preserve"> </w:t>
      </w:r>
      <w:r>
        <w:rPr>
          <w:lang w:val="en-GB"/>
        </w:rPr>
        <w:t>H</w:t>
      </w:r>
      <w:r w:rsidR="00C371A3">
        <w:rPr>
          <w:lang w:val="en-GB"/>
        </w:rPr>
        <w:t xml:space="preserve">om. </w:t>
      </w:r>
      <w:r>
        <w:rPr>
          <w:lang w:val="en-GB"/>
        </w:rPr>
        <w:t>H</w:t>
      </w:r>
      <w:r w:rsidR="00C371A3">
        <w:rPr>
          <w:lang w:val="en-GB"/>
        </w:rPr>
        <w:t xml:space="preserve">ymn </w:t>
      </w:r>
      <w:r>
        <w:rPr>
          <w:lang w:val="en-GB"/>
        </w:rPr>
        <w:t>D</w:t>
      </w:r>
      <w:r w:rsidR="00C371A3">
        <w:rPr>
          <w:lang w:val="en-GB"/>
        </w:rPr>
        <w:t>em. 427</w:t>
      </w:r>
    </w:p>
  </w:footnote>
  <w:footnote w:id="21">
    <w:p w14:paraId="29322BB2" w14:textId="334EE9F0" w:rsidR="00E72FC1" w:rsidRPr="00E72FC1" w:rsidRDefault="00E72FC1">
      <w:pPr>
        <w:pStyle w:val="FootnoteText"/>
        <w:rPr>
          <w:lang w:val="en-GB"/>
        </w:rPr>
      </w:pPr>
      <w:r>
        <w:rPr>
          <w:rStyle w:val="FootnoteReference"/>
        </w:rPr>
        <w:footnoteRef/>
      </w:r>
      <w:r>
        <w:t xml:space="preserve"> </w:t>
      </w:r>
      <w:r w:rsidR="00C371A3">
        <w:t xml:space="preserve">Ov. </w:t>
      </w:r>
      <w:r>
        <w:rPr>
          <w:lang w:val="en-GB"/>
        </w:rPr>
        <w:t>Met</w:t>
      </w:r>
      <w:r w:rsidR="00C371A3">
        <w:rPr>
          <w:lang w:val="en-GB"/>
        </w:rPr>
        <w:t>. 5.392</w:t>
      </w:r>
    </w:p>
  </w:footnote>
  <w:footnote w:id="22">
    <w:p w14:paraId="51977304" w14:textId="58F9DD51" w:rsidR="00E72FC1" w:rsidRPr="00E72FC1" w:rsidRDefault="00E72FC1">
      <w:pPr>
        <w:pStyle w:val="FootnoteText"/>
        <w:rPr>
          <w:lang w:val="en-GB"/>
        </w:rPr>
      </w:pPr>
      <w:r>
        <w:rPr>
          <w:rStyle w:val="FootnoteReference"/>
        </w:rPr>
        <w:footnoteRef/>
      </w:r>
      <w:r>
        <w:t xml:space="preserve"> </w:t>
      </w:r>
      <w:r w:rsidR="00C371A3">
        <w:t xml:space="preserve">Ov. </w:t>
      </w:r>
      <w:r>
        <w:rPr>
          <w:lang w:val="en-GB"/>
        </w:rPr>
        <w:t>Met</w:t>
      </w:r>
      <w:r w:rsidR="00C371A3">
        <w:rPr>
          <w:lang w:val="en-GB"/>
        </w:rPr>
        <w:t>. 5.393</w:t>
      </w:r>
    </w:p>
  </w:footnote>
  <w:footnote w:id="23">
    <w:p w14:paraId="66F50089" w14:textId="002C92DE" w:rsidR="00E72FC1" w:rsidRPr="00E72FC1" w:rsidRDefault="00E72FC1">
      <w:pPr>
        <w:pStyle w:val="FootnoteText"/>
        <w:rPr>
          <w:lang w:val="en-GB"/>
        </w:rPr>
      </w:pPr>
      <w:r>
        <w:rPr>
          <w:rStyle w:val="FootnoteReference"/>
        </w:rPr>
        <w:footnoteRef/>
      </w:r>
      <w:r>
        <w:t xml:space="preserve"> </w:t>
      </w:r>
      <w:r w:rsidR="00C371A3">
        <w:t xml:space="preserve">Ov. </w:t>
      </w:r>
      <w:r>
        <w:rPr>
          <w:lang w:val="en-GB"/>
        </w:rPr>
        <w:t>Met</w:t>
      </w:r>
      <w:r w:rsidR="00C371A3">
        <w:rPr>
          <w:lang w:val="en-GB"/>
        </w:rPr>
        <w:t>. 5.393-4</w:t>
      </w:r>
    </w:p>
  </w:footnote>
  <w:footnote w:id="24">
    <w:p w14:paraId="54CD2189" w14:textId="57DF4042" w:rsidR="001E52EA" w:rsidRPr="001E52EA" w:rsidRDefault="001E52EA">
      <w:pPr>
        <w:pStyle w:val="FootnoteText"/>
        <w:rPr>
          <w:lang w:val="en-GB"/>
        </w:rPr>
      </w:pPr>
      <w:r>
        <w:rPr>
          <w:rStyle w:val="FootnoteReference"/>
        </w:rPr>
        <w:footnoteRef/>
      </w:r>
      <w:r>
        <w:t xml:space="preserve"> </w:t>
      </w:r>
      <w:r>
        <w:rPr>
          <w:lang w:val="en-GB"/>
        </w:rPr>
        <w:t>Gruzelier</w:t>
      </w:r>
      <w:r w:rsidR="00C371A3">
        <w:rPr>
          <w:lang w:val="en-GB"/>
        </w:rPr>
        <w:t>, 1988</w:t>
      </w:r>
    </w:p>
  </w:footnote>
  <w:footnote w:id="25">
    <w:p w14:paraId="388796CF" w14:textId="5784FF0C" w:rsidR="001E52EA" w:rsidRPr="001E52EA" w:rsidRDefault="001E52EA">
      <w:pPr>
        <w:pStyle w:val="FootnoteText"/>
        <w:rPr>
          <w:lang w:val="en-GB"/>
        </w:rPr>
      </w:pPr>
      <w:r>
        <w:rPr>
          <w:rStyle w:val="FootnoteReference"/>
        </w:rPr>
        <w:footnoteRef/>
      </w:r>
      <w:r>
        <w:t xml:space="preserve"> </w:t>
      </w:r>
      <w:r w:rsidR="00C371A3">
        <w:t xml:space="preserve">Ov. </w:t>
      </w:r>
      <w:r>
        <w:rPr>
          <w:lang w:val="en-GB"/>
        </w:rPr>
        <w:t>Met</w:t>
      </w:r>
      <w:r w:rsidR="00C371A3">
        <w:rPr>
          <w:lang w:val="en-GB"/>
        </w:rPr>
        <w:t xml:space="preserve">. </w:t>
      </w:r>
      <w:r w:rsidR="001F79D9">
        <w:rPr>
          <w:lang w:val="en-GB"/>
        </w:rPr>
        <w:t>5.398</w:t>
      </w:r>
    </w:p>
  </w:footnote>
  <w:footnote w:id="26">
    <w:p w14:paraId="133317B1" w14:textId="6A721506" w:rsidR="001E52EA" w:rsidRPr="001E52EA" w:rsidRDefault="001E52EA">
      <w:pPr>
        <w:pStyle w:val="FootnoteText"/>
        <w:rPr>
          <w:lang w:val="en-GB"/>
        </w:rPr>
      </w:pPr>
      <w:r>
        <w:rPr>
          <w:rStyle w:val="FootnoteReference"/>
        </w:rPr>
        <w:footnoteRef/>
      </w:r>
      <w:r>
        <w:t xml:space="preserve"> </w:t>
      </w:r>
      <w:r w:rsidR="001F79D9">
        <w:t xml:space="preserve">Ov. </w:t>
      </w:r>
      <w:r>
        <w:rPr>
          <w:lang w:val="en-GB"/>
        </w:rPr>
        <w:t>Met</w:t>
      </w:r>
      <w:r w:rsidR="001F79D9">
        <w:rPr>
          <w:lang w:val="en-GB"/>
        </w:rPr>
        <w:t>. 5.401</w:t>
      </w:r>
    </w:p>
  </w:footnote>
  <w:footnote w:id="27">
    <w:p w14:paraId="2C9DF798" w14:textId="5C407FF1" w:rsidR="001E52EA" w:rsidRPr="001E52EA" w:rsidRDefault="001E52EA">
      <w:pPr>
        <w:pStyle w:val="FootnoteText"/>
        <w:rPr>
          <w:lang w:val="en-GB"/>
        </w:rPr>
      </w:pPr>
      <w:r>
        <w:rPr>
          <w:rStyle w:val="FootnoteReference"/>
        </w:rPr>
        <w:footnoteRef/>
      </w:r>
      <w:r>
        <w:t xml:space="preserve"> </w:t>
      </w:r>
      <w:r>
        <w:rPr>
          <w:lang w:val="en-GB"/>
        </w:rPr>
        <w:t>Gruzelier</w:t>
      </w:r>
      <w:r w:rsidR="001F79D9">
        <w:rPr>
          <w:lang w:val="en-GB"/>
        </w:rPr>
        <w:t>, 1988</w:t>
      </w:r>
    </w:p>
  </w:footnote>
  <w:footnote w:id="28">
    <w:p w14:paraId="6DA1C49C" w14:textId="19741F5F" w:rsidR="001E52EA" w:rsidRPr="001E52EA" w:rsidRDefault="001E52EA">
      <w:pPr>
        <w:pStyle w:val="FootnoteText"/>
        <w:rPr>
          <w:lang w:val="en-GB"/>
        </w:rPr>
      </w:pPr>
      <w:r>
        <w:rPr>
          <w:rStyle w:val="FootnoteReference"/>
        </w:rPr>
        <w:footnoteRef/>
      </w:r>
      <w:r>
        <w:t xml:space="preserve"> </w:t>
      </w:r>
      <w:r w:rsidR="001F79D9">
        <w:t xml:space="preserve">Ov. </w:t>
      </w:r>
      <w:r>
        <w:rPr>
          <w:lang w:val="en-GB"/>
        </w:rPr>
        <w:t>Met</w:t>
      </w:r>
      <w:r w:rsidR="001F79D9">
        <w:rPr>
          <w:lang w:val="en-GB"/>
        </w:rPr>
        <w:t>. 5.534-8</w:t>
      </w:r>
    </w:p>
  </w:footnote>
  <w:footnote w:id="29">
    <w:p w14:paraId="50F23581" w14:textId="0906F54E" w:rsidR="001E52EA" w:rsidRPr="001E52EA" w:rsidRDefault="001E52EA">
      <w:pPr>
        <w:pStyle w:val="FootnoteText"/>
        <w:rPr>
          <w:lang w:val="en-GB"/>
        </w:rPr>
      </w:pPr>
      <w:r>
        <w:rPr>
          <w:rStyle w:val="FootnoteReference"/>
        </w:rPr>
        <w:footnoteRef/>
      </w:r>
      <w:r>
        <w:t xml:space="preserve"> </w:t>
      </w:r>
      <w:r w:rsidR="00814594">
        <w:rPr>
          <w:lang w:val="en-GB"/>
        </w:rPr>
        <w:t>Salzman-Mitchell</w:t>
      </w:r>
      <w:r w:rsidR="001F79D9">
        <w:rPr>
          <w:lang w:val="en-GB"/>
        </w:rPr>
        <w:t>, 2005</w:t>
      </w:r>
    </w:p>
  </w:footnote>
  <w:footnote w:id="30">
    <w:p w14:paraId="0AA49734" w14:textId="0B66F0E4" w:rsidR="001E52EA" w:rsidRPr="001E52EA" w:rsidRDefault="001E52EA">
      <w:pPr>
        <w:pStyle w:val="FootnoteText"/>
        <w:rPr>
          <w:lang w:val="en-GB"/>
        </w:rPr>
      </w:pPr>
      <w:r>
        <w:rPr>
          <w:rStyle w:val="FootnoteReference"/>
        </w:rPr>
        <w:footnoteRef/>
      </w:r>
      <w:r>
        <w:t xml:space="preserve"> </w:t>
      </w:r>
      <w:r w:rsidR="001F79D9">
        <w:t xml:space="preserve">Ov. </w:t>
      </w:r>
      <w:r w:rsidRPr="001E52EA">
        <w:rPr>
          <w:bCs/>
        </w:rPr>
        <w:t>Met</w:t>
      </w:r>
      <w:r w:rsidR="001F79D9">
        <w:rPr>
          <w:bCs/>
        </w:rPr>
        <w:t>.</w:t>
      </w:r>
      <w:r w:rsidRPr="001E52EA">
        <w:rPr>
          <w:bCs/>
        </w:rPr>
        <w:t xml:space="preserve"> 5.536</w:t>
      </w:r>
      <w:r w:rsidR="001F79D9">
        <w:rPr>
          <w:bCs/>
        </w:rPr>
        <w:t>;</w:t>
      </w:r>
      <w:r>
        <w:rPr>
          <w:bCs/>
        </w:rPr>
        <w:t xml:space="preserve"> </w:t>
      </w:r>
      <w:r w:rsidR="00814594">
        <w:rPr>
          <w:bCs/>
        </w:rPr>
        <w:t>Salzman-Mitchell</w:t>
      </w:r>
      <w:r w:rsidR="001F79D9">
        <w:rPr>
          <w:bCs/>
        </w:rPr>
        <w:t>, 2005</w:t>
      </w:r>
    </w:p>
  </w:footnote>
  <w:footnote w:id="31">
    <w:p w14:paraId="7B1F993E" w14:textId="69209F36" w:rsidR="001E52EA" w:rsidRPr="001E52EA" w:rsidRDefault="001E52EA">
      <w:pPr>
        <w:pStyle w:val="FootnoteText"/>
        <w:rPr>
          <w:lang w:val="en-GB"/>
        </w:rPr>
      </w:pPr>
      <w:r>
        <w:rPr>
          <w:rStyle w:val="FootnoteReference"/>
        </w:rPr>
        <w:footnoteRef/>
      </w:r>
      <w:r>
        <w:t xml:space="preserve"> </w:t>
      </w:r>
      <w:r>
        <w:rPr>
          <w:lang w:val="en-GB"/>
        </w:rPr>
        <w:t>Foley</w:t>
      </w:r>
      <w:r w:rsidR="001F79D9">
        <w:rPr>
          <w:lang w:val="en-GB"/>
        </w:rPr>
        <w:t>, 1994</w:t>
      </w:r>
    </w:p>
  </w:footnote>
  <w:footnote w:id="32">
    <w:p w14:paraId="0CF3772C" w14:textId="38FD1E0C" w:rsidR="001E52EA" w:rsidRPr="001E52EA" w:rsidRDefault="001E52EA">
      <w:pPr>
        <w:pStyle w:val="FootnoteText"/>
        <w:rPr>
          <w:lang w:val="en-GB"/>
        </w:rPr>
      </w:pPr>
      <w:r>
        <w:rPr>
          <w:rStyle w:val="FootnoteReference"/>
        </w:rPr>
        <w:footnoteRef/>
      </w:r>
      <w:r>
        <w:t xml:space="preserve"> </w:t>
      </w:r>
      <w:r w:rsidR="001F79D9">
        <w:rPr>
          <w:bCs/>
        </w:rPr>
        <w:t>Foley, 1994</w:t>
      </w:r>
    </w:p>
  </w:footnote>
  <w:footnote w:id="33">
    <w:p w14:paraId="04E4B687" w14:textId="4924E02D" w:rsidR="001E52EA" w:rsidRPr="001E52EA" w:rsidRDefault="001E52EA">
      <w:pPr>
        <w:pStyle w:val="FootnoteText"/>
        <w:rPr>
          <w:lang w:val="en-GB"/>
        </w:rPr>
      </w:pPr>
      <w:r>
        <w:rPr>
          <w:rStyle w:val="FootnoteReference"/>
        </w:rPr>
        <w:footnoteRef/>
      </w:r>
      <w:r>
        <w:t xml:space="preserve"> </w:t>
      </w:r>
      <w:r>
        <w:rPr>
          <w:lang w:val="en-GB"/>
        </w:rPr>
        <w:t>H</w:t>
      </w:r>
      <w:r w:rsidR="001F79D9">
        <w:rPr>
          <w:lang w:val="en-GB"/>
        </w:rPr>
        <w:t xml:space="preserve">om. </w:t>
      </w:r>
      <w:r>
        <w:rPr>
          <w:lang w:val="en-GB"/>
        </w:rPr>
        <w:t>H</w:t>
      </w:r>
      <w:r w:rsidR="001F79D9">
        <w:rPr>
          <w:lang w:val="en-GB"/>
        </w:rPr>
        <w:t xml:space="preserve">ymn </w:t>
      </w:r>
      <w:r>
        <w:rPr>
          <w:lang w:val="en-GB"/>
        </w:rPr>
        <w:t>D</w:t>
      </w:r>
      <w:r w:rsidR="001F79D9">
        <w:rPr>
          <w:lang w:val="en-GB"/>
        </w:rPr>
        <w:t>em. 371-2</w:t>
      </w:r>
    </w:p>
  </w:footnote>
  <w:footnote w:id="34">
    <w:p w14:paraId="5E3FD722" w14:textId="111CEF15" w:rsidR="001E52EA" w:rsidRPr="001E52EA" w:rsidRDefault="001E52EA">
      <w:pPr>
        <w:pStyle w:val="FootnoteText"/>
        <w:rPr>
          <w:lang w:val="en-GB"/>
        </w:rPr>
      </w:pPr>
      <w:r>
        <w:rPr>
          <w:rStyle w:val="FootnoteReference"/>
        </w:rPr>
        <w:footnoteRef/>
      </w:r>
      <w:r>
        <w:t xml:space="preserve"> </w:t>
      </w:r>
      <w:r w:rsidR="001F79D9">
        <w:t xml:space="preserve">Ov. </w:t>
      </w:r>
      <w:r>
        <w:rPr>
          <w:lang w:val="en-GB"/>
        </w:rPr>
        <w:t>Met</w:t>
      </w:r>
      <w:r w:rsidR="001F79D9">
        <w:rPr>
          <w:lang w:val="en-GB"/>
        </w:rPr>
        <w:t>. 5.534-8</w:t>
      </w:r>
    </w:p>
  </w:footnote>
  <w:footnote w:id="35">
    <w:p w14:paraId="30332284" w14:textId="06D8D853" w:rsidR="001E52EA" w:rsidRPr="001E52EA" w:rsidRDefault="001E52EA">
      <w:pPr>
        <w:pStyle w:val="FootnoteText"/>
        <w:rPr>
          <w:lang w:val="en-GB"/>
        </w:rPr>
      </w:pPr>
      <w:r>
        <w:rPr>
          <w:rStyle w:val="FootnoteReference"/>
        </w:rPr>
        <w:footnoteRef/>
      </w:r>
      <w:r>
        <w:t xml:space="preserve"> </w:t>
      </w:r>
      <w:r w:rsidR="001F79D9">
        <w:t xml:space="preserve">Ov. </w:t>
      </w:r>
      <w:r>
        <w:rPr>
          <w:lang w:val="en-GB"/>
        </w:rPr>
        <w:t>Met</w:t>
      </w:r>
      <w:r w:rsidR="001F79D9">
        <w:rPr>
          <w:lang w:val="en-GB"/>
        </w:rPr>
        <w:t>. 5.534-8</w:t>
      </w:r>
    </w:p>
  </w:footnote>
  <w:footnote w:id="36">
    <w:p w14:paraId="5DF2B31D" w14:textId="0D01D92F" w:rsidR="001E52EA" w:rsidRPr="001E52EA" w:rsidRDefault="001E52EA">
      <w:pPr>
        <w:pStyle w:val="FootnoteText"/>
        <w:rPr>
          <w:lang w:val="en-GB"/>
        </w:rPr>
      </w:pPr>
      <w:r>
        <w:rPr>
          <w:rStyle w:val="FootnoteReference"/>
        </w:rPr>
        <w:footnoteRef/>
      </w:r>
      <w:r>
        <w:t xml:space="preserve"> </w:t>
      </w:r>
      <w:r>
        <w:rPr>
          <w:lang w:val="en-GB"/>
        </w:rPr>
        <w:t>Formisan</w:t>
      </w:r>
      <w:r w:rsidR="001F79D9">
        <w:rPr>
          <w:lang w:val="en-GB"/>
        </w:rPr>
        <w:t>o, 2021</w:t>
      </w:r>
    </w:p>
  </w:footnote>
  <w:footnote w:id="37">
    <w:p w14:paraId="1C5E9DED" w14:textId="5F6FF7A7" w:rsidR="001E52EA" w:rsidRPr="001E52EA" w:rsidRDefault="001E52EA">
      <w:pPr>
        <w:pStyle w:val="FootnoteText"/>
        <w:rPr>
          <w:lang w:val="en-GB"/>
        </w:rPr>
      </w:pPr>
      <w:r>
        <w:rPr>
          <w:rStyle w:val="FootnoteReference"/>
        </w:rPr>
        <w:footnoteRef/>
      </w:r>
      <w:r>
        <w:t xml:space="preserve"> </w:t>
      </w:r>
      <w:r>
        <w:rPr>
          <w:lang w:val="en-GB"/>
        </w:rPr>
        <w:t xml:space="preserve">Formisano, </w:t>
      </w:r>
      <w:r w:rsidR="001F79D9">
        <w:rPr>
          <w:lang w:val="en-GB"/>
        </w:rPr>
        <w:t xml:space="preserve">2021; Claud. </w:t>
      </w:r>
      <w:r>
        <w:rPr>
          <w:lang w:val="en-GB"/>
        </w:rPr>
        <w:t>De Raptu</w:t>
      </w:r>
      <w:r w:rsidR="001F79D9">
        <w:rPr>
          <w:lang w:val="en-GB"/>
        </w:rPr>
        <w:t>. 2.119, 2.137</w:t>
      </w:r>
    </w:p>
  </w:footnote>
  <w:footnote w:id="38">
    <w:p w14:paraId="6894564B" w14:textId="066F7AC1" w:rsidR="001E52EA" w:rsidRPr="001E52EA" w:rsidRDefault="001E52EA">
      <w:pPr>
        <w:pStyle w:val="FootnoteText"/>
        <w:rPr>
          <w:lang w:val="en-GB"/>
        </w:rPr>
      </w:pPr>
      <w:r>
        <w:rPr>
          <w:rStyle w:val="FootnoteReference"/>
        </w:rPr>
        <w:footnoteRef/>
      </w:r>
      <w:r>
        <w:t xml:space="preserve"> </w:t>
      </w:r>
      <w:r w:rsidR="001F79D9">
        <w:t xml:space="preserve">Claud. </w:t>
      </w:r>
      <w:r>
        <w:rPr>
          <w:lang w:val="en-GB"/>
        </w:rPr>
        <w:t>De Raptu</w:t>
      </w:r>
      <w:r w:rsidR="001F79D9">
        <w:rPr>
          <w:lang w:val="en-GB"/>
        </w:rPr>
        <w:t>. 1.74-84</w:t>
      </w:r>
    </w:p>
  </w:footnote>
  <w:footnote w:id="39">
    <w:p w14:paraId="1881F2F4" w14:textId="4BDC3861" w:rsidR="001E52EA" w:rsidRPr="001E52EA" w:rsidRDefault="001E52EA">
      <w:pPr>
        <w:pStyle w:val="FootnoteText"/>
        <w:rPr>
          <w:lang w:val="en-GB"/>
        </w:rPr>
      </w:pPr>
      <w:r>
        <w:rPr>
          <w:rStyle w:val="FootnoteReference"/>
        </w:rPr>
        <w:footnoteRef/>
      </w:r>
      <w:r>
        <w:t xml:space="preserve"> </w:t>
      </w:r>
      <w:r w:rsidR="001F79D9">
        <w:t xml:space="preserve">Claud. </w:t>
      </w:r>
      <w:r>
        <w:rPr>
          <w:lang w:val="en-GB"/>
        </w:rPr>
        <w:t>De Raptu</w:t>
      </w:r>
      <w:r w:rsidR="001F79D9">
        <w:rPr>
          <w:lang w:val="en-GB"/>
        </w:rPr>
        <w:t>. 2.122</w:t>
      </w:r>
    </w:p>
  </w:footnote>
  <w:footnote w:id="40">
    <w:p w14:paraId="101A6E7B" w14:textId="461D897E" w:rsidR="001E52EA" w:rsidRPr="001E52EA" w:rsidRDefault="001E52EA">
      <w:pPr>
        <w:pStyle w:val="FootnoteText"/>
        <w:rPr>
          <w:lang w:val="en-GB"/>
        </w:rPr>
      </w:pPr>
      <w:r>
        <w:rPr>
          <w:rStyle w:val="FootnoteReference"/>
        </w:rPr>
        <w:footnoteRef/>
      </w:r>
      <w:r>
        <w:t xml:space="preserve"> </w:t>
      </w:r>
      <w:r w:rsidR="001F79D9">
        <w:t xml:space="preserve">Ov. </w:t>
      </w:r>
      <w:r>
        <w:t>Met</w:t>
      </w:r>
      <w:r w:rsidR="001F79D9">
        <w:t>.</w:t>
      </w:r>
      <w:r>
        <w:t xml:space="preserve"> </w:t>
      </w:r>
      <w:r>
        <w:t>10.710</w:t>
      </w:r>
    </w:p>
  </w:footnote>
  <w:footnote w:id="41">
    <w:p w14:paraId="45FBE1AE" w14:textId="4559AFA8" w:rsidR="001E52EA" w:rsidRPr="001E52EA" w:rsidRDefault="001E52EA">
      <w:pPr>
        <w:pStyle w:val="FootnoteText"/>
        <w:rPr>
          <w:lang w:val="en-GB"/>
        </w:rPr>
      </w:pPr>
      <w:r>
        <w:rPr>
          <w:rStyle w:val="FootnoteReference"/>
        </w:rPr>
        <w:footnoteRef/>
      </w:r>
      <w:r>
        <w:t xml:space="preserve"> </w:t>
      </w:r>
      <w:r w:rsidR="001F79D9">
        <w:t xml:space="preserve">Ov. </w:t>
      </w:r>
      <w:r>
        <w:t>Met</w:t>
      </w:r>
      <w:r w:rsidR="001F79D9">
        <w:t>.</w:t>
      </w:r>
      <w:r>
        <w:t xml:space="preserve"> </w:t>
      </w:r>
      <w:r>
        <w:t>2.131</w:t>
      </w:r>
    </w:p>
  </w:footnote>
  <w:footnote w:id="42">
    <w:p w14:paraId="010D20B0" w14:textId="480C11E3" w:rsidR="001E52EA" w:rsidRPr="001E52EA" w:rsidRDefault="001E52EA">
      <w:pPr>
        <w:pStyle w:val="FootnoteText"/>
        <w:rPr>
          <w:lang w:val="en-GB"/>
        </w:rPr>
      </w:pPr>
      <w:r>
        <w:rPr>
          <w:rStyle w:val="FootnoteReference"/>
        </w:rPr>
        <w:footnoteRef/>
      </w:r>
      <w:r>
        <w:t xml:space="preserve"> </w:t>
      </w:r>
      <w:r>
        <w:rPr>
          <w:lang w:val="en-GB"/>
        </w:rPr>
        <w:t>Gruzelier</w:t>
      </w:r>
      <w:r w:rsidR="001F79D9">
        <w:rPr>
          <w:lang w:val="en-GB"/>
        </w:rPr>
        <w:t>, 1988</w:t>
      </w:r>
    </w:p>
  </w:footnote>
  <w:footnote w:id="43">
    <w:p w14:paraId="6663BBA8" w14:textId="33EFFC96" w:rsidR="001E52EA" w:rsidRPr="001E52EA" w:rsidRDefault="001E52EA">
      <w:pPr>
        <w:pStyle w:val="FootnoteText"/>
        <w:rPr>
          <w:lang w:val="en-GB"/>
        </w:rPr>
      </w:pPr>
      <w:r>
        <w:rPr>
          <w:rStyle w:val="FootnoteReference"/>
        </w:rPr>
        <w:footnoteRef/>
      </w:r>
      <w:r>
        <w:t xml:space="preserve"> </w:t>
      </w:r>
      <w:r>
        <w:rPr>
          <w:lang w:val="en-GB"/>
        </w:rPr>
        <w:t>Hinds</w:t>
      </w:r>
      <w:r w:rsidR="001F79D9">
        <w:rPr>
          <w:lang w:val="en-GB"/>
        </w:rPr>
        <w:t>, 1087</w:t>
      </w:r>
    </w:p>
  </w:footnote>
  <w:footnote w:id="44">
    <w:p w14:paraId="04BEDE70" w14:textId="6738FE92" w:rsidR="001E52EA" w:rsidRPr="001E52EA" w:rsidRDefault="001E52EA">
      <w:pPr>
        <w:pStyle w:val="FootnoteText"/>
        <w:rPr>
          <w:lang w:val="en-GB"/>
        </w:rPr>
      </w:pPr>
      <w:r>
        <w:rPr>
          <w:rStyle w:val="FootnoteReference"/>
        </w:rPr>
        <w:footnoteRef/>
      </w:r>
      <w:r>
        <w:t xml:space="preserve"> </w:t>
      </w:r>
      <w:r w:rsidR="001F79D9">
        <w:t xml:space="preserve">Ov. </w:t>
      </w:r>
      <w:r>
        <w:rPr>
          <w:lang w:val="en-GB"/>
        </w:rPr>
        <w:t>Met</w:t>
      </w:r>
      <w:r w:rsidR="001F79D9">
        <w:rPr>
          <w:lang w:val="en-GB"/>
        </w:rPr>
        <w:t>.</w:t>
      </w:r>
      <w:r>
        <w:rPr>
          <w:lang w:val="en-GB"/>
        </w:rPr>
        <w:t xml:space="preserve"> 3</w:t>
      </w:r>
      <w:r w:rsidR="001F79D9">
        <w:rPr>
          <w:lang w:val="en-GB"/>
        </w:rPr>
        <w:t>.339-358; Ov.</w:t>
      </w:r>
      <w:r>
        <w:rPr>
          <w:lang w:val="en-GB"/>
        </w:rPr>
        <w:t xml:space="preserve"> Met</w:t>
      </w:r>
      <w:r w:rsidR="001F79D9">
        <w:rPr>
          <w:lang w:val="en-GB"/>
        </w:rPr>
        <w:t>.</w:t>
      </w:r>
      <w:r>
        <w:rPr>
          <w:lang w:val="en-GB"/>
        </w:rPr>
        <w:t xml:space="preserve"> 10</w:t>
      </w:r>
      <w:r w:rsidR="001F79D9">
        <w:rPr>
          <w:lang w:val="en-GB"/>
        </w:rPr>
        <w:t>.503-559</w:t>
      </w:r>
    </w:p>
  </w:footnote>
  <w:footnote w:id="45">
    <w:p w14:paraId="150583F9" w14:textId="5284B69F" w:rsidR="001E52EA" w:rsidRPr="001E52EA" w:rsidRDefault="001E52EA">
      <w:pPr>
        <w:pStyle w:val="FootnoteText"/>
        <w:rPr>
          <w:lang w:val="en-GB"/>
        </w:rPr>
      </w:pPr>
      <w:r>
        <w:rPr>
          <w:rStyle w:val="FootnoteReference"/>
        </w:rPr>
        <w:footnoteRef/>
      </w:r>
      <w:r>
        <w:t xml:space="preserve"> </w:t>
      </w:r>
      <w:r w:rsidR="001F79D9">
        <w:t xml:space="preserve">Cic. </w:t>
      </w:r>
      <w:r>
        <w:t>Verr</w:t>
      </w:r>
      <w:r w:rsidR="001F79D9">
        <w:t>.</w:t>
      </w:r>
      <w:r>
        <w:t xml:space="preserve"> </w:t>
      </w:r>
      <w:r>
        <w:t>2.4.107</w:t>
      </w:r>
    </w:p>
  </w:footnote>
  <w:footnote w:id="46">
    <w:p w14:paraId="3DA0E5D2" w14:textId="49C0F499" w:rsidR="001E52EA" w:rsidRPr="001E52EA" w:rsidRDefault="001E52EA">
      <w:pPr>
        <w:pStyle w:val="FootnoteText"/>
        <w:rPr>
          <w:lang w:val="en-GB"/>
        </w:rPr>
      </w:pPr>
      <w:r>
        <w:rPr>
          <w:rStyle w:val="FootnoteReference"/>
        </w:rPr>
        <w:footnoteRef/>
      </w:r>
      <w:r>
        <w:t xml:space="preserve"> </w:t>
      </w:r>
      <w:r w:rsidR="001F79D9">
        <w:t xml:space="preserve">Cic. </w:t>
      </w:r>
      <w:r>
        <w:rPr>
          <w:lang w:val="en-GB"/>
        </w:rPr>
        <w:t>Verr</w:t>
      </w:r>
      <w:r w:rsidR="001F79D9">
        <w:rPr>
          <w:lang w:val="en-GB"/>
        </w:rPr>
        <w:t>.</w:t>
      </w:r>
      <w:r w:rsidR="001C5F38">
        <w:rPr>
          <w:lang w:val="en-GB"/>
        </w:rPr>
        <w:t xml:space="preserve"> 2.4.109-10</w:t>
      </w:r>
    </w:p>
  </w:footnote>
  <w:footnote w:id="47">
    <w:p w14:paraId="4830FA01" w14:textId="3627D201" w:rsidR="001E52EA" w:rsidRPr="001E52EA" w:rsidRDefault="001E52EA">
      <w:pPr>
        <w:pStyle w:val="FootnoteText"/>
        <w:rPr>
          <w:lang w:val="en-GB"/>
        </w:rPr>
      </w:pPr>
      <w:r>
        <w:rPr>
          <w:rStyle w:val="FootnoteReference"/>
        </w:rPr>
        <w:footnoteRef/>
      </w:r>
      <w:r>
        <w:t xml:space="preserve"> </w:t>
      </w:r>
      <w:r w:rsidR="001C5F38">
        <w:t>Ov. M</w:t>
      </w:r>
      <w:r>
        <w:t>et</w:t>
      </w:r>
      <w:r w:rsidR="001C5F38">
        <w:t>.</w:t>
      </w:r>
      <w:r>
        <w:t xml:space="preserve"> 5.393</w:t>
      </w:r>
      <w:r w:rsidR="001C5F38">
        <w:t>;</w:t>
      </w:r>
      <w:r>
        <w:t xml:space="preserve"> H</w:t>
      </w:r>
      <w:r w:rsidR="001C5F38">
        <w:t xml:space="preserve">om. </w:t>
      </w:r>
      <w:r>
        <w:t>H</w:t>
      </w:r>
      <w:r w:rsidR="001C5F38">
        <w:t xml:space="preserve">ymn </w:t>
      </w:r>
      <w:r>
        <w:t>D</w:t>
      </w:r>
      <w:r w:rsidR="001C5F38">
        <w:t>em. 5-11;</w:t>
      </w:r>
      <w:r>
        <w:t xml:space="preserve"> </w:t>
      </w:r>
      <w:r w:rsidR="001C5F38">
        <w:t>Claud. De Raptu.</w:t>
      </w:r>
      <w:r>
        <w:t xml:space="preserve"> 2</w:t>
      </w:r>
      <w:r w:rsidR="001C5F38">
        <w:t>.104</w:t>
      </w:r>
    </w:p>
  </w:footnote>
  <w:footnote w:id="48">
    <w:p w14:paraId="4C902FDE" w14:textId="3F5ED69E" w:rsidR="00331705" w:rsidRPr="00331705" w:rsidRDefault="00331705">
      <w:pPr>
        <w:pStyle w:val="FootnoteText"/>
        <w:rPr>
          <w:lang w:val="en-GB"/>
        </w:rPr>
      </w:pPr>
      <w:r>
        <w:rPr>
          <w:rStyle w:val="FootnoteReference"/>
        </w:rPr>
        <w:footnoteRef/>
      </w:r>
      <w:r>
        <w:t xml:space="preserve"> </w:t>
      </w:r>
      <w:r w:rsidR="001C5F38">
        <w:t xml:space="preserve">Claud. </w:t>
      </w:r>
      <w:r>
        <w:rPr>
          <w:lang w:val="en-GB"/>
        </w:rPr>
        <w:t>De Raptu 3.238-41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0D3"/>
    <w:rsid w:val="0015356A"/>
    <w:rsid w:val="001C5F38"/>
    <w:rsid w:val="001E52EA"/>
    <w:rsid w:val="001F79D9"/>
    <w:rsid w:val="00331705"/>
    <w:rsid w:val="00660FE9"/>
    <w:rsid w:val="007A1E51"/>
    <w:rsid w:val="00814594"/>
    <w:rsid w:val="00A46B63"/>
    <w:rsid w:val="00A900D3"/>
    <w:rsid w:val="00C371A3"/>
    <w:rsid w:val="00DF7600"/>
    <w:rsid w:val="00E72FC1"/>
    <w:rsid w:val="00F55DFA"/>
    <w:rsid w:val="00FB3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08E6F"/>
  <w15:docId w15:val="{D31A3067-8314-427A-BA49-FAB3F00AC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E72FC1"/>
    <w:pPr>
      <w:spacing w:line="240" w:lineRule="auto"/>
    </w:pPr>
    <w:rPr>
      <w:sz w:val="20"/>
      <w:szCs w:val="20"/>
    </w:rPr>
  </w:style>
  <w:style w:type="character" w:customStyle="1" w:styleId="FootnoteTextChar">
    <w:name w:val="Footnote Text Char"/>
    <w:basedOn w:val="DefaultParagraphFont"/>
    <w:link w:val="FootnoteText"/>
    <w:uiPriority w:val="99"/>
    <w:semiHidden/>
    <w:rsid w:val="00E72FC1"/>
    <w:rPr>
      <w:sz w:val="20"/>
      <w:szCs w:val="20"/>
    </w:rPr>
  </w:style>
  <w:style w:type="character" w:styleId="FootnoteReference">
    <w:name w:val="footnote reference"/>
    <w:basedOn w:val="DefaultParagraphFont"/>
    <w:uiPriority w:val="99"/>
    <w:semiHidden/>
    <w:unhideWhenUsed/>
    <w:rsid w:val="00E72FC1"/>
    <w:rPr>
      <w:vertAlign w:val="superscript"/>
    </w:rPr>
  </w:style>
  <w:style w:type="character" w:styleId="Hyperlink">
    <w:name w:val="Hyperlink"/>
    <w:basedOn w:val="DefaultParagraphFont"/>
    <w:uiPriority w:val="99"/>
    <w:unhideWhenUsed/>
    <w:rsid w:val="00660FE9"/>
    <w:rPr>
      <w:color w:val="0000FF" w:themeColor="hyperlink"/>
      <w:u w:val="single"/>
    </w:rPr>
  </w:style>
  <w:style w:type="character" w:styleId="UnresolvedMention">
    <w:name w:val="Unresolved Mention"/>
    <w:basedOn w:val="DefaultParagraphFont"/>
    <w:uiPriority w:val="99"/>
    <w:semiHidden/>
    <w:unhideWhenUsed/>
    <w:rsid w:val="00660F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3BD77-DA76-45C0-A719-99C5B20D7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7</Pages>
  <Words>2532</Words>
  <Characters>14433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Rio Watts-Robinson</cp:lastModifiedBy>
  <cp:revision>2</cp:revision>
  <dcterms:created xsi:type="dcterms:W3CDTF">2021-02-05T14:57:00Z</dcterms:created>
  <dcterms:modified xsi:type="dcterms:W3CDTF">2021-02-05T17:38:00Z</dcterms:modified>
</cp:coreProperties>
</file>