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line="480" w:lineRule="auto"/>
        <w:ind w:left="0" w:right="0" w:firstLine="0"/>
        <w:jc w:val="left"/>
        <w:rPr>
          <w:rFonts w:ascii="Arial" w:hAnsi="Arial"/>
          <w:sz w:val="24"/>
          <w:szCs w:val="24"/>
          <w:rtl w:val="0"/>
        </w:rPr>
      </w:pPr>
    </w:p>
    <w:p>
      <w:pPr>
        <w:pStyle w:val="Default"/>
        <w:bidi w:val="0"/>
        <w:spacing w:line="480" w:lineRule="auto"/>
        <w:ind w:left="0" w:right="0" w:firstLine="0"/>
        <w:jc w:val="left"/>
        <w:rPr>
          <w:rFonts w:ascii="Arial" w:hAnsi="Arial"/>
          <w:sz w:val="24"/>
          <w:szCs w:val="24"/>
          <w:rtl w:val="0"/>
        </w:rPr>
      </w:pPr>
    </w:p>
    <w:p>
      <w:pPr>
        <w:pStyle w:val="Default"/>
        <w:bidi w:val="0"/>
        <w:spacing w:line="480" w:lineRule="auto"/>
        <w:ind w:left="0" w:right="0" w:firstLine="0"/>
        <w:jc w:val="left"/>
        <w:rPr>
          <w:rFonts w:ascii="Arial" w:hAnsi="Arial"/>
          <w:sz w:val="24"/>
          <w:szCs w:val="24"/>
          <w:rtl w:val="0"/>
        </w:rPr>
      </w:pPr>
    </w:p>
    <w:p>
      <w:pPr>
        <w:pStyle w:val="Default"/>
        <w:bidi w:val="0"/>
        <w:spacing w:line="480" w:lineRule="auto"/>
        <w:ind w:left="0" w:right="0" w:firstLine="0"/>
        <w:jc w:val="left"/>
        <w:rPr>
          <w:rFonts w:ascii="Arial" w:hAnsi="Arial"/>
          <w:sz w:val="24"/>
          <w:szCs w:val="24"/>
          <w:rtl w:val="0"/>
        </w:rPr>
      </w:pPr>
    </w:p>
    <w:p>
      <w:pPr>
        <w:pStyle w:val="Default"/>
        <w:bidi w:val="0"/>
        <w:spacing w:line="480" w:lineRule="auto"/>
        <w:ind w:left="0" w:right="0" w:firstLine="0"/>
        <w:jc w:val="center"/>
        <w:rPr>
          <w:rFonts w:ascii="Arial" w:hAnsi="Arial"/>
          <w:sz w:val="24"/>
          <w:szCs w:val="24"/>
          <w:rtl w:val="0"/>
        </w:rPr>
      </w:pPr>
    </w:p>
    <w:p>
      <w:pPr>
        <w:pStyle w:val="Default"/>
        <w:bidi w:val="0"/>
        <w:spacing w:line="480" w:lineRule="auto"/>
        <w:ind w:left="0" w:right="0" w:firstLine="0"/>
        <w:jc w:val="center"/>
        <w:rPr>
          <w:rFonts w:ascii="Arial" w:cs="Arial" w:hAnsi="Arial" w:eastAsia="Arial"/>
          <w:b w:val="1"/>
          <w:bCs w:val="1"/>
          <w:sz w:val="24"/>
          <w:szCs w:val="24"/>
          <w:rtl w:val="0"/>
        </w:rPr>
      </w:pPr>
      <w:r>
        <w:rPr>
          <w:rFonts w:ascii="Arial" w:hAnsi="Arial"/>
          <w:b w:val="1"/>
          <w:bCs w:val="1"/>
          <w:sz w:val="24"/>
          <w:szCs w:val="24"/>
          <w:rtl w:val="0"/>
          <w:lang w:val="en-US"/>
        </w:rPr>
        <w:t xml:space="preserve">Lauren Kate Leacher </w:t>
      </w:r>
    </w:p>
    <w:p>
      <w:pPr>
        <w:pStyle w:val="Default"/>
        <w:bidi w:val="0"/>
        <w:spacing w:line="480" w:lineRule="auto"/>
        <w:ind w:left="0" w:right="0" w:firstLine="0"/>
        <w:jc w:val="center"/>
        <w:rPr>
          <w:rFonts w:ascii="Arial" w:cs="Arial" w:hAnsi="Arial" w:eastAsia="Arial"/>
          <w:b w:val="1"/>
          <w:bCs w:val="1"/>
          <w:sz w:val="24"/>
          <w:szCs w:val="24"/>
          <w:rtl w:val="0"/>
        </w:rPr>
      </w:pPr>
      <w:r>
        <w:rPr>
          <w:rFonts w:ascii="Arial" w:hAnsi="Arial"/>
          <w:b w:val="1"/>
          <w:bCs w:val="1"/>
          <w:sz w:val="24"/>
          <w:szCs w:val="24"/>
          <w:rtl w:val="0"/>
          <w:lang w:val="en-US"/>
        </w:rPr>
        <w:t>Dissertation Proposal - Curation, Feminism and Activism</w:t>
      </w:r>
    </w:p>
    <w:p>
      <w:pPr>
        <w:pStyle w:val="Default"/>
        <w:bidi w:val="0"/>
        <w:spacing w:line="480" w:lineRule="auto"/>
        <w:ind w:left="0" w:right="0" w:firstLine="0"/>
        <w:jc w:val="center"/>
        <w:rPr>
          <w:rFonts w:ascii="Arial" w:cs="Arial" w:hAnsi="Arial" w:eastAsia="Arial"/>
          <w:b w:val="1"/>
          <w:bCs w:val="1"/>
          <w:sz w:val="24"/>
          <w:szCs w:val="24"/>
          <w:rtl w:val="0"/>
        </w:rPr>
      </w:pPr>
    </w:p>
    <w:p>
      <w:pPr>
        <w:pStyle w:val="Default"/>
        <w:bidi w:val="0"/>
        <w:spacing w:line="480" w:lineRule="auto"/>
        <w:ind w:left="0" w:right="0" w:firstLine="0"/>
        <w:jc w:val="center"/>
        <w:rPr>
          <w:rFonts w:ascii="Arial" w:cs="Arial" w:hAnsi="Arial" w:eastAsia="Arial"/>
          <w:sz w:val="24"/>
          <w:szCs w:val="24"/>
          <w:rtl w:val="0"/>
        </w:rPr>
      </w:pPr>
      <w:r>
        <w:rPr>
          <w:rFonts w:ascii="Arial" w:hAnsi="Arial"/>
          <w:sz w:val="24"/>
          <w:szCs w:val="24"/>
          <w:rtl w:val="0"/>
          <w:lang w:val="en-US"/>
        </w:rPr>
        <w:t>Student Number - P144804</w:t>
      </w:r>
    </w:p>
    <w:p>
      <w:pPr>
        <w:pStyle w:val="Default"/>
        <w:bidi w:val="0"/>
        <w:spacing w:line="480" w:lineRule="auto"/>
        <w:ind w:left="0" w:right="0" w:firstLine="0"/>
        <w:jc w:val="center"/>
        <w:rPr>
          <w:rFonts w:ascii="Arial" w:cs="Arial" w:hAnsi="Arial" w:eastAsia="Arial"/>
          <w:sz w:val="24"/>
          <w:szCs w:val="24"/>
          <w:rtl w:val="0"/>
        </w:rPr>
      </w:pPr>
      <w:r>
        <w:rPr>
          <w:rFonts w:ascii="Arial" w:hAnsi="Arial"/>
          <w:sz w:val="24"/>
          <w:szCs w:val="24"/>
          <w:rtl w:val="0"/>
          <w:lang w:val="en-US"/>
        </w:rPr>
        <w:t>BA Surface Pattern Design</w:t>
      </w:r>
    </w:p>
    <w:p>
      <w:pPr>
        <w:pStyle w:val="Default"/>
        <w:bidi w:val="0"/>
        <w:spacing w:line="480" w:lineRule="auto"/>
        <w:ind w:left="0" w:right="0" w:firstLine="0"/>
        <w:jc w:val="center"/>
        <w:rPr>
          <w:rFonts w:ascii="Arial" w:cs="Arial" w:hAnsi="Arial" w:eastAsia="Arial"/>
          <w:sz w:val="24"/>
          <w:szCs w:val="24"/>
          <w:rtl w:val="0"/>
        </w:rPr>
      </w:pPr>
    </w:p>
    <w:p>
      <w:pPr>
        <w:pStyle w:val="Default"/>
        <w:bidi w:val="0"/>
        <w:spacing w:line="480" w:lineRule="auto"/>
        <w:ind w:left="0" w:right="0" w:firstLine="0"/>
        <w:jc w:val="center"/>
        <w:rPr>
          <w:rFonts w:ascii="Arial" w:cs="Arial" w:hAnsi="Arial" w:eastAsia="Arial"/>
          <w:sz w:val="24"/>
          <w:szCs w:val="24"/>
          <w:rtl w:val="0"/>
        </w:rPr>
      </w:pPr>
      <w:r>
        <w:rPr>
          <w:rFonts w:ascii="Arial" w:hAnsi="Arial"/>
          <w:sz w:val="24"/>
          <w:szCs w:val="24"/>
          <w:rtl w:val="0"/>
          <w:lang w:val="en-US"/>
        </w:rPr>
        <w:t>Tutors - Julia Lockheart</w:t>
      </w:r>
    </w:p>
    <w:p>
      <w:pPr>
        <w:pStyle w:val="Default"/>
        <w:bidi w:val="0"/>
        <w:spacing w:line="480" w:lineRule="auto"/>
        <w:ind w:left="0" w:right="0" w:firstLine="0"/>
        <w:jc w:val="center"/>
        <w:rPr>
          <w:rtl w:val="0"/>
        </w:rPr>
      </w:pPr>
      <w:r>
        <w:rPr>
          <w:rFonts w:ascii="Arial" w:hAnsi="Arial"/>
          <w:sz w:val="24"/>
          <w:szCs w:val="24"/>
          <w:rtl w:val="0"/>
          <w:lang w:val="en-US"/>
        </w:rPr>
        <w:t>Word Count - 2,366</w:t>
      </w:r>
      <w:r>
        <w:rPr>
          <w:rFonts w:ascii="Arial Unicode MS" w:cs="Arial Unicode MS" w:hAnsi="Arial Unicode MS" w:eastAsia="Arial Unicode MS"/>
          <w:b w:val="0"/>
          <w:bCs w:val="0"/>
          <w:i w:val="0"/>
          <w:iCs w:val="0"/>
          <w:sz w:val="24"/>
          <w:szCs w:val="24"/>
          <w:rtl w:val="0"/>
        </w:rPr>
        <w:br w:type="page"/>
      </w:r>
    </w:p>
    <w:p>
      <w:pPr>
        <w:pStyle w:val="Body"/>
        <w:spacing w:line="480" w:lineRule="auto"/>
      </w:pPr>
    </w:p>
    <w:p>
      <w:pPr>
        <w:pStyle w:val="Body"/>
        <w:spacing w:line="480" w:lineRule="auto"/>
      </w:pPr>
      <w:r>
        <w:rPr>
          <w:rtl w:val="0"/>
          <w:lang w:val="en-US"/>
        </w:rPr>
        <w:t>In this essay I intend to explore and delve into three keywords that I find most interesting within my practice. This entails taking on extensive research to fully understand the meaning of the words and to look into them historically, aiming to find the root of where they emerged from and how that compares to the modern day definitions to help expand my artistic knowledge further. The three keywords that I am going to analyse are Curation (to curate), an age old act of caring that has now a new modern twist within the arts and humanities. Furthermore I will look at feminism, more so within the arts but also what it meant to society then and now. Lastly I will look at activism, another response to society and the forever changing world much like feminism. By researching these specific keywords I have the intentions for my research to come together to form a well rounded, artistically fuelled question that will feed my dissertation and lead on to a new realm of research for further questioning.</w:t>
      </w:r>
    </w:p>
    <w:p>
      <w:pPr>
        <w:pStyle w:val="Body"/>
        <w:spacing w:line="480" w:lineRule="auto"/>
      </w:pPr>
    </w:p>
    <w:p>
      <w:pPr>
        <w:pStyle w:val="Body"/>
        <w:spacing w:line="480" w:lineRule="auto"/>
      </w:pPr>
      <w:r>
        <w:rPr>
          <w:rtl w:val="0"/>
          <w:lang w:val="en-US"/>
        </w:rPr>
        <w:t>Curation is preconceived to be an act of placing art works and artefacts within a gallery, however the role entails much more. I will explore the historical and modern roles of a curator.</w:t>
      </w:r>
    </w:p>
    <w:p>
      <w:pPr>
        <w:pStyle w:val="Default"/>
        <w:bidi w:val="0"/>
        <w:spacing w:line="48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lang w:val="en-US"/>
        </w:rPr>
        <w:t xml:space="preserve">In the Oxford English Dictionary, to curate is described as a performance in which someone would </w:t>
      </w:r>
      <w:r>
        <w:rPr>
          <w:rFonts w:ascii="Helvetica" w:hAnsi="Helvetica" w:hint="default"/>
          <w:shd w:val="clear" w:color="auto" w:fill="ffffff"/>
          <w:rtl w:val="0"/>
          <w:lang w:val="en-US"/>
        </w:rPr>
        <w:t>“</w:t>
      </w:r>
      <w:r>
        <w:rPr>
          <w:rFonts w:ascii="Helvetica" w:hAnsi="Helvetica"/>
          <w:shd w:val="clear" w:color="auto" w:fill="ffffff"/>
          <w:rtl w:val="0"/>
          <w:lang w:val="en-US"/>
        </w:rPr>
        <w:t>Select, organi</w:t>
      </w:r>
      <w:r>
        <w:rPr>
          <w:rFonts w:ascii="Helvetica" w:hAnsi="Helvetica"/>
          <w:shd w:val="clear" w:color="auto" w:fill="ffffff"/>
          <w:rtl w:val="0"/>
          <w:lang w:val="en-US"/>
        </w:rPr>
        <w:t>s</w:t>
      </w:r>
      <w:r>
        <w:rPr>
          <w:rFonts w:ascii="Helvetica" w:hAnsi="Helvetica"/>
          <w:shd w:val="clear" w:color="auto" w:fill="ffffff"/>
          <w:rtl w:val="0"/>
          <w:lang w:val="en-US"/>
        </w:rPr>
        <w:t>e, and look after the items in (a collection or exhibition)</w:t>
      </w:r>
      <w:r>
        <w:rPr>
          <w:rFonts w:ascii="Helvetica" w:hAnsi="Helvetica" w:hint="default"/>
          <w:shd w:val="clear" w:color="auto" w:fill="ffffff"/>
          <w:rtl w:val="0"/>
          <w:lang w:val="en-US"/>
        </w:rPr>
        <w:t xml:space="preserve">” </w:t>
      </w:r>
      <w:r>
        <w:rPr>
          <w:rFonts w:ascii="Helvetica" w:hAnsi="Helvetica"/>
          <w:shd w:val="clear" w:color="auto" w:fill="ffffff"/>
          <w:rtl w:val="0"/>
          <w:lang w:val="en-US"/>
        </w:rPr>
        <w:t>and an example used in</w:t>
      </w:r>
      <w:r>
        <w:rPr>
          <w:rFonts w:ascii="Helvetica" w:cs="Helvetica" w:hAnsi="Helvetica" w:eastAsia="Helvetica"/>
          <w:shd w:val="clear" w:color="auto" w:fill="ffffff"/>
          <w:rtl w:val="0"/>
        </w:rPr>
        <w:drawing>
          <wp:anchor distT="152400" distB="152400" distL="152400" distR="152400" simplePos="0" relativeHeight="251663360" behindDoc="0" locked="0" layoutInCell="1" allowOverlap="1">
            <wp:simplePos x="0" y="0"/>
            <wp:positionH relativeFrom="margin">
              <wp:posOffset>2753262</wp:posOffset>
            </wp:positionH>
            <wp:positionV relativeFrom="line">
              <wp:posOffset>319638</wp:posOffset>
            </wp:positionV>
            <wp:extent cx="3360445" cy="2240297"/>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tiff"/>
                    <pic:cNvPicPr>
                      <a:picLocks noChangeAspect="1"/>
                    </pic:cNvPicPr>
                  </pic:nvPicPr>
                  <pic:blipFill>
                    <a:blip r:embed="rId4">
                      <a:extLst/>
                    </a:blip>
                    <a:stretch>
                      <a:fillRect/>
                    </a:stretch>
                  </pic:blipFill>
                  <pic:spPr>
                    <a:xfrm>
                      <a:off x="0" y="0"/>
                      <a:ext cx="3360445" cy="2240297"/>
                    </a:xfrm>
                    <a:prstGeom prst="rect">
                      <a:avLst/>
                    </a:prstGeom>
                    <a:ln w="12700" cap="flat">
                      <a:noFill/>
                      <a:miter lim="400000"/>
                    </a:ln>
                    <a:effectLst/>
                  </pic:spPr>
                </pic:pic>
              </a:graphicData>
            </a:graphic>
          </wp:anchor>
        </w:drawing>
      </w:r>
      <w:r>
        <w:rPr>
          <w:rFonts w:ascii="Helvetica" w:hAnsi="Helvetica"/>
          <w:shd w:val="clear" w:color="auto" w:fill="ffffff"/>
          <w:rtl w:val="0"/>
          <w:lang w:val="en-US"/>
        </w:rPr>
        <w:t xml:space="preserve"> context would be </w:t>
      </w:r>
      <w:r>
        <w:rPr>
          <w:rFonts w:ascii="Helvetica" w:hAnsi="Helvetica" w:hint="default"/>
          <w:shd w:val="clear" w:color="auto" w:fill="ffffff"/>
          <w:rtl w:val="0"/>
        </w:rPr>
        <w:t>‘</w:t>
      </w:r>
      <w:r>
        <w:rPr>
          <w:rFonts w:ascii="Helvetica" w:hAnsi="Helvetica"/>
          <w:shd w:val="clear" w:color="auto" w:fill="ffffff"/>
          <w:rtl w:val="0"/>
          <w:lang w:val="en-US"/>
        </w:rPr>
        <w:t>both exhibitions are curated by the Centre's director</w:t>
      </w:r>
      <w:r>
        <w:rPr>
          <w:rFonts w:ascii="Helvetica" w:hAnsi="Helvetica" w:hint="default"/>
          <w:shd w:val="clear" w:color="auto" w:fill="ffffff"/>
          <w:rtl w:val="0"/>
        </w:rPr>
        <w:t>’</w:t>
      </w:r>
      <w:r>
        <w:rPr>
          <w:rFonts w:ascii="Helvetica" w:hAnsi="Helvetica"/>
          <w:shd w:val="clear" w:color="auto" w:fill="ffffff"/>
          <w:rtl w:val="0"/>
          <w:lang w:val="en-US"/>
        </w:rPr>
        <w:t xml:space="preserve"> (Oxford Dictionary 2019). </w:t>
      </w:r>
    </w:p>
    <w:p>
      <w:pPr>
        <w:pStyle w:val="Default"/>
        <w:bidi w:val="0"/>
        <w:spacing w:line="480" w:lineRule="auto"/>
        <w:ind w:left="0" w:right="0" w:firstLine="0"/>
        <w:jc w:val="left"/>
        <w:rPr>
          <w:color w:val="2a2a2a"/>
          <w:shd w:val="clear" w:color="auto" w:fill="ffffff"/>
          <w:rtl w:val="0"/>
        </w:rPr>
      </w:pPr>
      <w:r>
        <w:rPr>
          <w:color w:val="2a2a2a"/>
          <w:shd w:val="clear" w:color="auto" w:fill="ffffff"/>
          <w:rtl w:val="0"/>
          <w:lang w:val="en-US"/>
        </w:rPr>
        <w:t>There are many different sources that supposedly claim the origin of the term, however there is no certainty due to an abundance of leads. Writer and curator of</w:t>
      </w:r>
      <w:r>
        <w:rPr>
          <w:color w:val="2a2a2a"/>
          <w:shd w:val="clear" w:color="auto" w:fill="ffffff"/>
          <w:rtl w:val="0"/>
        </w:rPr>
        <mc:AlternateContent>
          <mc:Choice Requires="wps">
            <w:drawing>
              <wp:anchor distT="152400" distB="152400" distL="152400" distR="152400" simplePos="0" relativeHeight="251664384" behindDoc="0" locked="0" layoutInCell="1" allowOverlap="1">
                <wp:simplePos x="0" y="0"/>
                <wp:positionH relativeFrom="margin">
                  <wp:posOffset>2753262</wp:posOffset>
                </wp:positionH>
                <wp:positionV relativeFrom="line">
                  <wp:posOffset>439608</wp:posOffset>
                </wp:positionV>
                <wp:extent cx="3091538" cy="271939"/>
                <wp:effectExtent l="0" t="0" r="0" b="0"/>
                <wp:wrapTopAndBottom distT="152400" distB="152400"/>
                <wp:docPr id="1073741826" name="officeArt object"/>
                <wp:cNvGraphicFramePr/>
                <a:graphic xmlns:a="http://schemas.openxmlformats.org/drawingml/2006/main">
                  <a:graphicData uri="http://schemas.microsoft.com/office/word/2010/wordprocessingShape">
                    <wps:wsp>
                      <wps:cNvSpPr txBox="1"/>
                      <wps:spPr>
                        <a:xfrm>
                          <a:off x="0" y="0"/>
                          <a:ext cx="3091538" cy="271939"/>
                        </a:xfrm>
                        <a:prstGeom prst="rect">
                          <a:avLst/>
                        </a:prstGeom>
                        <a:noFill/>
                        <a:ln w="12700" cap="flat">
                          <a:noFill/>
                          <a:miter lim="400000"/>
                        </a:ln>
                        <a:effectLst/>
                      </wps:spPr>
                      <wps:txbx>
                        <w:txbxContent>
                          <w:p>
                            <w:pPr>
                              <w:pStyle w:val="Body"/>
                              <w:bidi w:val="0"/>
                            </w:pPr>
                            <w:r>
                              <w:rPr>
                                <w:rFonts w:cs="Arial Unicode MS" w:eastAsia="Arial Unicode MS"/>
                                <w:rtl w:val="0"/>
                                <w:lang w:val="en-US"/>
                              </w:rPr>
                              <w:t>Fig. 1</w:t>
                            </w:r>
                          </w:p>
                        </w:txbxContent>
                      </wps:txbx>
                      <wps:bodyPr wrap="square" lIns="50800" tIns="50800" rIns="50800" bIns="50800" numCol="1" anchor="t">
                        <a:noAutofit/>
                      </wps:bodyPr>
                    </wps:wsp>
                  </a:graphicData>
                </a:graphic>
              </wp:anchor>
            </w:drawing>
          </mc:Choice>
          <mc:Fallback>
            <w:pict>
              <v:shape id="_x0000_s1026" type="#_x0000_t202" style="visibility:visible;position:absolute;margin-left:216.8pt;margin-top:34.6pt;width:243.4pt;height:21.4pt;z-index:251664384;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bidi w:val="0"/>
                      </w:pPr>
                      <w:r>
                        <w:rPr>
                          <w:rFonts w:cs="Arial Unicode MS" w:eastAsia="Arial Unicode MS"/>
                          <w:rtl w:val="0"/>
                          <w:lang w:val="en-US"/>
                        </w:rPr>
                        <w:t>Fig. 1</w:t>
                      </w:r>
                    </w:p>
                  </w:txbxContent>
                </v:textbox>
                <w10:wrap type="topAndBottom" side="bothSides" anchorx="margin"/>
              </v:shape>
            </w:pict>
          </mc:Fallback>
        </mc:AlternateContent>
      </w:r>
      <w:r>
        <w:rPr>
          <w:color w:val="2a2a2a"/>
          <w:shd w:val="clear" w:color="auto" w:fill="ffffff"/>
          <w:rtl w:val="0"/>
          <w:lang w:val="en-US"/>
        </w:rPr>
        <w:t xml:space="preserve"> The Serpentine Gallery in London, Hans Ulrich Obrist explains in his book what he believes to be the historical root that </w:t>
      </w:r>
      <w:r>
        <w:rPr>
          <w:color w:val="2a2a2a"/>
          <w:shd w:val="clear" w:color="auto" w:fill="ffffff"/>
          <w:rtl w:val="0"/>
        </w:rPr>
        <w:t>“</w:t>
      </w:r>
      <w:r>
        <w:rPr>
          <w:color w:val="2a2a2a"/>
          <w:shd w:val="clear" w:color="auto" w:fill="ffffff"/>
          <w:rtl w:val="0"/>
          <w:lang w:val="en-US"/>
        </w:rPr>
        <w:t>The activities it combines into one role, however, are still well expressed by the meaning of its Latin etymological root, curare; to take care of</w:t>
      </w:r>
      <w:r>
        <w:rPr>
          <w:color w:val="2a2a2a"/>
          <w:shd w:val="clear" w:color="auto" w:fill="ffffff"/>
          <w:rtl w:val="0"/>
        </w:rPr>
        <w:t>”</w:t>
      </w:r>
      <w:r>
        <w:rPr>
          <w:color w:val="2a2a2a"/>
          <w:shd w:val="clear" w:color="auto" w:fill="ffffff"/>
          <w:rtl w:val="0"/>
          <w:lang w:val="en-US"/>
        </w:rPr>
        <w:t xml:space="preserve"> (</w:t>
      </w:r>
      <w:r>
        <w:rPr>
          <w:color w:val="2a2a2a"/>
          <w:shd w:val="clear" w:color="auto" w:fill="ffffff"/>
          <w:rtl w:val="0"/>
        </w:rPr>
        <w:t>Obrist, H.U. 2014)</w:t>
      </w:r>
      <w:r>
        <w:rPr>
          <w:color w:val="2a2a2a"/>
          <w:shd w:val="clear" w:color="auto" w:fill="ffffff"/>
          <w:rtl w:val="0"/>
          <w:lang w:val="en-US"/>
        </w:rPr>
        <w:t xml:space="preserve">. </w:t>
      </w:r>
    </w:p>
    <w:p>
      <w:pPr>
        <w:pStyle w:val="Default"/>
        <w:bidi w:val="0"/>
        <w:spacing w:line="480" w:lineRule="auto"/>
        <w:ind w:left="0" w:right="0" w:firstLine="0"/>
        <w:jc w:val="left"/>
        <w:rPr>
          <w:color w:val="2a2a2a"/>
          <w:shd w:val="clear" w:color="auto" w:fill="ffffff"/>
          <w:rtl w:val="0"/>
        </w:rPr>
      </w:pPr>
      <w:r>
        <w:rPr>
          <w:color w:val="2a2a2a"/>
          <w:shd w:val="clear" w:color="auto" w:fill="ffffff"/>
          <w:rtl w:val="0"/>
          <w:lang w:val="en-US"/>
        </w:rPr>
        <w:t>He later went on to explain that the jobs a curare would undertake in Ancient Rome were to be rather unpleasant and involved over seeing the public works. This consisted of the empire</w:t>
      </w:r>
      <w:r>
        <w:rPr>
          <w:color w:val="2a2a2a"/>
          <w:shd w:val="clear" w:color="auto" w:fill="ffffff"/>
          <w:rtl w:val="0"/>
          <w:lang w:val="en-US"/>
        </w:rPr>
        <w:t>’</w:t>
      </w:r>
      <w:r>
        <w:rPr>
          <w:color w:val="2a2a2a"/>
          <w:shd w:val="clear" w:color="auto" w:fill="ffffff"/>
          <w:rtl w:val="0"/>
          <w:lang w:val="en-US"/>
        </w:rPr>
        <w:t xml:space="preserve">s aqueducts, bath houses and sewers, which was not the most glamorous of jobs compared to those of a modern day. Although he does not put a date on the Ancient Rome era. He then went on to outline that during the medieval generation, </w:t>
      </w:r>
      <w:r>
        <w:rPr>
          <w:color w:val="2a2a2a"/>
          <w:shd w:val="clear" w:color="auto" w:fill="ffffff"/>
          <w:rtl w:val="0"/>
          <w:lang w:val="en-US"/>
        </w:rPr>
        <w:t>“</w:t>
      </w:r>
      <w:r>
        <w:rPr>
          <w:color w:val="2a2a2a"/>
          <w:shd w:val="clear" w:color="auto" w:fill="ffffff"/>
          <w:rtl w:val="0"/>
          <w:lang w:val="en-US"/>
        </w:rPr>
        <w:t>the focus shifted to a more metaphysical aspect of human life; the curatus was the priest who took care of the souls of a parish</w:t>
      </w:r>
      <w:r>
        <w:rPr>
          <w:color w:val="2a2a2a"/>
          <w:shd w:val="clear" w:color="auto" w:fill="ffffff"/>
          <w:rtl w:val="0"/>
          <w:lang w:val="en-US"/>
        </w:rPr>
        <w:t xml:space="preserve">” </w:t>
      </w:r>
      <w:r>
        <w:rPr>
          <w:color w:val="2a2a2a"/>
          <w:shd w:val="clear" w:color="auto" w:fill="ffffff"/>
          <w:rtl w:val="0"/>
          <w:lang w:val="en-US"/>
        </w:rPr>
        <w:t>(</w:t>
      </w:r>
      <w:r>
        <w:rPr>
          <w:color w:val="2a2a2a"/>
          <w:shd w:val="clear" w:color="auto" w:fill="ffffff"/>
          <w:rtl w:val="0"/>
        </w:rPr>
        <w:t>Obrist, H.U. 2014)</w:t>
      </w:r>
      <w:r>
        <w:rPr>
          <w:color w:val="2a2a2a"/>
          <w:shd w:val="clear" w:color="auto" w:fill="ffffff"/>
          <w:rtl w:val="0"/>
          <w:lang w:val="en-US"/>
        </w:rPr>
        <w:t>. Metaphysics can be explained as a</w:t>
      </w:r>
      <w:r>
        <w:rPr>
          <w:color w:val="2a2a2a"/>
          <w:shd w:val="clear" w:color="auto" w:fill="ffffff"/>
          <w:rtl w:val="0"/>
          <w:lang w:val="en-US"/>
        </w:rPr>
        <w:t>bstract entities</w:t>
      </w:r>
      <w:r>
        <w:rPr>
          <w:color w:val="2a2a2a"/>
          <w:shd w:val="clear" w:color="auto" w:fill="ffffff"/>
          <w:rtl w:val="0"/>
          <w:lang w:val="en-US"/>
        </w:rPr>
        <w:t>, thoughts, questions that cannot be answered wholly or located in an exact time. This is suggesting a whole new realm of spirituality considered within curation (Tiercelin, C. 2011).</w:t>
      </w:r>
    </w:p>
    <w:p>
      <w:pPr>
        <w:pStyle w:val="Default"/>
        <w:bidi w:val="0"/>
        <w:spacing w:line="480" w:lineRule="auto"/>
        <w:ind w:left="0" w:right="0" w:firstLine="0"/>
        <w:jc w:val="left"/>
        <w:rPr>
          <w:color w:val="2a2a2a"/>
          <w:shd w:val="clear" w:color="auto" w:fill="ffffff"/>
          <w:rtl w:val="0"/>
        </w:rPr>
      </w:pPr>
      <w:r>
        <w:rPr>
          <w:color w:val="2a2a2a"/>
          <w:shd w:val="clear" w:color="auto" w:fill="ffffff"/>
          <w:rtl w:val="0"/>
          <w:lang w:val="en-US"/>
        </w:rPr>
        <w:t xml:space="preserve">In complete contrast to what Hans Ulrich Obrist believed to be the logical and historical answer to the origin of curation, Dr Stefan Nowotny of Goldsmiths University lead to believe that the foundations of curation derive from a fable by the Latin author Hyginus in an essay from The Curatorial: A Philosophy of Curating. In this fable, the tale is told of a character named Cura, when the name is translated from Latin to English it converts to </w:t>
      </w:r>
      <w:r>
        <w:rPr>
          <w:color w:val="2a2a2a"/>
          <w:shd w:val="clear" w:color="auto" w:fill="ffffff"/>
          <w:rtl w:val="0"/>
          <w:lang w:val="en-US"/>
        </w:rPr>
        <w:t>‘</w:t>
      </w:r>
      <w:r>
        <w:rPr>
          <w:color w:val="2a2a2a"/>
          <w:shd w:val="clear" w:color="auto" w:fill="ffffff"/>
          <w:rtl w:val="0"/>
          <w:lang w:val="en-US"/>
        </w:rPr>
        <w:t>care</w:t>
      </w:r>
      <w:r>
        <w:rPr>
          <w:color w:val="2a2a2a"/>
          <w:shd w:val="clear" w:color="auto" w:fill="ffffff"/>
          <w:rtl w:val="0"/>
          <w:lang w:val="en-US"/>
        </w:rPr>
        <w:t xml:space="preserve">’ </w:t>
      </w:r>
      <w:r>
        <w:rPr>
          <w:color w:val="2a2a2a"/>
          <w:shd w:val="clear" w:color="auto" w:fill="ffffff"/>
          <w:rtl w:val="0"/>
          <w:lang w:val="en-US"/>
        </w:rPr>
        <w:t xml:space="preserve">or </w:t>
      </w:r>
      <w:r>
        <w:rPr>
          <w:color w:val="2a2a2a"/>
          <w:shd w:val="clear" w:color="auto" w:fill="ffffff"/>
          <w:rtl w:val="0"/>
          <w:lang w:val="en-US"/>
        </w:rPr>
        <w:t>‘</w:t>
      </w:r>
      <w:r>
        <w:rPr>
          <w:color w:val="2a2a2a"/>
          <w:shd w:val="clear" w:color="auto" w:fill="ffffff"/>
          <w:rtl w:val="0"/>
          <w:lang w:val="en-US"/>
        </w:rPr>
        <w:t>concern</w:t>
      </w:r>
      <w:r>
        <w:rPr>
          <w:color w:val="2a2a2a"/>
          <w:shd w:val="clear" w:color="auto" w:fill="ffffff"/>
          <w:rtl w:val="0"/>
          <w:lang w:val="en-US"/>
        </w:rPr>
        <w:t>’</w:t>
      </w:r>
      <w:r>
        <w:rPr>
          <w:color w:val="2a2a2a"/>
          <w:shd w:val="clear" w:color="auto" w:fill="ffffff"/>
          <w:rtl w:val="0"/>
          <w:lang w:val="en-US"/>
        </w:rPr>
        <w:t>. This definition is similar to Obrist</w:t>
      </w:r>
      <w:r>
        <w:rPr>
          <w:color w:val="2a2a2a"/>
          <w:shd w:val="clear" w:color="auto" w:fill="ffffff"/>
          <w:rtl w:val="0"/>
          <w:lang w:val="en-US"/>
        </w:rPr>
        <w:t>’</w:t>
      </w:r>
      <w:r>
        <w:rPr>
          <w:color w:val="2a2a2a"/>
          <w:shd w:val="clear" w:color="auto" w:fill="ffffff"/>
          <w:rtl w:val="0"/>
          <w:lang w:val="en-US"/>
        </w:rPr>
        <w:t xml:space="preserve">s beliefs, however is derived from a fable. Unlike Obrist, Nowotny gives an estimate of a date that the term </w:t>
      </w:r>
      <w:r>
        <w:rPr>
          <w:color w:val="2a2a2a"/>
          <w:shd w:val="clear" w:color="auto" w:fill="ffffff"/>
          <w:rtl w:val="0"/>
          <w:lang w:val="en-US"/>
        </w:rPr>
        <w:t>‘</w:t>
      </w:r>
      <w:r>
        <w:rPr>
          <w:color w:val="2a2a2a"/>
          <w:shd w:val="clear" w:color="auto" w:fill="ffffff"/>
          <w:rtl w:val="0"/>
          <w:lang w:val="en-US"/>
        </w:rPr>
        <w:t>curatores rei publicae</w:t>
      </w:r>
      <w:r>
        <w:rPr>
          <w:color w:val="2a2a2a"/>
          <w:shd w:val="clear" w:color="auto" w:fill="ffffff"/>
          <w:rtl w:val="0"/>
          <w:lang w:val="en-US"/>
        </w:rPr>
        <w:t xml:space="preserve">’ </w:t>
      </w:r>
      <w:r>
        <w:rPr>
          <w:color w:val="2a2a2a"/>
          <w:shd w:val="clear" w:color="auto" w:fill="ffffff"/>
          <w:rtl w:val="0"/>
          <w:lang w:val="en-US"/>
        </w:rPr>
        <w:t xml:space="preserve">emerges at </w:t>
      </w:r>
      <w:r>
        <w:rPr>
          <w:color w:val="2a2a2a"/>
          <w:shd w:val="clear" w:color="auto" w:fill="ffffff"/>
          <w:rtl w:val="0"/>
          <w:lang w:val="en-US"/>
        </w:rPr>
        <w:t>“</w:t>
      </w:r>
      <w:r>
        <w:rPr>
          <w:color w:val="2a2a2a"/>
          <w:shd w:val="clear" w:color="auto" w:fill="ffffff"/>
          <w:rtl w:val="0"/>
          <w:lang w:val="en-US"/>
        </w:rPr>
        <w:t>around the year of 100</w:t>
      </w:r>
      <w:r>
        <w:rPr>
          <w:color w:val="2a2a2a"/>
          <w:shd w:val="clear" w:color="auto" w:fill="ffffff"/>
          <w:rtl w:val="0"/>
          <w:lang w:val="en-US"/>
        </w:rPr>
        <w:t>”</w:t>
      </w:r>
      <w:r>
        <w:rPr>
          <w:color w:val="2a2a2a"/>
          <w:shd w:val="clear" w:color="auto" w:fill="ffffff"/>
          <w:rtl w:val="0"/>
          <w:lang w:val="en-US"/>
        </w:rPr>
        <w:t xml:space="preserve">. He states that the curators of public affairs were surprisingly ambassadors of the Imperial Roman Government, who were to ordered to govern the financial situation of the capital. This gives the role a whole new insight on to a more political and anthropological take as opposed to what a curator is considered now in modern day. </w:t>
      </w:r>
      <w:r>
        <w:rPr>
          <w:color w:val="2a2a2a"/>
          <w:shd w:val="clear" w:color="auto" w:fill="ffffff"/>
          <w:rtl w:val="0"/>
          <w:lang w:val="en-US"/>
        </w:rPr>
        <w:t xml:space="preserve">Further more supporting this idea the icon, writer and designer </w:t>
      </w:r>
      <w:r>
        <w:rPr>
          <w:color w:val="2a2a2a"/>
          <w:shd w:val="clear" w:color="auto" w:fill="ffffff"/>
          <w:rtl w:val="0"/>
          <w:lang w:val="en-US"/>
        </w:rPr>
        <w:t>David Levi Strauss has written</w:t>
      </w:r>
      <w:r>
        <w:rPr>
          <w:color w:val="2a2a2a"/>
          <w:shd w:val="clear" w:color="auto" w:fill="ffffff"/>
          <w:rtl w:val="0"/>
          <w:lang w:val="en-US"/>
        </w:rPr>
        <w:t xml:space="preserve"> within one of his books</w:t>
      </w:r>
      <w:r>
        <w:rPr>
          <w:color w:val="2a2a2a"/>
          <w:shd w:val="clear" w:color="auto" w:fill="ffffff"/>
          <w:rtl w:val="0"/>
        </w:rPr>
        <w:t xml:space="preserve">, </w:t>
      </w:r>
      <w:r>
        <w:rPr>
          <w:color w:val="2a2a2a"/>
          <w:shd w:val="clear" w:color="auto" w:fill="ffffff"/>
          <w:rtl w:val="0"/>
          <w:lang w:val="en-US"/>
        </w:rPr>
        <w:t>"</w:t>
      </w:r>
      <w:r>
        <w:rPr>
          <w:color w:val="2a2a2a"/>
          <w:shd w:val="clear" w:color="auto" w:fill="ffffff"/>
          <w:rtl w:val="0"/>
          <w:lang w:val="en-US"/>
        </w:rPr>
        <w:t>curators have always been a curious mixture of bureaucrat and priest</w:t>
      </w:r>
      <w:r>
        <w:rPr>
          <w:color w:val="2a2a2a"/>
          <w:shd w:val="clear" w:color="auto" w:fill="ffffff"/>
          <w:rtl w:val="0"/>
          <w:lang w:val="en-US"/>
        </w:rPr>
        <w:t xml:space="preserve">” </w:t>
      </w:r>
      <w:r>
        <w:rPr>
          <w:color w:val="2a2a2a"/>
          <w:shd w:val="clear" w:color="auto" w:fill="ffffff"/>
          <w:rtl w:val="0"/>
          <w:lang w:val="en-US"/>
        </w:rPr>
        <w:t>(Strauss, D 2010). Giving a wonderful short explanation of how an older generation curator should be perceived.</w:t>
      </w:r>
    </w:p>
    <w:p>
      <w:pPr>
        <w:pStyle w:val="Default"/>
        <w:bidi w:val="0"/>
        <w:spacing w:line="480" w:lineRule="auto"/>
        <w:ind w:left="0" w:right="0" w:firstLine="0"/>
        <w:jc w:val="left"/>
        <w:rPr>
          <w:color w:val="2a2a2a"/>
          <w:shd w:val="clear" w:color="auto" w:fill="ffffff"/>
          <w:rtl w:val="0"/>
        </w:rPr>
      </w:pPr>
      <w:r>
        <w:rPr>
          <w:color w:val="2a2a2a"/>
          <w:shd w:val="clear" w:color="auto" w:fill="ffffff"/>
          <w:rtl w:val="0"/>
          <w:lang w:val="en-US"/>
        </w:rPr>
        <w:t xml:space="preserve">Later on, Obrist explains that around the time of the eighteenth century a curator would be considered as someone who would have the honour of care taking the museum or galleries works. Moving forward he illustrates that </w:t>
      </w:r>
      <w:r>
        <w:rPr>
          <w:color w:val="2a2a2a"/>
          <w:shd w:val="clear" w:color="auto" w:fill="ffffff"/>
          <w:rtl w:val="0"/>
          <w:lang w:val="en-US"/>
        </w:rPr>
        <w:t>“</w:t>
      </w:r>
      <w:r>
        <w:rPr>
          <w:color w:val="2a2a2a"/>
          <w:shd w:val="clear" w:color="auto" w:fill="ffffff"/>
          <w:rtl w:val="0"/>
          <w:lang w:val="en-US"/>
        </w:rPr>
        <w:t>There is the task of displaying and arranging the art on the wall and in the galleries: the making of exhibitions</w:t>
      </w:r>
      <w:r>
        <w:rPr>
          <w:color w:val="2a2a2a"/>
          <w:shd w:val="clear" w:color="auto" w:fill="ffffff"/>
          <w:rtl w:val="0"/>
          <w:lang w:val="en-US"/>
        </w:rPr>
        <w:t xml:space="preserve">” </w:t>
      </w:r>
      <w:r>
        <w:rPr>
          <w:color w:val="2a2a2a"/>
          <w:shd w:val="clear" w:color="auto" w:fill="ffffff"/>
          <w:rtl w:val="0"/>
          <w:lang w:val="en-US"/>
        </w:rPr>
        <w:t>(</w:t>
      </w:r>
      <w:r>
        <w:rPr>
          <w:color w:val="2a2a2a"/>
          <w:shd w:val="clear" w:color="auto" w:fill="ffffff"/>
          <w:rtl w:val="0"/>
        </w:rPr>
        <w:t>Obrist, H.U. 2014)</w:t>
      </w:r>
      <w:r>
        <w:rPr>
          <w:color w:val="2a2a2a"/>
          <w:shd w:val="clear" w:color="auto" w:fill="ffffff"/>
          <w:rtl w:val="0"/>
        </w:rPr>
        <w:t>.</w:t>
      </w:r>
      <w:r>
        <w:rPr>
          <w:color w:val="2a2a2a"/>
          <w:shd w:val="clear" w:color="auto" w:fill="ffffff"/>
          <w:rtl w:val="0"/>
          <w:lang w:val="en-US"/>
        </w:rPr>
        <w:t xml:space="preserve"> </w:t>
      </w:r>
      <w:r>
        <w:rPr>
          <w:color w:val="2a2a2a"/>
          <w:shd w:val="clear" w:color="auto" w:fill="ffffff"/>
          <w:rtl w:val="0"/>
          <w:lang w:val="en-US"/>
        </w:rPr>
        <w:t>Also, much like Obrist</w:t>
      </w:r>
      <w:r>
        <w:rPr>
          <w:color w:val="2a2a2a"/>
          <w:shd w:val="clear" w:color="auto" w:fill="ffffff"/>
          <w:rtl w:val="0"/>
          <w:lang w:val="en-US"/>
        </w:rPr>
        <w:t>’</w:t>
      </w:r>
      <w:r>
        <w:rPr>
          <w:color w:val="2a2a2a"/>
          <w:shd w:val="clear" w:color="auto" w:fill="ffffff"/>
          <w:rtl w:val="0"/>
          <w:lang w:val="en-US"/>
        </w:rPr>
        <w:t>s take on the metaphysical aspect of curation, Nowotny</w:t>
      </w:r>
      <w:r>
        <w:rPr>
          <w:color w:val="2a2a2a"/>
          <w:shd w:val="clear" w:color="auto" w:fill="ffffff"/>
          <w:rtl w:val="0"/>
          <w:lang w:val="en-US"/>
        </w:rPr>
        <w:t>’</w:t>
      </w:r>
      <w:r>
        <w:rPr>
          <w:color w:val="2a2a2a"/>
          <w:shd w:val="clear" w:color="auto" w:fill="ffffff"/>
          <w:rtl w:val="0"/>
          <w:lang w:val="en-US"/>
        </w:rPr>
        <w:t>s essay explores some similarities and discusses how not only are 21st century curators a modern day vision of Cura</w:t>
      </w:r>
      <w:r>
        <w:rPr>
          <w:color w:val="2a2a2a"/>
          <w:shd w:val="clear" w:color="auto" w:fill="ffffff"/>
          <w:rtl w:val="0"/>
          <w:lang w:val="en-US"/>
        </w:rPr>
        <w:t>’</w:t>
      </w:r>
      <w:r>
        <w:rPr>
          <w:color w:val="2a2a2a"/>
          <w:shd w:val="clear" w:color="auto" w:fill="ffffff"/>
          <w:rtl w:val="0"/>
          <w:lang w:val="en-US"/>
        </w:rPr>
        <w:t>s actions. Much like a modern manifestation of how her crossing of rivers, lack of self awareness and desire to build translates into ones actions and is embedded into the of the act/performance of curation today.</w:t>
      </w:r>
      <w:r>
        <w:rPr>
          <w:color w:val="2a2a2a"/>
          <w:shd w:val="clear" w:color="auto" w:fill="ffffff"/>
          <w:rtl w:val="0"/>
        </w:rPr>
        <w:t xml:space="preserve"> </w:t>
      </w:r>
      <w:r>
        <w:rPr>
          <w:color w:val="2a2a2a"/>
          <w:shd w:val="clear" w:color="auto" w:fill="ffffff"/>
          <w:rtl w:val="0"/>
          <w:lang w:val="en-US"/>
        </w:rPr>
        <w:t xml:space="preserve">This explanation of the role is now what would be considered as the modern day job description of what a curator should have to undertake. Although the role has developed and moved throughout the centuries the core aspects of care, cultivating and propagation are what still remains crucial. </w:t>
      </w:r>
    </w:p>
    <w:p>
      <w:pPr>
        <w:pStyle w:val="Body"/>
        <w:spacing w:line="480" w:lineRule="auto"/>
      </w:pPr>
    </w:p>
    <w:p>
      <w:pPr>
        <w:pStyle w:val="Body"/>
        <w:spacing w:line="480" w:lineRule="auto"/>
      </w:pPr>
      <w:r>
        <w:rPr>
          <w:rtl w:val="0"/>
          <w:lang w:val="en-US"/>
        </w:rPr>
        <w:t>Following on from curation, I have explored feminism and the implications of being a woman within the arts from earlier eras to modern day women. During my research I became intrigued by women curators and the amount of women in high paid roles within artistic employment.</w:t>
      </w:r>
      <w:r>
        <w:drawing>
          <wp:anchor distT="152400" distB="152400" distL="152400" distR="152400" simplePos="0" relativeHeight="251659264" behindDoc="0" locked="0" layoutInCell="1" allowOverlap="1">
            <wp:simplePos x="0" y="0"/>
            <wp:positionH relativeFrom="margin">
              <wp:posOffset>3376157</wp:posOffset>
            </wp:positionH>
            <wp:positionV relativeFrom="line">
              <wp:posOffset>193718</wp:posOffset>
            </wp:positionV>
            <wp:extent cx="2737549" cy="3650066"/>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IMG_6219.jpg"/>
                    <pic:cNvPicPr>
                      <a:picLocks noChangeAspect="1"/>
                    </pic:cNvPicPr>
                  </pic:nvPicPr>
                  <pic:blipFill>
                    <a:blip r:embed="rId5">
                      <a:extLst/>
                    </a:blip>
                    <a:stretch>
                      <a:fillRect/>
                    </a:stretch>
                  </pic:blipFill>
                  <pic:spPr>
                    <a:xfrm>
                      <a:off x="0" y="0"/>
                      <a:ext cx="2737549" cy="3650066"/>
                    </a:xfrm>
                    <a:prstGeom prst="rect">
                      <a:avLst/>
                    </a:prstGeom>
                    <a:ln w="12700" cap="flat">
                      <a:noFill/>
                      <a:miter lim="400000"/>
                    </a:ln>
                    <a:effectLst/>
                  </pic:spPr>
                </pic:pic>
              </a:graphicData>
            </a:graphic>
          </wp:anchor>
        </w:drawing>
      </w:r>
    </w:p>
    <w:p>
      <w:pPr>
        <w:pStyle w:val="Body"/>
        <w:spacing w:line="480" w:lineRule="auto"/>
      </w:pPr>
      <w:r>
        <w:rPr>
          <w:rtl w:val="0"/>
          <w:lang w:val="en-US"/>
        </w:rPr>
        <w:t xml:space="preserve">In the Merriam Webster Dictionary, they describe feminism as </w:t>
      </w:r>
      <w:r>
        <w:rPr>
          <w:rFonts w:ascii="Helvetica" w:hAnsi="Helvetica" w:hint="default"/>
          <w:color w:val="212529"/>
          <w:sz w:val="32"/>
          <w:szCs w:val="32"/>
          <w:rtl w:val="0"/>
          <w:lang w:val="en-US"/>
        </w:rPr>
        <w:t>“</w:t>
      </w:r>
      <w:r>
        <w:rPr>
          <w:rtl w:val="0"/>
          <w:lang w:val="en-US"/>
        </w:rPr>
        <w:t>the theory of the political, economic, and social equality of the sexes</w:t>
      </w:r>
      <w:r>
        <w:rPr>
          <w:rtl w:val="0"/>
          <w:lang w:val="en-US"/>
        </w:rPr>
        <w:t xml:space="preserve">” </w:t>
      </w:r>
      <w:r>
        <w:rPr>
          <w:rtl w:val="0"/>
          <w:lang w:val="en-US"/>
        </w:rPr>
        <w:t xml:space="preserve">and </w:t>
      </w:r>
      <w:r>
        <w:rPr>
          <w:rtl w:val="0"/>
          <w:lang w:val="en-US"/>
        </w:rPr>
        <w:t>“</w:t>
      </w:r>
      <w:r>
        <w:rPr>
          <w:rtl w:val="0"/>
        </w:rPr>
        <w:t>organi</w:t>
      </w:r>
      <w:r>
        <w:rPr>
          <w:rtl w:val="0"/>
          <w:lang w:val="en-US"/>
        </w:rPr>
        <w:t>s</w:t>
      </w:r>
      <w:r>
        <w:rPr>
          <w:rtl w:val="0"/>
          <w:lang w:val="en-US"/>
        </w:rPr>
        <w:t>ed activity on behalf of women's rights and interests</w:t>
      </w:r>
      <w:r>
        <w:rPr>
          <w:rtl w:val="0"/>
          <w:lang w:val="en-US"/>
        </w:rPr>
        <w:t>”</w:t>
      </w:r>
      <w:r>
        <w:rPr>
          <w:rtl w:val="0"/>
          <w:lang w:val="en-US"/>
        </w:rPr>
        <w:t>. Within the arts there is a significant segregation between male and female artists.</w:t>
      </w:r>
    </w:p>
    <w:p>
      <w:pPr>
        <w:pStyle w:val="Default"/>
        <w:bidi w:val="0"/>
        <w:spacing w:line="480" w:lineRule="auto"/>
        <w:ind w:left="0" w:right="0" w:firstLine="0"/>
        <w:jc w:val="left"/>
        <w:rPr>
          <w:color w:val="1a1a1a"/>
          <w:shd w:val="clear" w:color="auto" w:fill="ffffff"/>
          <w:rtl w:val="0"/>
        </w:rPr>
      </w:pPr>
      <w:r>
        <w:rPr>
          <w:color w:val="1a1a1a"/>
          <w:shd w:val="clear" w:color="auto" w:fill="ffffff"/>
          <w:rtl w:val="0"/>
          <w:lang w:val="en-US"/>
        </w:rPr>
        <w:t>During the ages between</w:t>
      </w:r>
      <w:r>
        <w:rPr>
          <w:color w:val="1a1a1a"/>
          <w:shd w:val="clear" w:color="auto" w:fill="ffffff"/>
          <w:rtl w:val="0"/>
        </w:rPr>
        <w:t xml:space="preserve"> 1776-1928</w:t>
      </w:r>
      <w:r>
        <w:rPr>
          <w:color w:val="1a1a1a"/>
          <w:shd w:val="clear" w:color="auto" w:fill="ffffff"/>
          <w:rtl w:val="0"/>
          <w:lang w:val="en-US"/>
        </w:rPr>
        <w:t xml:space="preserve"> the US saw the coming together of the first women societies</w:t>
      </w:r>
      <w:r>
        <w:rPr>
          <w:color w:val="1a1a1a"/>
          <w:shd w:val="clear" w:color="auto" w:fill="ffffff"/>
          <w:rtl w:val="0"/>
        </w:rPr>
        <w:t xml:space="preserve">, </w:t>
      </w:r>
      <w:r>
        <w:rPr>
          <w:color w:val="1a1a1a"/>
          <w:shd w:val="clear" w:color="auto" w:fill="ffffff"/>
          <w:rtl w:val="0"/>
          <w:lang w:val="en-US"/>
        </w:rPr>
        <w:t xml:space="preserve">within </w:t>
      </w:r>
      <w:r>
        <w:rPr>
          <w:color w:val="1a1a1a"/>
          <w:shd w:val="clear" w:color="auto" w:fill="ffffff"/>
          <w:rtl w:val="0"/>
          <w:lang w:val="fr-FR"/>
        </w:rPr>
        <w:t>Britain</w:t>
      </w:r>
      <w:r>
        <w:rPr>
          <w:color w:val="1a1a1a"/>
          <w:shd w:val="clear" w:color="auto" w:fill="ffffff"/>
          <w:rtl w:val="0"/>
          <w:lang w:val="en-US"/>
        </w:rPr>
        <w:t>. Many other countries including Europe started to follow suit</w:t>
      </w:r>
      <w:r>
        <w:rPr>
          <w:color w:val="1a1a1a"/>
          <w:shd w:val="clear" w:color="auto" w:fill="ffffff"/>
          <w:rtl w:val="0"/>
          <w:lang w:val="en-US"/>
        </w:rPr>
        <w:t xml:space="preserve">. Early feminists </w:t>
      </w:r>
      <w:r>
        <w:rPr>
          <w:color w:val="1a1a1a"/>
          <w:shd w:val="clear" w:color="auto" w:fill="ffffff"/>
          <w:rtl w:val="0"/>
          <w:lang w:val="en-US"/>
        </w:rPr>
        <w:t>of this time saw what was the start of job opportunities for</w:t>
      </w:r>
      <w:r>
        <w:rPr>
          <w:color w:val="1a1a1a"/>
          <w:shd w:val="clear" w:color="auto" w:fill="ffffff"/>
          <w:rtl w:val="0"/>
        </w:rPr>
        <mc:AlternateContent>
          <mc:Choice Requires="wps">
            <w:drawing>
              <wp:anchor distT="152400" distB="152400" distL="152400" distR="152400" simplePos="0" relativeHeight="251660288" behindDoc="0" locked="0" layoutInCell="1" allowOverlap="1">
                <wp:simplePos x="0" y="0"/>
                <wp:positionH relativeFrom="margin">
                  <wp:posOffset>3376157</wp:posOffset>
                </wp:positionH>
                <wp:positionV relativeFrom="line">
                  <wp:posOffset>438541</wp:posOffset>
                </wp:positionV>
                <wp:extent cx="2737549" cy="282668"/>
                <wp:effectExtent l="0" t="0" r="0" b="0"/>
                <wp:wrapThrough wrapText="bothSides" distL="152400" distR="1524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microsoft.com/office/word/2010/wordprocessingShape">
                    <wps:wsp>
                      <wps:cNvSpPr txBox="1"/>
                      <wps:spPr>
                        <a:xfrm>
                          <a:off x="0" y="0"/>
                          <a:ext cx="2737549" cy="282668"/>
                        </a:xfrm>
                        <a:prstGeom prst="rect">
                          <a:avLst/>
                        </a:prstGeom>
                        <a:noFill/>
                        <a:ln w="12700" cap="flat">
                          <a:noFill/>
                          <a:miter lim="400000"/>
                        </a:ln>
                        <a:effectLst/>
                      </wps:spPr>
                      <wps:txbx>
                        <w:txbxContent>
                          <w:p>
                            <w:pPr>
                              <w:pStyle w:val="Body"/>
                              <w:bidi w:val="0"/>
                            </w:pPr>
                            <w:r>
                              <w:rPr>
                                <w:rFonts w:cs="Arial Unicode MS" w:eastAsia="Arial Unicode MS"/>
                                <w:rtl w:val="0"/>
                                <w:lang w:val="en-US"/>
                              </w:rPr>
                              <w:t>Fig. 2</w:t>
                            </w:r>
                          </w:p>
                        </w:txbxContent>
                      </wps:txbx>
                      <wps:bodyPr wrap="square" lIns="50800" tIns="50800" rIns="50800" bIns="50800" numCol="1" anchor="t">
                        <a:noAutofit/>
                      </wps:bodyPr>
                    </wps:wsp>
                  </a:graphicData>
                </a:graphic>
              </wp:anchor>
            </w:drawing>
          </mc:Choice>
          <mc:Fallback>
            <w:pict>
              <v:shape id="_x0000_s1027" type="#_x0000_t202" style="visibility:visible;position:absolute;margin-left:265.8pt;margin-top:34.5pt;width:215.6pt;height:22.3pt;z-index:251660288;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bidi w:val="0"/>
                      </w:pPr>
                      <w:r>
                        <w:rPr>
                          <w:rFonts w:cs="Arial Unicode MS" w:eastAsia="Arial Unicode MS"/>
                          <w:rtl w:val="0"/>
                          <w:lang w:val="en-US"/>
                        </w:rPr>
                        <w:t>Fig. 2</w:t>
                      </w:r>
                    </w:p>
                  </w:txbxContent>
                </v:textbox>
                <w10:wrap type="through" side="bothSides" anchorx="margin"/>
              </v:shape>
            </w:pict>
          </mc:Fallback>
        </mc:AlternateContent>
      </w:r>
      <w:r>
        <w:rPr>
          <w:color w:val="1a1a1a"/>
          <w:shd w:val="clear" w:color="auto" w:fill="ffffff"/>
          <w:rtl w:val="0"/>
          <w:lang w:val="en-US"/>
        </w:rPr>
        <w:t xml:space="preserve"> employment and education for females, a revolutionary experience but still not enough.</w:t>
      </w:r>
    </w:p>
    <w:p>
      <w:pPr>
        <w:pStyle w:val="Default"/>
        <w:bidi w:val="0"/>
        <w:spacing w:line="480" w:lineRule="auto"/>
        <w:ind w:left="0" w:right="0" w:firstLine="0"/>
        <w:jc w:val="left"/>
        <w:rPr>
          <w:color w:val="1a1a1a"/>
          <w:shd w:val="clear" w:color="auto" w:fill="ffffff"/>
          <w:rtl w:val="0"/>
        </w:rPr>
      </w:pPr>
      <w:r>
        <w:rPr>
          <w:color w:val="1a1a1a"/>
          <w:shd w:val="clear" w:color="auto" w:fill="ffffff"/>
          <w:rtl w:val="0"/>
          <w:lang w:val="en-US"/>
        </w:rPr>
        <w:t>T</w:t>
      </w:r>
      <w:r>
        <w:rPr>
          <w:color w:val="1a1a1a"/>
          <w:shd w:val="clear" w:color="auto" w:fill="ffffff"/>
          <w:rtl w:val="0"/>
          <w:lang w:val="en-US"/>
        </w:rPr>
        <w:t xml:space="preserve">he </w:t>
      </w:r>
      <w:r>
        <w:rPr>
          <w:color w:val="1a1a1a"/>
          <w:shd w:val="clear" w:color="auto" w:fill="ffffff"/>
          <w:rtl w:val="0"/>
          <w:lang w:val="en-US"/>
        </w:rPr>
        <w:t xml:space="preserve">eruption </w:t>
      </w:r>
      <w:r>
        <w:rPr>
          <w:color w:val="1a1a1a"/>
          <w:shd w:val="clear" w:color="auto" w:fill="ffffff"/>
          <w:rtl w:val="0"/>
          <w:lang w:val="en-US"/>
        </w:rPr>
        <w:t xml:space="preserve">of the First World War created </w:t>
      </w:r>
      <w:r>
        <w:rPr>
          <w:color w:val="1a1a1a"/>
          <w:shd w:val="clear" w:color="auto" w:fill="ffffff"/>
          <w:rtl w:val="0"/>
          <w:lang w:val="en-US"/>
        </w:rPr>
        <w:t>many</w:t>
      </w:r>
      <w:r>
        <w:rPr>
          <w:color w:val="1a1a1a"/>
          <w:shd w:val="clear" w:color="auto" w:fill="ffffff"/>
          <w:rtl w:val="0"/>
        </w:rPr>
        <w:t xml:space="preserve"> </w:t>
      </w:r>
      <w:r>
        <w:rPr>
          <w:color w:val="1a1a1a"/>
          <w:shd w:val="clear" w:color="auto" w:fill="ffffff"/>
          <w:rtl w:val="0"/>
          <w:lang w:val="en-US"/>
        </w:rPr>
        <w:t>jobs</w:t>
      </w:r>
      <w:r>
        <w:rPr>
          <w:color w:val="1a1a1a"/>
          <w:shd w:val="clear" w:color="auto" w:fill="ffffff"/>
          <w:rtl w:val="0"/>
          <w:lang w:val="en-US"/>
        </w:rPr>
        <w:t xml:space="preserve"> for middle-class </w:t>
      </w:r>
      <w:r>
        <w:rPr>
          <w:color w:val="1a1a1a"/>
          <w:shd w:val="clear" w:color="auto" w:fill="ffffff"/>
          <w:rtl w:val="0"/>
          <w:lang w:val="en-US"/>
        </w:rPr>
        <w:t>females</w:t>
      </w:r>
      <w:r>
        <w:rPr>
          <w:color w:val="1a1a1a"/>
          <w:shd w:val="clear" w:color="auto" w:fill="ffffff"/>
          <w:rtl w:val="0"/>
          <w:lang w:val="en-US"/>
        </w:rPr>
        <w:t xml:space="preserve"> as nurses and ambulance drivers </w:t>
      </w:r>
      <w:r>
        <w:rPr>
          <w:color w:val="1a1a1a"/>
          <w:shd w:val="clear" w:color="auto" w:fill="ffffff"/>
          <w:rtl w:val="0"/>
          <w:lang w:val="en-US"/>
        </w:rPr>
        <w:t xml:space="preserve">became required, </w:t>
      </w:r>
      <w:r>
        <w:rPr>
          <w:color w:val="1a1a1a"/>
          <w:shd w:val="clear" w:color="auto" w:fill="ffffff"/>
          <w:rtl w:val="0"/>
          <w:lang w:val="en-US"/>
        </w:rPr>
        <w:t xml:space="preserve">although the war did </w:t>
      </w:r>
      <w:r>
        <w:rPr>
          <w:color w:val="1a1a1a"/>
          <w:shd w:val="clear" w:color="auto" w:fill="ffffff"/>
          <w:rtl w:val="0"/>
          <w:lang w:val="en-US"/>
        </w:rPr>
        <w:t xml:space="preserve">insufficient </w:t>
      </w:r>
      <w:r>
        <w:rPr>
          <w:color w:val="1a1a1a"/>
          <w:shd w:val="clear" w:color="auto" w:fill="ffffff"/>
          <w:rtl w:val="0"/>
          <w:lang w:val="en-US"/>
        </w:rPr>
        <w:t xml:space="preserve">to </w:t>
      </w:r>
      <w:r>
        <w:rPr>
          <w:color w:val="1a1a1a"/>
          <w:shd w:val="clear" w:color="auto" w:fill="ffffff"/>
          <w:rtl w:val="0"/>
          <w:lang w:val="en-US"/>
        </w:rPr>
        <w:t xml:space="preserve">no </w:t>
      </w:r>
      <w:r>
        <w:rPr>
          <w:color w:val="1a1a1a"/>
          <w:shd w:val="clear" w:color="auto" w:fill="ffffff"/>
          <w:rtl w:val="0"/>
          <w:lang w:val="fr-FR"/>
        </w:rPr>
        <w:t xml:space="preserve">change </w:t>
      </w:r>
      <w:r>
        <w:rPr>
          <w:color w:val="1a1a1a"/>
          <w:shd w:val="clear" w:color="auto" w:fill="ffffff"/>
          <w:rtl w:val="0"/>
          <w:lang w:val="en-US"/>
        </w:rPr>
        <w:t xml:space="preserve">in </w:t>
      </w:r>
      <w:r>
        <w:rPr>
          <w:color w:val="1a1a1a"/>
          <w:shd w:val="clear" w:color="auto" w:fill="ffffff"/>
          <w:rtl w:val="0"/>
          <w:lang w:val="en-US"/>
        </w:rPr>
        <w:t xml:space="preserve">social and cultural </w:t>
      </w:r>
      <w:r>
        <w:rPr>
          <w:color w:val="1a1a1a"/>
          <w:shd w:val="clear" w:color="auto" w:fill="ffffff"/>
          <w:rtl w:val="0"/>
          <w:lang w:val="en-US"/>
        </w:rPr>
        <w:t xml:space="preserve">views </w:t>
      </w:r>
      <w:r>
        <w:rPr>
          <w:color w:val="1a1a1a"/>
          <w:shd w:val="clear" w:color="auto" w:fill="ffffff"/>
          <w:rtl w:val="0"/>
          <w:lang w:val="en-US"/>
        </w:rPr>
        <w:t>of gender roles</w:t>
      </w:r>
      <w:r>
        <w:rPr>
          <w:color w:val="1a1a1a"/>
          <w:shd w:val="clear" w:color="auto" w:fill="ffffff"/>
          <w:rtl w:val="0"/>
          <w:lang w:val="en-US"/>
        </w:rPr>
        <w:t xml:space="preserve"> within society</w:t>
      </w:r>
      <w:r>
        <w:rPr>
          <w:color w:val="1a1a1a"/>
          <w:shd w:val="clear" w:color="auto" w:fill="ffffff"/>
          <w:rtl w:val="0"/>
          <w:lang w:val="en-US"/>
        </w:rPr>
        <w:t xml:space="preserve">. This </w:t>
      </w:r>
      <w:r>
        <w:rPr>
          <w:color w:val="1a1a1a"/>
          <w:shd w:val="clear" w:color="auto" w:fill="ffffff"/>
          <w:rtl w:val="0"/>
          <w:lang w:val="en-US"/>
        </w:rPr>
        <w:t>age</w:t>
      </w:r>
      <w:r>
        <w:rPr>
          <w:color w:val="1a1a1a"/>
          <w:shd w:val="clear" w:color="auto" w:fill="ffffff"/>
          <w:rtl w:val="0"/>
          <w:lang w:val="en-US"/>
        </w:rPr>
        <w:t xml:space="preserve"> saw </w:t>
      </w:r>
      <w:r>
        <w:rPr>
          <w:color w:val="1a1a1a"/>
          <w:shd w:val="clear" w:color="auto" w:fill="ffffff"/>
          <w:rtl w:val="0"/>
          <w:lang w:val="en-US"/>
        </w:rPr>
        <w:t>a new</w:t>
      </w:r>
      <w:r>
        <w:rPr>
          <w:color w:val="1a1a1a"/>
          <w:shd w:val="clear" w:color="auto" w:fill="ffffff"/>
          <w:rtl w:val="0"/>
        </w:rPr>
        <w:t xml:space="preserve"> </w:t>
      </w:r>
      <w:r>
        <w:rPr>
          <w:color w:val="1a1a1a"/>
          <w:shd w:val="clear" w:color="auto" w:fill="ffffff"/>
          <w:rtl w:val="0"/>
          <w:lang w:val="en-US"/>
        </w:rPr>
        <w:t>beginning</w:t>
      </w:r>
      <w:r>
        <w:rPr>
          <w:color w:val="1a1a1a"/>
          <w:shd w:val="clear" w:color="auto" w:fill="ffffff"/>
          <w:rtl w:val="0"/>
        </w:rPr>
        <w:t xml:space="preserve"> </w:t>
      </w:r>
      <w:r>
        <w:rPr>
          <w:color w:val="1a1a1a"/>
          <w:shd w:val="clear" w:color="auto" w:fill="ffffff"/>
          <w:rtl w:val="0"/>
          <w:lang w:val="en-US"/>
        </w:rPr>
        <w:t xml:space="preserve">with </w:t>
      </w:r>
      <w:r>
        <w:rPr>
          <w:color w:val="1a1a1a"/>
          <w:shd w:val="clear" w:color="auto" w:fill="ffffff"/>
          <w:rtl w:val="0"/>
          <w:lang w:val="en-US"/>
        </w:rPr>
        <w:t xml:space="preserve">a number of new literary and artistic movements </w:t>
      </w:r>
      <w:r>
        <w:rPr>
          <w:color w:val="1a1a1a"/>
          <w:shd w:val="clear" w:color="auto" w:fill="ffffff"/>
          <w:rtl w:val="0"/>
          <w:lang w:val="en-US"/>
        </w:rPr>
        <w:t xml:space="preserve">where </w:t>
      </w:r>
      <w:r>
        <w:rPr>
          <w:color w:val="1a1a1a"/>
          <w:shd w:val="clear" w:color="auto" w:fill="ffffff"/>
          <w:rtl w:val="0"/>
          <w:lang w:val="en-US"/>
        </w:rPr>
        <w:t>women played a</w:t>
      </w:r>
      <w:r>
        <w:rPr>
          <w:color w:val="1a1a1a"/>
          <w:shd w:val="clear" w:color="auto" w:fill="ffffff"/>
          <w:rtl w:val="0"/>
          <w:lang w:val="en-US"/>
        </w:rPr>
        <w:t xml:space="preserve"> crucial role. (Routledge Resources 2019).</w:t>
      </w:r>
    </w:p>
    <w:p>
      <w:pPr>
        <w:pStyle w:val="Body"/>
        <w:spacing w:line="480" w:lineRule="auto"/>
      </w:pPr>
      <w:r>
        <w:rPr>
          <w:rtl w:val="0"/>
          <w:lang w:val="en-US"/>
        </w:rPr>
        <w:t xml:space="preserve">In </w:t>
      </w:r>
      <w:r>
        <w:rPr>
          <w:rtl w:val="0"/>
        </w:rPr>
        <w:t>1974</w:t>
      </w:r>
      <w:r>
        <w:rPr>
          <w:rtl w:val="0"/>
        </w:rPr>
        <w:t>–</w:t>
      </w:r>
      <w:r>
        <w:rPr>
          <w:rtl w:val="0"/>
        </w:rPr>
        <w:t>1979</w:t>
      </w:r>
      <w:r>
        <w:rPr>
          <w:rtl w:val="0"/>
          <w:lang w:val="en-US"/>
        </w:rPr>
        <w:t xml:space="preserve"> a revolutionary installation art piece was in the works by feminist and artist Judy Chicago. The piece traveled across the world and was shown </w:t>
      </w:r>
      <w:r>
        <w:rPr>
          <w:rtl w:val="0"/>
          <w:lang w:val="fr-FR"/>
        </w:rPr>
        <w:t>in 16 venues</w:t>
      </w:r>
      <w:r>
        <w:rPr>
          <w:rtl w:val="0"/>
          <w:lang w:val="en-US"/>
        </w:rPr>
        <w:t xml:space="preserve">, </w:t>
      </w:r>
      <w:r>
        <w:rPr>
          <w:rtl w:val="0"/>
          <w:lang w:val="en-US"/>
        </w:rPr>
        <w:t xml:space="preserve">6 countries on 3 continents </w:t>
      </w:r>
      <w:r>
        <w:rPr>
          <w:rtl w:val="0"/>
          <w:lang w:val="en-US"/>
        </w:rPr>
        <w:t>with an audience of over a million people (</w:t>
      </w:r>
      <w:r>
        <w:rPr>
          <w:rtl w:val="0"/>
          <w:lang w:val="en-US"/>
        </w:rPr>
        <w:t>Chicago/Woodman 2019</w:t>
      </w:r>
      <w:r>
        <w:rPr>
          <w:rtl w:val="0"/>
          <w:lang w:val="en-US"/>
        </w:rPr>
        <w:t xml:space="preserve">). It became a steppingstone within society for artistic women rights within the industry. It consists of thirty nine intricately produced placemats arranged upon a triangular shaped table, each representing a woman within history of great significance. Prior to this </w:t>
      </w:r>
      <w:r>
        <w:rPr>
          <w:rtl w:val="0"/>
          <w:lang w:val="en-US"/>
        </w:rPr>
        <w:t xml:space="preserve">Judy Chicago and </w:t>
      </w:r>
      <w:r>
        <w:rPr>
          <w:rtl w:val="0"/>
          <w:lang w:val="en-US"/>
        </w:rPr>
        <w:t xml:space="preserve">accompanying artist Miriam </w:t>
      </w:r>
      <w:r>
        <w:rPr>
          <w:rtl w:val="0"/>
          <w:lang w:val="fr-FR"/>
        </w:rPr>
        <w:t>Schapiro</w:t>
      </w:r>
      <w:r>
        <w:rPr>
          <w:rtl w:val="0"/>
          <w:lang w:val="en-US"/>
        </w:rPr>
        <w:t xml:space="preserve">, whom are both </w:t>
      </w:r>
      <w:r>
        <w:rPr>
          <w:rtl w:val="0"/>
          <w:lang w:val="en-US"/>
        </w:rPr>
        <w:t>founders of the California Institute of the Arts Feminist Art Program</w:t>
      </w:r>
      <w:r>
        <w:rPr>
          <w:rtl w:val="0"/>
          <w:lang w:val="en-US"/>
        </w:rPr>
        <w:t>, started project Womanhouse. It was considerably one of the first feminist art installations and performance spaces within American societies that was available for use.</w:t>
      </w:r>
    </w:p>
    <w:p>
      <w:pPr>
        <w:pStyle w:val="Body"/>
        <w:spacing w:line="480" w:lineRule="auto"/>
      </w:pPr>
      <w:r>
        <w:rPr>
          <w:rtl w:val="0"/>
          <w:lang w:val="en-US"/>
        </w:rPr>
        <w:t xml:space="preserve">Although the issue is becoming more prominent within society now in the twenty first century it is still a crucial problem, leading to pay gaps, less recognition and demoralisation. </w:t>
      </w:r>
    </w:p>
    <w:p>
      <w:pPr>
        <w:pStyle w:val="Body"/>
        <w:spacing w:line="480" w:lineRule="auto"/>
        <w:rPr>
          <w:color w:val="212529"/>
        </w:rPr>
      </w:pPr>
      <w:r>
        <w:rPr>
          <w:rtl w:val="0"/>
          <w:lang w:val="en-US"/>
        </w:rPr>
        <w:t>Along side Chicago, artists and designers alike such as Guerrilla Girls and Pussy Riot have aimed to tackle this issue by taking a more physical and political approach to the controversy. This physical approach can be anything to marches, boycotts or appearances around the problem areas.</w:t>
      </w:r>
    </w:p>
    <w:p>
      <w:pPr>
        <w:pStyle w:val="Body"/>
        <w:spacing w:line="480" w:lineRule="auto"/>
        <w:rPr>
          <w:color w:val="212529"/>
        </w:rPr>
      </w:pPr>
      <w:r>
        <w:rPr>
          <w:color w:val="212529"/>
          <w:rtl w:val="0"/>
          <w:lang w:val="en-US"/>
        </w:rPr>
        <w:t>However artists are not the only profession which this issue is becoming prevalent, curators, designers and even CEO</w:t>
      </w:r>
      <w:r>
        <w:rPr>
          <w:color w:val="212529"/>
          <w:rtl w:val="0"/>
          <w:lang w:val="en-US"/>
        </w:rPr>
        <w:t>’</w:t>
      </w:r>
      <w:r>
        <w:rPr>
          <w:color w:val="212529"/>
          <w:rtl w:val="0"/>
          <w:lang w:val="en-US"/>
        </w:rPr>
        <w:t xml:space="preserve">s of design lead companies suffer the burden of being a woman. Still today in the twenty first century, men and women are still considered in separate leagues. Feminist art historian Linda Nochlin and writer of well noted essay </w:t>
      </w:r>
      <w:r>
        <w:rPr>
          <w:color w:val="212529"/>
          <w:rtl w:val="0"/>
          <w:lang w:val="en-US"/>
        </w:rPr>
        <w:t>"Why Have There Been No Great Women Artists?</w:t>
      </w:r>
      <w:r>
        <w:rPr>
          <w:color w:val="212529"/>
          <w:rtl w:val="0"/>
          <w:lang w:val="en-US"/>
        </w:rPr>
        <w:t xml:space="preserve">” </w:t>
      </w:r>
      <w:r>
        <w:rPr>
          <w:color w:val="212529"/>
          <w:rtl w:val="0"/>
          <w:lang w:val="en-US"/>
        </w:rPr>
        <w:t xml:space="preserve">made a statement in an interview with author Maura Reilly claiming </w:t>
      </w:r>
      <w:r>
        <w:rPr>
          <w:color w:val="212529"/>
          <w:rtl w:val="0"/>
          <w:lang w:val="en-US"/>
        </w:rPr>
        <w:t>“</w:t>
      </w:r>
      <w:r>
        <w:rPr>
          <w:color w:val="212529"/>
          <w:rtl w:val="0"/>
          <w:lang w:val="en-US"/>
        </w:rPr>
        <w:t>In the West, greatness has been defined since antiquity as white, Western, privileged and, above all, male</w:t>
      </w:r>
      <w:r>
        <w:rPr>
          <w:color w:val="212529"/>
          <w:rtl w:val="0"/>
          <w:lang w:val="en-US"/>
        </w:rPr>
        <w:t xml:space="preserve">” </w:t>
      </w:r>
      <w:r>
        <w:rPr>
          <w:color w:val="212529"/>
          <w:rtl w:val="0"/>
          <w:lang w:val="en-US"/>
        </w:rPr>
        <w:t xml:space="preserve">Later on in the well known essay Nochlin went on to make a very bold, yet true statement of </w:t>
      </w:r>
      <w:r>
        <w:rPr>
          <w:color w:val="212529"/>
          <w:rtl w:val="0"/>
          <w:lang w:val="en-US"/>
        </w:rPr>
        <w:t>“</w:t>
      </w:r>
      <w:r>
        <w:rPr>
          <w:color w:val="212529"/>
          <w:rtl w:val="0"/>
          <w:lang w:val="en-US"/>
        </w:rPr>
        <w:t>There are no women equivalents for Rembrandt, Delacroix or Cezanne, Picasso or Mattise</w:t>
      </w:r>
      <w:r>
        <w:rPr>
          <w:color w:val="212529"/>
          <w:rtl w:val="0"/>
          <w:lang w:val="en-US"/>
        </w:rPr>
        <w:t xml:space="preserve">” </w:t>
      </w:r>
      <w:r>
        <w:rPr>
          <w:color w:val="212529"/>
          <w:rtl w:val="0"/>
          <w:lang w:val="en-US"/>
        </w:rPr>
        <w:t>(Nochlin 2013).</w:t>
      </w:r>
    </w:p>
    <w:p>
      <w:pPr>
        <w:pStyle w:val="Body"/>
        <w:spacing w:line="480" w:lineRule="auto"/>
        <w:jc w:val="both"/>
      </w:pPr>
    </w:p>
    <w:p>
      <w:pPr>
        <w:pStyle w:val="Body"/>
        <w:spacing w:line="480" w:lineRule="auto"/>
        <w:jc w:val="left"/>
      </w:pPr>
      <w:r>
        <w:rPr>
          <w:rtl w:val="0"/>
          <w:lang w:val="en-US"/>
        </w:rPr>
        <w:t xml:space="preserve">Activism however is the common denominator between all three keywords, not only is it a performance within itself but also brings all three keywords to a denouement. Curation and feminism both call upon issues within their practices that bring a need for activism, particularly feminism. The Cambridge dictionary defines Activism as </w:t>
      </w:r>
      <w:r>
        <w:rPr>
          <w:rtl w:val="0"/>
          <w:lang w:val="en-US"/>
        </w:rPr>
        <w:t>“</w:t>
      </w:r>
      <w:r>
        <w:rPr>
          <w:rtl w:val="0"/>
          <w:lang w:val="en-US"/>
        </w:rPr>
        <w:t>the use of direct and notable action to achieve a result, usually a political or social one</w:t>
      </w:r>
      <w:r>
        <w:rPr>
          <w:rtl w:val="0"/>
          <w:lang w:val="en-US"/>
        </w:rPr>
        <w:t>”</w:t>
      </w:r>
      <w:r>
        <w:rPr>
          <w:rtl w:val="0"/>
          <w:lang w:val="en-US"/>
        </w:rPr>
        <w:t>. In the light of modern day issues, not only feminism but sexuality, environmental issues and governmental issues are causing activist turbulence. Most recently the extinction rebellion group have been most active within London and surrounding cities with activists such as Greta Thunberg highlighting the environmental issues in todays world. (Rao, A. 2019)</w:t>
      </w:r>
    </w:p>
    <w:p>
      <w:pPr>
        <w:pStyle w:val="Body"/>
        <w:spacing w:line="480" w:lineRule="auto"/>
        <w:jc w:val="left"/>
      </w:pPr>
      <w:r>
        <w:rPr>
          <w:rtl w:val="0"/>
          <w:lang w:val="en-US"/>
        </w:rPr>
        <w:t xml:space="preserve">In the text </w:t>
      </w:r>
      <w:r>
        <w:rPr>
          <w:rtl w:val="0"/>
          <w:lang w:val="en-US"/>
        </w:rPr>
        <w:t>Alternative Pathways to Activism</w:t>
      </w:r>
      <w:r>
        <w:rPr>
          <w:rtl w:val="0"/>
          <w:lang w:val="en-US"/>
        </w:rPr>
        <w:t xml:space="preserve">, the authors </w:t>
      </w:r>
      <w:r>
        <w:rPr>
          <w:rtl w:val="0"/>
        </w:rPr>
        <w:t>Ö</w:t>
      </w:r>
      <w:r>
        <w:rPr>
          <w:rtl w:val="0"/>
        </w:rPr>
        <w:t>zge Savas</w:t>
      </w:r>
      <w:r>
        <w:rPr>
          <w:rtl w:val="0"/>
        </w:rPr>
        <w:t xml:space="preserve">¸ </w:t>
      </w:r>
      <w:r>
        <w:rPr>
          <w:rtl w:val="0"/>
          <w:lang w:val="en-US"/>
        </w:rPr>
        <w:t>and Abigail J. Stewart</w:t>
      </w:r>
      <w:r>
        <w:rPr>
          <w:rtl w:val="0"/>
          <w:lang w:val="en-US"/>
        </w:rPr>
        <w:t xml:space="preserve"> ask that </w:t>
      </w:r>
      <w:r>
        <w:rPr>
          <w:rtl w:val="0"/>
          <w:lang w:val="en-US"/>
        </w:rPr>
        <w:t>“</w:t>
      </w:r>
      <w:r>
        <w:rPr>
          <w:rtl w:val="0"/>
          <w:lang w:val="en-US"/>
        </w:rPr>
        <w:t>we know little about how activists themselves describe their own paths to activism, or what kind of injustice they experienced in their past</w:t>
      </w:r>
      <w:r>
        <w:rPr>
          <w:rtl w:val="0"/>
          <w:lang w:val="en-US"/>
        </w:rPr>
        <w:t xml:space="preserve">” </w:t>
      </w:r>
      <w:r>
        <w:rPr>
          <w:rtl w:val="0"/>
          <w:lang w:val="en-US"/>
        </w:rPr>
        <w:t xml:space="preserve">suggesting that one must have experienced a traumatic or pin point event in their life to abruptly decide to join an activist group for a social issue. They later go on to ask </w:t>
      </w:r>
      <w:r>
        <w:rPr>
          <w:rtl w:val="0"/>
        </w:rPr>
        <w:t>“</w:t>
      </w:r>
      <w:r>
        <w:rPr>
          <w:rtl w:val="0"/>
          <w:lang w:val="en-US"/>
        </w:rPr>
        <w:t>Who, or what kind of person, becomes a political activist?</w:t>
      </w:r>
      <w:r>
        <w:rPr>
          <w:rtl w:val="0"/>
        </w:rPr>
        <w:t>”</w:t>
      </w:r>
      <w:r>
        <w:rPr>
          <w:rtl w:val="0"/>
          <w:lang w:val="en-US"/>
        </w:rPr>
        <w:t>, this questions why a person should decide to become an activist and if so, for what reason and what are they actively fighting for? And it also sparks the question as to what qualities should an activist have, would they put their point across peacefully by following a group or are they more of a leader identity, one to cause up raw and chaos to prove their point.</w:t>
      </w:r>
    </w:p>
    <w:p>
      <w:pPr>
        <w:pStyle w:val="Body"/>
        <w:spacing w:line="480" w:lineRule="auto"/>
        <w:jc w:val="left"/>
      </w:pPr>
      <w:r>
        <w:rPr>
          <w:rtl w:val="0"/>
          <w:lang w:val="en-US"/>
        </w:rPr>
        <w:t xml:space="preserve">The activism movement and organisations I am most interested myself are the Feminist and global art activists, these groups such as Guerrilla Girls, Pussy Galore and Vivienne Westwood whom produce political art work and fashion which tackles the issue within the amount of women artists within galleries, how they are represented and environmental issues. Their works such as the </w:t>
      </w:r>
      <w:r>
        <w:rPr>
          <w:rtl w:val="0"/>
          <w:lang w:val="en-US"/>
        </w:rPr>
        <w:t>“</w:t>
      </w:r>
      <w:r>
        <w:rPr>
          <w:rtl w:val="0"/>
          <w:lang w:val="en-US"/>
        </w:rPr>
        <w:t>Guerrilla Girls</w:t>
      </w:r>
      <w:r>
        <w:rPr>
          <w:rtl w:val="0"/>
          <w:lang w:val="en-US"/>
        </w:rPr>
        <w:t xml:space="preserve">’ </w:t>
      </w:r>
      <w:r>
        <w:rPr>
          <w:rtl w:val="0"/>
          <w:lang w:val="en-US"/>
        </w:rPr>
        <w:t>1986 Report card</w:t>
      </w:r>
      <w:r>
        <w:rPr>
          <w:rtl w:val="0"/>
          <w:lang w:val="en-US"/>
        </w:rPr>
        <w:t xml:space="preserve">” </w:t>
      </w:r>
      <w:r>
        <w:rPr>
          <w:rtl w:val="0"/>
          <w:lang w:val="en-US"/>
        </w:rPr>
        <w:t xml:space="preserve">and the </w:t>
      </w:r>
      <w:r>
        <w:rPr>
          <w:rtl w:val="0"/>
          <w:lang w:val="en-US"/>
        </w:rPr>
        <w:t>“</w:t>
      </w:r>
      <w:r>
        <w:rPr>
          <w:rtl w:val="0"/>
          <w:lang w:val="en-US"/>
        </w:rPr>
        <w:t>Pussy Galore Manhattan Boycott Guide</w:t>
      </w:r>
      <w:r>
        <w:rPr>
          <w:rtl w:val="0"/>
          <w:lang w:val="en-US"/>
        </w:rPr>
        <w:t xml:space="preserve">” </w:t>
      </w:r>
      <w:r>
        <w:rPr>
          <w:rtl w:val="0"/>
          <w:lang w:val="en-US"/>
        </w:rPr>
        <w:t>are contradictingly shown in distinguished galleries such as TATE Modern in London, giving the</w:t>
      </w:r>
      <w:r>
        <w:drawing>
          <wp:anchor distT="152400" distB="152400" distL="152400" distR="152400" simplePos="0" relativeHeight="251662336" behindDoc="0" locked="0" layoutInCell="1" allowOverlap="1">
            <wp:simplePos x="0" y="0"/>
            <wp:positionH relativeFrom="margin">
              <wp:posOffset>3332068</wp:posOffset>
            </wp:positionH>
            <wp:positionV relativeFrom="line">
              <wp:posOffset>261163</wp:posOffset>
            </wp:positionV>
            <wp:extent cx="2781638" cy="3708850"/>
            <wp:effectExtent l="0" t="0" r="0" b="0"/>
            <wp:wrapThrough wrapText="bothSides" distL="152400" distR="152400">
              <wp:wrapPolygon edited="1">
                <wp:start x="0" y="0"/>
                <wp:lineTo x="21600" y="0"/>
                <wp:lineTo x="21600" y="21600"/>
                <wp:lineTo x="0" y="21600"/>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IMG_4658.jpg"/>
                    <pic:cNvPicPr>
                      <a:picLocks noChangeAspect="1"/>
                    </pic:cNvPicPr>
                  </pic:nvPicPr>
                  <pic:blipFill>
                    <a:blip r:embed="rId6">
                      <a:extLst/>
                    </a:blip>
                    <a:stretch>
                      <a:fillRect/>
                    </a:stretch>
                  </pic:blipFill>
                  <pic:spPr>
                    <a:xfrm>
                      <a:off x="0" y="0"/>
                      <a:ext cx="2781638" cy="3708850"/>
                    </a:xfrm>
                    <a:prstGeom prst="rect">
                      <a:avLst/>
                    </a:prstGeom>
                    <a:ln w="12700" cap="flat">
                      <a:noFill/>
                      <a:miter lim="400000"/>
                    </a:ln>
                    <a:effectLst/>
                  </pic:spPr>
                </pic:pic>
              </a:graphicData>
            </a:graphic>
          </wp:anchor>
        </w:drawing>
      </w:r>
      <w:r>
        <w:rPr>
          <w:rtl w:val="0"/>
          <w:lang w:val="en-US"/>
        </w:rPr>
        <w:t xml:space="preserve"> viewers a realistic and live time issues posted upon the walls. (Reilly, M. 2019) These acts of activism are ingenious and tactical, proving that women can have their say and have it posted upon the walls their are quite literally fighting for. The year of 2013 the artist Micol Hebron talked about in a telephone interview about her project </w:t>
      </w:r>
      <w:r>
        <w:rPr>
          <w:rtl w:val="0"/>
          <w:lang w:val="en-US"/>
        </w:rPr>
        <w:t>‘</w:t>
      </w:r>
      <w:r>
        <w:rPr>
          <w:rtl w:val="0"/>
          <w:lang w:val="en-US"/>
        </w:rPr>
        <w:t>Gallery Tally</w:t>
      </w:r>
      <w:r>
        <w:rPr>
          <w:rtl w:val="0"/>
          <w:lang w:val="en-US"/>
        </w:rPr>
        <w:t>”</w:t>
      </w:r>
      <w:r>
        <w:rPr>
          <w:rtl w:val="0"/>
          <w:lang w:val="en-US"/>
        </w:rPr>
        <w:t xml:space="preserve">, which the aim of the study was to gather ratios of male and female artists within present-day galleries. Her research presented results that she claims there is still a </w:t>
      </w:r>
      <w:r>
        <w:rPr>
          <w:rtl w:val="0"/>
          <w:lang w:val="en-US"/>
        </w:rPr>
        <w:t>“</w:t>
      </w:r>
      <w:r>
        <w:rPr>
          <w:rtl w:val="0"/>
          <w:lang w:val="en-US"/>
        </w:rPr>
        <w:t>real problem</w:t>
      </w:r>
      <w:r>
        <w:rPr>
          <w:rtl w:val="0"/>
          <w:lang w:val="en-US"/>
        </w:rPr>
        <w:t xml:space="preserve">” </w:t>
      </w:r>
      <w:r>
        <w:rPr>
          <w:rtl w:val="0"/>
          <w:lang w:val="en-US"/>
        </w:rPr>
        <w:t>within the arts communities. This is in regards to the artists that are being assisted, shown, collected and</w:t>
      </w:r>
      <w:r>
        <mc:AlternateContent>
          <mc:Choice Requires="wps">
            <w:drawing>
              <wp:anchor distT="152400" distB="152400" distL="152400" distR="152400" simplePos="0" relativeHeight="251661312" behindDoc="0" locked="0" layoutInCell="1" allowOverlap="1">
                <wp:simplePos x="0" y="0"/>
                <wp:positionH relativeFrom="margin">
                  <wp:posOffset>3332068</wp:posOffset>
                </wp:positionH>
                <wp:positionV relativeFrom="line">
                  <wp:posOffset>157120</wp:posOffset>
                </wp:positionV>
                <wp:extent cx="2101970" cy="265391"/>
                <wp:effectExtent l="0" t="0" r="0" b="0"/>
                <wp:wrapTopAndBottom distT="152400" distB="152400"/>
                <wp:docPr id="1073741830" name="officeArt object"/>
                <wp:cNvGraphicFramePr/>
                <a:graphic xmlns:a="http://schemas.openxmlformats.org/drawingml/2006/main">
                  <a:graphicData uri="http://schemas.microsoft.com/office/word/2010/wordprocessingShape">
                    <wps:wsp>
                      <wps:cNvSpPr txBox="1"/>
                      <wps:spPr>
                        <a:xfrm>
                          <a:off x="0" y="0"/>
                          <a:ext cx="2101970" cy="265391"/>
                        </a:xfrm>
                        <a:prstGeom prst="rect">
                          <a:avLst/>
                        </a:prstGeom>
                        <a:noFill/>
                        <a:ln w="12700" cap="flat">
                          <a:noFill/>
                          <a:miter lim="400000"/>
                        </a:ln>
                        <a:effectLst/>
                      </wps:spPr>
                      <wps:txbx>
                        <w:txbxContent>
                          <w:p>
                            <w:pPr>
                              <w:pStyle w:val="Body"/>
                              <w:bidi w:val="0"/>
                            </w:pPr>
                            <w:r>
                              <w:rPr>
                                <w:rFonts w:cs="Arial Unicode MS" w:eastAsia="Arial Unicode MS"/>
                                <w:rtl w:val="0"/>
                                <w:lang w:val="en-US"/>
                              </w:rPr>
                              <w:t>Fig. 3</w:t>
                            </w:r>
                          </w:p>
                        </w:txbxContent>
                      </wps:txbx>
                      <wps:bodyPr wrap="square" lIns="50800" tIns="50800" rIns="50800" bIns="50800" numCol="1" anchor="t">
                        <a:noAutofit/>
                      </wps:bodyPr>
                    </wps:wsp>
                  </a:graphicData>
                </a:graphic>
              </wp:anchor>
            </w:drawing>
          </mc:Choice>
          <mc:Fallback>
            <w:pict>
              <v:shape id="_x0000_s1028" type="#_x0000_t202" style="visibility:visible;position:absolute;margin-left:262.4pt;margin-top:12.4pt;width:165.5pt;height:20.9pt;z-index:251661312;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bidi w:val="0"/>
                      </w:pPr>
                      <w:r>
                        <w:rPr>
                          <w:rFonts w:cs="Arial Unicode MS" w:eastAsia="Arial Unicode MS"/>
                          <w:rtl w:val="0"/>
                          <w:lang w:val="en-US"/>
                        </w:rPr>
                        <w:t>Fig. 3</w:t>
                      </w:r>
                    </w:p>
                  </w:txbxContent>
                </v:textbox>
                <w10:wrap type="topAndBottom" side="bothSides" anchorx="margin"/>
              </v:shape>
            </w:pict>
          </mc:Fallback>
        </mc:AlternateContent>
      </w:r>
      <w:r>
        <w:rPr>
          <w:rtl w:val="0"/>
          <w:lang w:val="en-US"/>
        </w:rPr>
        <w:t xml:space="preserve"> reviewed. (Hebron, M 2019) The data from the Gallery Tally project were extremely distressing and showed that 65% to 80% of students enlisted onto arts based courses such as fine art and art history were intact women. (Hergert, N. 2013) These statistics are extremely alarming as the rate of women graduating from arts </w:t>
      </w:r>
    </w:p>
    <w:p>
      <w:pPr>
        <w:pStyle w:val="Body"/>
        <w:spacing w:line="480" w:lineRule="auto"/>
        <w:jc w:val="left"/>
      </w:pPr>
      <w:r>
        <w:rPr>
          <w:rtl w:val="0"/>
          <w:lang w:val="en-US"/>
        </w:rPr>
        <w:t xml:space="preserve">based education is not reflected in the amount of women roles, shows and works that are active within the arts paid roles within the past years. Not only is feminism an issue but alongside that being a non-white woman is making it harder for females to be represented correctly. Author of curatorial activism Maura Reilly states in her book </w:t>
      </w:r>
      <w:r>
        <w:rPr>
          <w:rtl w:val="0"/>
          <w:lang w:val="en-US"/>
        </w:rPr>
        <w:t>“</w:t>
      </w:r>
      <w:r>
        <w:rPr>
          <w:rtl w:val="0"/>
          <w:lang w:val="en-US"/>
        </w:rPr>
        <w:t>Sexism and racism have become so insidiously woven into the institutional fabric, language, and logic of the mainstream art world that they go almost entirely undetected. Once ferreted out, however, their prevalence cannot be denied. The statistics speak for themselves.</w:t>
      </w:r>
      <w:r>
        <w:rPr>
          <w:rtl w:val="0"/>
          <w:lang w:val="en-US"/>
        </w:rPr>
        <w:t xml:space="preserve">” </w:t>
      </w:r>
      <w:r>
        <w:rPr>
          <w:rtl w:val="0"/>
          <w:lang w:val="en-US"/>
        </w:rPr>
        <w:t xml:space="preserve">This is an important statement that strongly and perfectly articulates the issues and whereabouts of them within the arts. It is not only about the women that create the work and the struggles that come with it, but a history of men being a strong authoritative artist figure and how women must overcome them to prove equality, to show that gender does not define the quality of someones handiwork. </w:t>
      </w:r>
    </w:p>
    <w:p>
      <w:pPr>
        <w:pStyle w:val="Body"/>
        <w:spacing w:line="480" w:lineRule="auto"/>
      </w:pPr>
    </w:p>
    <w:p>
      <w:pPr>
        <w:pStyle w:val="Body"/>
        <w:spacing w:line="480" w:lineRule="auto"/>
      </w:pPr>
      <w:r>
        <w:rPr>
          <w:rtl w:val="0"/>
          <w:lang w:val="en-US"/>
        </w:rPr>
        <w:t xml:space="preserve">In conclusion and retrospectively I have learnt a lot about all three practices and acts in which I previously did not know before. Giving each word more historical context and background has shown me the value and importance of each curation, feminism and activism within the arts. Each job or practice is highly valued within society and it is understandable why. </w:t>
      </w:r>
    </w:p>
    <w:p>
      <w:pPr>
        <w:pStyle w:val="Body"/>
        <w:spacing w:line="480" w:lineRule="auto"/>
      </w:pPr>
      <w:r>
        <w:rPr>
          <w:rtl w:val="0"/>
          <w:lang w:val="en-US"/>
        </w:rPr>
        <w:t>Now I understand why curation is considered such a high end well paid job, as it is not only placing works but caring for them and ensuring the upmost consideration is taken for them. An extremely important task and responsibility for one person/team. Feminism also an astoundingly relevant subject within the twenty first century, now more popular than ever. It was engaging and thought provoking to look into some of the revolutionary older works of the first feminist artists, which pioneered artists and women movements today. Lastly getting to research into Activism was a thrilling and exciting part of research as it is so alive and current. Not only within the arts community, but the feminist communities and environmental communities. It</w:t>
      </w:r>
      <w:r>
        <w:rPr>
          <w:rtl w:val="0"/>
          <w:lang w:val="en-US"/>
        </w:rPr>
        <w:t>’</w:t>
      </w:r>
      <w:r>
        <w:rPr>
          <w:rtl w:val="0"/>
          <w:lang w:val="en-US"/>
        </w:rPr>
        <w:t xml:space="preserve">s an act that is performed with such passion and to see such power, determination and strength to fight for beliefs is a fascinating thing to see. Not only that, to see the change that is brought about by the campaigning. It can bring about official and governmental change, which can be extremely influential and monumental. After much consideration I would like to as the question of </w:t>
      </w:r>
      <w:r>
        <w:rPr>
          <w:rtl w:val="0"/>
          <w:lang w:val="en-US"/>
        </w:rPr>
        <w:t>“</w:t>
      </w:r>
      <w:r>
        <w:rPr>
          <w:rtl w:val="0"/>
          <w:lang w:val="en-US"/>
        </w:rPr>
        <w:t>How does gender, sexuality and race affect an artist and determine their success?</w:t>
      </w:r>
      <w:r>
        <w:rPr>
          <w:rtl w:val="0"/>
          <w:lang w:val="en-US"/>
        </w:rPr>
        <w:t>”</w:t>
      </w:r>
      <w:r>
        <w:rPr>
          <w:rFonts w:ascii="Arial Unicode MS" w:cs="Arial Unicode MS" w:hAnsi="Arial Unicode MS" w:eastAsia="Arial Unicode MS"/>
          <w:b w:val="0"/>
          <w:bCs w:val="0"/>
          <w:i w:val="0"/>
          <w:iCs w:val="0"/>
        </w:rPr>
        <w:br w:type="page"/>
      </w:r>
    </w:p>
    <w:p>
      <w:pPr>
        <w:pStyle w:val="Body"/>
        <w:spacing w:line="480" w:lineRule="auto"/>
        <w:rPr>
          <w:b w:val="1"/>
          <w:bCs w:val="1"/>
        </w:rPr>
      </w:pPr>
      <w:r>
        <w:rPr>
          <w:b w:val="1"/>
          <w:bCs w:val="1"/>
          <w:rtl w:val="0"/>
          <w:lang w:val="en-US"/>
        </w:rPr>
        <w:t>Bibliography</w:t>
      </w:r>
    </w:p>
    <w:p>
      <w:pPr>
        <w:pStyle w:val="Body"/>
        <w:spacing w:line="480" w:lineRule="auto"/>
      </w:pPr>
    </w:p>
    <w:p>
      <w:pPr>
        <w:pStyle w:val="Default"/>
        <w:bidi w:val="0"/>
        <w:spacing w:line="480" w:lineRule="auto"/>
        <w:ind w:left="0" w:right="0" w:firstLine="0"/>
        <w:jc w:val="left"/>
        <w:rPr>
          <w:rtl w:val="0"/>
        </w:rPr>
      </w:pPr>
      <w:r>
        <w:rPr>
          <w:rtl w:val="0"/>
          <w:lang w:val="en-US"/>
        </w:rPr>
        <w:t xml:space="preserve">Cambridge Dictionary (2019) </w:t>
      </w:r>
      <w:r>
        <w:rPr>
          <w:i w:val="1"/>
          <w:iCs w:val="1"/>
          <w:rtl w:val="0"/>
          <w:lang w:val="en-US"/>
        </w:rPr>
        <w:t>Activism</w:t>
      </w:r>
      <w:r>
        <w:rPr>
          <w:rtl w:val="0"/>
          <w:lang w:val="en-US"/>
        </w:rPr>
        <w:t xml:space="preserve">. Available at </w:t>
      </w:r>
      <w:r>
        <w:rPr>
          <w:rStyle w:val="Hyperlink.0"/>
          <w:rtl w:val="0"/>
        </w:rPr>
        <w:fldChar w:fldCharType="begin" w:fldLock="0"/>
      </w:r>
      <w:r>
        <w:rPr>
          <w:rStyle w:val="Hyperlink.0"/>
          <w:rtl w:val="0"/>
        </w:rPr>
        <w:instrText xml:space="preserve"> HYPERLINK "https://dictionary.cambridge.org/dictionary/english/activism"</w:instrText>
      </w:r>
      <w:r>
        <w:rPr>
          <w:rStyle w:val="Hyperlink.0"/>
          <w:rtl w:val="0"/>
        </w:rPr>
        <w:fldChar w:fldCharType="separate" w:fldLock="0"/>
      </w:r>
      <w:r>
        <w:rPr>
          <w:rStyle w:val="Hyperlink.0"/>
          <w:rtl w:val="0"/>
          <w:lang w:val="en-US"/>
        </w:rPr>
        <w:t>https://dictionary.cambridge.org/dictionary/english/activism</w:t>
      </w:r>
      <w:r>
        <w:rPr>
          <w:rtl w:val="0"/>
        </w:rPr>
        <w:fldChar w:fldCharType="end" w:fldLock="0"/>
      </w:r>
      <w:r>
        <w:rPr>
          <w:rtl w:val="0"/>
          <w:lang w:val="en-US"/>
        </w:rPr>
        <w:t xml:space="preserve"> (Accessed on May 2nd 2019)</w:t>
      </w:r>
    </w:p>
    <w:p>
      <w:pPr>
        <w:pStyle w:val="Default"/>
        <w:bidi w:val="0"/>
        <w:spacing w:line="480" w:lineRule="auto"/>
        <w:ind w:left="0" w:right="0" w:firstLine="0"/>
        <w:jc w:val="left"/>
        <w:rPr>
          <w:rtl w:val="0"/>
        </w:rPr>
      </w:pPr>
    </w:p>
    <w:p>
      <w:pPr>
        <w:pStyle w:val="Default"/>
        <w:bidi w:val="0"/>
        <w:spacing w:line="480" w:lineRule="auto"/>
        <w:ind w:left="0" w:right="0" w:firstLine="0"/>
        <w:jc w:val="left"/>
        <w:rPr>
          <w:rtl w:val="0"/>
        </w:rPr>
      </w:pPr>
      <w:r>
        <w:rPr>
          <w:rtl w:val="0"/>
          <w:lang w:val="en-US"/>
        </w:rPr>
        <w:t xml:space="preserve">Guerilla Foundation. (2019) </w:t>
      </w:r>
      <w:r>
        <w:rPr>
          <w:i w:val="1"/>
          <w:iCs w:val="1"/>
          <w:rtl w:val="0"/>
          <w:lang w:val="en-US"/>
        </w:rPr>
        <w:t>Why Activism</w:t>
      </w:r>
      <w:r>
        <w:rPr>
          <w:rtl w:val="0"/>
          <w:lang w:val="en-US"/>
        </w:rPr>
        <w:t xml:space="preserve">. Available at </w:t>
      </w:r>
      <w:r>
        <w:rPr>
          <w:rStyle w:val="Hyperlink.1"/>
          <w:rtl w:val="0"/>
        </w:rPr>
        <w:fldChar w:fldCharType="begin" w:fldLock="0"/>
      </w:r>
      <w:r>
        <w:rPr>
          <w:rStyle w:val="Hyperlink.1"/>
          <w:rtl w:val="0"/>
        </w:rPr>
        <w:instrText xml:space="preserve"> HYPERLINK "https://guerrillafoundation.org/why-activism/"</w:instrText>
      </w:r>
      <w:r>
        <w:rPr>
          <w:rStyle w:val="Hyperlink.1"/>
          <w:rtl w:val="0"/>
        </w:rPr>
        <w:fldChar w:fldCharType="separate" w:fldLock="0"/>
      </w:r>
      <w:r>
        <w:rPr>
          <w:rStyle w:val="Hyperlink.1"/>
          <w:rtl w:val="0"/>
          <w:lang w:val="en-US"/>
        </w:rPr>
        <w:t>https://guerrillafoundation.org/why-activism/</w:t>
      </w:r>
      <w:r>
        <w:rPr>
          <w:rtl w:val="0"/>
        </w:rPr>
        <w:fldChar w:fldCharType="end" w:fldLock="0"/>
      </w:r>
      <w:r>
        <w:rPr>
          <w:rtl w:val="0"/>
          <w:lang w:val="en-US"/>
        </w:rPr>
        <w:t xml:space="preserve"> (Accessed on May 5th 2019)</w:t>
      </w:r>
    </w:p>
    <w:p>
      <w:pPr>
        <w:pStyle w:val="Default"/>
        <w:bidi w:val="0"/>
        <w:spacing w:line="480" w:lineRule="auto"/>
        <w:ind w:left="0" w:right="0" w:firstLine="0"/>
        <w:jc w:val="left"/>
        <w:rPr>
          <w:rFonts w:ascii="Arial" w:cs="Arial" w:hAnsi="Arial" w:eastAsia="Arial"/>
          <w:rtl w:val="0"/>
        </w:rPr>
      </w:pPr>
    </w:p>
    <w:p>
      <w:pPr>
        <w:pStyle w:val="Default"/>
        <w:bidi w:val="0"/>
        <w:spacing w:line="480" w:lineRule="auto"/>
        <w:ind w:left="0" w:right="0" w:firstLine="0"/>
        <w:jc w:val="left"/>
        <w:rPr>
          <w:rFonts w:ascii="Arial" w:cs="Arial" w:hAnsi="Arial" w:eastAsia="Arial"/>
          <w:shd w:val="clear" w:color="auto" w:fill="ffffff"/>
          <w:rtl w:val="0"/>
        </w:rPr>
      </w:pPr>
      <w:r>
        <w:rPr>
          <w:rFonts w:ascii="Arial" w:hAnsi="Arial"/>
          <w:shd w:val="clear" w:color="auto" w:fill="ffffff"/>
          <w:rtl w:val="0"/>
          <w:lang w:val="en-US"/>
        </w:rPr>
        <w:t xml:space="preserve">Howes, D. (2013) Ways of Sensing. </w:t>
      </w:r>
      <w:r>
        <w:rPr>
          <w:rFonts w:ascii="Arial" w:hAnsi="Arial"/>
          <w:shd w:val="clear" w:color="auto" w:fill="ffffff"/>
          <w:rtl w:val="0"/>
          <w:lang w:val="en-US"/>
        </w:rPr>
        <w:t>Routledge</w:t>
      </w:r>
      <w:r>
        <w:rPr>
          <w:rFonts w:ascii="Arial" w:hAnsi="Arial"/>
          <w:shd w:val="clear" w:color="auto" w:fill="ffffff"/>
          <w:rtl w:val="0"/>
          <w:lang w:val="en-US"/>
        </w:rPr>
        <w:t>: England.</w:t>
      </w:r>
    </w:p>
    <w:p>
      <w:pPr>
        <w:pStyle w:val="Default"/>
        <w:bidi w:val="0"/>
        <w:spacing w:line="480" w:lineRule="auto"/>
        <w:ind w:left="0" w:right="0" w:firstLine="0"/>
        <w:jc w:val="left"/>
        <w:rPr>
          <w:rFonts w:ascii="Arial" w:cs="Arial" w:hAnsi="Arial" w:eastAsia="Arial"/>
          <w:shd w:val="clear" w:color="auto" w:fill="ffffff"/>
          <w:rtl w:val="0"/>
        </w:rPr>
      </w:pPr>
    </w:p>
    <w:p>
      <w:pPr>
        <w:pStyle w:val="Default"/>
        <w:bidi w:val="0"/>
        <w:spacing w:line="480" w:lineRule="auto"/>
        <w:ind w:left="0" w:right="0" w:firstLine="0"/>
        <w:jc w:val="left"/>
        <w:rPr>
          <w:rFonts w:ascii="Arial" w:cs="Arial" w:hAnsi="Arial" w:eastAsia="Arial"/>
          <w:shd w:val="clear" w:color="auto" w:fill="ffffff"/>
          <w:rtl w:val="0"/>
        </w:rPr>
      </w:pPr>
      <w:r>
        <w:rPr>
          <w:rFonts w:ascii="Arial" w:hAnsi="Arial"/>
          <w:shd w:val="clear" w:color="auto" w:fill="ffffff"/>
          <w:rtl w:val="0"/>
          <w:lang w:val="en-US"/>
        </w:rPr>
        <w:t xml:space="preserve">Hunter, C. (2019) </w:t>
      </w:r>
      <w:r>
        <w:rPr>
          <w:rFonts w:ascii="Arial" w:hAnsi="Arial"/>
          <w:i w:val="1"/>
          <w:iCs w:val="1"/>
          <w:shd w:val="clear" w:color="auto" w:fill="ffffff"/>
          <w:rtl w:val="0"/>
          <w:lang w:val="en-US"/>
        </w:rPr>
        <w:t>Threads of Life: A History of the World Through the Eye of a Needle</w:t>
      </w:r>
      <w:r>
        <w:rPr>
          <w:rFonts w:ascii="Arial" w:hAnsi="Arial"/>
          <w:i w:val="1"/>
          <w:iCs w:val="1"/>
          <w:shd w:val="clear" w:color="auto" w:fill="ffffff"/>
          <w:rtl w:val="0"/>
          <w:lang w:val="en-US"/>
        </w:rPr>
        <w:t xml:space="preserve">. </w:t>
      </w:r>
      <w:r>
        <w:rPr>
          <w:rFonts w:ascii="Arial" w:hAnsi="Arial"/>
          <w:shd w:val="clear" w:color="auto" w:fill="ffffff"/>
          <w:rtl w:val="0"/>
          <w:lang w:val="en-US"/>
        </w:rPr>
        <w:t>Sceptre: England.</w:t>
      </w:r>
    </w:p>
    <w:p>
      <w:pPr>
        <w:pStyle w:val="Body"/>
        <w:spacing w:line="480" w:lineRule="auto"/>
        <w:rPr/>
      </w:pPr>
    </w:p>
    <w:p>
      <w:pPr>
        <w:pStyle w:val="Body"/>
        <w:spacing w:line="480" w:lineRule="auto"/>
        <w:rPr/>
      </w:pPr>
      <w:r>
        <w:rPr>
          <w:rtl w:val="0"/>
          <w:lang w:val="en-US"/>
        </w:rPr>
        <w:t xml:space="preserve">John, B. (2008) </w:t>
      </w:r>
      <w:r>
        <w:rPr>
          <w:i w:val="1"/>
          <w:iCs w:val="1"/>
          <w:rtl w:val="0"/>
          <w:lang w:val="en-US"/>
        </w:rPr>
        <w:t xml:space="preserve">Ways of Seeing. </w:t>
      </w:r>
      <w:r>
        <w:rPr>
          <w:rtl w:val="0"/>
          <w:lang w:val="en-US"/>
        </w:rPr>
        <w:t>Penguin: England.</w:t>
      </w:r>
    </w:p>
    <w:p>
      <w:pPr>
        <w:pStyle w:val="Body"/>
        <w:spacing w:line="480" w:lineRule="auto"/>
        <w:rPr/>
      </w:pPr>
    </w:p>
    <w:p>
      <w:pPr>
        <w:pStyle w:val="Default"/>
        <w:bidi w:val="0"/>
        <w:spacing w:line="480" w:lineRule="auto"/>
        <w:ind w:left="0" w:right="0" w:firstLine="0"/>
        <w:jc w:val="left"/>
        <w:rPr>
          <w:rFonts w:ascii="Arial" w:cs="Arial" w:hAnsi="Arial" w:eastAsia="Arial"/>
          <w:shd w:val="clear" w:color="auto" w:fill="ffffff"/>
          <w:rtl w:val="0"/>
        </w:rPr>
      </w:pPr>
      <w:r>
        <w:rPr>
          <w:rFonts w:ascii="Arial" w:hAnsi="Arial"/>
          <w:shd w:val="clear" w:color="auto" w:fill="ffffff"/>
          <w:rtl w:val="0"/>
          <w:lang w:val="en-US"/>
        </w:rPr>
        <w:t xml:space="preserve">Levi Strauss,D. (2010) </w:t>
      </w:r>
      <w:r>
        <w:rPr>
          <w:rFonts w:ascii="Arial" w:hAnsi="Arial"/>
          <w:i w:val="1"/>
          <w:iCs w:val="1"/>
          <w:shd w:val="clear" w:color="auto" w:fill="ffffff"/>
          <w:rtl w:val="0"/>
          <w:lang w:val="en-US"/>
        </w:rPr>
        <w:t>From Head to Hand: Art and the Manual</w:t>
      </w:r>
      <w:r>
        <w:rPr>
          <w:rFonts w:ascii="Arial" w:hAnsi="Arial"/>
          <w:i w:val="1"/>
          <w:iCs w:val="1"/>
          <w:shd w:val="clear" w:color="auto" w:fill="ffffff"/>
          <w:rtl w:val="0"/>
          <w:lang w:val="en-US"/>
        </w:rPr>
        <w:t xml:space="preserve">. </w:t>
      </w:r>
      <w:r>
        <w:rPr>
          <w:rFonts w:ascii="Arial" w:hAnsi="Arial"/>
          <w:shd w:val="clear" w:color="auto" w:fill="ffffff"/>
          <w:rtl w:val="0"/>
          <w:lang w:val="fr-FR"/>
        </w:rPr>
        <w:t>OUP</w:t>
      </w:r>
      <w:r>
        <w:rPr>
          <w:rFonts w:ascii="Arial" w:hAnsi="Arial"/>
          <w:shd w:val="clear" w:color="auto" w:fill="ffffff"/>
          <w:rtl w:val="0"/>
          <w:lang w:val="en-US"/>
        </w:rPr>
        <w:t xml:space="preserve">: </w:t>
      </w:r>
      <w:r>
        <w:rPr>
          <w:rFonts w:ascii="Arial" w:hAnsi="Arial"/>
          <w:shd w:val="clear" w:color="auto" w:fill="ffffff"/>
          <w:rtl w:val="0"/>
        </w:rPr>
        <w:t>USA</w:t>
      </w:r>
    </w:p>
    <w:p>
      <w:pPr>
        <w:pStyle w:val="Default"/>
        <w:bidi w:val="0"/>
        <w:spacing w:line="480" w:lineRule="auto"/>
        <w:ind w:left="0" w:right="0" w:firstLine="0"/>
        <w:jc w:val="left"/>
        <w:rPr>
          <w:rFonts w:ascii="Arial" w:cs="Arial" w:hAnsi="Arial" w:eastAsia="Arial"/>
          <w:shd w:val="clear" w:color="auto" w:fill="ffffff"/>
          <w:rtl w:val="0"/>
        </w:rPr>
      </w:pPr>
    </w:p>
    <w:p>
      <w:pPr>
        <w:pStyle w:val="Default"/>
        <w:bidi w:val="0"/>
        <w:spacing w:line="480" w:lineRule="auto"/>
        <w:ind w:left="0" w:right="0" w:firstLine="0"/>
        <w:jc w:val="left"/>
        <w:rPr>
          <w:rFonts w:ascii="Arial" w:cs="Arial" w:hAnsi="Arial" w:eastAsia="Arial"/>
          <w:shd w:val="clear" w:color="auto" w:fill="ffffff"/>
          <w:rtl w:val="0"/>
        </w:rPr>
      </w:pPr>
      <w:r>
        <w:rPr>
          <w:rFonts w:ascii="Arial" w:hAnsi="Arial"/>
          <w:shd w:val="clear" w:color="auto" w:fill="ffffff"/>
          <w:rtl w:val="0"/>
          <w:lang w:val="en-US"/>
        </w:rPr>
        <w:t xml:space="preserve">Lippard, L.R and Reilly, M. (2018) </w:t>
      </w:r>
      <w:r>
        <w:rPr>
          <w:rFonts w:ascii="Arial" w:hAnsi="Arial"/>
          <w:i w:val="1"/>
          <w:iCs w:val="1"/>
          <w:shd w:val="clear" w:color="auto" w:fill="ffffff"/>
          <w:rtl w:val="0"/>
          <w:lang w:val="en-US"/>
        </w:rPr>
        <w:t>Curatorial Activism: Towards an Ethics of Curating</w:t>
      </w:r>
      <w:r>
        <w:rPr>
          <w:rFonts w:ascii="Arial" w:hAnsi="Arial"/>
          <w:shd w:val="clear" w:color="auto" w:fill="ffffff"/>
          <w:rtl w:val="0"/>
          <w:lang w:val="en-US"/>
        </w:rPr>
        <w:t xml:space="preserve">. </w:t>
      </w:r>
      <w:r>
        <w:rPr>
          <w:rFonts w:ascii="Arial" w:hAnsi="Arial"/>
          <w:shd w:val="clear" w:color="auto" w:fill="ffffff"/>
          <w:rtl w:val="0"/>
          <w:lang w:val="en-US"/>
        </w:rPr>
        <w:t>Thames and Hudson Ltd</w:t>
      </w:r>
      <w:r>
        <w:rPr>
          <w:rFonts w:ascii="Arial" w:hAnsi="Arial"/>
          <w:shd w:val="clear" w:color="auto" w:fill="ffffff"/>
          <w:rtl w:val="0"/>
          <w:lang w:val="en-US"/>
        </w:rPr>
        <w:t>: England.</w:t>
      </w:r>
    </w:p>
    <w:p>
      <w:pPr>
        <w:pStyle w:val="Default"/>
        <w:bidi w:val="0"/>
        <w:spacing w:line="480" w:lineRule="auto"/>
        <w:ind w:left="0" w:right="0" w:firstLine="0"/>
        <w:jc w:val="left"/>
        <w:rPr>
          <w:rFonts w:ascii="Arial" w:cs="Arial" w:hAnsi="Arial" w:eastAsia="Arial"/>
          <w:shd w:val="clear" w:color="auto" w:fill="ffffff"/>
          <w:rtl w:val="0"/>
        </w:rPr>
      </w:pPr>
    </w:p>
    <w:p>
      <w:pPr>
        <w:pStyle w:val="Body"/>
        <w:spacing w:line="480" w:lineRule="auto"/>
        <w:rPr>
          <w:rFonts w:ascii="Arial" w:cs="Arial" w:hAnsi="Arial" w:eastAsia="Arial"/>
        </w:rPr>
      </w:pPr>
    </w:p>
    <w:p>
      <w:pPr>
        <w:pStyle w:val="Body"/>
        <w:spacing w:line="480" w:lineRule="auto"/>
        <w:rPr/>
      </w:pPr>
      <w:r>
        <w:rPr>
          <w:rFonts w:ascii="Arial" w:hAnsi="Arial"/>
          <w:rtl w:val="0"/>
          <w:lang w:val="en-US"/>
        </w:rPr>
        <w:t xml:space="preserve">Martinon, J. (2013) </w:t>
      </w:r>
      <w:r>
        <w:rPr>
          <w:rFonts w:ascii="Arial" w:hAnsi="Arial"/>
          <w:i w:val="1"/>
          <w:iCs w:val="1"/>
          <w:rtl w:val="0"/>
          <w:lang w:val="en-US"/>
        </w:rPr>
        <w:t xml:space="preserve">The Curatorial: A Philosophy of Curating. </w:t>
      </w:r>
      <w:r>
        <w:rPr>
          <w:rFonts w:ascii="Arial" w:hAnsi="Arial"/>
          <w:rtl w:val="0"/>
          <w:lang w:val="en-US"/>
        </w:rPr>
        <w:t>Bloomsbury Academic: New York</w:t>
      </w:r>
    </w:p>
    <w:p>
      <w:pPr>
        <w:pStyle w:val="Body"/>
        <w:spacing w:line="480" w:lineRule="auto"/>
        <w:rPr/>
      </w:pPr>
    </w:p>
    <w:p>
      <w:pPr>
        <w:pStyle w:val="Body"/>
        <w:spacing w:line="480" w:lineRule="auto"/>
        <w:rPr/>
      </w:pPr>
    </w:p>
    <w:p>
      <w:pPr>
        <w:pStyle w:val="Body"/>
        <w:spacing w:line="480" w:lineRule="auto"/>
        <w:rPr/>
      </w:pPr>
      <w:r>
        <w:rPr>
          <w:rtl w:val="0"/>
          <w:lang w:val="en-US"/>
        </w:rPr>
        <w:t xml:space="preserve">Obrist, H.U. (2014) </w:t>
      </w:r>
      <w:r>
        <w:rPr>
          <w:i w:val="1"/>
          <w:iCs w:val="1"/>
          <w:rtl w:val="0"/>
          <w:lang w:val="en-US"/>
        </w:rPr>
        <w:t>Ways of Curating</w:t>
      </w:r>
      <w:r>
        <w:rPr>
          <w:rtl w:val="0"/>
          <w:lang w:val="en-US"/>
        </w:rPr>
        <w:t>. Penguin: England.</w:t>
      </w:r>
    </w:p>
    <w:p>
      <w:pPr>
        <w:pStyle w:val="Body"/>
        <w:spacing w:line="480" w:lineRule="auto"/>
        <w:rPr/>
      </w:pPr>
    </w:p>
    <w:p>
      <w:pPr>
        <w:pStyle w:val="Default"/>
        <w:bidi w:val="0"/>
        <w:spacing w:line="480" w:lineRule="auto"/>
        <w:ind w:left="0" w:right="0" w:firstLine="0"/>
        <w:jc w:val="left"/>
        <w:rPr>
          <w:rtl w:val="0"/>
        </w:rPr>
      </w:pPr>
      <w:r>
        <w:rPr>
          <w:rtl w:val="0"/>
          <w:lang w:val="en-US"/>
        </w:rPr>
        <w:t xml:space="preserve">Oxford Dictionary. (2019) </w:t>
      </w:r>
      <w:r>
        <w:rPr>
          <w:i w:val="1"/>
          <w:iCs w:val="1"/>
          <w:rtl w:val="0"/>
          <w:lang w:val="en-US"/>
        </w:rPr>
        <w:t xml:space="preserve">Curate. </w:t>
      </w:r>
      <w:r>
        <w:rPr>
          <w:rtl w:val="0"/>
          <w:lang w:val="en-US"/>
        </w:rPr>
        <w:t xml:space="preserve">Available at </w:t>
      </w:r>
      <w:r>
        <w:rPr>
          <w:rtl w:val="0"/>
        </w:rPr>
        <w:fldChar w:fldCharType="begin" w:fldLock="0"/>
      </w:r>
      <w:r>
        <w:rPr>
          <w:rtl w:val="0"/>
        </w:rPr>
        <w:instrText xml:space="preserve"> HYPERLINK "https://en.oxforddictionaries.com/definition/curate"</w:instrText>
      </w:r>
      <w:r>
        <w:rPr>
          <w:rtl w:val="0"/>
        </w:rPr>
        <w:fldChar w:fldCharType="separate" w:fldLock="0"/>
      </w:r>
      <w:r>
        <w:rPr>
          <w:rtl w:val="0"/>
          <w:lang w:val="en-US"/>
        </w:rPr>
        <w:t>https://en.oxforddictionaries.com/definition/curate</w:t>
      </w:r>
      <w:r>
        <w:rPr>
          <w:rtl w:val="0"/>
        </w:rPr>
        <w:fldChar w:fldCharType="end" w:fldLock="0"/>
      </w:r>
      <w:r>
        <w:rPr>
          <w:rtl w:val="0"/>
          <w:lang w:val="en-US"/>
        </w:rPr>
        <w:t xml:space="preserve"> (Accessed on April 2nd 2019)</w:t>
      </w:r>
    </w:p>
    <w:p>
      <w:pPr>
        <w:pStyle w:val="Body"/>
        <w:spacing w:line="480" w:lineRule="auto"/>
      </w:pPr>
    </w:p>
    <w:p>
      <w:pPr>
        <w:pStyle w:val="Default"/>
        <w:bidi w:val="0"/>
        <w:spacing w:line="480" w:lineRule="auto"/>
        <w:ind w:left="0" w:right="0" w:firstLine="0"/>
        <w:jc w:val="left"/>
        <w:rPr>
          <w:rtl w:val="0"/>
        </w:rPr>
      </w:pPr>
      <w:r>
        <w:rPr>
          <w:rtl w:val="0"/>
          <w:lang w:val="en-US"/>
        </w:rPr>
        <w:t xml:space="preserve">Routledge Historical Resources (2019) </w:t>
      </w:r>
      <w:r>
        <w:rPr>
          <w:i w:val="1"/>
          <w:iCs w:val="1"/>
          <w:rtl w:val="0"/>
          <w:lang w:val="en-US"/>
        </w:rPr>
        <w:t xml:space="preserve">History of Feminism, Society and Culture. </w:t>
      </w:r>
      <w:r>
        <w:rPr>
          <w:rtl w:val="0"/>
          <w:lang w:val="en-US"/>
        </w:rPr>
        <w:t>Available at</w:t>
      </w:r>
      <w:r>
        <w:rPr>
          <w:i w:val="1"/>
          <w:iCs w:val="1"/>
          <w:rtl w:val="0"/>
          <w:lang w:val="en-US"/>
        </w:rPr>
        <w:t xml:space="preserve"> </w:t>
      </w:r>
      <w:r>
        <w:rPr>
          <w:rStyle w:val="Hyperlink.0"/>
          <w:rtl w:val="0"/>
        </w:rPr>
        <w:fldChar w:fldCharType="begin" w:fldLock="0"/>
      </w:r>
      <w:r>
        <w:rPr>
          <w:rStyle w:val="Hyperlink.0"/>
          <w:rtl w:val="0"/>
        </w:rPr>
        <w:instrText xml:space="preserve"> HYPERLINK "https://www.routledgehistoricalresources.com/feminism/browse/subjects/society-and-culture"</w:instrText>
      </w:r>
      <w:r>
        <w:rPr>
          <w:rStyle w:val="Hyperlink.0"/>
          <w:rtl w:val="0"/>
        </w:rPr>
        <w:fldChar w:fldCharType="separate" w:fldLock="0"/>
      </w:r>
      <w:r>
        <w:rPr>
          <w:rStyle w:val="Hyperlink.0"/>
          <w:rtl w:val="0"/>
          <w:lang w:val="en-US"/>
        </w:rPr>
        <w:t>https://www.routledgehistoricalresources.com/feminism/browse/subjects/society-and-culture</w:t>
      </w:r>
      <w:r>
        <w:rPr>
          <w:rtl w:val="0"/>
        </w:rPr>
        <w:fldChar w:fldCharType="end" w:fldLock="0"/>
      </w:r>
      <w:r>
        <w:rPr>
          <w:rtl w:val="0"/>
          <w:lang w:val="en-US"/>
        </w:rPr>
        <w:t xml:space="preserve"> (Accessed on April 22nd 2019)</w:t>
      </w:r>
    </w:p>
    <w:p>
      <w:pPr>
        <w:pStyle w:val="Default"/>
        <w:bidi w:val="0"/>
        <w:spacing w:line="480" w:lineRule="auto"/>
        <w:ind w:left="0" w:right="0" w:firstLine="0"/>
        <w:jc w:val="left"/>
        <w:rPr>
          <w:shd w:val="clear" w:color="auto" w:fill="ffffff"/>
          <w:rtl w:val="0"/>
        </w:rPr>
      </w:pPr>
    </w:p>
    <w:p>
      <w:pPr>
        <w:pStyle w:val="Default"/>
        <w:bidi w:val="0"/>
        <w:spacing w:after="500" w:line="480" w:lineRule="auto"/>
        <w:ind w:left="0" w:right="0" w:firstLine="0"/>
        <w:jc w:val="left"/>
        <w:rPr>
          <w:color w:val="111111"/>
          <w:rtl w:val="0"/>
        </w:rPr>
      </w:pPr>
      <w:r>
        <w:rPr>
          <w:color w:val="111111"/>
          <w:rtl w:val="0"/>
        </w:rPr>
        <w:t>Savas</w:t>
      </w:r>
      <w:r>
        <w:rPr>
          <w:color w:val="111111"/>
          <w:rtl w:val="0"/>
          <w:lang w:val="en-US"/>
        </w:rPr>
        <w:t xml:space="preserve">, </w:t>
      </w:r>
      <w:r>
        <w:rPr>
          <w:color w:val="111111"/>
          <w:rtl w:val="0"/>
          <w:lang w:val="en-US"/>
        </w:rPr>
        <w:t xml:space="preserve">Ö </w:t>
      </w:r>
      <w:r>
        <w:rPr>
          <w:color w:val="111111"/>
          <w:rtl w:val="0"/>
          <w:lang w:val="en-US"/>
        </w:rPr>
        <w:t>and Stewart</w:t>
      </w:r>
      <w:r>
        <w:rPr>
          <w:color w:val="111111"/>
          <w:rtl w:val="0"/>
          <w:lang w:val="en-US"/>
        </w:rPr>
        <w:t>, A</w:t>
      </w:r>
      <w:r>
        <w:rPr>
          <w:color w:val="111111"/>
          <w:rtl w:val="0"/>
        </w:rPr>
        <w:t xml:space="preserve"> </w:t>
      </w:r>
      <w:r>
        <w:rPr>
          <w:color w:val="111111"/>
          <w:rtl w:val="0"/>
          <w:lang w:val="en-US"/>
        </w:rPr>
        <w:t xml:space="preserve">(2018) </w:t>
      </w:r>
      <w:r>
        <w:rPr>
          <w:i w:val="1"/>
          <w:iCs w:val="1"/>
          <w:color w:val="111111"/>
          <w:rtl w:val="0"/>
          <w:lang w:val="en-US"/>
        </w:rPr>
        <w:t xml:space="preserve">Alternative Pathways to Activism: Intersections of Social and Personal Pasts in the Narratives of Women's Rights Activists. </w:t>
      </w:r>
      <w:r>
        <w:rPr>
          <w:color w:val="111111"/>
          <w:rtl w:val="0"/>
          <w:lang w:val="en-US"/>
        </w:rPr>
        <w:t xml:space="preserve">Educational Publishing Foundation: </w:t>
      </w:r>
      <w:r>
        <w:rPr>
          <w:color w:val="111111"/>
          <w:rtl w:val="0"/>
          <w:lang w:val="en-US"/>
        </w:rPr>
        <w:t>Qualitative Psychology, 2019, Vol.6 (1), p.27-47</w:t>
      </w:r>
    </w:p>
    <w:p>
      <w:pPr>
        <w:pStyle w:val="Default"/>
        <w:bidi w:val="0"/>
        <w:spacing w:after="500" w:line="480" w:lineRule="auto"/>
        <w:ind w:left="0" w:right="0" w:firstLine="0"/>
        <w:jc w:val="left"/>
        <w:rPr>
          <w:color w:val="111111"/>
          <w:rtl w:val="0"/>
        </w:rPr>
      </w:pPr>
      <w:r>
        <w:rPr>
          <w:color w:val="111111"/>
          <w:rtl w:val="0"/>
          <w:lang w:val="en-US"/>
        </w:rPr>
        <w:t xml:space="preserve">Sellers, L. (2018) </w:t>
      </w:r>
      <w:r>
        <w:rPr>
          <w:i w:val="1"/>
          <w:iCs w:val="1"/>
          <w:color w:val="111111"/>
          <w:rtl w:val="0"/>
          <w:lang w:val="en-US"/>
        </w:rPr>
        <w:t>Women Design: Pioneers in architecture, industrial, graphic and digital design from the twentieth century to the present day</w:t>
      </w:r>
      <w:r>
        <w:rPr>
          <w:i w:val="1"/>
          <w:iCs w:val="1"/>
          <w:color w:val="111111"/>
          <w:rtl w:val="0"/>
          <w:lang w:val="en-US"/>
        </w:rPr>
        <w:t xml:space="preserve">. </w:t>
      </w:r>
      <w:r>
        <w:rPr>
          <w:color w:val="111111"/>
          <w:rtl w:val="0"/>
          <w:lang w:val="en-US"/>
        </w:rPr>
        <w:t>Frances Lincoln: England</w:t>
      </w:r>
    </w:p>
    <w:p>
      <w:pPr>
        <w:pStyle w:val="Body"/>
        <w:spacing w:line="480" w:lineRule="auto"/>
      </w:pPr>
      <w:r>
        <w:rPr>
          <w:rtl w:val="0"/>
          <w:lang w:val="en-US"/>
        </w:rPr>
        <w:t>Th</w:t>
      </w:r>
      <w:r>
        <w:rPr/>
        <w:fldChar w:fldCharType="begin" w:fldLock="0"/>
      </w:r>
      <w:r>
        <w:instrText xml:space="preserve"> HYPERLINK "https://web-b-ebscohost-com.ezproxy.uwtsd.ac.uk/ehost/viewarticle/render?data=dGJyMPPp44rp2%2fdV0%2bnjisfk5Ie46bJPt6mvS7ek63nn5Kx95uXxjL6qrUqzpbBIr6%2beSa%2bws1C4q644v8OkjPDX7Ivf2fKB7eTnfLujr0%2burLdOs6m0PurX7H%2b72%2bw%2b4ti7ee7epIzf3btZzJzfhruutEyura9Ls5zkh%2fDj34y73POE6urjkPIA&amp;vid=0&amp;sid=56f18036-69b6-450e-9fc5-9508d79a5c5d@sessionmgr120"</w:instrText>
      </w:r>
      <w:r>
        <w:rPr/>
        <w:fldChar w:fldCharType="separate" w:fldLock="0"/>
      </w:r>
      <w:r>
        <w:rPr>
          <w:rtl w:val="0"/>
        </w:rPr>
        <w:t>e</w:t>
      </w:r>
      <w:r>
        <w:rPr>
          <w:rtl w:val="0"/>
        </w:rPr>
        <w:t> </w:t>
      </w:r>
      <w:r>
        <w:rPr>
          <w:rtl w:val="0"/>
          <w:lang w:val="de-DE"/>
        </w:rPr>
        <w:t>Dinner</w:t>
      </w:r>
      <w:r>
        <w:rPr>
          <w:rtl w:val="0"/>
        </w:rPr>
        <w:t> </w:t>
      </w:r>
      <w:r>
        <w:rPr>
          <w:rtl w:val="0"/>
        </w:rPr>
        <w:t>Party:</w:t>
      </w:r>
      <w:r>
        <w:rPr>
          <w:rtl w:val="0"/>
        </w:rPr>
        <w:t> </w:t>
      </w:r>
      <w:r>
        <w:rPr>
          <w:rtl w:val="0"/>
          <w:lang w:val="en-US"/>
        </w:rPr>
        <w:t>Judy</w:t>
      </w:r>
      <w:r>
        <w:rPr>
          <w:rtl w:val="0"/>
        </w:rPr>
        <w:t> </w:t>
      </w:r>
      <w:r>
        <w:rPr>
          <w:rtl w:val="0"/>
          <w:lang w:val="en-US"/>
        </w:rPr>
        <w:t>Chicago</w:t>
      </w:r>
      <w:r>
        <w:rPr>
          <w:rtl w:val="0"/>
        </w:rPr>
        <w:t> </w:t>
      </w:r>
      <w:r>
        <w:rPr>
          <w:rtl w:val="0"/>
          <w:lang w:val="en-US"/>
        </w:rPr>
        <w:t>and the</w:t>
      </w:r>
      <w:r>
        <w:rPr>
          <w:rtl w:val="0"/>
        </w:rPr>
        <w:t> </w:t>
      </w:r>
      <w:r>
        <w:rPr>
          <w:rtl w:val="0"/>
          <w:lang w:val="en-US"/>
        </w:rPr>
        <w:t>Power</w:t>
      </w:r>
      <w:r>
        <w:rPr>
          <w:rtl w:val="0"/>
        </w:rPr>
        <w:t> </w:t>
      </w:r>
      <w:r>
        <w:rPr>
          <w:rtl w:val="0"/>
          <w:lang w:val="en-US"/>
        </w:rPr>
        <w:t>of</w:t>
      </w:r>
      <w:r>
        <w:rPr>
          <w:rtl w:val="0"/>
        </w:rPr>
        <w:t> </w:t>
      </w:r>
      <w:r>
        <w:rPr>
          <w:rtl w:val="0"/>
        </w:rPr>
        <w:t>Popular</w:t>
      </w:r>
      <w:r>
        <w:rPr>
          <w:rtl w:val="0"/>
        </w:rPr>
        <w:t> </w:t>
      </w:r>
      <w:r>
        <w:rPr>
          <w:rtl w:val="0"/>
          <w:lang w:val="sv-SE"/>
        </w:rPr>
        <w:t>Feminism</w:t>
      </w:r>
      <w:r>
        <w:rPr>
          <w:rtl w:val="0"/>
        </w:rPr>
        <w:t> </w:t>
      </w:r>
      <w:r>
        <w:rPr>
          <w:rtl w:val="0"/>
        </w:rPr>
        <w:t>1970-2007.</w:t>
      </w:r>
      <w:r>
        <w:rPr/>
        <w:fldChar w:fldCharType="end" w:fldLock="0"/>
      </w:r>
    </w:p>
    <w:p>
      <w:pPr>
        <w:pStyle w:val="Body"/>
        <w:spacing w:line="480" w:lineRule="auto"/>
      </w:pPr>
      <w:r>
        <w:rPr>
          <w:rtl w:val="0"/>
          <w:lang w:val="en-US"/>
        </w:rPr>
        <w:t>Review</w:t>
      </w:r>
    </w:p>
    <w:p>
      <w:pPr>
        <w:pStyle w:val="Body"/>
        <w:spacing w:line="480" w:lineRule="auto"/>
      </w:pPr>
      <w:r>
        <w:rPr>
          <w:i w:val="1"/>
          <w:iCs w:val="1"/>
          <w:rtl w:val="0"/>
          <w:lang w:val="en-US"/>
        </w:rPr>
        <w:t>Publishers</w:t>
      </w:r>
      <w:r>
        <w:rPr>
          <w:i w:val="1"/>
          <w:iCs w:val="1"/>
          <w:rtl w:val="0"/>
        </w:rPr>
        <w:t> </w:t>
      </w:r>
      <w:r>
        <w:rPr>
          <w:i w:val="1"/>
          <w:iCs w:val="1"/>
          <w:rtl w:val="0"/>
        </w:rPr>
        <w:t>Weekly.</w:t>
      </w:r>
      <w:r>
        <w:rPr>
          <w:i w:val="1"/>
          <w:iCs w:val="1"/>
          <w:rtl w:val="0"/>
        </w:rPr>
        <w:t> </w:t>
      </w:r>
      <w:r>
        <w:rPr>
          <w:rtl w:val="0"/>
          <w:lang w:val="pt-PT"/>
        </w:rPr>
        <w:t>3/25/2013, Vol. 260 Issue 12, p53-53. 1/4p.</w:t>
      </w:r>
    </w:p>
    <w:p>
      <w:pPr>
        <w:pStyle w:val="Body"/>
        <w:spacing w:line="480" w:lineRule="auto"/>
      </w:pPr>
    </w:p>
    <w:p>
      <w:pPr>
        <w:pStyle w:val="Default"/>
        <w:bidi w:val="0"/>
        <w:spacing w:line="480" w:lineRule="auto"/>
        <w:ind w:left="0" w:right="0" w:firstLine="0"/>
        <w:jc w:val="left"/>
        <w:rPr>
          <w:rtl w:val="0"/>
        </w:rPr>
      </w:pPr>
      <w:r>
        <w:rPr>
          <w:rtl w:val="0"/>
          <w:lang w:val="en-US"/>
        </w:rPr>
        <w:t xml:space="preserve">The Guardian (2010) </w:t>
      </w:r>
      <w:r>
        <w:rPr>
          <w:i w:val="1"/>
          <w:iCs w:val="1"/>
          <w:rtl w:val="0"/>
          <w:lang w:val="en-US"/>
        </w:rPr>
        <w:t>The Greta Thunberg effect</w:t>
      </w:r>
      <w:r>
        <w:rPr>
          <w:rtl w:val="0"/>
          <w:lang w:val="en-US"/>
        </w:rPr>
        <w:t xml:space="preserve">. Available at </w:t>
      </w:r>
      <w:r>
        <w:rPr>
          <w:rStyle w:val="Hyperlink.1"/>
          <w:rtl w:val="0"/>
        </w:rPr>
        <w:fldChar w:fldCharType="begin" w:fldLock="0"/>
      </w:r>
      <w:r>
        <w:rPr>
          <w:rStyle w:val="Hyperlink.1"/>
          <w:rtl w:val="0"/>
        </w:rPr>
        <w:instrText xml:space="preserve"> HYPERLINK "https://www.theguardian.com/environment/video/2019/apr/24/the-greta-thunberg-effect-her-activism-in-london-in-two-minutes-video"</w:instrText>
      </w:r>
      <w:r>
        <w:rPr>
          <w:rStyle w:val="Hyperlink.1"/>
          <w:rtl w:val="0"/>
        </w:rPr>
        <w:fldChar w:fldCharType="separate" w:fldLock="0"/>
      </w:r>
      <w:r>
        <w:rPr>
          <w:rStyle w:val="Hyperlink.1"/>
          <w:rtl w:val="0"/>
          <w:lang w:val="en-US"/>
        </w:rPr>
        <w:t>https://www.theguardian.com/environment/video/2019/apr/24/the-greta-thunberg-effect-her-activism-in-london-in-two-minutes-video</w:t>
      </w:r>
      <w:r>
        <w:rPr>
          <w:rtl w:val="0"/>
        </w:rPr>
        <w:fldChar w:fldCharType="end" w:fldLock="0"/>
      </w:r>
      <w:r>
        <w:rPr>
          <w:rtl w:val="0"/>
          <w:lang w:val="en-US"/>
        </w:rPr>
        <w:t xml:space="preserve"> (Accessed on May 5th 2019)</w:t>
      </w:r>
    </w:p>
    <w:p>
      <w:pPr>
        <w:pStyle w:val="Default"/>
        <w:bidi w:val="0"/>
        <w:spacing w:line="480" w:lineRule="auto"/>
        <w:ind w:left="0" w:right="0" w:firstLine="0"/>
        <w:jc w:val="left"/>
        <w:rPr>
          <w:rtl w:val="0"/>
        </w:rPr>
      </w:pPr>
    </w:p>
    <w:p>
      <w:pPr>
        <w:pStyle w:val="Default"/>
        <w:bidi w:val="0"/>
        <w:spacing w:line="480" w:lineRule="auto"/>
        <w:ind w:left="0" w:right="0" w:firstLine="0"/>
        <w:jc w:val="left"/>
        <w:rPr>
          <w:shd w:val="clear" w:color="auto" w:fill="ffffff"/>
          <w:rtl w:val="0"/>
        </w:rPr>
      </w:pPr>
      <w:r>
        <w:rPr>
          <w:shd w:val="clear" w:color="auto" w:fill="ffffff"/>
          <w:rtl w:val="0"/>
          <w:lang w:val="en-US"/>
        </w:rPr>
        <w:t>Tiercelin</w:t>
      </w:r>
      <w:r>
        <w:rPr>
          <w:shd w:val="clear" w:color="auto" w:fill="ffffff"/>
          <w:rtl w:val="0"/>
          <w:lang w:val="en-US"/>
        </w:rPr>
        <w:t xml:space="preserve">, C (2011) </w:t>
      </w:r>
      <w:r>
        <w:rPr>
          <w:i w:val="1"/>
          <w:iCs w:val="1"/>
          <w:shd w:val="clear" w:color="auto" w:fill="ffffff"/>
          <w:rtl w:val="0"/>
          <w:lang w:val="en-US"/>
        </w:rPr>
        <w:t>Metaphysical Knowledge</w:t>
      </w:r>
      <w:r>
        <w:rPr>
          <w:i w:val="1"/>
          <w:iCs w:val="1"/>
          <w:shd w:val="clear" w:color="auto" w:fill="ffffff"/>
          <w:rtl w:val="0"/>
          <w:lang w:val="en-US"/>
        </w:rPr>
        <w:t xml:space="preserve">. </w:t>
      </w:r>
      <w:r>
        <w:rPr>
          <w:shd w:val="clear" w:color="auto" w:fill="ffffff"/>
          <w:rtl w:val="0"/>
          <w:lang w:val="en-US"/>
        </w:rPr>
        <w:t xml:space="preserve">Lecture, </w:t>
      </w:r>
      <w:r>
        <w:rPr>
          <w:shd w:val="clear" w:color="auto" w:fill="ffffff"/>
          <w:rtl w:val="0"/>
        </w:rPr>
        <w:t>Coll</w:t>
      </w:r>
      <w:r>
        <w:rPr>
          <w:shd w:val="clear" w:color="auto" w:fill="ffffff"/>
          <w:rtl w:val="0"/>
          <w:lang w:val="fr-FR"/>
        </w:rPr>
        <w:t>è</w:t>
      </w:r>
      <w:r>
        <w:rPr>
          <w:shd w:val="clear" w:color="auto" w:fill="ffffff"/>
          <w:rtl w:val="0"/>
          <w:lang w:val="fr-FR"/>
        </w:rPr>
        <w:t>ge de France</w:t>
      </w:r>
      <w:r>
        <w:rPr>
          <w:shd w:val="clear" w:color="auto" w:fill="ffffff"/>
          <w:rtl w:val="0"/>
          <w:lang w:val="en-US"/>
        </w:rPr>
        <w:t xml:space="preserve">. </w:t>
      </w:r>
      <w:r>
        <w:rPr>
          <w:shd w:val="clear" w:color="auto" w:fill="ffffff"/>
          <w:rtl w:val="0"/>
          <w:lang w:val="en-US"/>
        </w:rPr>
        <w:t>Thursday 5 May</w:t>
      </w:r>
      <w:r>
        <w:rPr>
          <w:shd w:val="clear" w:color="auto" w:fill="ffffff"/>
          <w:rtl w:val="0"/>
        </w:rPr>
        <w:t> </w:t>
      </w:r>
      <w:r>
        <w:rPr>
          <w:shd w:val="clear" w:color="auto" w:fill="ffffff"/>
          <w:rtl w:val="0"/>
        </w:rPr>
        <w:t>2011</w:t>
      </w:r>
      <w:r>
        <w:rPr>
          <w:shd w:val="clear" w:color="auto" w:fill="ffffff"/>
          <w:rtl w:val="0"/>
          <w:lang w:val="en-US"/>
        </w:rPr>
        <w:t>.</w:t>
      </w:r>
    </w:p>
    <w:p>
      <w:pPr>
        <w:pStyle w:val="Default"/>
        <w:bidi w:val="0"/>
        <w:spacing w:line="480" w:lineRule="auto"/>
        <w:ind w:left="0" w:right="0" w:firstLine="0"/>
        <w:jc w:val="left"/>
        <w:rPr>
          <w:shd w:val="clear" w:color="auto" w:fill="ffffff"/>
          <w:rtl w:val="0"/>
        </w:rPr>
      </w:pPr>
    </w:p>
    <w:p>
      <w:pPr>
        <w:pStyle w:val="Default"/>
        <w:bidi w:val="0"/>
        <w:spacing w:line="480" w:lineRule="auto"/>
        <w:ind w:left="0" w:right="0" w:firstLine="0"/>
        <w:jc w:val="left"/>
        <w:rPr>
          <w:shd w:val="clear" w:color="auto" w:fill="ffffff"/>
          <w:rtl w:val="0"/>
        </w:rPr>
      </w:pPr>
      <w:r>
        <w:rPr>
          <w:shd w:val="clear" w:color="auto" w:fill="ffffff"/>
          <w:rtl w:val="0"/>
          <w:lang w:val="en-US"/>
        </w:rPr>
        <w:t xml:space="preserve">Wolf, N. (1990) </w:t>
      </w:r>
      <w:r>
        <w:rPr>
          <w:i w:val="1"/>
          <w:iCs w:val="1"/>
          <w:shd w:val="clear" w:color="auto" w:fill="ffffff"/>
          <w:rtl w:val="0"/>
          <w:lang w:val="en-US"/>
        </w:rPr>
        <w:t xml:space="preserve">The Beauty Myth. </w:t>
      </w:r>
      <w:r>
        <w:rPr>
          <w:shd w:val="clear" w:color="auto" w:fill="ffffff"/>
          <w:rtl w:val="0"/>
          <w:lang w:val="en-US"/>
        </w:rPr>
        <w:t>Vintage Books: New York</w:t>
      </w:r>
    </w:p>
    <w:p>
      <w:pPr>
        <w:pStyle w:val="Default"/>
        <w:bidi w:val="0"/>
        <w:spacing w:line="480" w:lineRule="auto"/>
        <w:ind w:left="0" w:right="0" w:firstLine="0"/>
        <w:jc w:val="left"/>
        <w:rPr>
          <w:shd w:val="clear" w:color="auto" w:fill="ffffff"/>
          <w:rtl w:val="0"/>
        </w:rPr>
      </w:pPr>
    </w:p>
    <w:p>
      <w:pPr>
        <w:pStyle w:val="Body"/>
        <w:spacing w:line="480" w:lineRule="auto"/>
      </w:pPr>
      <w:r>
        <w:rPr>
          <w:rtl w:val="0"/>
        </w:rPr>
        <w:t xml:space="preserve">Vella, </w:t>
      </w:r>
      <w:r>
        <w:rPr>
          <w:rtl w:val="0"/>
          <w:lang w:val="en-US"/>
        </w:rPr>
        <w:t xml:space="preserve">R. (2018) </w:t>
      </w:r>
      <w:r>
        <w:rPr>
          <w:rtl w:val="0"/>
          <w:lang w:val="en-US"/>
        </w:rPr>
        <w:t>“</w:t>
      </w:r>
      <w:r>
        <w:rPr/>
        <w:fldChar w:fldCharType="begin" w:fldLock="0"/>
      </w:r>
      <w:r>
        <w:instrText xml:space="preserve"> HYPERLINK "https://whel-primo.hosted.exlibrisgroup.com/primo-explore/fulldisplay?docid=TN_eue_132339977&amp;context=Ebsco&amp;vid=44WHELF_UWTSD_VU1&amp;lang=en_US&amp;search_scope=CSCOP_EVERYTHING&amp;adaptor=44WHELF_UWTSD_Ebsco&amp;tab=tab1&amp;query=any,contains,curating&amp;sortby=rank&amp;offset=0"</w:instrText>
      </w:r>
      <w:r>
        <w:rPr/>
        <w:fldChar w:fldCharType="separate" w:fldLock="0"/>
      </w:r>
      <w:r>
        <w:rPr>
          <w:rtl w:val="0"/>
          <w:lang w:val="en-US"/>
        </w:rPr>
        <w:t>Curating</w:t>
      </w:r>
      <w:r>
        <w:rPr>
          <w:rtl w:val="0"/>
          <w:lang w:val="en-US"/>
        </w:rPr>
        <w:t> </w:t>
      </w:r>
      <w:r>
        <w:rPr>
          <w:rtl w:val="0"/>
          <w:lang w:val="en-US"/>
        </w:rPr>
        <w:t>as a dialogue-based strategy in art education.</w:t>
      </w:r>
      <w:r>
        <w:rPr/>
        <w:fldChar w:fldCharType="end" w:fldLock="0"/>
      </w:r>
      <w:r>
        <w:rPr>
          <w:rtl w:val="0"/>
          <w:lang w:val="en-US"/>
        </w:rPr>
        <w:t xml:space="preserve">" </w:t>
      </w:r>
      <w:r>
        <w:rPr>
          <w:i w:val="1"/>
          <w:iCs w:val="1"/>
          <w:rtl w:val="0"/>
          <w:lang w:val="en-US"/>
        </w:rPr>
        <w:t>International Journal of Education through Art</w:t>
      </w:r>
      <w:r>
        <w:rPr>
          <w:rtl w:val="0"/>
        </w:rPr>
        <w:t>, Vol.14 (3), p.293-304</w:t>
      </w:r>
    </w:p>
    <w:p>
      <w:pPr>
        <w:pStyle w:val="Default"/>
        <w:bidi w:val="0"/>
        <w:spacing w:line="480" w:lineRule="auto"/>
        <w:ind w:left="0" w:right="0" w:firstLine="0"/>
        <w:jc w:val="left"/>
        <w:rPr>
          <w:shd w:val="clear" w:color="auto" w:fill="ffffff"/>
          <w:rtl w:val="0"/>
        </w:rPr>
      </w:pPr>
    </w:p>
    <w:p>
      <w:pPr>
        <w:pStyle w:val="Default"/>
        <w:bidi w:val="0"/>
        <w:spacing w:line="480" w:lineRule="auto"/>
        <w:ind w:left="0" w:right="0" w:firstLine="0"/>
        <w:jc w:val="left"/>
        <w:rPr>
          <w:rtl w:val="0"/>
        </w:rPr>
      </w:pPr>
      <w:r>
        <w:rPr>
          <w:rtl w:val="0"/>
          <w:lang w:val="en-US"/>
        </w:rPr>
        <w:t xml:space="preserve">Womanhouse (2019) Available at </w:t>
      </w:r>
      <w:r>
        <w:rPr>
          <w:rStyle w:val="Hyperlink.0"/>
          <w:rtl w:val="0"/>
        </w:rPr>
        <w:fldChar w:fldCharType="begin" w:fldLock="0"/>
      </w:r>
      <w:r>
        <w:rPr>
          <w:rStyle w:val="Hyperlink.0"/>
          <w:rtl w:val="0"/>
        </w:rPr>
        <w:instrText xml:space="preserve"> HYPERLINK "http://www.womanhouse.net/"</w:instrText>
      </w:r>
      <w:r>
        <w:rPr>
          <w:rStyle w:val="Hyperlink.0"/>
          <w:rtl w:val="0"/>
        </w:rPr>
        <w:fldChar w:fldCharType="separate" w:fldLock="0"/>
      </w:r>
      <w:r>
        <w:rPr>
          <w:rStyle w:val="Hyperlink.0"/>
          <w:rtl w:val="0"/>
          <w:lang w:val="en-US"/>
        </w:rPr>
        <w:t>http://www.womanhouse.net/</w:t>
      </w:r>
      <w:r>
        <w:rPr>
          <w:rtl w:val="0"/>
        </w:rPr>
        <w:fldChar w:fldCharType="end" w:fldLock="0"/>
      </w:r>
      <w:r>
        <w:rPr>
          <w:rtl w:val="0"/>
          <w:lang w:val="en-US"/>
        </w:rPr>
        <w:t xml:space="preserve"> (Accessed on April 23rd 2019)</w:t>
      </w:r>
    </w:p>
    <w:p>
      <w:pPr>
        <w:pStyle w:val="Default"/>
        <w:bidi w:val="0"/>
        <w:spacing w:line="480" w:lineRule="auto"/>
        <w:ind w:left="0" w:right="0" w:firstLine="0"/>
        <w:jc w:val="left"/>
        <w:rPr>
          <w:rFonts w:ascii="Times" w:cs="Times" w:hAnsi="Times" w:eastAsia="Times"/>
          <w:color w:val="0000ee"/>
          <w:sz w:val="24"/>
          <w:szCs w:val="24"/>
          <w:u w:val="single"/>
          <w:rtl w:val="0"/>
        </w:rPr>
      </w:pPr>
    </w:p>
    <w:p>
      <w:pPr>
        <w:pStyle w:val="Default"/>
        <w:bidi w:val="0"/>
        <w:spacing w:line="480" w:lineRule="auto"/>
        <w:ind w:left="0" w:right="0" w:firstLine="0"/>
        <w:jc w:val="left"/>
        <w:rPr>
          <w:b w:val="1"/>
          <w:bCs w:val="1"/>
          <w:color w:val="333333"/>
          <w:shd w:val="clear" w:color="auto" w:fill="ffffff"/>
          <w:rtl w:val="0"/>
        </w:rPr>
      </w:pPr>
      <w:r>
        <w:rPr>
          <w:b w:val="1"/>
          <w:bCs w:val="1"/>
          <w:color w:val="333333"/>
          <w:shd w:val="clear" w:color="auto" w:fill="ffffff"/>
          <w:rtl w:val="0"/>
          <w:lang w:val="en-US"/>
        </w:rPr>
        <w:t>Images</w:t>
      </w:r>
    </w:p>
    <w:p>
      <w:pPr>
        <w:pStyle w:val="Default"/>
        <w:bidi w:val="0"/>
        <w:spacing w:line="480" w:lineRule="auto"/>
        <w:ind w:left="0" w:right="0" w:firstLine="0"/>
        <w:jc w:val="left"/>
        <w:rPr>
          <w:color w:val="333333"/>
          <w:shd w:val="clear" w:color="auto" w:fill="ffffff"/>
          <w:rtl w:val="0"/>
        </w:rPr>
      </w:pPr>
    </w:p>
    <w:p>
      <w:pPr>
        <w:pStyle w:val="Default"/>
        <w:bidi w:val="0"/>
        <w:spacing w:line="480" w:lineRule="auto"/>
        <w:ind w:left="0" w:right="0" w:firstLine="0"/>
        <w:jc w:val="left"/>
        <w:rPr>
          <w:color w:val="333333"/>
          <w:shd w:val="clear" w:color="auto" w:fill="ffffff"/>
          <w:rtl w:val="0"/>
        </w:rPr>
      </w:pPr>
      <w:r>
        <w:rPr>
          <w:color w:val="333333"/>
          <w:shd w:val="clear" w:color="auto" w:fill="ffffff"/>
          <w:rtl w:val="0"/>
          <w:lang w:val="en-US"/>
        </w:rPr>
        <w:t xml:space="preserve">Fig. 1 - </w:t>
      </w:r>
      <w:r>
        <w:rPr>
          <w:color w:val="333333"/>
          <w:shd w:val="clear" w:color="auto" w:fill="ffffff"/>
          <w:rtl w:val="0"/>
          <w:lang w:val="nl-NL"/>
        </w:rPr>
        <w:t>Baan</w:t>
      </w:r>
      <w:r>
        <w:rPr>
          <w:color w:val="333333"/>
          <w:shd w:val="clear" w:color="auto" w:fill="ffffff"/>
          <w:rtl w:val="0"/>
          <w:lang w:val="en-US"/>
        </w:rPr>
        <w:t>, I</w:t>
      </w:r>
      <w:r>
        <w:rPr>
          <w:color w:val="333333"/>
          <w:shd w:val="clear" w:color="auto" w:fill="ffffff"/>
          <w:rtl w:val="0"/>
        </w:rPr>
        <w:t xml:space="preserve"> </w:t>
      </w:r>
      <w:r>
        <w:rPr>
          <w:color w:val="333333"/>
          <w:shd w:val="clear" w:color="auto" w:fill="ffffff"/>
          <w:rtl w:val="0"/>
          <w:lang w:val="en-US"/>
        </w:rPr>
        <w:t>(</w:t>
      </w:r>
      <w:r>
        <w:rPr>
          <w:color w:val="333333"/>
          <w:shd w:val="clear" w:color="auto" w:fill="ffffff"/>
          <w:rtl w:val="0"/>
        </w:rPr>
        <w:t>2018</w:t>
      </w:r>
      <w:r>
        <w:rPr>
          <w:color w:val="333333"/>
          <w:shd w:val="clear" w:color="auto" w:fill="ffffff"/>
          <w:rtl w:val="0"/>
          <w:lang w:val="en-US"/>
        </w:rPr>
        <w:t xml:space="preserve">) </w:t>
      </w:r>
      <w:r>
        <w:rPr>
          <w:i w:val="1"/>
          <w:iCs w:val="1"/>
          <w:color w:val="333333"/>
          <w:shd w:val="clear" w:color="auto" w:fill="ffffff"/>
          <w:rtl w:val="0"/>
          <w:lang w:val="en-US"/>
        </w:rPr>
        <w:t xml:space="preserve">Serpentine Gallery. </w:t>
      </w:r>
      <w:r>
        <w:rPr>
          <w:color w:val="333333"/>
          <w:shd w:val="clear" w:color="auto" w:fill="ffffff"/>
          <w:rtl w:val="0"/>
          <w:lang w:val="en-US"/>
        </w:rPr>
        <w:t>Image available at</w:t>
      </w:r>
      <w:r>
        <w:rPr>
          <w:i w:val="1"/>
          <w:iCs w:val="1"/>
          <w:color w:val="333333"/>
          <w:shd w:val="clear" w:color="auto" w:fill="ffffff"/>
          <w:rtl w:val="0"/>
          <w:lang w:val="en-US"/>
        </w:rPr>
        <w:t xml:space="preserve"> </w:t>
      </w:r>
      <w:r>
        <w:rPr>
          <w:rStyle w:val="Hyperlink.0"/>
          <w:color w:val="333333"/>
          <w:shd w:val="clear" w:color="auto" w:fill="ffffff"/>
          <w:rtl w:val="0"/>
        </w:rPr>
        <w:fldChar w:fldCharType="begin" w:fldLock="0"/>
      </w:r>
      <w:r>
        <w:rPr>
          <w:rStyle w:val="Hyperlink.0"/>
          <w:color w:val="333333"/>
          <w:shd w:val="clear" w:color="auto" w:fill="ffffff"/>
          <w:rtl w:val="0"/>
        </w:rPr>
        <w:instrText xml:space="preserve"> HYPERLINK "https://www.serpentinegalleries.org/about"</w:instrText>
      </w:r>
      <w:r>
        <w:rPr>
          <w:rStyle w:val="Hyperlink.0"/>
          <w:color w:val="333333"/>
          <w:shd w:val="clear" w:color="auto" w:fill="ffffff"/>
          <w:rtl w:val="0"/>
        </w:rPr>
        <w:fldChar w:fldCharType="separate" w:fldLock="0"/>
      </w:r>
      <w:r>
        <w:rPr>
          <w:rStyle w:val="Hyperlink.0"/>
          <w:color w:val="333333"/>
          <w:shd w:val="clear" w:color="auto" w:fill="ffffff"/>
          <w:rtl w:val="0"/>
          <w:lang w:val="en-US"/>
        </w:rPr>
        <w:t>https://www.serpentinegalleries.org/about</w:t>
      </w:r>
      <w:r>
        <w:rPr>
          <w:color w:val="333333"/>
          <w:shd w:val="clear" w:color="auto" w:fill="ffffff"/>
          <w:rtl w:val="0"/>
        </w:rPr>
        <w:fldChar w:fldCharType="end" w:fldLock="0"/>
      </w:r>
      <w:r>
        <w:rPr>
          <w:color w:val="333333"/>
          <w:shd w:val="clear" w:color="auto" w:fill="ffffff"/>
          <w:rtl w:val="0"/>
          <w:lang w:val="en-US"/>
        </w:rPr>
        <w:t xml:space="preserve"> (Accessed on May 5th 2019)</w:t>
      </w:r>
    </w:p>
    <w:p>
      <w:pPr>
        <w:pStyle w:val="Default"/>
        <w:bidi w:val="0"/>
        <w:spacing w:line="480" w:lineRule="auto"/>
        <w:ind w:left="0" w:right="0" w:firstLine="0"/>
        <w:jc w:val="left"/>
        <w:rPr>
          <w:color w:val="333333"/>
          <w:shd w:val="clear" w:color="auto" w:fill="ffffff"/>
          <w:rtl w:val="0"/>
        </w:rPr>
      </w:pPr>
    </w:p>
    <w:p>
      <w:pPr>
        <w:pStyle w:val="Default"/>
        <w:bidi w:val="0"/>
        <w:spacing w:line="480" w:lineRule="auto"/>
        <w:ind w:left="0" w:right="0" w:firstLine="0"/>
        <w:jc w:val="left"/>
        <w:rPr>
          <w:color w:val="333333"/>
          <w:shd w:val="clear" w:color="auto" w:fill="ffffff"/>
          <w:rtl w:val="0"/>
        </w:rPr>
      </w:pPr>
      <w:r>
        <w:rPr>
          <w:color w:val="333333"/>
          <w:shd w:val="clear" w:color="auto" w:fill="ffffff"/>
          <w:rtl w:val="0"/>
          <w:lang w:val="en-US"/>
        </w:rPr>
        <w:t xml:space="preserve">Fig. 2 - </w:t>
      </w:r>
      <w:r>
        <w:rPr>
          <w:color w:val="333333"/>
          <w:shd w:val="clear" w:color="auto" w:fill="ffffff"/>
          <w:rtl w:val="0"/>
          <w:lang w:val="en-US"/>
        </w:rPr>
        <w:t>Leacher, L (2018)  Guerrilla Girls Talk Back at TATE Modern, Photographed on October 9th 2018</w:t>
      </w:r>
    </w:p>
    <w:p>
      <w:pPr>
        <w:pStyle w:val="Default"/>
        <w:bidi w:val="0"/>
        <w:spacing w:line="480" w:lineRule="auto"/>
        <w:ind w:left="0" w:right="0" w:firstLine="0"/>
        <w:jc w:val="left"/>
        <w:rPr>
          <w:color w:val="333333"/>
          <w:shd w:val="clear" w:color="auto" w:fill="ffffff"/>
          <w:rtl w:val="0"/>
        </w:rPr>
      </w:pPr>
    </w:p>
    <w:p>
      <w:pPr>
        <w:pStyle w:val="Default"/>
        <w:bidi w:val="0"/>
        <w:spacing w:line="480" w:lineRule="auto"/>
        <w:ind w:left="0" w:right="0" w:firstLine="0"/>
        <w:jc w:val="left"/>
        <w:rPr>
          <w:rtl w:val="0"/>
        </w:rPr>
      </w:pPr>
      <w:r>
        <w:rPr>
          <w:color w:val="333333"/>
          <w:shd w:val="clear" w:color="auto" w:fill="ffffff"/>
          <w:rtl w:val="0"/>
          <w:lang w:val="en-US"/>
        </w:rPr>
        <w:t xml:space="preserve">Fig. 3 - </w:t>
      </w:r>
      <w:r>
        <w:rPr>
          <w:color w:val="333333"/>
          <w:shd w:val="clear" w:color="auto" w:fill="ffffff"/>
          <w:rtl w:val="0"/>
          <w:lang w:val="en-US"/>
        </w:rPr>
        <w:t>Leacher, L (2019) Vivienne Westwood at Fashioned by Nature Exhibit V&amp;A, Photographed on March 18th 2019</w:t>
      </w:r>
    </w:p>
    <w:sectPr>
      <w:headerReference w:type="default" r:id="rId7"/>
      <w:footerReference w:type="default" r:id="rId8"/>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 w:name="Time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 w:type="character" w:styleId="Hyperlink.1">
    <w:name w:val="Hyperlink.1"/>
    <w:basedOn w:val="Hyperlink.0"/>
    <w:next w:val="Hyperlink.1"/>
    <w:rPr>
      <w:u w:val="non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1.jpeg"/><Relationship Id="rId6" Type="http://schemas.openxmlformats.org/officeDocument/2006/relationships/image" Target="media/image2.jpeg"/><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