
<file path=[Content_Types].xml><?xml version="1.0" encoding="utf-8"?>
<Types xmlns="http://schemas.openxmlformats.org/package/2006/content-types">
  <Default Extension="xml" ContentType="application/xml"/>
  <Default Extension="wmf" ContentType="image/x-wmf"/>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w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ind w:firstLine="0"/>
        <w:jc w:val="center"/>
        <w:rPr>
          <w:rFonts w:ascii="Times New Roman" w:hAnsi="Times New Roman" w:cs="Times New Roman"/>
          <w:b/>
          <w:sz w:val="24"/>
          <w:szCs w:val="24"/>
          <w:lang w:val="en-US"/>
        </w:rPr>
      </w:pPr>
      <w:r>
        <w:rPr>
          <w:rFonts w:ascii="Times New Roman" w:hAnsi="Times New Roman" w:cs="Times New Roman"/>
          <w:b/>
          <w:sz w:val="24"/>
          <w:szCs w:val="24"/>
          <w:lang w:val="en-US"/>
        </w:rPr>
        <w:t>INTEGRATING CLIMATE CHANGE MEASURES INTO NATIONAL POLICIES STRATEGIES AND PLANNING</w:t>
      </w:r>
    </w:p>
    <w:p>
      <w:pPr>
        <w:spacing w:line="360" w:lineRule="auto"/>
        <w:ind w:firstLine="0"/>
        <w:rPr>
          <w:rFonts w:ascii="Calibri" w:hAnsi="Calibri" w:eastAsia="Calibri" w:cs="Calibri"/>
          <w:b w:val="0"/>
          <w:kern w:val="0"/>
          <w:sz w:val="22"/>
          <w:szCs w:val="22"/>
          <w:lang w:val="en-GB" w:eastAsia="en-GB"/>
        </w:rPr>
      </w:pPr>
      <w:r>
        <w:rPr>
          <w:rFonts w:hint="eastAsia" w:ascii="Times New Roman" w:hAnsi="Times New Roman" w:eastAsia="宋体" w:cs="Times New Roman"/>
          <w:b/>
          <w:sz w:val="24"/>
          <w:szCs w:val="24"/>
          <w:lang w:val="en-US" w:eastAsia="zh-CN"/>
        </w:rPr>
        <w:t xml:space="preserve">                                             </w:t>
      </w:r>
      <w:r>
        <w:rPr>
          <w:rFonts w:ascii="Calibri" w:hAnsi="Calibri" w:eastAsia="Calibri" w:cs="Calibri"/>
          <w:b w:val="0"/>
          <w:kern w:val="0"/>
          <w:sz w:val="22"/>
          <w:szCs w:val="22"/>
          <w:lang w:val="en-GB" w:eastAsia="en-GB"/>
        </w:rPr>
        <w:drawing>
          <wp:inline distT="0" distB="0" distL="114300" distR="114300">
            <wp:extent cx="2492375" cy="2764155"/>
            <wp:effectExtent l="0" t="0" r="3175" b="17145"/>
            <wp:docPr id="3" name="图片 1"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 descr="Crest of TSD.png"/>
                    <pic:cNvPicPr>
                      <a:picLocks noChangeAspect="1"/>
                    </pic:cNvPicPr>
                  </pic:nvPicPr>
                  <pic:blipFill>
                    <a:blip r:embed="rId5"/>
                    <a:stretch>
                      <a:fillRect/>
                    </a:stretch>
                  </pic:blipFill>
                  <pic:spPr>
                    <a:xfrm>
                      <a:off x="0" y="0"/>
                      <a:ext cx="2492375" cy="2764155"/>
                    </a:xfrm>
                    <a:prstGeom prst="rect">
                      <a:avLst/>
                    </a:prstGeom>
                    <a:noFill/>
                    <a:ln>
                      <a:noFill/>
                    </a:ln>
                  </pic:spPr>
                </pic:pic>
              </a:graphicData>
            </a:graphic>
          </wp:inline>
        </w:drawing>
      </w:r>
    </w:p>
    <w:p>
      <w:pPr>
        <w:pStyle w:val="2"/>
        <w:bidi w:val="0"/>
        <w:ind w:firstLine="1267" w:firstLineChars="526"/>
        <w:outlineLvl w:val="9"/>
        <w:rPr>
          <w:rFonts w:hint="default" w:ascii="Times New Roman" w:hAnsi="Times New Roman" w:eastAsia="宋体" w:cs="Times New Roman"/>
          <w:color w:val="000000" w:themeColor="text1"/>
          <w:sz w:val="24"/>
          <w:szCs w:val="24"/>
          <w14:textFill>
            <w14:solidFill>
              <w14:schemeClr w14:val="tx1"/>
            </w14:solidFill>
          </w14:textFill>
        </w:rPr>
      </w:pPr>
      <w:r>
        <w:rPr>
          <w:rFonts w:hint="default" w:ascii="Times New Roman" w:hAnsi="Times New Roman" w:eastAsia="宋体" w:cs="Times New Roman"/>
          <w:b/>
          <w:color w:val="000000" w:themeColor="text1"/>
          <w:sz w:val="24"/>
          <w:szCs w:val="24"/>
          <w:lang w:val="en-US" w:eastAsia="zh-CN"/>
          <w14:textFill>
            <w14:solidFill>
              <w14:schemeClr w14:val="tx1"/>
            </w14:solidFill>
          </w14:textFill>
        </w:rPr>
        <w:t xml:space="preserve">Module name： </w:t>
      </w:r>
      <w:r>
        <w:rPr>
          <w:rFonts w:hint="eastAsia" w:ascii="Times New Roman" w:hAnsi="Times New Roman" w:eastAsia="宋体" w:cs="Times New Roman"/>
          <w:b/>
          <w:color w:val="000000" w:themeColor="text1"/>
          <w:sz w:val="24"/>
          <w:szCs w:val="24"/>
          <w:lang w:val="en-US" w:eastAsia="zh-CN"/>
          <w14:textFill>
            <w14:solidFill>
              <w14:schemeClr w14:val="tx1"/>
            </w14:solidFill>
          </w14:textFill>
        </w:rPr>
        <w:t>Corporate Social Responsibility in the Public Sector</w:t>
      </w:r>
      <w:r>
        <w:rPr>
          <w:rFonts w:hint="default" w:ascii="Times New Roman" w:hAnsi="Times New Roman" w:eastAsia="宋体" w:cs="Times New Roman"/>
          <w:color w:val="000000" w:themeColor="text1"/>
          <w:sz w:val="24"/>
          <w:szCs w:val="24"/>
          <w14:textFill>
            <w14:solidFill>
              <w14:schemeClr w14:val="tx1"/>
            </w14:solidFill>
          </w14:textFill>
        </w:rPr>
        <w:t>          </w:t>
      </w:r>
    </w:p>
    <w:p>
      <w:pPr>
        <w:pStyle w:val="2"/>
        <w:bidi w:val="0"/>
        <w:ind w:firstLine="2713" w:firstLineChars="1126"/>
        <w:outlineLvl w:val="9"/>
        <w:rPr>
          <w:rFonts w:hint="default" w:ascii="Times New Roman" w:hAnsi="Times New Roman" w:eastAsia="宋体" w:cs="Times New Roman"/>
          <w:color w:val="000000" w:themeColor="text1"/>
          <w:sz w:val="24"/>
          <w:szCs w:val="24"/>
          <w:lang w:val="en-US" w:eastAsia="zh-CN"/>
          <w14:textFill>
            <w14:solidFill>
              <w14:schemeClr w14:val="tx1"/>
            </w14:solidFill>
          </w14:textFill>
        </w:rPr>
      </w:pPr>
      <w:r>
        <w:rPr>
          <w:rFonts w:hint="default" w:ascii="Times New Roman" w:hAnsi="Times New Roman" w:eastAsia="宋体" w:cs="Times New Roman"/>
          <w:color w:val="000000" w:themeColor="text1"/>
          <w:sz w:val="24"/>
          <w:szCs w:val="24"/>
          <w14:textFill>
            <w14:solidFill>
              <w14:schemeClr w14:val="tx1"/>
            </w14:solidFill>
          </w14:textFill>
        </w:rPr>
        <w:t>Name:</w:t>
      </w:r>
      <w:r>
        <w:rPr>
          <w:rFonts w:hint="default" w:ascii="Times New Roman" w:hAnsi="Times New Roman" w:eastAsia="宋体" w:cs="Times New Roman"/>
          <w:color w:val="000000" w:themeColor="text1"/>
          <w:sz w:val="24"/>
          <w:szCs w:val="24"/>
          <w:lang w:val="en-US" w:eastAsia="zh-CN"/>
          <w14:textFill>
            <w14:solidFill>
              <w14:schemeClr w14:val="tx1"/>
            </w14:solidFill>
          </w14:textFill>
        </w:rPr>
        <w:t>Mian Wei</w:t>
      </w:r>
    </w:p>
    <w:p>
      <w:pPr>
        <w:spacing w:line="360" w:lineRule="auto"/>
        <w:ind w:firstLine="2650" w:firstLineChars="1100"/>
        <w:rPr>
          <w:rFonts w:hint="default" w:ascii="Times New Roman" w:hAnsi="Times New Roman" w:eastAsia="宋体" w:cs="Times New Roman"/>
          <w:b/>
          <w:bCs/>
          <w:color w:val="000000" w:themeColor="text1"/>
          <w:sz w:val="24"/>
          <w:szCs w:val="24"/>
          <w:lang w:val="en-GB" w:eastAsia="en-GB" w:bidi="ar-SA"/>
          <w14:textFill>
            <w14:solidFill>
              <w14:schemeClr w14:val="tx1"/>
            </w14:solidFill>
          </w14:textFill>
        </w:rPr>
      </w:pPr>
      <w:r>
        <w:rPr>
          <w:rFonts w:hint="default" w:ascii="Times New Roman" w:hAnsi="Times New Roman" w:eastAsia="宋体" w:cs="Times New Roman"/>
          <w:b/>
          <w:bCs/>
          <w:color w:val="000000" w:themeColor="text1"/>
          <w:sz w:val="24"/>
          <w:szCs w:val="24"/>
          <w:lang w:val="en-GB" w:eastAsia="en-US" w:bidi="ar-SA"/>
          <w14:textFill>
            <w14:solidFill>
              <w14:schemeClr w14:val="tx1"/>
            </w14:solidFill>
          </w14:textFill>
        </w:rPr>
        <w:t>Student ID: 190337</w:t>
      </w:r>
      <w:r>
        <w:rPr>
          <w:rFonts w:hint="default" w:ascii="Times New Roman" w:hAnsi="Times New Roman" w:eastAsia="宋体" w:cs="Times New Roman"/>
          <w:b/>
          <w:bCs/>
          <w:color w:val="000000" w:themeColor="text1"/>
          <w:sz w:val="24"/>
          <w:szCs w:val="24"/>
          <w:lang w:val="en-US" w:eastAsia="zh-CN" w:bidi="ar-SA"/>
          <w14:textFill>
            <w14:solidFill>
              <w14:schemeClr w14:val="tx1"/>
            </w14:solidFill>
          </w14:textFill>
        </w:rPr>
        <w:t>0</w:t>
      </w:r>
    </w:p>
    <w:p>
      <w:pPr>
        <w:spacing w:line="360" w:lineRule="auto"/>
        <w:ind w:firstLine="0"/>
        <w:rPr>
          <w:rFonts w:hint="default" w:ascii="Calibri" w:hAnsi="Calibri" w:eastAsia="Calibri" w:cs="Calibri"/>
          <w:b w:val="0"/>
          <w:kern w:val="0"/>
          <w:sz w:val="22"/>
          <w:szCs w:val="22"/>
          <w:lang w:val="en-US" w:eastAsia="zh-CN"/>
        </w:rPr>
      </w:pPr>
    </w:p>
    <w:p>
      <w:pPr>
        <w:spacing w:line="360" w:lineRule="auto"/>
        <w:ind w:firstLine="0"/>
        <w:rPr>
          <w:rFonts w:ascii="Times New Roman" w:hAnsi="Times New Roman" w:cs="Times New Roman"/>
          <w:b/>
          <w:sz w:val="24"/>
          <w:szCs w:val="24"/>
          <w:lang w:val="en-US"/>
        </w:rPr>
      </w:pPr>
    </w:p>
    <w:p>
      <w:pPr>
        <w:spacing w:line="360" w:lineRule="auto"/>
        <w:ind w:firstLine="0"/>
        <w:rPr>
          <w:rFonts w:ascii="Times New Roman" w:hAnsi="Times New Roman" w:cs="Times New Roman"/>
          <w:b/>
          <w:sz w:val="24"/>
          <w:szCs w:val="24"/>
          <w:lang w:val="en-US"/>
        </w:rPr>
      </w:pPr>
    </w:p>
    <w:p>
      <w:pPr>
        <w:spacing w:line="360" w:lineRule="auto"/>
        <w:ind w:firstLine="0"/>
        <w:rPr>
          <w:rFonts w:ascii="Times New Roman" w:hAnsi="Times New Roman" w:cs="Times New Roman"/>
          <w:b/>
          <w:sz w:val="24"/>
          <w:szCs w:val="24"/>
          <w:lang w:val="en-US"/>
        </w:rPr>
      </w:pPr>
    </w:p>
    <w:p>
      <w:pPr>
        <w:spacing w:line="360" w:lineRule="auto"/>
        <w:ind w:firstLine="0"/>
        <w:rPr>
          <w:rFonts w:ascii="Times New Roman" w:hAnsi="Times New Roman" w:cs="Times New Roman"/>
          <w:b/>
          <w:sz w:val="24"/>
          <w:szCs w:val="24"/>
          <w:lang w:val="en-US"/>
        </w:rPr>
      </w:pPr>
    </w:p>
    <w:p>
      <w:pPr>
        <w:spacing w:line="360" w:lineRule="auto"/>
        <w:ind w:firstLine="0"/>
        <w:rPr>
          <w:rFonts w:ascii="Times New Roman" w:hAnsi="Times New Roman" w:cs="Times New Roman"/>
          <w:b/>
          <w:sz w:val="24"/>
          <w:szCs w:val="24"/>
          <w:lang w:val="en-US"/>
        </w:rPr>
      </w:pPr>
    </w:p>
    <w:p>
      <w:pPr>
        <w:spacing w:line="360" w:lineRule="auto"/>
        <w:ind w:firstLine="0"/>
        <w:rPr>
          <w:rFonts w:ascii="Times New Roman" w:hAnsi="Times New Roman" w:cs="Times New Roman"/>
          <w:b/>
          <w:sz w:val="24"/>
          <w:szCs w:val="24"/>
          <w:lang w:val="en-US"/>
        </w:rPr>
      </w:pPr>
    </w:p>
    <w:p>
      <w:pPr>
        <w:spacing w:line="360" w:lineRule="auto"/>
        <w:ind w:firstLine="0"/>
        <w:rPr>
          <w:rFonts w:ascii="Times New Roman" w:hAnsi="Times New Roman" w:cs="Times New Roman"/>
          <w:b/>
          <w:sz w:val="24"/>
          <w:szCs w:val="24"/>
          <w:lang w:val="en-US"/>
        </w:rPr>
      </w:pPr>
    </w:p>
    <w:p>
      <w:pPr>
        <w:spacing w:line="360" w:lineRule="auto"/>
        <w:ind w:firstLine="0"/>
        <w:rPr>
          <w:rFonts w:ascii="Times New Roman" w:hAnsi="Times New Roman" w:cs="Times New Roman"/>
          <w:b/>
          <w:sz w:val="24"/>
          <w:szCs w:val="24"/>
          <w:lang w:val="en-US"/>
        </w:rPr>
      </w:pPr>
      <w:bookmarkStart w:id="0" w:name="_GoBack"/>
      <w:bookmarkEnd w:id="0"/>
      <w:r>
        <w:rPr>
          <w:rFonts w:ascii="Times New Roman" w:hAnsi="Times New Roman" w:cs="Times New Roman"/>
          <w:b/>
          <w:sz w:val="24"/>
          <w:szCs w:val="24"/>
          <w:lang w:val="en-US"/>
        </w:rPr>
        <w:t>Executive Summary</w:t>
      </w:r>
    </w:p>
    <w:p>
      <w:pPr>
        <w:spacing w:line="360" w:lineRule="auto"/>
        <w:ind w:firstLine="0"/>
        <w:rPr>
          <w:rFonts w:ascii="Times New Roman" w:hAnsi="Times New Roman" w:cs="Times New Roman"/>
          <w:sz w:val="24"/>
          <w:szCs w:val="24"/>
        </w:rPr>
      </w:pPr>
      <w:r>
        <w:rPr>
          <w:rFonts w:ascii="Times New Roman" w:hAnsi="Times New Roman" w:cs="Times New Roman"/>
          <w:sz w:val="24"/>
          <w:szCs w:val="24"/>
        </w:rPr>
        <w:t xml:space="preserve">This report aims to propose plans that can help in the integration of the measures of climate change into national policies, strategies, and planning. The report outlines two key objectives that various organisation can adopt in their policy initiatives aimed at addressing the change in climate. The first goal is to reduce greenhouse gas emissions by 50% in the next five years. The second objective is to adopt energy-saving practices in various sectors. The report outlines multiple action plans that will help in achieving the objectives by involving different stakeholders at different levels. It finally recommends the involvement of the general public in the implementation of the policy initiatives and the need to develop control and evaluation measures. </w:t>
      </w:r>
    </w:p>
    <w:p>
      <w:pPr>
        <w:spacing w:line="360" w:lineRule="auto"/>
        <w:ind w:firstLine="0"/>
        <w:rPr>
          <w:rFonts w:ascii="Times New Roman" w:hAnsi="Times New Roman" w:cs="Times New Roman"/>
          <w:b/>
          <w:sz w:val="24"/>
          <w:szCs w:val="24"/>
          <w:lang w:val="en-US"/>
        </w:rPr>
      </w:pPr>
    </w:p>
    <w:p>
      <w:pPr>
        <w:spacing w:line="360" w:lineRule="auto"/>
        <w:ind w:firstLine="0"/>
        <w:rPr>
          <w:rFonts w:ascii="Times New Roman" w:hAnsi="Times New Roman" w:cs="Times New Roman"/>
          <w:b/>
          <w:sz w:val="24"/>
          <w:szCs w:val="24"/>
          <w:lang w:val="en-US"/>
        </w:rPr>
      </w:pPr>
    </w:p>
    <w:p>
      <w:pPr>
        <w:spacing w:line="360" w:lineRule="auto"/>
        <w:ind w:firstLine="0"/>
        <w:rPr>
          <w:rFonts w:ascii="Times New Roman" w:hAnsi="Times New Roman" w:cs="Times New Roman"/>
          <w:b/>
          <w:sz w:val="24"/>
          <w:szCs w:val="24"/>
          <w:lang w:val="en-US"/>
        </w:rPr>
      </w:pPr>
    </w:p>
    <w:p>
      <w:pPr>
        <w:spacing w:line="360" w:lineRule="auto"/>
        <w:ind w:firstLine="0"/>
        <w:rPr>
          <w:rFonts w:ascii="Times New Roman" w:hAnsi="Times New Roman" w:cs="Times New Roman"/>
          <w:b/>
          <w:sz w:val="24"/>
          <w:szCs w:val="24"/>
          <w:lang w:val="en-US"/>
        </w:rPr>
      </w:pPr>
    </w:p>
    <w:p>
      <w:pPr>
        <w:spacing w:line="360" w:lineRule="auto"/>
        <w:ind w:firstLine="0"/>
        <w:rPr>
          <w:rFonts w:ascii="Times New Roman" w:hAnsi="Times New Roman" w:cs="Times New Roman"/>
          <w:b/>
          <w:sz w:val="24"/>
          <w:szCs w:val="24"/>
          <w:lang w:val="en-US"/>
        </w:rPr>
      </w:pPr>
    </w:p>
    <w:p>
      <w:pPr>
        <w:spacing w:line="360" w:lineRule="auto"/>
        <w:ind w:firstLine="0"/>
        <w:rPr>
          <w:rFonts w:ascii="Times New Roman" w:hAnsi="Times New Roman" w:cs="Times New Roman"/>
          <w:b/>
          <w:sz w:val="24"/>
          <w:szCs w:val="24"/>
          <w:lang w:val="en-US"/>
        </w:rPr>
      </w:pPr>
    </w:p>
    <w:p>
      <w:pPr>
        <w:spacing w:line="360" w:lineRule="auto"/>
        <w:ind w:firstLine="0"/>
        <w:rPr>
          <w:rFonts w:ascii="Times New Roman" w:hAnsi="Times New Roman" w:cs="Times New Roman"/>
          <w:b/>
          <w:sz w:val="24"/>
          <w:szCs w:val="24"/>
          <w:lang w:val="en-US"/>
        </w:rPr>
      </w:pPr>
    </w:p>
    <w:p>
      <w:pPr>
        <w:spacing w:line="360" w:lineRule="auto"/>
        <w:ind w:firstLine="0"/>
        <w:rPr>
          <w:rFonts w:ascii="Times New Roman" w:hAnsi="Times New Roman" w:cs="Times New Roman"/>
          <w:b/>
          <w:sz w:val="24"/>
          <w:szCs w:val="24"/>
          <w:lang w:val="en-US"/>
        </w:rPr>
      </w:pPr>
    </w:p>
    <w:p>
      <w:pPr>
        <w:spacing w:line="360" w:lineRule="auto"/>
        <w:ind w:firstLine="0"/>
        <w:rPr>
          <w:rFonts w:ascii="Times New Roman" w:hAnsi="Times New Roman" w:cs="Times New Roman"/>
          <w:b/>
          <w:sz w:val="24"/>
          <w:szCs w:val="24"/>
          <w:lang w:val="en-US"/>
        </w:rPr>
      </w:pPr>
    </w:p>
    <w:p>
      <w:pPr>
        <w:spacing w:line="360" w:lineRule="auto"/>
        <w:ind w:firstLine="0"/>
        <w:rPr>
          <w:rFonts w:ascii="Times New Roman" w:hAnsi="Times New Roman" w:cs="Times New Roman"/>
          <w:b/>
          <w:sz w:val="24"/>
          <w:szCs w:val="24"/>
          <w:lang w:val="en-US"/>
        </w:rPr>
      </w:pPr>
    </w:p>
    <w:p>
      <w:pPr>
        <w:spacing w:line="360" w:lineRule="auto"/>
        <w:ind w:firstLine="0"/>
        <w:rPr>
          <w:rFonts w:ascii="Times New Roman" w:hAnsi="Times New Roman" w:cs="Times New Roman"/>
          <w:b/>
          <w:sz w:val="24"/>
          <w:szCs w:val="24"/>
          <w:lang w:val="en-US"/>
        </w:rPr>
      </w:pPr>
    </w:p>
    <w:p>
      <w:pPr>
        <w:spacing w:line="360" w:lineRule="auto"/>
        <w:ind w:firstLine="0"/>
        <w:rPr>
          <w:rFonts w:ascii="Times New Roman" w:hAnsi="Times New Roman" w:cs="Times New Roman"/>
          <w:b/>
          <w:sz w:val="24"/>
          <w:szCs w:val="24"/>
          <w:lang w:val="en-US"/>
        </w:rPr>
      </w:pPr>
    </w:p>
    <w:p>
      <w:pPr>
        <w:spacing w:line="360" w:lineRule="auto"/>
        <w:ind w:firstLine="0"/>
        <w:rPr>
          <w:rFonts w:ascii="Times New Roman" w:hAnsi="Times New Roman" w:cs="Times New Roman"/>
          <w:b/>
          <w:sz w:val="24"/>
          <w:szCs w:val="24"/>
          <w:lang w:val="en-US"/>
        </w:rPr>
      </w:pPr>
    </w:p>
    <w:p>
      <w:pPr>
        <w:spacing w:before="0" w:beforeAutospacing="0" w:after="160" w:afterAutospacing="0" w:line="360" w:lineRule="auto"/>
        <w:ind w:firstLine="3360" w:firstLineChars="1400"/>
        <w:rPr>
          <w:rFonts w:ascii="Times New Roman" w:hAnsi="Times New Roman" w:eastAsia="Times New Roman" w:cs="Times New Roman"/>
          <w:b/>
          <w:bCs/>
          <w:sz w:val="24"/>
          <w:szCs w:val="24"/>
          <w:lang w:eastAsia="en-GB"/>
        </w:rPr>
      </w:pPr>
      <w:r>
        <w:rPr>
          <w:rFonts w:ascii="Times New Roman" w:hAnsi="Times New Roman" w:eastAsia="Times New Roman" w:cs="Times New Roman"/>
          <w:sz w:val="24"/>
          <w:szCs w:val="24"/>
          <w:lang w:eastAsia="en-GB"/>
        </w:rPr>
        <w:t xml:space="preserve"> </w:t>
      </w:r>
      <w:r>
        <w:rPr>
          <w:rFonts w:ascii="Times New Roman" w:hAnsi="Times New Roman" w:eastAsia="Times New Roman" w:cs="Times New Roman"/>
          <w:b/>
          <w:bCs/>
          <w:sz w:val="24"/>
          <w:szCs w:val="24"/>
          <w:lang w:eastAsia="en-GB"/>
        </w:rPr>
        <w:t>contents</w:t>
      </w:r>
    </w:p>
    <w:p>
      <w:pPr>
        <w:spacing w:before="0" w:beforeAutospacing="0" w:after="160" w:afterAutospacing="0" w:line="360" w:lineRule="auto"/>
        <w:ind w:firstLine="0"/>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Executive summary……………………………………………………………………………1</w:t>
      </w:r>
    </w:p>
    <w:p>
      <w:pPr>
        <w:spacing w:before="0" w:beforeAutospacing="0" w:after="160" w:afterAutospacing="0" w:line="360" w:lineRule="auto"/>
        <w:ind w:firstLine="0"/>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Introduction……………………………………………………………………………………3</w:t>
      </w:r>
    </w:p>
    <w:p>
      <w:pPr>
        <w:spacing w:before="0" w:beforeAutospacing="0" w:after="160" w:afterAutospacing="0" w:line="360" w:lineRule="auto"/>
        <w:ind w:firstLine="0"/>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The Plan for Integrating Climate Change Measures into the National Policies………………3</w:t>
      </w:r>
    </w:p>
    <w:p>
      <w:pPr>
        <w:spacing w:before="0" w:beforeAutospacing="0" w:after="160" w:afterAutospacing="0" w:line="360" w:lineRule="auto"/>
        <w:ind w:firstLine="0"/>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The rationale for Integrating Climate Change Measures into the National Policies…………..3</w:t>
      </w:r>
    </w:p>
    <w:p>
      <w:pPr>
        <w:spacing w:before="0" w:beforeAutospacing="0" w:after="160" w:afterAutospacing="0" w:line="360" w:lineRule="auto"/>
        <w:ind w:firstLine="0"/>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Involvement of the Public and Private Sectors in the Implementation Plan...………………...4</w:t>
      </w:r>
    </w:p>
    <w:p>
      <w:pPr>
        <w:spacing w:before="0" w:beforeAutospacing="0" w:after="160" w:afterAutospacing="0" w:line="360" w:lineRule="auto"/>
        <w:ind w:firstLine="0"/>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Objectives……………………………………………………………………………………...6</w:t>
      </w:r>
    </w:p>
    <w:p>
      <w:pPr>
        <w:spacing w:before="0" w:beforeAutospacing="0" w:after="160" w:afterAutospacing="0" w:line="360" w:lineRule="auto"/>
        <w:ind w:firstLine="0"/>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Objective 1: Reducing Greenhouse Gas Emission by 50% in the next five years……….…....6</w:t>
      </w:r>
    </w:p>
    <w:p>
      <w:pPr>
        <w:spacing w:before="0" w:beforeAutospacing="0" w:after="160" w:afterAutospacing="0" w:line="360" w:lineRule="auto"/>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Action Plans for Achieving Reduction of Greenhouse Emissions…………………….6</w:t>
      </w:r>
    </w:p>
    <w:p>
      <w:pPr>
        <w:spacing w:before="0" w:beforeAutospacing="0" w:after="160" w:afterAutospacing="0" w:line="360" w:lineRule="auto"/>
        <w:ind w:firstLine="0"/>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Objective 2: Promoting Energy Saving Practices in Buildings………………………………..7</w:t>
      </w:r>
    </w:p>
    <w:p>
      <w:pPr>
        <w:spacing w:before="0" w:beforeAutospacing="0" w:after="160" w:afterAutospacing="0" w:line="360" w:lineRule="auto"/>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Action Plans for Achieving Energy Saving Practices in Buildings………...…………7</w:t>
      </w:r>
    </w:p>
    <w:p>
      <w:pPr>
        <w:spacing w:before="0" w:beforeAutospacing="0" w:after="160" w:afterAutospacing="0" w:line="360" w:lineRule="auto"/>
        <w:ind w:firstLine="0"/>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Recommendations and Conclusions…………………………………………………………...8</w:t>
      </w:r>
    </w:p>
    <w:p>
      <w:pPr>
        <w:spacing w:before="0" w:beforeAutospacing="0" w:after="160" w:afterAutospacing="0" w:line="360" w:lineRule="auto"/>
        <w:ind w:firstLine="0"/>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References……………………………………………………………………………………..9</w:t>
      </w:r>
    </w:p>
    <w:p>
      <w:pPr>
        <w:spacing w:line="360" w:lineRule="auto"/>
        <w:ind w:firstLine="0"/>
        <w:rPr>
          <w:rFonts w:ascii="Times New Roman" w:hAnsi="Times New Roman" w:cs="Times New Roman"/>
          <w:b/>
          <w:sz w:val="24"/>
          <w:szCs w:val="24"/>
          <w:lang w:val="en-US"/>
        </w:rPr>
      </w:pPr>
    </w:p>
    <w:p>
      <w:pPr>
        <w:spacing w:line="360" w:lineRule="auto"/>
        <w:ind w:firstLine="0"/>
        <w:rPr>
          <w:rFonts w:ascii="Times New Roman" w:hAnsi="Times New Roman" w:cs="Times New Roman"/>
          <w:b/>
          <w:sz w:val="24"/>
          <w:szCs w:val="24"/>
          <w:lang w:val="en-US"/>
        </w:rPr>
      </w:pPr>
    </w:p>
    <w:p>
      <w:pPr>
        <w:spacing w:line="360" w:lineRule="auto"/>
        <w:ind w:firstLine="0"/>
        <w:rPr>
          <w:rFonts w:ascii="Times New Roman" w:hAnsi="Times New Roman" w:cs="Times New Roman"/>
          <w:b/>
          <w:sz w:val="24"/>
          <w:szCs w:val="24"/>
          <w:lang w:val="en-US"/>
        </w:rPr>
      </w:pPr>
    </w:p>
    <w:p>
      <w:pPr>
        <w:spacing w:line="360" w:lineRule="auto"/>
        <w:ind w:firstLine="0"/>
        <w:rPr>
          <w:rFonts w:ascii="Times New Roman" w:hAnsi="Times New Roman" w:cs="Times New Roman"/>
          <w:b/>
          <w:sz w:val="24"/>
          <w:szCs w:val="24"/>
          <w:lang w:val="en-US"/>
        </w:rPr>
      </w:pPr>
    </w:p>
    <w:p>
      <w:pPr>
        <w:spacing w:line="360" w:lineRule="auto"/>
        <w:ind w:firstLine="0"/>
        <w:rPr>
          <w:rFonts w:ascii="Times New Roman" w:hAnsi="Times New Roman" w:cs="Times New Roman"/>
          <w:b/>
          <w:sz w:val="24"/>
          <w:szCs w:val="24"/>
          <w:lang w:val="en-US"/>
        </w:rPr>
      </w:pPr>
    </w:p>
    <w:p>
      <w:pPr>
        <w:spacing w:line="360" w:lineRule="auto"/>
        <w:ind w:firstLine="0"/>
        <w:rPr>
          <w:rFonts w:ascii="Times New Roman" w:hAnsi="Times New Roman" w:cs="Times New Roman"/>
          <w:b/>
          <w:sz w:val="24"/>
          <w:szCs w:val="24"/>
          <w:lang w:val="en-US"/>
        </w:rPr>
      </w:pPr>
    </w:p>
    <w:p>
      <w:pPr>
        <w:spacing w:line="360" w:lineRule="auto"/>
        <w:ind w:firstLine="0"/>
        <w:rPr>
          <w:rFonts w:ascii="Times New Roman" w:hAnsi="Times New Roman" w:cs="Times New Roman"/>
          <w:b/>
          <w:sz w:val="24"/>
          <w:szCs w:val="24"/>
          <w:lang w:val="en-US"/>
        </w:rPr>
      </w:pPr>
    </w:p>
    <w:p>
      <w:pPr>
        <w:spacing w:line="360" w:lineRule="auto"/>
        <w:ind w:firstLine="0"/>
        <w:rPr>
          <w:rFonts w:ascii="Times New Roman" w:hAnsi="Times New Roman" w:cs="Times New Roman"/>
          <w:b/>
          <w:sz w:val="24"/>
          <w:szCs w:val="24"/>
          <w:lang w:val="en-US"/>
        </w:rPr>
      </w:pPr>
    </w:p>
    <w:p>
      <w:pPr>
        <w:spacing w:line="360" w:lineRule="auto"/>
        <w:ind w:firstLine="0"/>
        <w:rPr>
          <w:rFonts w:ascii="Times New Roman" w:hAnsi="Times New Roman" w:cs="Times New Roman"/>
          <w:b/>
          <w:sz w:val="24"/>
          <w:szCs w:val="24"/>
          <w:lang w:val="en-US"/>
        </w:rPr>
      </w:pPr>
    </w:p>
    <w:p>
      <w:pPr>
        <w:spacing w:line="360" w:lineRule="auto"/>
        <w:ind w:firstLine="0"/>
        <w:rPr>
          <w:rFonts w:ascii="Times New Roman" w:hAnsi="Times New Roman" w:cs="Times New Roman"/>
          <w:b/>
          <w:sz w:val="24"/>
          <w:szCs w:val="24"/>
          <w:lang w:val="en-US"/>
        </w:rPr>
      </w:pPr>
      <w:r>
        <w:rPr>
          <w:rFonts w:ascii="Times New Roman" w:hAnsi="Times New Roman" w:cs="Times New Roman"/>
          <w:b/>
          <w:sz w:val="24"/>
          <w:szCs w:val="24"/>
          <w:lang w:val="en-US"/>
        </w:rPr>
        <w:t>Introduction</w:t>
      </w:r>
    </w:p>
    <w:p>
      <w:pPr>
        <w:spacing w:line="360" w:lineRule="auto"/>
        <w:ind w:firstLine="0"/>
        <w:rPr>
          <w:rFonts w:ascii="Times New Roman" w:hAnsi="Times New Roman" w:cs="Times New Roman"/>
          <w:sz w:val="24"/>
          <w:szCs w:val="24"/>
          <w:lang w:val="en-US"/>
        </w:rPr>
      </w:pPr>
      <w:r>
        <w:rPr>
          <w:rFonts w:ascii="Times New Roman" w:hAnsi="Times New Roman" w:cs="Times New Roman"/>
          <w:sz w:val="24"/>
          <w:szCs w:val="24"/>
          <w:lang w:val="en-US"/>
        </w:rPr>
        <w:t>The impacts of changes in climatic patterns are getting felt in all parts of the globe, and they are affecting everyone. Climate change is affecting the lives of every individual, disrupting economies, leaving behind impacts of high magnitude to communities (</w:t>
      </w:r>
      <w:r>
        <w:rPr>
          <w:rFonts w:ascii="Times New Roman" w:hAnsi="Times New Roman" w:cs="Times New Roman"/>
          <w:color w:val="222222"/>
          <w:sz w:val="24"/>
          <w:szCs w:val="24"/>
          <w:shd w:val="clear" w:color="auto" w:fill="FFFFFF"/>
        </w:rPr>
        <w:t>Zhenmin and Espinosa, 2019</w:t>
      </w:r>
      <w:r>
        <w:rPr>
          <w:rFonts w:ascii="Times New Roman" w:hAnsi="Times New Roman" w:cs="Times New Roman"/>
          <w:sz w:val="24"/>
          <w:szCs w:val="24"/>
          <w:lang w:val="en-US"/>
        </w:rPr>
        <w:t>). If the trend remains unaddressed, the alterations in weather patterns, increasing levels of water in the oceans, and devatating weather events are going to wreck widespread damages to the communities living in hotspot areas (</w:t>
      </w:r>
      <w:r>
        <w:rPr>
          <w:rFonts w:ascii="Times New Roman" w:hAnsi="Times New Roman" w:cs="Times New Roman"/>
          <w:color w:val="222222"/>
          <w:sz w:val="24"/>
          <w:szCs w:val="24"/>
          <w:shd w:val="clear" w:color="auto" w:fill="FFFFFF"/>
        </w:rPr>
        <w:t>Arnell and Gosling, 2016</w:t>
      </w:r>
      <w:r>
        <w:rPr>
          <w:rFonts w:ascii="Times New Roman" w:hAnsi="Times New Roman" w:cs="Times New Roman"/>
          <w:sz w:val="24"/>
          <w:szCs w:val="24"/>
          <w:lang w:val="en-US"/>
        </w:rPr>
        <w:t>). Scientists predict the earth’s surface temperatures to surpass 3</w:t>
      </w:r>
      <w:r>
        <w:rPr>
          <w:rFonts w:ascii="Times New Roman" w:hAnsi="Times New Roman" w:cs="Times New Roman"/>
          <w:sz w:val="24"/>
          <w:szCs w:val="24"/>
          <w:vertAlign w:val="superscript"/>
          <w:lang w:val="en-US"/>
        </w:rPr>
        <w:t xml:space="preserve">0 </w:t>
      </w:r>
      <w:r>
        <w:rPr>
          <w:rFonts w:ascii="Times New Roman" w:hAnsi="Times New Roman" w:cs="Times New Roman"/>
          <w:sz w:val="24"/>
          <w:szCs w:val="24"/>
          <w:lang w:val="en-US"/>
        </w:rPr>
        <w:t>C by the end of this century if the ongoing greenhouse emissions continue as usual (</w:t>
      </w:r>
      <w:r>
        <w:rPr>
          <w:rFonts w:ascii="Times New Roman" w:hAnsi="Times New Roman" w:cs="Times New Roman"/>
          <w:color w:val="222222"/>
          <w:sz w:val="24"/>
          <w:szCs w:val="24"/>
          <w:shd w:val="clear" w:color="auto" w:fill="FFFFFF"/>
        </w:rPr>
        <w:t>Timberlake and Schultz, 2017</w:t>
      </w:r>
      <w:r>
        <w:rPr>
          <w:rFonts w:ascii="Times New Roman" w:hAnsi="Times New Roman" w:cs="Times New Roman"/>
          <w:sz w:val="24"/>
          <w:szCs w:val="24"/>
          <w:lang w:val="en-US"/>
        </w:rPr>
        <w:t xml:space="preserve">). </w:t>
      </w:r>
    </w:p>
    <w:p>
      <w:pPr>
        <w:spacing w:line="360" w:lineRule="auto"/>
        <w:ind w:firstLine="0"/>
        <w:rPr>
          <w:rFonts w:ascii="Times New Roman" w:hAnsi="Times New Roman" w:cs="Times New Roman"/>
          <w:sz w:val="24"/>
          <w:szCs w:val="24"/>
        </w:rPr>
      </w:pPr>
      <w:r>
        <w:rPr>
          <w:rFonts w:ascii="Times New Roman" w:hAnsi="Times New Roman" w:cs="Times New Roman"/>
          <w:sz w:val="24"/>
          <w:szCs w:val="24"/>
        </w:rPr>
        <w:t xml:space="preserve">This report aims to propose a plan that will assist in facilitating the integration of the measures of climate change into national policies, strategies, and planning. The first part will outline the need and objectives that will help in achieving the second target of climate action. It will then present the action plans that will help in achieving the outlined objectives. Consequently, it will discuss the involvement of both the public and private sector organisations by giving examples of similar successful initiatives. Finally, it will present the possible challenges that may hinder success and propose possible solutions. </w:t>
      </w:r>
    </w:p>
    <w:p>
      <w:pPr>
        <w:spacing w:line="360" w:lineRule="auto"/>
        <w:ind w:firstLine="0"/>
        <w:rPr>
          <w:rFonts w:ascii="Times New Roman" w:hAnsi="Times New Roman" w:cs="Times New Roman"/>
          <w:b/>
          <w:sz w:val="24"/>
          <w:szCs w:val="24"/>
        </w:rPr>
      </w:pPr>
      <w:r>
        <w:rPr>
          <w:rFonts w:ascii="Times New Roman" w:hAnsi="Times New Roman" w:cs="Times New Roman"/>
          <w:b/>
          <w:sz w:val="24"/>
          <w:szCs w:val="24"/>
        </w:rPr>
        <w:t>The Plan for Integrating Climate Change Measures into the National Policies</w:t>
      </w:r>
    </w:p>
    <w:p>
      <w:pPr>
        <w:spacing w:line="360" w:lineRule="auto"/>
        <w:ind w:firstLine="0"/>
        <w:rPr>
          <w:rFonts w:ascii="Times New Roman" w:hAnsi="Times New Roman" w:cs="Times New Roman"/>
          <w:sz w:val="24"/>
          <w:szCs w:val="24"/>
        </w:rPr>
      </w:pPr>
      <w:r>
        <w:rPr>
          <w:rFonts w:ascii="Times New Roman" w:hAnsi="Times New Roman" w:cs="Times New Roman"/>
          <w:sz w:val="24"/>
          <w:szCs w:val="24"/>
        </w:rPr>
        <w:t>As a contribution to the realisation of the UN sustainable development goals (SDGs), this report presents a proposed plan that would help the relevant government agencies to integrate climate change initiatives. This plan will help in outlining the roles of both private and public sector organisations in the execution of the strategic plans to address the challenges of changes in climate and its impacts. The plan aims at promoting the adoption of green energy solutions by establishing mechanisms that will help in reducing greenhouse emissions and investing in sustainable sources of energy.</w:t>
      </w:r>
    </w:p>
    <w:p>
      <w:pPr>
        <w:spacing w:line="360" w:lineRule="auto"/>
        <w:ind w:firstLine="0"/>
        <w:rPr>
          <w:rFonts w:ascii="Times New Roman" w:hAnsi="Times New Roman" w:cs="Times New Roman"/>
          <w:b/>
          <w:sz w:val="24"/>
          <w:szCs w:val="24"/>
        </w:rPr>
      </w:pPr>
      <w:r>
        <w:rPr>
          <w:rFonts w:ascii="Times New Roman" w:hAnsi="Times New Roman" w:cs="Times New Roman"/>
          <w:b/>
          <w:sz w:val="24"/>
          <w:szCs w:val="24"/>
        </w:rPr>
        <w:t>The Rationale for Integrating Climate Change Measures into the National Policies</w:t>
      </w:r>
    </w:p>
    <w:p>
      <w:pPr>
        <w:spacing w:line="360" w:lineRule="auto"/>
        <w:ind w:firstLine="0"/>
        <w:rPr>
          <w:rFonts w:ascii="Times New Roman" w:hAnsi="Times New Roman" w:cs="Times New Roman"/>
          <w:sz w:val="24"/>
          <w:szCs w:val="24"/>
        </w:rPr>
      </w:pPr>
      <w:r>
        <w:rPr>
          <w:rFonts w:ascii="Times New Roman" w:hAnsi="Times New Roman" w:cs="Times New Roman"/>
          <w:sz w:val="24"/>
          <w:szCs w:val="24"/>
        </w:rPr>
        <w:t>Every government must take up an active role both at the local and national stages to address the issues of change in climate by creating strategies that help in mitigating the causes and resulting impacts. One of the ways through which every nation can contribute to this issue is by integrating measures for the mitigation of climate change into the national policies, strategies, and planning (</w:t>
      </w:r>
      <w:r>
        <w:rPr>
          <w:rFonts w:ascii="Times New Roman" w:hAnsi="Times New Roman" w:cs="Times New Roman"/>
          <w:color w:val="222222"/>
          <w:sz w:val="24"/>
          <w:szCs w:val="24"/>
          <w:shd w:val="clear" w:color="auto" w:fill="FFFFFF"/>
        </w:rPr>
        <w:t>Michaelowa and Michaelowa, 2017</w:t>
      </w:r>
      <w:r>
        <w:rPr>
          <w:rFonts w:ascii="Times New Roman" w:hAnsi="Times New Roman" w:cs="Times New Roman"/>
          <w:sz w:val="24"/>
          <w:szCs w:val="24"/>
        </w:rPr>
        <w:t>). Secondly, the government can link the concern of changes in climate with its national sustainable development goals to ensure that they take part in the global fight against the effects of climate change (</w:t>
      </w:r>
      <w:r>
        <w:rPr>
          <w:rFonts w:ascii="Times New Roman" w:hAnsi="Times New Roman" w:cs="Times New Roman"/>
          <w:color w:val="222222"/>
          <w:sz w:val="24"/>
          <w:szCs w:val="24"/>
          <w:shd w:val="clear" w:color="auto" w:fill="FFFFFF"/>
        </w:rPr>
        <w:t>Michaelowa and Michaelowa, 2017</w:t>
      </w:r>
      <w:r>
        <w:rPr>
          <w:rFonts w:ascii="Times New Roman" w:hAnsi="Times New Roman" w:cs="Times New Roman"/>
          <w:sz w:val="24"/>
          <w:szCs w:val="24"/>
        </w:rPr>
        <w:t>). Once climate change initiatives are established, the governments should partner with the private sector through its public agencies to facilitate the implementation of the formulated initiatives (</w:t>
      </w:r>
      <w:r>
        <w:rPr>
          <w:rFonts w:ascii="Times New Roman" w:hAnsi="Times New Roman" w:cs="Times New Roman"/>
          <w:color w:val="222222"/>
          <w:sz w:val="24"/>
          <w:szCs w:val="24"/>
          <w:shd w:val="clear" w:color="auto" w:fill="FFFFFF"/>
        </w:rPr>
        <w:t>Michaelowa and Michaelowa, 2017</w:t>
      </w:r>
      <w:r>
        <w:rPr>
          <w:rFonts w:ascii="Times New Roman" w:hAnsi="Times New Roman" w:cs="Times New Roman"/>
          <w:sz w:val="24"/>
          <w:szCs w:val="24"/>
        </w:rPr>
        <w:t xml:space="preserve">). </w:t>
      </w:r>
    </w:p>
    <w:p>
      <w:pPr>
        <w:spacing w:line="360" w:lineRule="auto"/>
        <w:ind w:firstLine="0"/>
        <w:rPr>
          <w:rFonts w:ascii="Times New Roman" w:hAnsi="Times New Roman" w:cs="Times New Roman"/>
          <w:sz w:val="24"/>
          <w:szCs w:val="24"/>
        </w:rPr>
      </w:pPr>
      <w:r>
        <w:rPr>
          <w:rFonts w:ascii="Times New Roman" w:hAnsi="Times New Roman" w:cs="Times New Roman"/>
          <w:sz w:val="24"/>
          <w:szCs w:val="24"/>
        </w:rPr>
        <w:t>Climate change has gone beyond being an environmental concern to be a sustainable development issue. The effects of climate change threaten to erase the progress made in achieving sustainable development goals, including those of MDGs (</w:t>
      </w:r>
      <w:r>
        <w:rPr>
          <w:rFonts w:ascii="Times New Roman" w:hAnsi="Times New Roman" w:cs="Times New Roman"/>
          <w:color w:val="222222"/>
          <w:sz w:val="24"/>
          <w:szCs w:val="24"/>
          <w:shd w:val="clear" w:color="auto" w:fill="FFFFFF"/>
        </w:rPr>
        <w:t>Zhenmin and Espinosa, 2019</w:t>
      </w:r>
      <w:r>
        <w:rPr>
          <w:rFonts w:ascii="Times New Roman" w:hAnsi="Times New Roman" w:cs="Times New Roman"/>
          <w:sz w:val="24"/>
          <w:szCs w:val="24"/>
        </w:rPr>
        <w:t>). Greenhouse gas emissions, which are the major contributors to the rising temperatures, depending on the economic and technological pathways that different counties pursue to grow their economies (</w:t>
      </w:r>
      <w:r>
        <w:rPr>
          <w:rFonts w:ascii="Times New Roman" w:hAnsi="Times New Roman" w:cs="Times New Roman"/>
          <w:color w:val="222222"/>
          <w:sz w:val="24"/>
          <w:szCs w:val="24"/>
          <w:shd w:val="clear" w:color="auto" w:fill="FFFFFF"/>
        </w:rPr>
        <w:t>Lempert, 2019</w:t>
      </w:r>
      <w:r>
        <w:rPr>
          <w:rFonts w:ascii="Times New Roman" w:hAnsi="Times New Roman" w:cs="Times New Roman"/>
          <w:sz w:val="24"/>
          <w:szCs w:val="24"/>
        </w:rPr>
        <w:t>). For instance, the motor vehicle sector and industrial developments are key areas that require urgent attention in the fight to reduce air pollution and greenhouse effects (</w:t>
      </w:r>
      <w:r>
        <w:rPr>
          <w:rFonts w:ascii="Times New Roman" w:hAnsi="Times New Roman" w:cs="Times New Roman"/>
          <w:color w:val="222222"/>
          <w:sz w:val="24"/>
          <w:szCs w:val="24"/>
          <w:shd w:val="clear" w:color="auto" w:fill="FFFFFF"/>
        </w:rPr>
        <w:t>Zhenmin and Espinosa, 2019</w:t>
      </w:r>
      <w:r>
        <w:rPr>
          <w:rFonts w:ascii="Times New Roman" w:hAnsi="Times New Roman" w:cs="Times New Roman"/>
          <w:sz w:val="24"/>
          <w:szCs w:val="24"/>
        </w:rPr>
        <w:t>). The current emissions pose critical health impacts on the future generation, with the vulnerable and poor communities bearing the greatest burden despite their least contribution to the problem of changes in climate (</w:t>
      </w:r>
      <w:r>
        <w:rPr>
          <w:rFonts w:ascii="Times New Roman" w:hAnsi="Times New Roman" w:cs="Times New Roman"/>
          <w:color w:val="222222"/>
          <w:sz w:val="24"/>
          <w:szCs w:val="24"/>
          <w:shd w:val="clear" w:color="auto" w:fill="FFFFFF"/>
        </w:rPr>
        <w:t>Lempert, 2019</w:t>
      </w:r>
      <w:r>
        <w:rPr>
          <w:rFonts w:ascii="Times New Roman" w:hAnsi="Times New Roman" w:cs="Times New Roman"/>
          <w:sz w:val="24"/>
          <w:szCs w:val="24"/>
        </w:rPr>
        <w:t>).</w:t>
      </w:r>
    </w:p>
    <w:p>
      <w:pPr>
        <w:spacing w:line="360" w:lineRule="auto"/>
        <w:ind w:firstLine="0"/>
        <w:rPr>
          <w:rFonts w:ascii="Times New Roman" w:hAnsi="Times New Roman" w:cs="Times New Roman"/>
          <w:sz w:val="24"/>
          <w:szCs w:val="24"/>
        </w:rPr>
      </w:pPr>
      <w:r>
        <w:rPr>
          <w:rFonts w:ascii="Times New Roman" w:hAnsi="Times New Roman" w:cs="Times New Roman"/>
          <w:sz w:val="24"/>
          <w:szCs w:val="24"/>
        </w:rPr>
        <w:t>Addressing climate change in the national sustainable development strategies confers several benefits and allows a country to identify and resolve trade-offs between changes in climate and other goals. For instance, the initiatives intended to maintain natural capital and sustaining livelihoods also increase carbon absorption (</w:t>
      </w:r>
      <w:r>
        <w:rPr>
          <w:rFonts w:ascii="Times New Roman" w:hAnsi="Times New Roman" w:cs="Times New Roman"/>
          <w:color w:val="222222"/>
          <w:sz w:val="24"/>
          <w:szCs w:val="24"/>
          <w:shd w:val="clear" w:color="auto" w:fill="FFFFFF"/>
        </w:rPr>
        <w:t>Zhenmin and Espinosa, 2019</w:t>
      </w:r>
      <w:r>
        <w:rPr>
          <w:rFonts w:ascii="Times New Roman" w:hAnsi="Times New Roman" w:cs="Times New Roman"/>
          <w:sz w:val="24"/>
          <w:szCs w:val="24"/>
        </w:rPr>
        <w:t>). Besides, reducing emissions resulting from buring of fossil fuels can increase energy security as countries are investing in alternative renewable energy sources, for example, solar power that provides green sustainable energy (</w:t>
      </w:r>
      <w:r>
        <w:rPr>
          <w:rFonts w:ascii="Times New Roman" w:hAnsi="Times New Roman" w:cs="Times New Roman"/>
          <w:color w:val="222222"/>
          <w:sz w:val="24"/>
          <w:szCs w:val="24"/>
          <w:shd w:val="clear" w:color="auto" w:fill="FFFFFF"/>
        </w:rPr>
        <w:t>Lempert, 2019</w:t>
      </w:r>
      <w:r>
        <w:rPr>
          <w:rFonts w:ascii="Times New Roman" w:hAnsi="Times New Roman" w:cs="Times New Roman"/>
          <w:sz w:val="24"/>
          <w:szCs w:val="24"/>
        </w:rPr>
        <w:t xml:space="preserve">). </w:t>
      </w:r>
    </w:p>
    <w:p>
      <w:pPr>
        <w:spacing w:line="360" w:lineRule="auto"/>
        <w:ind w:firstLine="0"/>
        <w:rPr>
          <w:rFonts w:ascii="Times New Roman" w:hAnsi="Times New Roman" w:cs="Times New Roman"/>
          <w:b/>
          <w:sz w:val="24"/>
          <w:szCs w:val="24"/>
        </w:rPr>
      </w:pPr>
      <w:r>
        <w:rPr>
          <w:rFonts w:ascii="Times New Roman" w:hAnsi="Times New Roman" w:cs="Times New Roman"/>
          <w:b/>
          <w:sz w:val="24"/>
          <w:szCs w:val="24"/>
        </w:rPr>
        <w:t>Involvement of the Public and Private Sectors in the Implementation of the Plan</w:t>
      </w:r>
    </w:p>
    <w:p>
      <w:pPr>
        <w:spacing w:line="360" w:lineRule="auto"/>
        <w:ind w:firstLine="0"/>
        <w:rPr>
          <w:rFonts w:ascii="Times New Roman" w:hAnsi="Times New Roman" w:cs="Times New Roman"/>
          <w:sz w:val="24"/>
          <w:szCs w:val="24"/>
        </w:rPr>
      </w:pPr>
      <w:r>
        <w:rPr>
          <w:rFonts w:ascii="Times New Roman" w:hAnsi="Times New Roman" w:cs="Times New Roman"/>
          <w:sz w:val="24"/>
          <w:szCs w:val="24"/>
        </w:rPr>
        <w:t>The commitment of various states to the participation of working towards the achievement of the UN’s SDGs has prompted various governmental organisations and agencies to promote CSR activities (</w:t>
      </w:r>
      <w:r>
        <w:rPr>
          <w:rFonts w:ascii="Times New Roman" w:hAnsi="Times New Roman" w:cs="Times New Roman"/>
          <w:color w:val="222222"/>
          <w:sz w:val="24"/>
          <w:szCs w:val="24"/>
          <w:shd w:val="clear" w:color="auto" w:fill="FFFFFF"/>
        </w:rPr>
        <w:t>Buhmann, Jonsson, and Fisker, 2019</w:t>
      </w:r>
      <w:r>
        <w:rPr>
          <w:rFonts w:ascii="Times New Roman" w:hAnsi="Times New Roman" w:cs="Times New Roman"/>
          <w:sz w:val="24"/>
          <w:szCs w:val="24"/>
        </w:rPr>
        <w:t>). They work in close relationships with multiple stakeholders at different levels to ensure that they make significant progress towards the achievement of the SDG objectives (</w:t>
      </w:r>
      <w:r>
        <w:rPr>
          <w:rFonts w:ascii="Times New Roman" w:hAnsi="Times New Roman" w:cs="Times New Roman"/>
          <w:color w:val="222222"/>
          <w:sz w:val="24"/>
          <w:szCs w:val="24"/>
          <w:shd w:val="clear" w:color="auto" w:fill="FFFFFF"/>
        </w:rPr>
        <w:t>Kumar, Kumar, and Vivekadhish, 2016</w:t>
      </w:r>
      <w:r>
        <w:rPr>
          <w:rFonts w:ascii="Times New Roman" w:hAnsi="Times New Roman" w:cs="Times New Roman"/>
          <w:sz w:val="24"/>
          <w:szCs w:val="24"/>
        </w:rPr>
        <w:t>). Theoretically, R. Edward Freeman (1984) described a stakeholder as any person or group of individuals who get impacted or can affect the realisation of a firm’s goal (</w:t>
      </w:r>
      <w:r>
        <w:rPr>
          <w:rFonts w:ascii="Times New Roman" w:hAnsi="Times New Roman" w:cs="Times New Roman"/>
          <w:color w:val="222222"/>
          <w:sz w:val="24"/>
          <w:szCs w:val="24"/>
          <w:shd w:val="clear" w:color="auto" w:fill="FFFFFF"/>
        </w:rPr>
        <w:t>Freeman, Harrison, and Zyglidopoulos, 2018</w:t>
      </w:r>
      <w:r>
        <w:rPr>
          <w:rFonts w:ascii="Times New Roman" w:hAnsi="Times New Roman" w:cs="Times New Roman"/>
          <w:sz w:val="24"/>
          <w:szCs w:val="24"/>
        </w:rPr>
        <w:t xml:space="preserve">). </w:t>
      </w:r>
    </w:p>
    <w:p>
      <w:pPr>
        <w:spacing w:line="360" w:lineRule="auto"/>
        <w:ind w:firstLine="0"/>
        <w:rPr>
          <w:rFonts w:ascii="Times New Roman" w:hAnsi="Times New Roman" w:cs="Times New Roman"/>
          <w:sz w:val="24"/>
          <w:szCs w:val="24"/>
        </w:rPr>
      </w:pPr>
      <w:r>
        <w:rPr>
          <w:rFonts w:ascii="Times New Roman" w:hAnsi="Times New Roman" w:cs="Times New Roman"/>
          <w:sz w:val="24"/>
          <w:szCs w:val="24"/>
        </w:rPr>
        <w:t>The stakeholder theory provides a framework that contains three aspects that are critical for understanding the stakeholder association with an organisation. For instance, the analytical part helps in mapping all the key groups that are relevant to the achievement of the goals set by a firm (Freeman et al., 2018). The process element considers the players that have a significant influence on goal realisation. The final aspect, which is transactional, deals with the management activities that coordinate the relationships with other stakeholders (</w:t>
      </w:r>
      <w:r>
        <w:rPr>
          <w:rFonts w:ascii="Times New Roman" w:hAnsi="Times New Roman" w:cs="Times New Roman"/>
          <w:color w:val="222222"/>
          <w:sz w:val="24"/>
          <w:szCs w:val="24"/>
          <w:shd w:val="clear" w:color="auto" w:fill="FFFFFF"/>
        </w:rPr>
        <w:t>Timberlake and Schultz, 2017</w:t>
      </w:r>
      <w:r>
        <w:rPr>
          <w:rFonts w:ascii="Times New Roman" w:hAnsi="Times New Roman" w:cs="Times New Roman"/>
          <w:sz w:val="24"/>
          <w:szCs w:val="24"/>
        </w:rPr>
        <w:t xml:space="preserve">). The implementation of the SDGs requires participation from the public to get much-needed support that facilitates the achievement of the outlined objectives. </w:t>
      </w:r>
    </w:p>
    <w:p>
      <w:pPr>
        <w:spacing w:line="360" w:lineRule="auto"/>
        <w:ind w:firstLine="0"/>
        <w:rPr>
          <w:rFonts w:ascii="Times New Roman" w:hAnsi="Times New Roman" w:cs="Times New Roman"/>
          <w:sz w:val="24"/>
          <w:szCs w:val="24"/>
          <w:lang w:val="en-US"/>
        </w:rPr>
      </w:pPr>
      <w:r>
        <w:rPr>
          <w:rFonts w:ascii="Times New Roman" w:hAnsi="Times New Roman" w:cs="Times New Roman"/>
          <w:sz w:val="24"/>
          <w:szCs w:val="24"/>
          <w:lang w:val="en-US"/>
        </w:rPr>
        <w:t>The achievement of this initiative requires participation from both the public and private sector organisations. For instance, the public sector organisations such as government agencies and regulatory bodies have the responsibility of developing national policies that integrate the proposed climate change measures to the national SDGs (</w:t>
      </w:r>
      <w:r>
        <w:rPr>
          <w:rFonts w:ascii="Times New Roman" w:hAnsi="Times New Roman" w:cs="Times New Roman"/>
          <w:color w:val="222222"/>
          <w:sz w:val="24"/>
          <w:szCs w:val="24"/>
          <w:shd w:val="clear" w:color="auto" w:fill="FFFFFF"/>
        </w:rPr>
        <w:t>Zhenmin and Espinosa, 2019</w:t>
      </w:r>
      <w:r>
        <w:rPr>
          <w:rFonts w:ascii="Times New Roman" w:hAnsi="Times New Roman" w:cs="Times New Roman"/>
          <w:sz w:val="24"/>
          <w:szCs w:val="24"/>
          <w:lang w:val="en-US"/>
        </w:rPr>
        <w:t>). Besides, they also have the responsibility of setting guidelines and frameworks that help in the implementation of the initiatives both at the national and local levels (</w:t>
      </w:r>
      <w:r>
        <w:rPr>
          <w:rFonts w:ascii="Times New Roman" w:hAnsi="Times New Roman" w:cs="Times New Roman"/>
          <w:color w:val="222222"/>
          <w:sz w:val="24"/>
          <w:szCs w:val="24"/>
          <w:shd w:val="clear" w:color="auto" w:fill="FFFFFF"/>
        </w:rPr>
        <w:t>Timberlake and Schultz, 2017</w:t>
      </w:r>
      <w:r>
        <w:rPr>
          <w:rFonts w:ascii="Times New Roman" w:hAnsi="Times New Roman" w:cs="Times New Roman"/>
          <w:sz w:val="24"/>
          <w:szCs w:val="24"/>
          <w:lang w:val="en-US"/>
        </w:rPr>
        <w:t>). Through the partnerships with the public learning institutions, the government agencies are working together to promote capacity building for the professionals and other stakeholders at various levels on the implementation of green energy solutions, reduction of greenhouse emissions, and promoting efficient and sustainable use of energy (</w:t>
      </w:r>
      <w:r>
        <w:rPr>
          <w:rFonts w:ascii="Times New Roman" w:hAnsi="Times New Roman" w:cs="Times New Roman"/>
          <w:color w:val="222222"/>
          <w:sz w:val="24"/>
          <w:szCs w:val="24"/>
          <w:shd w:val="clear" w:color="auto" w:fill="FFFFFF"/>
        </w:rPr>
        <w:t>Timberlake and Schultz, 2017</w:t>
      </w:r>
      <w:r>
        <w:rPr>
          <w:rFonts w:ascii="Times New Roman" w:hAnsi="Times New Roman" w:cs="Times New Roman"/>
          <w:sz w:val="24"/>
          <w:szCs w:val="24"/>
          <w:lang w:val="en-US"/>
        </w:rPr>
        <w:t>).</w:t>
      </w:r>
    </w:p>
    <w:p>
      <w:pPr>
        <w:spacing w:line="360" w:lineRule="auto"/>
        <w:ind w:firstLine="0"/>
        <w:rPr>
          <w:rFonts w:ascii="Times New Roman" w:hAnsi="Times New Roman" w:cs="Times New Roman"/>
          <w:sz w:val="24"/>
          <w:szCs w:val="24"/>
          <w:lang w:val="en-US"/>
        </w:rPr>
      </w:pPr>
      <w:r>
        <w:rPr>
          <w:rFonts w:ascii="Times New Roman" w:hAnsi="Times New Roman" w:cs="Times New Roman"/>
          <w:sz w:val="24"/>
          <w:szCs w:val="24"/>
          <w:lang w:val="en-US"/>
        </w:rPr>
        <w:t>The private sector involvement in the achievement of the proposed climatic change response initiatives can occur at various levels, such as at the investor and end-user levels. For instance, private investors should adopt and implement the outlined measures in climate change policies (</w:t>
      </w:r>
      <w:r>
        <w:rPr>
          <w:rFonts w:ascii="Times New Roman" w:hAnsi="Times New Roman" w:cs="Times New Roman"/>
          <w:color w:val="222222"/>
          <w:sz w:val="24"/>
          <w:szCs w:val="24"/>
          <w:shd w:val="clear" w:color="auto" w:fill="FFFFFF"/>
        </w:rPr>
        <w:t>Timberlake and Schultz, 2017</w:t>
      </w:r>
      <w:r>
        <w:rPr>
          <w:rFonts w:ascii="Times New Roman" w:hAnsi="Times New Roman" w:cs="Times New Roman"/>
          <w:sz w:val="24"/>
          <w:szCs w:val="24"/>
          <w:lang w:val="en-US"/>
        </w:rPr>
        <w:t>). For instance, the use of technologies that promote energy saving and efficiency, the use of clean power sources such as solar energy in buildings, factories, and residential places. Besides, the general public has the responsibility of sustainable use of energy by adopting energy-saving techniques (</w:t>
      </w:r>
      <w:r>
        <w:rPr>
          <w:rFonts w:ascii="Times New Roman" w:hAnsi="Times New Roman" w:cs="Times New Roman"/>
          <w:color w:val="222222"/>
          <w:sz w:val="24"/>
          <w:szCs w:val="24"/>
          <w:shd w:val="clear" w:color="auto" w:fill="FFFFFF"/>
        </w:rPr>
        <w:t>Timberlake and Schultz, 2017</w:t>
      </w:r>
      <w:r>
        <w:rPr>
          <w:rFonts w:ascii="Times New Roman" w:hAnsi="Times New Roman" w:cs="Times New Roman"/>
          <w:sz w:val="24"/>
          <w:szCs w:val="24"/>
          <w:lang w:val="en-US"/>
        </w:rPr>
        <w:t xml:space="preserve">). </w:t>
      </w:r>
    </w:p>
    <w:p>
      <w:pPr>
        <w:spacing w:line="360" w:lineRule="auto"/>
        <w:ind w:firstLine="0"/>
        <w:rPr>
          <w:rFonts w:ascii="Times New Roman" w:hAnsi="Times New Roman" w:cs="Times New Roman"/>
          <w:b/>
          <w:sz w:val="24"/>
          <w:szCs w:val="24"/>
        </w:rPr>
      </w:pPr>
      <w:r>
        <w:rPr>
          <w:rFonts w:ascii="Times New Roman" w:hAnsi="Times New Roman" w:cs="Times New Roman"/>
          <w:b/>
          <w:sz w:val="24"/>
          <w:szCs w:val="24"/>
        </w:rPr>
        <w:t>Objectives</w:t>
      </w:r>
    </w:p>
    <w:p>
      <w:pPr>
        <w:pStyle w:val="8"/>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Reducing greenhouse gas emission by 50% in the next five years.</w:t>
      </w:r>
    </w:p>
    <w:p>
      <w:pPr>
        <w:pStyle w:val="8"/>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Adopting energy-saving practices in various sectors </w:t>
      </w:r>
    </w:p>
    <w:p>
      <w:pPr>
        <w:spacing w:line="360" w:lineRule="auto"/>
        <w:ind w:firstLine="0"/>
        <w:rPr>
          <w:rFonts w:ascii="Times New Roman" w:hAnsi="Times New Roman" w:cs="Times New Roman"/>
          <w:b/>
          <w:sz w:val="24"/>
          <w:szCs w:val="24"/>
        </w:rPr>
      </w:pPr>
      <w:r>
        <w:rPr>
          <w:rFonts w:ascii="Times New Roman" w:hAnsi="Times New Roman" w:cs="Times New Roman"/>
          <w:b/>
          <w:sz w:val="24"/>
          <w:szCs w:val="24"/>
        </w:rPr>
        <w:t>Objective 1: Reducing Greenhouse Gas Emission by 50% in the next five years</w:t>
      </w:r>
    </w:p>
    <w:p>
      <w:pPr>
        <w:spacing w:line="360" w:lineRule="auto"/>
        <w:ind w:firstLine="0"/>
        <w:rPr>
          <w:rFonts w:ascii="Times New Roman" w:hAnsi="Times New Roman" w:cs="Times New Roman"/>
          <w:sz w:val="24"/>
          <w:szCs w:val="24"/>
        </w:rPr>
      </w:pPr>
      <w:r>
        <w:rPr>
          <w:rFonts w:ascii="Times New Roman" w:hAnsi="Times New Roman" w:cs="Times New Roman"/>
          <w:sz w:val="24"/>
          <w:szCs w:val="24"/>
        </w:rPr>
        <w:t>The reduction of greenhouse gas emission is one of the key areas in which countries have targeted when developing policies and measures of tackling changes in climate and their impacts (</w:t>
      </w:r>
      <w:r>
        <w:rPr>
          <w:rFonts w:ascii="Times New Roman" w:hAnsi="Times New Roman" w:cs="Times New Roman"/>
          <w:color w:val="222222"/>
          <w:sz w:val="24"/>
          <w:szCs w:val="24"/>
          <w:shd w:val="clear" w:color="auto" w:fill="FFFFFF"/>
        </w:rPr>
        <w:t>Ansah and Sorooshian, 2019)</w:t>
      </w:r>
      <w:r>
        <w:rPr>
          <w:rFonts w:ascii="Times New Roman" w:hAnsi="Times New Roman" w:cs="Times New Roman"/>
          <w:sz w:val="24"/>
          <w:szCs w:val="24"/>
        </w:rPr>
        <w:t>. In response to the UN SDG proposals, various countries have developed initiatives that help in reducing air pollution from industries and transport sectors to achieve the target of averting the rise in global temperatures to remain below 2</w:t>
      </w:r>
      <w:r>
        <w:rPr>
          <w:rFonts w:ascii="Times New Roman" w:hAnsi="Times New Roman" w:cs="Times New Roman"/>
          <w:sz w:val="24"/>
          <w:szCs w:val="24"/>
          <w:vertAlign w:val="superscript"/>
        </w:rPr>
        <w:t>0</w:t>
      </w:r>
      <w:r>
        <w:rPr>
          <w:rFonts w:ascii="Times New Roman" w:hAnsi="Times New Roman" w:cs="Times New Roman"/>
          <w:sz w:val="24"/>
          <w:szCs w:val="24"/>
        </w:rPr>
        <w:t>C (</w:t>
      </w:r>
      <w:r>
        <w:rPr>
          <w:rFonts w:ascii="Times New Roman" w:hAnsi="Times New Roman" w:cs="Times New Roman"/>
          <w:color w:val="222222"/>
          <w:sz w:val="24"/>
          <w:szCs w:val="24"/>
          <w:shd w:val="clear" w:color="auto" w:fill="FFFFFF"/>
        </w:rPr>
        <w:t>Ansah and Sorooshian, 2019</w:t>
      </w:r>
      <w:r>
        <w:rPr>
          <w:rFonts w:ascii="Times New Roman" w:hAnsi="Times New Roman" w:cs="Times New Roman"/>
          <w:sz w:val="24"/>
          <w:szCs w:val="24"/>
        </w:rPr>
        <w:t xml:space="preserve">). </w:t>
      </w:r>
    </w:p>
    <w:p>
      <w:pPr>
        <w:spacing w:line="360" w:lineRule="auto"/>
        <w:ind w:firstLine="0"/>
        <w:rPr>
          <w:rFonts w:ascii="Times New Roman" w:hAnsi="Times New Roman" w:cs="Times New Roman"/>
          <w:b/>
          <w:sz w:val="24"/>
          <w:szCs w:val="24"/>
        </w:rPr>
      </w:pPr>
      <w:r>
        <w:rPr>
          <w:rFonts w:ascii="Times New Roman" w:hAnsi="Times New Roman" w:cs="Times New Roman"/>
          <w:b/>
          <w:sz w:val="24"/>
          <w:szCs w:val="24"/>
        </w:rPr>
        <w:t>Action Plans for Achieving Reduction of Greenhouse Emissions</w:t>
      </w:r>
    </w:p>
    <w:p>
      <w:pPr>
        <w:pStyle w:val="8"/>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To reduce emissions through modernisation of vehicle pool and removal and disposal of inefficient units.</w:t>
      </w:r>
    </w:p>
    <w:p>
      <w:pPr>
        <w:pStyle w:val="8"/>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Creating mandatory regulations and control mechanisms that promote vehicle inspections for the greenhouse gas emissions, as well as reviewing and adjusting emission standards for vehicles to ensure high-efficiency levels for the national pool of vehicles, including the imported ones.</w:t>
      </w:r>
    </w:p>
    <w:p>
      <w:pPr>
        <w:pStyle w:val="8"/>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Installation of high-efficiency technologies that help in reducing greenhouse gas emissions from manufacturing factories.</w:t>
      </w:r>
    </w:p>
    <w:p>
      <w:pPr>
        <w:spacing w:line="360" w:lineRule="auto"/>
        <w:ind w:firstLine="0"/>
        <w:rPr>
          <w:rFonts w:ascii="Times New Roman" w:hAnsi="Times New Roman" w:cs="Times New Roman"/>
          <w:sz w:val="24"/>
          <w:szCs w:val="24"/>
        </w:rPr>
      </w:pPr>
      <w:r>
        <w:rPr>
          <w:rFonts w:ascii="Times New Roman" w:hAnsi="Times New Roman" w:cs="Times New Roman"/>
          <w:sz w:val="24"/>
          <w:szCs w:val="24"/>
        </w:rPr>
        <w:t>Various countries have made significant achievements in addressing their emission targets, while others are still facing various challenges that hinder their efforts. In response to the policy initiatives, several companies in the private sector have developed measures to show their commitments to cutting emissions. For instance, 48% of the Fortune 500 companies have decommissioned their coal-fired power plants to cut off emissions (McNamee, 2017). Walmart has also resorted to green operations in its supply chain and store operations to reduce one gigaton by 2030 (McNamee, 2017). The UK has also achieved significant reductions in emission levels. The passing of the Climate Change Act in 2008 has contributed to a 44% reduction of greenhouse emissions compared to the 1990 emission levels (Committee on Climate Change, n.d.). This achievement resulted from the initiatives of generating electricity from renewable sources, the use of low-carbon sources of energy, electric vehicles, and “carbon price floor,” among other initiatives (Committee on Climate Change, n.d.).</w:t>
      </w:r>
    </w:p>
    <w:p>
      <w:pPr>
        <w:spacing w:line="360" w:lineRule="auto"/>
        <w:ind w:firstLine="0"/>
        <w:rPr>
          <w:rFonts w:ascii="Times New Roman" w:hAnsi="Times New Roman" w:cs="Times New Roman"/>
          <w:b/>
          <w:sz w:val="24"/>
          <w:szCs w:val="24"/>
          <w:lang w:val="en-US"/>
        </w:rPr>
      </w:pPr>
      <w:r>
        <w:rPr>
          <w:rFonts w:ascii="Times New Roman" w:hAnsi="Times New Roman" w:cs="Times New Roman"/>
          <w:b/>
          <w:sz w:val="24"/>
          <w:szCs w:val="24"/>
          <w:lang w:val="en-US"/>
        </w:rPr>
        <w:t xml:space="preserve">Objective 2: Promoting Energy Saving Practices in Buildings </w:t>
      </w:r>
    </w:p>
    <w:p>
      <w:pPr>
        <w:spacing w:line="360" w:lineRule="auto"/>
        <w:ind w:firstLine="0"/>
        <w:rPr>
          <w:rFonts w:ascii="Times New Roman" w:hAnsi="Times New Roman" w:cs="Times New Roman"/>
          <w:sz w:val="24"/>
          <w:szCs w:val="24"/>
          <w:lang w:val="en-US"/>
        </w:rPr>
      </w:pPr>
      <w:r>
        <w:rPr>
          <w:rFonts w:ascii="Times New Roman" w:hAnsi="Times New Roman" w:cs="Times New Roman"/>
          <w:sz w:val="24"/>
          <w:szCs w:val="24"/>
          <w:lang w:val="en-US"/>
        </w:rPr>
        <w:t>Energy use in the buildings has been a serious concern for the developed countries since the 1970s when the oil embargo began (</w:t>
      </w:r>
      <w:r>
        <w:rPr>
          <w:rFonts w:ascii="Times New Roman" w:hAnsi="Times New Roman" w:cs="Times New Roman"/>
          <w:color w:val="222222"/>
          <w:sz w:val="24"/>
          <w:szCs w:val="24"/>
          <w:shd w:val="clear" w:color="auto" w:fill="FFFFFF"/>
        </w:rPr>
        <w:t>Zhenmin and Espinosa, 2019</w:t>
      </w:r>
      <w:r>
        <w:rPr>
          <w:rFonts w:ascii="Times New Roman" w:hAnsi="Times New Roman" w:cs="Times New Roman"/>
          <w:sz w:val="24"/>
          <w:szCs w:val="24"/>
          <w:lang w:val="en-US"/>
        </w:rPr>
        <w:t>). In recent years, this issue has gained new currency because of the interest in minimizing greenhouse gas emissions and rising costs of energy use in buildings. There is a significant variation in the use of energy for both the commercial and residential buildings, with the dominant use include cooling, lighting, ambient space heating, water heating, and mechanical ventilation (</w:t>
      </w:r>
      <w:r>
        <w:rPr>
          <w:rFonts w:ascii="Times New Roman" w:hAnsi="Times New Roman" w:cs="Times New Roman"/>
          <w:color w:val="222222"/>
          <w:sz w:val="24"/>
          <w:szCs w:val="24"/>
          <w:shd w:val="clear" w:color="auto" w:fill="FFFFFF"/>
        </w:rPr>
        <w:t>Langevin, Harris, and Reyna, 2019</w:t>
      </w:r>
      <w:r>
        <w:rPr>
          <w:rFonts w:ascii="Times New Roman" w:hAnsi="Times New Roman" w:cs="Times New Roman"/>
          <w:sz w:val="24"/>
          <w:szCs w:val="24"/>
          <w:lang w:val="en-US"/>
        </w:rPr>
        <w:t>). The need for such energy use has contributed to greenhouse emissions from burning coal and natural gas for electricity production. In the US, for instance, the Department of Energy reported that in 2006, carbon dioxide (CO</w:t>
      </w:r>
      <w:r>
        <w:rPr>
          <w:rFonts w:ascii="Times New Roman" w:hAnsi="Times New Roman" w:cs="Times New Roman"/>
          <w:sz w:val="24"/>
          <w:szCs w:val="24"/>
          <w:vertAlign w:val="subscript"/>
          <w:lang w:val="en-US"/>
        </w:rPr>
        <w:t>2</w:t>
      </w:r>
      <w:r>
        <w:rPr>
          <w:rFonts w:ascii="Times New Roman" w:hAnsi="Times New Roman" w:cs="Times New Roman"/>
          <w:sz w:val="24"/>
          <w:szCs w:val="24"/>
          <w:lang w:val="en-US"/>
        </w:rPr>
        <w:t>) emission from buildings accounted for 38% of the total CO</w:t>
      </w:r>
      <w:r>
        <w:rPr>
          <w:rFonts w:ascii="Times New Roman" w:hAnsi="Times New Roman" w:cs="Times New Roman"/>
          <w:sz w:val="24"/>
          <w:szCs w:val="24"/>
          <w:vertAlign w:val="subscript"/>
          <w:lang w:val="en-US"/>
        </w:rPr>
        <w:t>2</w:t>
      </w:r>
      <w:r>
        <w:rPr>
          <w:rFonts w:ascii="Times New Roman" w:hAnsi="Times New Roman" w:cs="Times New Roman"/>
          <w:sz w:val="24"/>
          <w:szCs w:val="24"/>
          <w:lang w:val="en-US"/>
        </w:rPr>
        <w:t xml:space="preserve"> emissions in the US (</w:t>
      </w:r>
      <w:r>
        <w:rPr>
          <w:rFonts w:ascii="Times New Roman" w:hAnsi="Times New Roman" w:cs="Times New Roman"/>
          <w:color w:val="222222"/>
          <w:sz w:val="24"/>
          <w:szCs w:val="24"/>
          <w:shd w:val="clear" w:color="auto" w:fill="FFFFFF"/>
        </w:rPr>
        <w:t>Langevin, Harris, and Reyna, 2019</w:t>
      </w:r>
      <w:r>
        <w:rPr>
          <w:rFonts w:ascii="Times New Roman" w:hAnsi="Times New Roman" w:cs="Times New Roman"/>
          <w:sz w:val="24"/>
          <w:szCs w:val="24"/>
          <w:lang w:val="en-US"/>
        </w:rPr>
        <w:t xml:space="preserve">). </w:t>
      </w:r>
    </w:p>
    <w:p>
      <w:pPr>
        <w:spacing w:line="360" w:lineRule="auto"/>
        <w:ind w:firstLine="0"/>
        <w:rPr>
          <w:rFonts w:ascii="Times New Roman" w:hAnsi="Times New Roman" w:cs="Times New Roman"/>
          <w:b/>
          <w:sz w:val="24"/>
          <w:szCs w:val="24"/>
          <w:lang w:val="en-US"/>
        </w:rPr>
      </w:pPr>
      <w:r>
        <w:rPr>
          <w:rFonts w:ascii="Times New Roman" w:hAnsi="Times New Roman" w:cs="Times New Roman"/>
          <w:b/>
          <w:sz w:val="24"/>
          <w:szCs w:val="24"/>
          <w:lang w:val="en-US"/>
        </w:rPr>
        <w:t>The Action Plan for Achieving Energy Saving in Buildings</w:t>
      </w:r>
    </w:p>
    <w:p>
      <w:pPr>
        <w:pStyle w:val="8"/>
        <w:numPr>
          <w:ilvl w:val="0"/>
          <w:numId w:val="3"/>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Developing and adapting regulatory and legal frameworks that set standards and best practices for reducing emissions of CO</w:t>
      </w:r>
      <w:r>
        <w:rPr>
          <w:rFonts w:ascii="Times New Roman" w:hAnsi="Times New Roman" w:cs="Times New Roman"/>
          <w:sz w:val="24"/>
          <w:szCs w:val="24"/>
          <w:vertAlign w:val="subscript"/>
          <w:lang w:val="en-US"/>
        </w:rPr>
        <w:t xml:space="preserve">2 </w:t>
      </w:r>
      <w:r>
        <w:rPr>
          <w:rFonts w:ascii="Times New Roman" w:hAnsi="Times New Roman" w:cs="Times New Roman"/>
          <w:sz w:val="24"/>
          <w:szCs w:val="24"/>
          <w:lang w:val="en-US"/>
        </w:rPr>
        <w:t>and promoting energy in both commercial and residential buildings.</w:t>
      </w:r>
    </w:p>
    <w:p>
      <w:pPr>
        <w:pStyle w:val="8"/>
        <w:numPr>
          <w:ilvl w:val="0"/>
          <w:numId w:val="3"/>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Initiating programmes that promote energy saving and efficiency in commercial and residential buildings. </w:t>
      </w:r>
    </w:p>
    <w:p>
      <w:pPr>
        <w:pStyle w:val="8"/>
        <w:numPr>
          <w:ilvl w:val="0"/>
          <w:numId w:val="3"/>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Conducting campaigns that promote changes in practice and behaviour among the end-users. For instance, creating awareness of the power-saving and energy efficiency practices, especially in residential, tourism, and industry sectors.</w:t>
      </w:r>
    </w:p>
    <w:p>
      <w:pPr>
        <w:pStyle w:val="8"/>
        <w:numPr>
          <w:ilvl w:val="0"/>
          <w:numId w:val="3"/>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To promote and encourage the establishment of initiatives that deliver reliable and timely information, such as certification and labelling, to provide information on greenhouse emission and energy efficiency to the consumers.</w:t>
      </w:r>
    </w:p>
    <w:p>
      <w:pPr>
        <w:spacing w:line="360" w:lineRule="auto"/>
        <w:ind w:firstLine="0"/>
        <w:rPr>
          <w:rFonts w:ascii="Times New Roman" w:hAnsi="Times New Roman" w:cs="Times New Roman"/>
          <w:sz w:val="24"/>
          <w:szCs w:val="24"/>
          <w:lang w:val="en-US"/>
        </w:rPr>
      </w:pPr>
      <w:r>
        <w:rPr>
          <w:rFonts w:ascii="Times New Roman" w:hAnsi="Times New Roman" w:cs="Times New Roman"/>
          <w:sz w:val="24"/>
          <w:szCs w:val="24"/>
          <w:lang w:val="en-US"/>
        </w:rPr>
        <w:t>Different countries have initiated various programmes that have succeeded in achieving significant milestones towards the struggle against changes in climate. For instance, the US is running green and affordable housing programmes at the national and local stages. The Enterprise Community Partnership is one of the initiatives developed in 2004 to provide funds that allow developers to construct healthier homes that are more energy-efficient to low-income communities across the country (</w:t>
      </w:r>
      <w:r>
        <w:rPr>
          <w:rFonts w:ascii="Times New Roman" w:hAnsi="Times New Roman" w:cs="Times New Roman"/>
          <w:color w:val="222222"/>
          <w:sz w:val="24"/>
          <w:szCs w:val="24"/>
          <w:shd w:val="clear" w:color="auto" w:fill="FFFFFF"/>
        </w:rPr>
        <w:t>Institute of Medicine, 2011</w:t>
      </w:r>
      <w:r>
        <w:rPr>
          <w:rFonts w:ascii="Times New Roman" w:hAnsi="Times New Roman" w:cs="Times New Roman"/>
          <w:sz w:val="24"/>
          <w:szCs w:val="24"/>
          <w:lang w:val="en-US"/>
        </w:rPr>
        <w:t>). These homes are consistent with the sustainability agenda since the materials used in the construction and rehabilitation have minimal carbon dioxide emission, and they promote the efficiency of energy use in the process of construction and after use (</w:t>
      </w:r>
      <w:r>
        <w:rPr>
          <w:rFonts w:ascii="Times New Roman" w:hAnsi="Times New Roman" w:cs="Times New Roman"/>
          <w:color w:val="222222"/>
          <w:sz w:val="24"/>
          <w:szCs w:val="24"/>
          <w:shd w:val="clear" w:color="auto" w:fill="FFFFFF"/>
        </w:rPr>
        <w:t>Spengler, 2012</w:t>
      </w:r>
      <w:r>
        <w:rPr>
          <w:rFonts w:ascii="Times New Roman" w:hAnsi="Times New Roman" w:cs="Times New Roman"/>
          <w:sz w:val="24"/>
          <w:szCs w:val="24"/>
          <w:lang w:val="en-US"/>
        </w:rPr>
        <w:t>). Besides, the UK and Canada have also, the Comprehensive Assessment Systems for Building Environmental Efficiency (CASBEE), has been instrumental in promoting the green designs and initiatives that minimise the impacts on environment and costs in the long run (</w:t>
      </w:r>
      <w:r>
        <w:rPr>
          <w:rFonts w:ascii="Times New Roman" w:hAnsi="Times New Roman" w:cs="Times New Roman"/>
          <w:color w:val="222222"/>
          <w:sz w:val="24"/>
          <w:szCs w:val="24"/>
          <w:shd w:val="clear" w:color="auto" w:fill="FFFFFF"/>
        </w:rPr>
        <w:t>Institute of Medicine, 2011</w:t>
      </w:r>
      <w:r>
        <w:rPr>
          <w:rFonts w:ascii="Times New Roman" w:hAnsi="Times New Roman" w:cs="Times New Roman"/>
          <w:sz w:val="24"/>
          <w:szCs w:val="24"/>
          <w:lang w:val="en-US"/>
        </w:rPr>
        <w:t xml:space="preserve">). </w:t>
      </w:r>
    </w:p>
    <w:p>
      <w:pPr>
        <w:spacing w:line="360" w:lineRule="auto"/>
        <w:ind w:firstLine="0"/>
        <w:rPr>
          <w:rFonts w:ascii="Times New Roman" w:hAnsi="Times New Roman" w:cs="Times New Roman"/>
          <w:sz w:val="24"/>
          <w:szCs w:val="24"/>
        </w:rPr>
      </w:pPr>
      <w:r>
        <w:rPr>
          <w:rFonts w:ascii="Times New Roman" w:hAnsi="Times New Roman" w:cs="Times New Roman"/>
          <w:sz w:val="24"/>
          <w:szCs w:val="24"/>
          <w:lang w:val="en-US"/>
        </w:rPr>
        <w:t>The implementation of such measures involve different stakeholders at various levels, for instance, the public sector organisations integrate the initiatives into the national policies and creating regulatory bodies and frameworks for certification and authorisation of the construction designs and materials that comply with the green agenda (</w:t>
      </w:r>
      <w:r>
        <w:rPr>
          <w:rFonts w:ascii="Times New Roman" w:hAnsi="Times New Roman" w:cs="Times New Roman"/>
          <w:color w:val="222222"/>
          <w:sz w:val="24"/>
          <w:szCs w:val="24"/>
          <w:shd w:val="clear" w:color="auto" w:fill="FFFFFF"/>
        </w:rPr>
        <w:t>Spengler, 2012</w:t>
      </w:r>
      <w:r>
        <w:rPr>
          <w:rFonts w:ascii="Times New Roman" w:hAnsi="Times New Roman" w:cs="Times New Roman"/>
          <w:sz w:val="24"/>
          <w:szCs w:val="24"/>
          <w:lang w:val="en-US"/>
        </w:rPr>
        <w:t>). Private developers also contribute by creating designs and adopting technologies that reduce emissions and promote efficiency in their construction works (Lawson, 2016). The general public, which comprises the consumer and civil societies, take part in adopting behaviour change and compliance with the guidelines on energy-saving techniques (Lawson, 2016).</w:t>
      </w:r>
    </w:p>
    <w:p>
      <w:pPr>
        <w:spacing w:line="360" w:lineRule="auto"/>
        <w:ind w:firstLine="0"/>
        <w:rPr>
          <w:rFonts w:ascii="Times New Roman" w:hAnsi="Times New Roman" w:cs="Times New Roman"/>
          <w:b/>
          <w:sz w:val="24"/>
          <w:szCs w:val="24"/>
        </w:rPr>
      </w:pPr>
      <w:r>
        <w:rPr>
          <w:rFonts w:ascii="Times New Roman" w:hAnsi="Times New Roman" w:cs="Times New Roman"/>
          <w:b/>
          <w:sz w:val="24"/>
          <w:szCs w:val="24"/>
        </w:rPr>
        <w:t>Conclusions and Recommendations</w:t>
      </w:r>
    </w:p>
    <w:p>
      <w:pPr>
        <w:spacing w:line="360" w:lineRule="auto"/>
        <w:ind w:firstLine="0"/>
        <w:rPr>
          <w:rFonts w:ascii="Times New Roman" w:hAnsi="Times New Roman" w:cs="Times New Roman"/>
          <w:sz w:val="24"/>
          <w:szCs w:val="24"/>
        </w:rPr>
      </w:pPr>
      <w:r>
        <w:rPr>
          <w:rFonts w:ascii="Times New Roman" w:hAnsi="Times New Roman" w:cs="Times New Roman"/>
          <w:sz w:val="24"/>
          <w:szCs w:val="24"/>
        </w:rPr>
        <w:t xml:space="preserve">The integration of climate change measures in the national policies, strategies, and planning is a critical initiative that helps countries in developing effective frameworks for addressing climate change. Both the public and private sector organisations have essential responsibilities of contributing to the struggle against changes in climate. The primary roles of public sector organisations include the formulation of policies, capacity building, resource mobilisation. The private responsibilities of the sector organisations include adoption and compliance with the policy measures and working towards the achievement of the set objectives. This report recommends that governments should develop monitoring and evaluation programmes that will help in tracking the progress made towards the realisation of the set goals. Besides, they should actively involve the general public by creating awareness and promoting behaviour change to embrace sustainable lifestyle practices. </w:t>
      </w:r>
    </w:p>
    <w:p>
      <w:pPr>
        <w:spacing w:line="360" w:lineRule="auto"/>
        <w:ind w:firstLine="0"/>
        <w:rPr>
          <w:rFonts w:ascii="Times New Roman" w:hAnsi="Times New Roman" w:cs="Times New Roman"/>
          <w:b/>
          <w:sz w:val="24"/>
          <w:szCs w:val="24"/>
        </w:rPr>
      </w:pPr>
      <w:r>
        <w:rPr>
          <w:rFonts w:ascii="Times New Roman" w:hAnsi="Times New Roman" w:cs="Times New Roman"/>
          <w:b/>
          <w:sz w:val="24"/>
          <w:szCs w:val="24"/>
        </w:rPr>
        <w:t>References</w:t>
      </w:r>
    </w:p>
    <w:p>
      <w:pPr>
        <w:spacing w:before="0" w:beforeAutospacing="0" w:after="160" w:afterAutospacing="0" w:line="360" w:lineRule="auto"/>
        <w:ind w:firstLine="0"/>
        <w:rPr>
          <w:rFonts w:ascii="Times New Roman" w:hAnsi="Times New Roman" w:eastAsia="Times New Roman" w:cs="Times New Roman"/>
          <w:color w:val="222222"/>
          <w:sz w:val="24"/>
          <w:szCs w:val="24"/>
          <w:shd w:val="clear" w:color="auto" w:fill="FFFFFF"/>
          <w:lang w:eastAsia="en-GB"/>
        </w:rPr>
      </w:pPr>
      <w:r>
        <w:rPr>
          <w:rFonts w:ascii="Times New Roman" w:hAnsi="Times New Roman" w:eastAsia="Times New Roman" w:cs="Times New Roman"/>
          <w:color w:val="222222"/>
          <w:sz w:val="24"/>
          <w:szCs w:val="24"/>
          <w:shd w:val="clear" w:color="auto" w:fill="FFFFFF"/>
          <w:lang w:eastAsia="en-GB"/>
        </w:rPr>
        <w:t>Ansah, R.H. and Sorooshian, S. (2019). Green economy: Private sectors’ response to climate change. </w:t>
      </w:r>
      <w:r>
        <w:rPr>
          <w:rFonts w:ascii="Times New Roman" w:hAnsi="Times New Roman" w:eastAsia="Times New Roman" w:cs="Times New Roman"/>
          <w:i/>
          <w:iCs/>
          <w:color w:val="222222"/>
          <w:sz w:val="24"/>
          <w:szCs w:val="24"/>
          <w:shd w:val="clear" w:color="auto" w:fill="FFFFFF"/>
          <w:lang w:eastAsia="en-GB"/>
        </w:rPr>
        <w:t>Environmental Quality Management</w:t>
      </w:r>
      <w:r>
        <w:rPr>
          <w:rFonts w:ascii="Times New Roman" w:hAnsi="Times New Roman" w:eastAsia="Times New Roman" w:cs="Times New Roman"/>
          <w:color w:val="222222"/>
          <w:sz w:val="24"/>
          <w:szCs w:val="24"/>
          <w:shd w:val="clear" w:color="auto" w:fill="FFFFFF"/>
          <w:lang w:eastAsia="en-GB"/>
        </w:rPr>
        <w:t>, </w:t>
      </w:r>
      <w:r>
        <w:rPr>
          <w:rFonts w:ascii="Times New Roman" w:hAnsi="Times New Roman" w:eastAsia="Times New Roman" w:cs="Times New Roman"/>
          <w:i/>
          <w:iCs/>
          <w:color w:val="222222"/>
          <w:sz w:val="24"/>
          <w:szCs w:val="24"/>
          <w:shd w:val="clear" w:color="auto" w:fill="FFFFFF"/>
          <w:lang w:eastAsia="en-GB"/>
        </w:rPr>
        <w:t>28</w:t>
      </w:r>
      <w:r>
        <w:rPr>
          <w:rFonts w:ascii="Times New Roman" w:hAnsi="Times New Roman" w:eastAsia="Times New Roman" w:cs="Times New Roman"/>
          <w:color w:val="222222"/>
          <w:sz w:val="24"/>
          <w:szCs w:val="24"/>
          <w:shd w:val="clear" w:color="auto" w:fill="FFFFFF"/>
          <w:lang w:eastAsia="en-GB"/>
        </w:rPr>
        <w:t>(3), pp.63-69.</w:t>
      </w:r>
    </w:p>
    <w:p>
      <w:pPr>
        <w:spacing w:before="0" w:beforeAutospacing="0" w:after="160" w:afterAutospacing="0" w:line="360" w:lineRule="auto"/>
        <w:ind w:firstLine="0"/>
        <w:rPr>
          <w:rFonts w:ascii="Times New Roman" w:hAnsi="Times New Roman" w:eastAsia="Times New Roman" w:cs="Times New Roman"/>
          <w:color w:val="222222"/>
          <w:sz w:val="24"/>
          <w:szCs w:val="24"/>
          <w:shd w:val="clear" w:color="auto" w:fill="FFFFFF"/>
          <w:lang w:eastAsia="en-GB"/>
        </w:rPr>
      </w:pPr>
      <w:r>
        <w:rPr>
          <w:rFonts w:ascii="Times New Roman" w:hAnsi="Times New Roman" w:eastAsia="Times New Roman" w:cs="Times New Roman"/>
          <w:color w:val="222222"/>
          <w:sz w:val="24"/>
          <w:szCs w:val="24"/>
          <w:shd w:val="clear" w:color="auto" w:fill="FFFFFF"/>
          <w:lang w:eastAsia="en-GB"/>
        </w:rPr>
        <w:t>Arnell, N.W. and Gosling, S.N. (2016). The impacts of climate change on river flood risk at the global scale. </w:t>
      </w:r>
      <w:r>
        <w:rPr>
          <w:rFonts w:ascii="Times New Roman" w:hAnsi="Times New Roman" w:eastAsia="Times New Roman" w:cs="Times New Roman"/>
          <w:i/>
          <w:iCs/>
          <w:color w:val="222222"/>
          <w:sz w:val="24"/>
          <w:szCs w:val="24"/>
          <w:shd w:val="clear" w:color="auto" w:fill="FFFFFF"/>
          <w:lang w:eastAsia="en-GB"/>
        </w:rPr>
        <w:t>Climatic Change</w:t>
      </w:r>
      <w:r>
        <w:rPr>
          <w:rFonts w:ascii="Times New Roman" w:hAnsi="Times New Roman" w:eastAsia="Times New Roman" w:cs="Times New Roman"/>
          <w:color w:val="222222"/>
          <w:sz w:val="24"/>
          <w:szCs w:val="24"/>
          <w:shd w:val="clear" w:color="auto" w:fill="FFFFFF"/>
          <w:lang w:eastAsia="en-GB"/>
        </w:rPr>
        <w:t>, </w:t>
      </w:r>
      <w:r>
        <w:rPr>
          <w:rFonts w:ascii="Times New Roman" w:hAnsi="Times New Roman" w:eastAsia="Times New Roman" w:cs="Times New Roman"/>
          <w:i/>
          <w:iCs/>
          <w:color w:val="222222"/>
          <w:sz w:val="24"/>
          <w:szCs w:val="24"/>
          <w:shd w:val="clear" w:color="auto" w:fill="FFFFFF"/>
          <w:lang w:eastAsia="en-GB"/>
        </w:rPr>
        <w:t>134</w:t>
      </w:r>
      <w:r>
        <w:rPr>
          <w:rFonts w:ascii="Times New Roman" w:hAnsi="Times New Roman" w:eastAsia="Times New Roman" w:cs="Times New Roman"/>
          <w:color w:val="222222"/>
          <w:sz w:val="24"/>
          <w:szCs w:val="24"/>
          <w:shd w:val="clear" w:color="auto" w:fill="FFFFFF"/>
          <w:lang w:eastAsia="en-GB"/>
        </w:rPr>
        <w:t>(3), pp.387-401.</w:t>
      </w:r>
    </w:p>
    <w:p>
      <w:pPr>
        <w:spacing w:before="0" w:beforeAutospacing="0" w:after="160" w:afterAutospacing="0" w:line="360" w:lineRule="auto"/>
        <w:ind w:firstLine="0"/>
        <w:rPr>
          <w:rFonts w:ascii="Times New Roman" w:hAnsi="Times New Roman" w:eastAsia="Times New Roman" w:cs="Times New Roman"/>
          <w:color w:val="222222"/>
          <w:sz w:val="24"/>
          <w:szCs w:val="24"/>
          <w:shd w:val="clear" w:color="auto" w:fill="FFFFFF"/>
          <w:lang w:eastAsia="en-GB"/>
        </w:rPr>
      </w:pPr>
      <w:r>
        <w:rPr>
          <w:rFonts w:ascii="Times New Roman" w:hAnsi="Times New Roman" w:eastAsia="Times New Roman" w:cs="Times New Roman"/>
          <w:color w:val="222222"/>
          <w:sz w:val="24"/>
          <w:szCs w:val="24"/>
          <w:shd w:val="clear" w:color="auto" w:fill="FFFFFF"/>
          <w:lang w:eastAsia="en-GB"/>
        </w:rPr>
        <w:t>Buhmann, K., Jonsson, J. and Fisker, M. (2019). Do no harm and do more good too: Connecting the SDGs with business and human rights and political CSR theory. </w:t>
      </w:r>
      <w:r>
        <w:rPr>
          <w:rFonts w:ascii="Times New Roman" w:hAnsi="Times New Roman" w:eastAsia="Times New Roman" w:cs="Times New Roman"/>
          <w:i/>
          <w:iCs/>
          <w:color w:val="222222"/>
          <w:sz w:val="24"/>
          <w:szCs w:val="24"/>
          <w:shd w:val="clear" w:color="auto" w:fill="FFFFFF"/>
          <w:lang w:eastAsia="en-GB"/>
        </w:rPr>
        <w:t>Corporate Governance: The International Journal of Business in Society</w:t>
      </w:r>
      <w:r>
        <w:rPr>
          <w:rFonts w:ascii="Times New Roman" w:hAnsi="Times New Roman" w:eastAsia="Times New Roman" w:cs="Times New Roman"/>
          <w:color w:val="222222"/>
          <w:sz w:val="24"/>
          <w:szCs w:val="24"/>
          <w:shd w:val="clear" w:color="auto" w:fill="FFFFFF"/>
          <w:lang w:eastAsia="en-GB"/>
        </w:rPr>
        <w:t>.</w:t>
      </w:r>
    </w:p>
    <w:p>
      <w:pPr>
        <w:spacing w:before="0" w:beforeAutospacing="0" w:after="160" w:afterAutospacing="0" w:line="360" w:lineRule="auto"/>
        <w:ind w:firstLine="0"/>
        <w:rPr>
          <w:rFonts w:ascii="Times New Roman" w:hAnsi="Times New Roman" w:eastAsia="Times New Roman" w:cs="Times New Roman"/>
          <w:color w:val="000000"/>
          <w:sz w:val="24"/>
          <w:szCs w:val="24"/>
          <w:shd w:val="clear" w:color="auto" w:fill="FFFFFF"/>
          <w:lang w:eastAsia="en-GB"/>
        </w:rPr>
      </w:pPr>
      <w:r>
        <w:rPr>
          <w:rFonts w:ascii="Times New Roman" w:hAnsi="Times New Roman" w:eastAsia="Times New Roman" w:cs="Times New Roman"/>
          <w:color w:val="000000"/>
          <w:sz w:val="24"/>
          <w:szCs w:val="24"/>
          <w:shd w:val="clear" w:color="auto" w:fill="FFFFFF"/>
          <w:lang w:eastAsia="en-GB"/>
        </w:rPr>
        <w:t>Committee on Climate Change. (n.d.). </w:t>
      </w:r>
      <w:r>
        <w:rPr>
          <w:rFonts w:ascii="Times New Roman" w:hAnsi="Times New Roman" w:eastAsia="Times New Roman" w:cs="Times New Roman"/>
          <w:i/>
          <w:iCs/>
          <w:color w:val="000000"/>
          <w:sz w:val="24"/>
          <w:szCs w:val="24"/>
          <w:shd w:val="clear" w:color="auto" w:fill="FFFFFF"/>
          <w:lang w:eastAsia="en-GB"/>
        </w:rPr>
        <w:t>Reducing The UK's Emissions - Committee On Climate Change</w:t>
      </w:r>
      <w:r>
        <w:rPr>
          <w:rFonts w:ascii="Times New Roman" w:hAnsi="Times New Roman" w:eastAsia="Times New Roman" w:cs="Times New Roman"/>
          <w:color w:val="000000"/>
          <w:sz w:val="24"/>
          <w:szCs w:val="24"/>
          <w:shd w:val="clear" w:color="auto" w:fill="FFFFFF"/>
          <w:lang w:eastAsia="en-GB"/>
        </w:rPr>
        <w:t xml:space="preserve">. [online] Committee on Climate Change. Available at: </w:t>
      </w:r>
      <w:r>
        <w:fldChar w:fldCharType="begin"/>
      </w:r>
      <w:r>
        <w:instrText xml:space="preserve"> HYPERLINK "https://www.theccc.org.uk/our-impact/reducing-the-uks-emissions/" </w:instrText>
      </w:r>
      <w:r>
        <w:fldChar w:fldCharType="separate"/>
      </w:r>
      <w:r>
        <w:rPr>
          <w:rFonts w:ascii="Times New Roman" w:hAnsi="Times New Roman" w:eastAsia="Times New Roman" w:cs="Times New Roman"/>
          <w:color w:val="0563C1" w:themeColor="hyperlink"/>
          <w:sz w:val="24"/>
          <w:szCs w:val="24"/>
          <w:u w:val="single"/>
          <w:shd w:val="clear" w:color="auto" w:fill="FFFFFF"/>
          <w:lang w:eastAsia="en-GB"/>
          <w14:textFill>
            <w14:solidFill>
              <w14:schemeClr w14:val="hlink"/>
            </w14:solidFill>
          </w14:textFill>
        </w:rPr>
        <w:t>https://www.theccc.org.uk/our-impact/reducing-the-uks-emissions/</w:t>
      </w:r>
      <w:r>
        <w:rPr>
          <w:rFonts w:ascii="Times New Roman" w:hAnsi="Times New Roman" w:eastAsia="Times New Roman" w:cs="Times New Roman"/>
          <w:color w:val="0563C1" w:themeColor="hyperlink"/>
          <w:sz w:val="24"/>
          <w:szCs w:val="24"/>
          <w:u w:val="single"/>
          <w:shd w:val="clear" w:color="auto" w:fill="FFFFFF"/>
          <w:lang w:eastAsia="en-GB"/>
          <w14:textFill>
            <w14:solidFill>
              <w14:schemeClr w14:val="hlink"/>
            </w14:solidFill>
          </w14:textFill>
        </w:rPr>
        <w:fldChar w:fldCharType="end"/>
      </w:r>
      <w:r>
        <w:rPr>
          <w:rFonts w:ascii="Times New Roman" w:hAnsi="Times New Roman" w:eastAsia="Times New Roman" w:cs="Times New Roman"/>
          <w:color w:val="000000"/>
          <w:sz w:val="24"/>
          <w:szCs w:val="24"/>
          <w:shd w:val="clear" w:color="auto" w:fill="FFFFFF"/>
          <w:lang w:eastAsia="en-GB"/>
        </w:rPr>
        <w:t xml:space="preserve"> [Accessed 29 April 2020].</w:t>
      </w:r>
    </w:p>
    <w:p>
      <w:pPr>
        <w:spacing w:before="0" w:beforeAutospacing="0" w:after="160" w:afterAutospacing="0" w:line="360" w:lineRule="auto"/>
        <w:ind w:firstLine="0"/>
        <w:rPr>
          <w:rFonts w:ascii="Times New Roman" w:hAnsi="Times New Roman" w:eastAsia="Times New Roman" w:cs="Times New Roman"/>
          <w:color w:val="222222"/>
          <w:sz w:val="24"/>
          <w:szCs w:val="24"/>
          <w:shd w:val="clear" w:color="auto" w:fill="FFFFFF"/>
          <w:lang w:eastAsia="en-GB"/>
        </w:rPr>
      </w:pPr>
      <w:r>
        <w:rPr>
          <w:rFonts w:ascii="Times New Roman" w:hAnsi="Times New Roman" w:eastAsia="Times New Roman" w:cs="Times New Roman"/>
          <w:color w:val="222222"/>
          <w:sz w:val="24"/>
          <w:szCs w:val="24"/>
          <w:shd w:val="clear" w:color="auto" w:fill="FFFFFF"/>
          <w:lang w:eastAsia="en-GB"/>
        </w:rPr>
        <w:t>Freeman, R.E., Harrison, J.S. and Zyglidopoulos, S. (2018). </w:t>
      </w:r>
      <w:r>
        <w:rPr>
          <w:rFonts w:ascii="Times New Roman" w:hAnsi="Times New Roman" w:eastAsia="Times New Roman" w:cs="Times New Roman"/>
          <w:i/>
          <w:iCs/>
          <w:color w:val="222222"/>
          <w:sz w:val="24"/>
          <w:szCs w:val="24"/>
          <w:shd w:val="clear" w:color="auto" w:fill="FFFFFF"/>
          <w:lang w:eastAsia="en-GB"/>
        </w:rPr>
        <w:t>Stakeholder theory: Concepts and strategies</w:t>
      </w:r>
      <w:r>
        <w:rPr>
          <w:rFonts w:ascii="Times New Roman" w:hAnsi="Times New Roman" w:eastAsia="Times New Roman" w:cs="Times New Roman"/>
          <w:color w:val="222222"/>
          <w:sz w:val="24"/>
          <w:szCs w:val="24"/>
          <w:shd w:val="clear" w:color="auto" w:fill="FFFFFF"/>
          <w:lang w:eastAsia="en-GB"/>
        </w:rPr>
        <w:t>. Cambridge University Press.</w:t>
      </w:r>
    </w:p>
    <w:p>
      <w:pPr>
        <w:spacing w:before="0" w:beforeAutospacing="0" w:after="160" w:afterAutospacing="0" w:line="360" w:lineRule="auto"/>
        <w:ind w:firstLine="0"/>
        <w:rPr>
          <w:rFonts w:ascii="Times New Roman" w:hAnsi="Times New Roman" w:eastAsia="Times New Roman" w:cs="Times New Roman"/>
          <w:color w:val="222222"/>
          <w:sz w:val="24"/>
          <w:szCs w:val="24"/>
          <w:shd w:val="clear" w:color="auto" w:fill="FFFFFF"/>
          <w:lang w:eastAsia="en-GB"/>
        </w:rPr>
      </w:pPr>
      <w:r>
        <w:rPr>
          <w:rFonts w:ascii="Times New Roman" w:hAnsi="Times New Roman" w:eastAsia="Times New Roman" w:cs="Times New Roman"/>
          <w:color w:val="222222"/>
          <w:sz w:val="24"/>
          <w:szCs w:val="24"/>
          <w:shd w:val="clear" w:color="auto" w:fill="FFFFFF"/>
          <w:lang w:eastAsia="en-GB"/>
        </w:rPr>
        <w:t>Institute of Medicine (US). Committee on the Effect of Climate Change on Indoor Air Quality and Public Health. (2011). </w:t>
      </w:r>
      <w:r>
        <w:rPr>
          <w:rFonts w:ascii="Times New Roman" w:hAnsi="Times New Roman" w:eastAsia="Times New Roman" w:cs="Times New Roman"/>
          <w:i/>
          <w:iCs/>
          <w:color w:val="222222"/>
          <w:sz w:val="24"/>
          <w:szCs w:val="24"/>
          <w:shd w:val="clear" w:color="auto" w:fill="FFFFFF"/>
          <w:lang w:eastAsia="en-GB"/>
        </w:rPr>
        <w:t>Climate change, the indoor environment, and health</w:t>
      </w:r>
      <w:r>
        <w:rPr>
          <w:rFonts w:ascii="Times New Roman" w:hAnsi="Times New Roman" w:eastAsia="Times New Roman" w:cs="Times New Roman"/>
          <w:color w:val="222222"/>
          <w:sz w:val="24"/>
          <w:szCs w:val="24"/>
          <w:shd w:val="clear" w:color="auto" w:fill="FFFFFF"/>
          <w:lang w:eastAsia="en-GB"/>
        </w:rPr>
        <w:t>. National Academies Press.</w:t>
      </w:r>
    </w:p>
    <w:p>
      <w:pPr>
        <w:spacing w:before="0" w:beforeAutospacing="0" w:after="160" w:afterAutospacing="0" w:line="360" w:lineRule="auto"/>
        <w:ind w:firstLine="0"/>
        <w:rPr>
          <w:rFonts w:ascii="Times New Roman" w:hAnsi="Times New Roman" w:eastAsia="Times New Roman" w:cs="Times New Roman"/>
          <w:color w:val="222222"/>
          <w:sz w:val="24"/>
          <w:szCs w:val="24"/>
          <w:shd w:val="clear" w:color="auto" w:fill="FFFFFF"/>
          <w:lang w:eastAsia="en-GB"/>
        </w:rPr>
      </w:pPr>
      <w:r>
        <w:rPr>
          <w:rFonts w:ascii="Times New Roman" w:hAnsi="Times New Roman" w:eastAsia="Times New Roman" w:cs="Times New Roman"/>
          <w:color w:val="222222"/>
          <w:sz w:val="24"/>
          <w:szCs w:val="24"/>
          <w:shd w:val="clear" w:color="auto" w:fill="FFFFFF"/>
          <w:lang w:eastAsia="en-GB"/>
        </w:rPr>
        <w:t>Kumar, S., Kumar, N. and Vivekadhish, S. (2016). Millennium development goals (MDGS) to sustainable development goals (SDGS): Addressing unfinished agenda and strengthening sustainable development and partnership. </w:t>
      </w:r>
      <w:r>
        <w:rPr>
          <w:rFonts w:ascii="Times New Roman" w:hAnsi="Times New Roman" w:eastAsia="Times New Roman" w:cs="Times New Roman"/>
          <w:i/>
          <w:iCs/>
          <w:color w:val="222222"/>
          <w:sz w:val="24"/>
          <w:szCs w:val="24"/>
          <w:shd w:val="clear" w:color="auto" w:fill="FFFFFF"/>
          <w:lang w:eastAsia="en-GB"/>
        </w:rPr>
        <w:t>Indian journal of community medicine: official publication of Indian Association of Preventive &amp; Social Medicine</w:t>
      </w:r>
      <w:r>
        <w:rPr>
          <w:rFonts w:ascii="Times New Roman" w:hAnsi="Times New Roman" w:eastAsia="Times New Roman" w:cs="Times New Roman"/>
          <w:color w:val="222222"/>
          <w:sz w:val="24"/>
          <w:szCs w:val="24"/>
          <w:shd w:val="clear" w:color="auto" w:fill="FFFFFF"/>
          <w:lang w:eastAsia="en-GB"/>
        </w:rPr>
        <w:t>, </w:t>
      </w:r>
      <w:r>
        <w:rPr>
          <w:rFonts w:ascii="Times New Roman" w:hAnsi="Times New Roman" w:eastAsia="Times New Roman" w:cs="Times New Roman"/>
          <w:i/>
          <w:iCs/>
          <w:color w:val="222222"/>
          <w:sz w:val="24"/>
          <w:szCs w:val="24"/>
          <w:shd w:val="clear" w:color="auto" w:fill="FFFFFF"/>
          <w:lang w:eastAsia="en-GB"/>
        </w:rPr>
        <w:t>41</w:t>
      </w:r>
      <w:r>
        <w:rPr>
          <w:rFonts w:ascii="Times New Roman" w:hAnsi="Times New Roman" w:eastAsia="Times New Roman" w:cs="Times New Roman"/>
          <w:color w:val="222222"/>
          <w:sz w:val="24"/>
          <w:szCs w:val="24"/>
          <w:shd w:val="clear" w:color="auto" w:fill="FFFFFF"/>
          <w:lang w:eastAsia="en-GB"/>
        </w:rPr>
        <w:t xml:space="preserve">(1), p.1. </w:t>
      </w:r>
    </w:p>
    <w:p>
      <w:pPr>
        <w:spacing w:before="0" w:beforeAutospacing="0" w:after="160" w:afterAutospacing="0" w:line="360" w:lineRule="auto"/>
        <w:ind w:firstLine="0"/>
        <w:rPr>
          <w:rFonts w:ascii="Times New Roman" w:hAnsi="Times New Roman" w:eastAsia="Times New Roman" w:cs="Times New Roman"/>
          <w:color w:val="222222"/>
          <w:sz w:val="24"/>
          <w:szCs w:val="24"/>
          <w:shd w:val="clear" w:color="auto" w:fill="FFFFFF"/>
          <w:lang w:eastAsia="en-GB"/>
        </w:rPr>
      </w:pPr>
      <w:r>
        <w:rPr>
          <w:rFonts w:ascii="Times New Roman" w:hAnsi="Times New Roman" w:eastAsia="Times New Roman" w:cs="Times New Roman"/>
          <w:color w:val="222222"/>
          <w:sz w:val="24"/>
          <w:szCs w:val="24"/>
          <w:shd w:val="clear" w:color="auto" w:fill="FFFFFF"/>
          <w:lang w:eastAsia="en-GB"/>
        </w:rPr>
        <w:t>Lempert, R.J. (2019). Addressing Uncertainty in Developing Long-Term Greenhouse Gas Emission Reduction Strategies.</w:t>
      </w:r>
    </w:p>
    <w:p>
      <w:pPr>
        <w:spacing w:before="0" w:beforeAutospacing="0" w:after="160" w:afterAutospacing="0" w:line="360" w:lineRule="auto"/>
        <w:ind w:firstLine="0"/>
        <w:rPr>
          <w:rFonts w:ascii="Times New Roman" w:hAnsi="Times New Roman" w:eastAsia="Times New Roman" w:cs="Times New Roman"/>
          <w:color w:val="222222"/>
          <w:sz w:val="24"/>
          <w:szCs w:val="24"/>
          <w:shd w:val="clear" w:color="auto" w:fill="FFFFFF"/>
          <w:lang w:eastAsia="en-GB"/>
        </w:rPr>
      </w:pPr>
      <w:r>
        <w:rPr>
          <w:rFonts w:ascii="Times New Roman" w:hAnsi="Times New Roman" w:eastAsia="Times New Roman" w:cs="Times New Roman"/>
          <w:color w:val="222222"/>
          <w:sz w:val="24"/>
          <w:szCs w:val="24"/>
          <w:shd w:val="clear" w:color="auto" w:fill="FFFFFF"/>
          <w:lang w:eastAsia="en-GB"/>
        </w:rPr>
        <w:t>Langevin, J., Harris, C.B. and Reyna, J.L. (2019). Assessing the Potential to Reduce US Building CO2 Emissions 80% by 2050. </w:t>
      </w:r>
      <w:r>
        <w:rPr>
          <w:rFonts w:ascii="Times New Roman" w:hAnsi="Times New Roman" w:eastAsia="Times New Roman" w:cs="Times New Roman"/>
          <w:i/>
          <w:iCs/>
          <w:color w:val="222222"/>
          <w:sz w:val="24"/>
          <w:szCs w:val="24"/>
          <w:shd w:val="clear" w:color="auto" w:fill="FFFFFF"/>
          <w:lang w:eastAsia="en-GB"/>
        </w:rPr>
        <w:t>Joule</w:t>
      </w:r>
      <w:r>
        <w:rPr>
          <w:rFonts w:ascii="Times New Roman" w:hAnsi="Times New Roman" w:eastAsia="Times New Roman" w:cs="Times New Roman"/>
          <w:color w:val="222222"/>
          <w:sz w:val="24"/>
          <w:szCs w:val="24"/>
          <w:shd w:val="clear" w:color="auto" w:fill="FFFFFF"/>
          <w:lang w:eastAsia="en-GB"/>
        </w:rPr>
        <w:t>, </w:t>
      </w:r>
      <w:r>
        <w:rPr>
          <w:rFonts w:ascii="Times New Roman" w:hAnsi="Times New Roman" w:eastAsia="Times New Roman" w:cs="Times New Roman"/>
          <w:i/>
          <w:iCs/>
          <w:color w:val="222222"/>
          <w:sz w:val="24"/>
          <w:szCs w:val="24"/>
          <w:shd w:val="clear" w:color="auto" w:fill="FFFFFF"/>
          <w:lang w:eastAsia="en-GB"/>
        </w:rPr>
        <w:t>3</w:t>
      </w:r>
      <w:r>
        <w:rPr>
          <w:rFonts w:ascii="Times New Roman" w:hAnsi="Times New Roman" w:eastAsia="Times New Roman" w:cs="Times New Roman"/>
          <w:color w:val="222222"/>
          <w:sz w:val="24"/>
          <w:szCs w:val="24"/>
          <w:shd w:val="clear" w:color="auto" w:fill="FFFFFF"/>
          <w:lang w:eastAsia="en-GB"/>
        </w:rPr>
        <w:t>(10), pp.2403-2424.</w:t>
      </w:r>
    </w:p>
    <w:p>
      <w:pPr>
        <w:spacing w:before="0" w:beforeAutospacing="0" w:after="160" w:afterAutospacing="0" w:line="360" w:lineRule="auto"/>
        <w:ind w:firstLine="0"/>
        <w:rPr>
          <w:rFonts w:ascii="Times New Roman" w:hAnsi="Times New Roman" w:eastAsia="Times New Roman" w:cs="Times New Roman"/>
          <w:color w:val="222222"/>
          <w:sz w:val="24"/>
          <w:szCs w:val="24"/>
          <w:shd w:val="clear" w:color="auto" w:fill="FFFFFF"/>
          <w:lang w:eastAsia="en-GB"/>
        </w:rPr>
      </w:pPr>
      <w:r>
        <w:rPr>
          <w:rFonts w:ascii="Times New Roman" w:hAnsi="Times New Roman" w:eastAsia="Times New Roman" w:cs="Times New Roman"/>
          <w:color w:val="222222"/>
          <w:sz w:val="24"/>
          <w:szCs w:val="24"/>
          <w:shd w:val="clear" w:color="auto" w:fill="FFFFFF"/>
          <w:lang w:eastAsia="en-GB"/>
        </w:rPr>
        <w:t>Lawson, E. T. (2016). Negotiating stakeholder participation in the Ghana national climate change policy. </w:t>
      </w:r>
      <w:r>
        <w:rPr>
          <w:rFonts w:ascii="Times New Roman" w:hAnsi="Times New Roman" w:eastAsia="Times New Roman" w:cs="Times New Roman"/>
          <w:i/>
          <w:iCs/>
          <w:color w:val="222222"/>
          <w:sz w:val="24"/>
          <w:szCs w:val="24"/>
          <w:shd w:val="clear" w:color="auto" w:fill="FFFFFF"/>
          <w:lang w:eastAsia="en-GB"/>
        </w:rPr>
        <w:t>International Journal of Climate Change Strategies and Management</w:t>
      </w:r>
      <w:r>
        <w:rPr>
          <w:rFonts w:ascii="Times New Roman" w:hAnsi="Times New Roman" w:eastAsia="Times New Roman" w:cs="Times New Roman"/>
          <w:color w:val="222222"/>
          <w:sz w:val="24"/>
          <w:szCs w:val="24"/>
          <w:shd w:val="clear" w:color="auto" w:fill="FFFFFF"/>
          <w:lang w:eastAsia="en-GB"/>
        </w:rPr>
        <w:t>, </w:t>
      </w:r>
      <w:r>
        <w:rPr>
          <w:rFonts w:ascii="Times New Roman" w:hAnsi="Times New Roman" w:eastAsia="Times New Roman" w:cs="Times New Roman"/>
          <w:i/>
          <w:iCs/>
          <w:color w:val="222222"/>
          <w:sz w:val="24"/>
          <w:szCs w:val="24"/>
          <w:shd w:val="clear" w:color="auto" w:fill="FFFFFF"/>
          <w:lang w:eastAsia="en-GB"/>
        </w:rPr>
        <w:t>8</w:t>
      </w:r>
      <w:r>
        <w:rPr>
          <w:rFonts w:ascii="Times New Roman" w:hAnsi="Times New Roman" w:eastAsia="Times New Roman" w:cs="Times New Roman"/>
          <w:color w:val="222222"/>
          <w:sz w:val="24"/>
          <w:szCs w:val="24"/>
          <w:shd w:val="clear" w:color="auto" w:fill="FFFFFF"/>
          <w:lang w:eastAsia="en-GB"/>
        </w:rPr>
        <w:t>(3), 399-417.</w:t>
      </w:r>
    </w:p>
    <w:p>
      <w:pPr>
        <w:spacing w:before="0" w:beforeAutospacing="0" w:after="160" w:afterAutospacing="0" w:line="360" w:lineRule="auto"/>
        <w:ind w:firstLine="0"/>
        <w:rPr>
          <w:rFonts w:ascii="Times New Roman" w:hAnsi="Times New Roman" w:eastAsia="Times New Roman" w:cs="Times New Roman"/>
          <w:color w:val="000000"/>
          <w:sz w:val="24"/>
          <w:szCs w:val="24"/>
          <w:shd w:val="clear" w:color="auto" w:fill="FFFFFF"/>
          <w:lang w:eastAsia="en-GB"/>
        </w:rPr>
      </w:pPr>
      <w:r>
        <w:rPr>
          <w:rFonts w:ascii="Times New Roman" w:hAnsi="Times New Roman" w:eastAsia="Times New Roman" w:cs="Times New Roman"/>
          <w:color w:val="000000"/>
          <w:sz w:val="24"/>
          <w:szCs w:val="24"/>
          <w:shd w:val="clear" w:color="auto" w:fill="FFFFFF"/>
          <w:lang w:eastAsia="en-GB"/>
        </w:rPr>
        <w:t>McNamee, E. (2017). </w:t>
      </w:r>
      <w:r>
        <w:rPr>
          <w:rFonts w:ascii="Times New Roman" w:hAnsi="Times New Roman" w:eastAsia="Times New Roman" w:cs="Times New Roman"/>
          <w:i/>
          <w:iCs/>
          <w:color w:val="000000"/>
          <w:sz w:val="24"/>
          <w:szCs w:val="24"/>
          <w:shd w:val="clear" w:color="auto" w:fill="FFFFFF"/>
          <w:lang w:eastAsia="en-GB"/>
        </w:rPr>
        <w:t>HOW CAN THE PRIVATE SECTOR FILL IN EMISSIONS REDUCTION GAPS LEFT BY WITHDRAW FROM FEDERAL POLICY?</w:t>
      </w:r>
      <w:r>
        <w:rPr>
          <w:rFonts w:ascii="Times New Roman" w:hAnsi="Times New Roman" w:eastAsia="Times New Roman" w:cs="Times New Roman"/>
          <w:color w:val="000000"/>
          <w:sz w:val="24"/>
          <w:szCs w:val="24"/>
          <w:shd w:val="clear" w:color="auto" w:fill="FFFFFF"/>
          <w:lang w:eastAsia="en-GB"/>
        </w:rPr>
        <w:t xml:space="preserve"> [online] Wharton University of Pennsylvania. Available at: </w:t>
      </w:r>
      <w:r>
        <w:fldChar w:fldCharType="begin"/>
      </w:r>
      <w:r>
        <w:instrText xml:space="preserve"> HYPERLINK "https://publicpolicy.wharton.upenn.edu/live/news/2013-how-can-the-private-sector-fill-in-emissions" </w:instrText>
      </w:r>
      <w:r>
        <w:fldChar w:fldCharType="separate"/>
      </w:r>
      <w:r>
        <w:rPr>
          <w:rFonts w:ascii="Times New Roman" w:hAnsi="Times New Roman" w:eastAsia="Times New Roman" w:cs="Times New Roman"/>
          <w:color w:val="0563C1" w:themeColor="hyperlink"/>
          <w:sz w:val="24"/>
          <w:szCs w:val="24"/>
          <w:u w:val="single"/>
          <w:shd w:val="clear" w:color="auto" w:fill="FFFFFF"/>
          <w:lang w:eastAsia="en-GB"/>
          <w14:textFill>
            <w14:solidFill>
              <w14:schemeClr w14:val="hlink"/>
            </w14:solidFill>
          </w14:textFill>
        </w:rPr>
        <w:t>https://publicpolicy.wharton.upenn.edu/live/news/2013-how-can-the-private-sector-fill-in-emissions</w:t>
      </w:r>
      <w:r>
        <w:rPr>
          <w:rFonts w:ascii="Times New Roman" w:hAnsi="Times New Roman" w:eastAsia="Times New Roman" w:cs="Times New Roman"/>
          <w:color w:val="0563C1" w:themeColor="hyperlink"/>
          <w:sz w:val="24"/>
          <w:szCs w:val="24"/>
          <w:u w:val="single"/>
          <w:shd w:val="clear" w:color="auto" w:fill="FFFFFF"/>
          <w:lang w:eastAsia="en-GB"/>
          <w14:textFill>
            <w14:solidFill>
              <w14:schemeClr w14:val="hlink"/>
            </w14:solidFill>
          </w14:textFill>
        </w:rPr>
        <w:fldChar w:fldCharType="end"/>
      </w:r>
      <w:r>
        <w:rPr>
          <w:rFonts w:ascii="Times New Roman" w:hAnsi="Times New Roman" w:eastAsia="Times New Roman" w:cs="Times New Roman"/>
          <w:color w:val="000000"/>
          <w:sz w:val="24"/>
          <w:szCs w:val="24"/>
          <w:shd w:val="clear" w:color="auto" w:fill="FFFFFF"/>
          <w:lang w:eastAsia="en-GB"/>
        </w:rPr>
        <w:t xml:space="preserve">  [Accessed 29 April 2020].</w:t>
      </w:r>
    </w:p>
    <w:p>
      <w:pPr>
        <w:spacing w:before="0" w:beforeAutospacing="0" w:after="160" w:afterAutospacing="0" w:line="360" w:lineRule="auto"/>
        <w:ind w:firstLine="0"/>
        <w:rPr>
          <w:rFonts w:ascii="Times New Roman" w:hAnsi="Times New Roman" w:eastAsia="Times New Roman" w:cs="Times New Roman"/>
          <w:color w:val="222222"/>
          <w:sz w:val="24"/>
          <w:szCs w:val="24"/>
          <w:shd w:val="clear" w:color="auto" w:fill="FFFFFF"/>
          <w:lang w:eastAsia="en-GB"/>
        </w:rPr>
      </w:pPr>
      <w:r>
        <w:rPr>
          <w:rFonts w:ascii="Times New Roman" w:hAnsi="Times New Roman" w:eastAsia="Times New Roman" w:cs="Times New Roman"/>
          <w:color w:val="222222"/>
          <w:sz w:val="24"/>
          <w:szCs w:val="24"/>
          <w:shd w:val="clear" w:color="auto" w:fill="FFFFFF"/>
          <w:lang w:eastAsia="en-GB"/>
        </w:rPr>
        <w:t>Michaelowa, K. and Michaelowa, A. (2017). Transnational climate governance initiatives: designed for effective climate change mitigation? </w:t>
      </w:r>
      <w:r>
        <w:rPr>
          <w:rFonts w:ascii="Times New Roman" w:hAnsi="Times New Roman" w:eastAsia="Times New Roman" w:cs="Times New Roman"/>
          <w:i/>
          <w:iCs/>
          <w:color w:val="222222"/>
          <w:sz w:val="24"/>
          <w:szCs w:val="24"/>
          <w:shd w:val="clear" w:color="auto" w:fill="FFFFFF"/>
          <w:lang w:eastAsia="en-GB"/>
        </w:rPr>
        <w:t>International Interactions</w:t>
      </w:r>
      <w:r>
        <w:rPr>
          <w:rFonts w:ascii="Times New Roman" w:hAnsi="Times New Roman" w:eastAsia="Times New Roman" w:cs="Times New Roman"/>
          <w:color w:val="222222"/>
          <w:sz w:val="24"/>
          <w:szCs w:val="24"/>
          <w:shd w:val="clear" w:color="auto" w:fill="FFFFFF"/>
          <w:lang w:eastAsia="en-GB"/>
        </w:rPr>
        <w:t>, </w:t>
      </w:r>
      <w:r>
        <w:rPr>
          <w:rFonts w:ascii="Times New Roman" w:hAnsi="Times New Roman" w:eastAsia="Times New Roman" w:cs="Times New Roman"/>
          <w:i/>
          <w:iCs/>
          <w:color w:val="222222"/>
          <w:sz w:val="24"/>
          <w:szCs w:val="24"/>
          <w:shd w:val="clear" w:color="auto" w:fill="FFFFFF"/>
          <w:lang w:eastAsia="en-GB"/>
        </w:rPr>
        <w:t>43</w:t>
      </w:r>
      <w:r>
        <w:rPr>
          <w:rFonts w:ascii="Times New Roman" w:hAnsi="Times New Roman" w:eastAsia="Times New Roman" w:cs="Times New Roman"/>
          <w:color w:val="222222"/>
          <w:sz w:val="24"/>
          <w:szCs w:val="24"/>
          <w:shd w:val="clear" w:color="auto" w:fill="FFFFFF"/>
          <w:lang w:eastAsia="en-GB"/>
        </w:rPr>
        <w:t>(1), pp.129-155.</w:t>
      </w:r>
    </w:p>
    <w:p>
      <w:pPr>
        <w:spacing w:before="0" w:beforeAutospacing="0" w:after="160" w:afterAutospacing="0" w:line="360" w:lineRule="auto"/>
        <w:ind w:firstLine="0"/>
        <w:rPr>
          <w:rFonts w:ascii="Times New Roman" w:hAnsi="Times New Roman" w:eastAsia="Times New Roman" w:cs="Times New Roman"/>
          <w:color w:val="222222"/>
          <w:sz w:val="24"/>
          <w:szCs w:val="24"/>
          <w:shd w:val="clear" w:color="auto" w:fill="FFFFFF"/>
          <w:lang w:eastAsia="en-GB"/>
        </w:rPr>
      </w:pPr>
      <w:r>
        <w:rPr>
          <w:rFonts w:ascii="Times New Roman" w:hAnsi="Times New Roman" w:eastAsia="Times New Roman" w:cs="Times New Roman"/>
          <w:color w:val="222222"/>
          <w:sz w:val="24"/>
          <w:szCs w:val="24"/>
          <w:shd w:val="clear" w:color="auto" w:fill="FFFFFF"/>
          <w:lang w:eastAsia="en-GB"/>
        </w:rPr>
        <w:t>Spengler, J. D. (2012). Climate change, indoor environments, and health. </w:t>
      </w:r>
      <w:r>
        <w:rPr>
          <w:rFonts w:ascii="Times New Roman" w:hAnsi="Times New Roman" w:eastAsia="Times New Roman" w:cs="Times New Roman"/>
          <w:i/>
          <w:iCs/>
          <w:color w:val="222222"/>
          <w:sz w:val="24"/>
          <w:szCs w:val="24"/>
          <w:shd w:val="clear" w:color="auto" w:fill="FFFFFF"/>
          <w:lang w:eastAsia="en-GB"/>
        </w:rPr>
        <w:t>Indoor air</w:t>
      </w:r>
      <w:r>
        <w:rPr>
          <w:rFonts w:ascii="Times New Roman" w:hAnsi="Times New Roman" w:eastAsia="Times New Roman" w:cs="Times New Roman"/>
          <w:color w:val="222222"/>
          <w:sz w:val="24"/>
          <w:szCs w:val="24"/>
          <w:shd w:val="clear" w:color="auto" w:fill="FFFFFF"/>
          <w:lang w:eastAsia="en-GB"/>
        </w:rPr>
        <w:t>, </w:t>
      </w:r>
      <w:r>
        <w:rPr>
          <w:rFonts w:ascii="Times New Roman" w:hAnsi="Times New Roman" w:eastAsia="Times New Roman" w:cs="Times New Roman"/>
          <w:i/>
          <w:iCs/>
          <w:color w:val="222222"/>
          <w:sz w:val="24"/>
          <w:szCs w:val="24"/>
          <w:shd w:val="clear" w:color="auto" w:fill="FFFFFF"/>
          <w:lang w:eastAsia="en-GB"/>
        </w:rPr>
        <w:t>22</w:t>
      </w:r>
      <w:r>
        <w:rPr>
          <w:rFonts w:ascii="Times New Roman" w:hAnsi="Times New Roman" w:eastAsia="Times New Roman" w:cs="Times New Roman"/>
          <w:color w:val="222222"/>
          <w:sz w:val="24"/>
          <w:szCs w:val="24"/>
          <w:shd w:val="clear" w:color="auto" w:fill="FFFFFF"/>
          <w:lang w:eastAsia="en-GB"/>
        </w:rPr>
        <w:t>(2), pp.89-95.</w:t>
      </w:r>
    </w:p>
    <w:p>
      <w:pPr>
        <w:spacing w:before="0" w:beforeAutospacing="0" w:after="160" w:afterAutospacing="0" w:line="360" w:lineRule="auto"/>
        <w:ind w:firstLine="0"/>
        <w:rPr>
          <w:rFonts w:ascii="Times New Roman" w:hAnsi="Times New Roman" w:eastAsia="Times New Roman" w:cs="Times New Roman"/>
          <w:color w:val="222222"/>
          <w:sz w:val="24"/>
          <w:szCs w:val="24"/>
          <w:shd w:val="clear" w:color="auto" w:fill="FFFFFF"/>
          <w:lang w:eastAsia="en-GB"/>
        </w:rPr>
      </w:pPr>
      <w:r>
        <w:rPr>
          <w:rFonts w:ascii="Times New Roman" w:hAnsi="Times New Roman" w:eastAsia="Times New Roman" w:cs="Times New Roman"/>
          <w:color w:val="222222"/>
          <w:sz w:val="24"/>
          <w:szCs w:val="24"/>
          <w:shd w:val="clear" w:color="auto" w:fill="FFFFFF"/>
          <w:lang w:eastAsia="en-GB"/>
        </w:rPr>
        <w:t>Timberlake, T.J. and Schultz, C.A. (2017). Policy, practice, and partnerships for climate change adaptation on US national forests. </w:t>
      </w:r>
      <w:r>
        <w:rPr>
          <w:rFonts w:ascii="Times New Roman" w:hAnsi="Times New Roman" w:eastAsia="Times New Roman" w:cs="Times New Roman"/>
          <w:i/>
          <w:iCs/>
          <w:color w:val="222222"/>
          <w:sz w:val="24"/>
          <w:szCs w:val="24"/>
          <w:shd w:val="clear" w:color="auto" w:fill="FFFFFF"/>
          <w:lang w:eastAsia="en-GB"/>
        </w:rPr>
        <w:t>Climatic Change</w:t>
      </w:r>
      <w:r>
        <w:rPr>
          <w:rFonts w:ascii="Times New Roman" w:hAnsi="Times New Roman" w:eastAsia="Times New Roman" w:cs="Times New Roman"/>
          <w:color w:val="222222"/>
          <w:sz w:val="24"/>
          <w:szCs w:val="24"/>
          <w:shd w:val="clear" w:color="auto" w:fill="FFFFFF"/>
          <w:lang w:eastAsia="en-GB"/>
        </w:rPr>
        <w:t>, </w:t>
      </w:r>
      <w:r>
        <w:rPr>
          <w:rFonts w:ascii="Times New Roman" w:hAnsi="Times New Roman" w:eastAsia="Times New Roman" w:cs="Times New Roman"/>
          <w:i/>
          <w:iCs/>
          <w:color w:val="222222"/>
          <w:sz w:val="24"/>
          <w:szCs w:val="24"/>
          <w:shd w:val="clear" w:color="auto" w:fill="FFFFFF"/>
          <w:lang w:eastAsia="en-GB"/>
        </w:rPr>
        <w:t>144</w:t>
      </w:r>
      <w:r>
        <w:rPr>
          <w:rFonts w:ascii="Times New Roman" w:hAnsi="Times New Roman" w:eastAsia="Times New Roman" w:cs="Times New Roman"/>
          <w:color w:val="222222"/>
          <w:sz w:val="24"/>
          <w:szCs w:val="24"/>
          <w:shd w:val="clear" w:color="auto" w:fill="FFFFFF"/>
          <w:lang w:eastAsia="en-GB"/>
        </w:rPr>
        <w:t>(2), pp.257-269.</w:t>
      </w:r>
    </w:p>
    <w:p>
      <w:pPr>
        <w:spacing w:before="0" w:beforeAutospacing="0" w:after="160" w:afterAutospacing="0" w:line="360" w:lineRule="auto"/>
        <w:ind w:firstLine="0"/>
        <w:rPr>
          <w:rFonts w:ascii="Times New Roman" w:hAnsi="Times New Roman" w:eastAsia="Times New Roman" w:cs="Times New Roman"/>
          <w:color w:val="222222"/>
          <w:sz w:val="24"/>
          <w:szCs w:val="24"/>
          <w:shd w:val="clear" w:color="auto" w:fill="FFFFFF"/>
          <w:lang w:eastAsia="en-GB"/>
        </w:rPr>
      </w:pPr>
      <w:r>
        <w:rPr>
          <w:rFonts w:ascii="Times New Roman" w:hAnsi="Times New Roman" w:eastAsia="Times New Roman" w:cs="Times New Roman"/>
          <w:color w:val="222222"/>
          <w:sz w:val="24"/>
          <w:szCs w:val="24"/>
          <w:shd w:val="clear" w:color="auto" w:fill="FFFFFF"/>
          <w:lang w:eastAsia="en-GB"/>
        </w:rPr>
        <w:t>Zhenmin, L. and Espinosa, P. (2019). Tackling climate change to accelerate sustainable development. </w:t>
      </w:r>
      <w:r>
        <w:rPr>
          <w:rFonts w:ascii="Times New Roman" w:hAnsi="Times New Roman" w:eastAsia="Times New Roman" w:cs="Times New Roman"/>
          <w:i/>
          <w:iCs/>
          <w:color w:val="222222"/>
          <w:sz w:val="24"/>
          <w:szCs w:val="24"/>
          <w:shd w:val="clear" w:color="auto" w:fill="FFFFFF"/>
          <w:lang w:eastAsia="en-GB"/>
        </w:rPr>
        <w:t>Nature Climate Change</w:t>
      </w:r>
      <w:r>
        <w:rPr>
          <w:rFonts w:ascii="Times New Roman" w:hAnsi="Times New Roman" w:eastAsia="Times New Roman" w:cs="Times New Roman"/>
          <w:color w:val="222222"/>
          <w:sz w:val="24"/>
          <w:szCs w:val="24"/>
          <w:shd w:val="clear" w:color="auto" w:fill="FFFFFF"/>
          <w:lang w:eastAsia="en-GB"/>
        </w:rPr>
        <w:t>, </w:t>
      </w:r>
      <w:r>
        <w:rPr>
          <w:rFonts w:ascii="Times New Roman" w:hAnsi="Times New Roman" w:eastAsia="Times New Roman" w:cs="Times New Roman"/>
          <w:i/>
          <w:iCs/>
          <w:color w:val="222222"/>
          <w:sz w:val="24"/>
          <w:szCs w:val="24"/>
          <w:shd w:val="clear" w:color="auto" w:fill="FFFFFF"/>
          <w:lang w:eastAsia="en-GB"/>
        </w:rPr>
        <w:t>9</w:t>
      </w:r>
      <w:r>
        <w:rPr>
          <w:rFonts w:ascii="Times New Roman" w:hAnsi="Times New Roman" w:eastAsia="Times New Roman" w:cs="Times New Roman"/>
          <w:color w:val="222222"/>
          <w:sz w:val="24"/>
          <w:szCs w:val="24"/>
          <w:shd w:val="clear" w:color="auto" w:fill="FFFFFF"/>
          <w:lang w:eastAsia="en-GB"/>
        </w:rPr>
        <w:t>(7), pp.494-496.</w:t>
      </w:r>
    </w:p>
    <w:p>
      <w:pPr>
        <w:spacing w:before="0" w:beforeAutospacing="0" w:after="160" w:afterAutospacing="0" w:line="360" w:lineRule="auto"/>
        <w:ind w:firstLine="0"/>
        <w:rPr>
          <w:rFonts w:ascii="Times New Roman" w:hAnsi="Times New Roman" w:eastAsia="Times New Roman" w:cs="Times New Roman"/>
          <w:color w:val="222222"/>
          <w:sz w:val="24"/>
          <w:szCs w:val="24"/>
          <w:shd w:val="clear" w:color="auto" w:fill="FFFFFF"/>
          <w:lang w:eastAsia="en-GB"/>
        </w:rPr>
      </w:pPr>
    </w:p>
    <w:p>
      <w:pPr>
        <w:spacing w:line="360" w:lineRule="auto"/>
        <w:rPr>
          <w:rFonts w:ascii="Times New Roman" w:hAnsi="Times New Roman" w:cs="Times New Roman"/>
          <w:sz w:val="24"/>
          <w:szCs w:val="24"/>
        </w:rPr>
      </w:pPr>
    </w:p>
    <w:sectPr>
      <w:footerReference r:id="rId3" w:type="default"/>
      <w:pgSz w:w="11906" w:h="16838"/>
      <w:pgMar w:top="1440" w:right="1440" w:bottom="1440" w:left="1440" w:header="720" w:footer="720" w:gutter="0"/>
      <w:pgNumType w:start="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Calibri Light">
    <w:panose1 w:val="020F0302020204030204"/>
    <w:charset w:val="00"/>
    <w:family w:val="auto"/>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766421306"/>
      <w:docPartObj>
        <w:docPartGallery w:val="autotext"/>
      </w:docPartObj>
    </w:sdtPr>
    <w:sdtEndPr>
      <w:rPr>
        <w:rFonts w:ascii="Times New Roman" w:hAnsi="Times New Roman" w:cs="Times New Roman"/>
        <w:sz w:val="24"/>
        <w:szCs w:val="24"/>
      </w:rPr>
    </w:sdtEndPr>
    <w:sdtContent>
      <w:p>
        <w:pPr>
          <w:pStyle w:val="3"/>
          <w:jc w:val="center"/>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Pr>
            <w:rFonts w:ascii="Times New Roman" w:hAnsi="Times New Roman" w:cs="Times New Roman"/>
            <w:sz w:val="24"/>
            <w:szCs w:val="24"/>
          </w:rPr>
          <w:fldChar w:fldCharType="separate"/>
        </w:r>
        <w:r>
          <w:rPr>
            <w:rFonts w:ascii="Times New Roman" w:hAnsi="Times New Roman" w:cs="Times New Roman"/>
            <w:sz w:val="24"/>
            <w:szCs w:val="24"/>
          </w:rPr>
          <w:t>0</w:t>
        </w:r>
        <w:r>
          <w:rPr>
            <w:rFonts w:ascii="Times New Roman" w:hAnsi="Times New Roman" w:cs="Times New Roman"/>
            <w:sz w:val="24"/>
            <w:szCs w:val="24"/>
          </w:rPr>
          <w:fldChar w:fldCharType="end"/>
        </w:r>
      </w:p>
    </w:sdtContent>
  </w:sdt>
  <w:p>
    <w:pPr>
      <w:pStyle w:val="3"/>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B2F629E"/>
    <w:multiLevelType w:val="multilevel"/>
    <w:tmpl w:val="2B2F629E"/>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330805D5"/>
    <w:multiLevelType w:val="multilevel"/>
    <w:tmpl w:val="330805D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56CB616C"/>
    <w:multiLevelType w:val="multilevel"/>
    <w:tmpl w:val="56CB616C"/>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2"/>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jI1MTe0NDY0NzI1MjFX0lEKTi0uzszPAykwrAUAVmsoGCwAAAA="/>
  </w:docVars>
  <w:rsids>
    <w:rsidRoot w:val="001F7CFE"/>
    <w:rsid w:val="00003E81"/>
    <w:rsid w:val="000217E8"/>
    <w:rsid w:val="0002759F"/>
    <w:rsid w:val="00071F32"/>
    <w:rsid w:val="00105F89"/>
    <w:rsid w:val="00136AD9"/>
    <w:rsid w:val="00154C8B"/>
    <w:rsid w:val="00167859"/>
    <w:rsid w:val="00167F17"/>
    <w:rsid w:val="001A28D3"/>
    <w:rsid w:val="001E38AF"/>
    <w:rsid w:val="001F7CFE"/>
    <w:rsid w:val="00211556"/>
    <w:rsid w:val="002348F6"/>
    <w:rsid w:val="0023521E"/>
    <w:rsid w:val="00235612"/>
    <w:rsid w:val="0024247B"/>
    <w:rsid w:val="0025214D"/>
    <w:rsid w:val="00263D1D"/>
    <w:rsid w:val="002654CC"/>
    <w:rsid w:val="002702B4"/>
    <w:rsid w:val="00283E9E"/>
    <w:rsid w:val="002E2560"/>
    <w:rsid w:val="002E37AB"/>
    <w:rsid w:val="00355CD6"/>
    <w:rsid w:val="0038652E"/>
    <w:rsid w:val="003A28CE"/>
    <w:rsid w:val="003D7CC4"/>
    <w:rsid w:val="004063CD"/>
    <w:rsid w:val="00440F26"/>
    <w:rsid w:val="00454AA2"/>
    <w:rsid w:val="00463A98"/>
    <w:rsid w:val="00466799"/>
    <w:rsid w:val="00472271"/>
    <w:rsid w:val="00485A98"/>
    <w:rsid w:val="004910B1"/>
    <w:rsid w:val="00493F1B"/>
    <w:rsid w:val="004C2568"/>
    <w:rsid w:val="004D7948"/>
    <w:rsid w:val="0055254E"/>
    <w:rsid w:val="005C3D1A"/>
    <w:rsid w:val="00646CA7"/>
    <w:rsid w:val="00657E84"/>
    <w:rsid w:val="00674A96"/>
    <w:rsid w:val="006D28AC"/>
    <w:rsid w:val="006D339D"/>
    <w:rsid w:val="007441C1"/>
    <w:rsid w:val="00755E4C"/>
    <w:rsid w:val="007966AC"/>
    <w:rsid w:val="007A133A"/>
    <w:rsid w:val="007E5194"/>
    <w:rsid w:val="007F7649"/>
    <w:rsid w:val="00813484"/>
    <w:rsid w:val="00854246"/>
    <w:rsid w:val="008676E0"/>
    <w:rsid w:val="008949F1"/>
    <w:rsid w:val="008C6847"/>
    <w:rsid w:val="008F0E33"/>
    <w:rsid w:val="00913A25"/>
    <w:rsid w:val="0091504F"/>
    <w:rsid w:val="009158CA"/>
    <w:rsid w:val="00967E3D"/>
    <w:rsid w:val="009B25C9"/>
    <w:rsid w:val="009B58BE"/>
    <w:rsid w:val="009D3A03"/>
    <w:rsid w:val="009E3EF6"/>
    <w:rsid w:val="00A14257"/>
    <w:rsid w:val="00A206B3"/>
    <w:rsid w:val="00A212A1"/>
    <w:rsid w:val="00A24793"/>
    <w:rsid w:val="00A7729B"/>
    <w:rsid w:val="00AD4864"/>
    <w:rsid w:val="00AE52D3"/>
    <w:rsid w:val="00B04D6B"/>
    <w:rsid w:val="00B859B0"/>
    <w:rsid w:val="00B90108"/>
    <w:rsid w:val="00BF58DF"/>
    <w:rsid w:val="00C007E2"/>
    <w:rsid w:val="00C26923"/>
    <w:rsid w:val="00C52732"/>
    <w:rsid w:val="00C73B16"/>
    <w:rsid w:val="00C911AC"/>
    <w:rsid w:val="00C97626"/>
    <w:rsid w:val="00CA04C1"/>
    <w:rsid w:val="00CE1069"/>
    <w:rsid w:val="00D03359"/>
    <w:rsid w:val="00D27C32"/>
    <w:rsid w:val="00D4253C"/>
    <w:rsid w:val="00DC6B05"/>
    <w:rsid w:val="00E45122"/>
    <w:rsid w:val="00E57814"/>
    <w:rsid w:val="00E6128E"/>
    <w:rsid w:val="00E809BD"/>
    <w:rsid w:val="00EA749C"/>
    <w:rsid w:val="00F13BF3"/>
    <w:rsid w:val="00F52E13"/>
    <w:rsid w:val="00F949E1"/>
    <w:rsid w:val="39F96A53"/>
    <w:rsid w:val="53451A0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before="100" w:beforeAutospacing="1" w:after="200" w:afterAutospacing="1" w:line="276" w:lineRule="auto"/>
      <w:ind w:firstLine="720"/>
    </w:pPr>
    <w:rPr>
      <w:rFonts w:asciiTheme="minorHAnsi" w:hAnsiTheme="minorHAnsi" w:eastAsiaTheme="minorHAnsi" w:cstheme="minorBidi"/>
      <w:sz w:val="22"/>
      <w:szCs w:val="22"/>
      <w:lang w:val="en-GB" w:eastAsia="en-US" w:bidi="ar-SA"/>
    </w:rPr>
  </w:style>
  <w:style w:type="paragraph" w:styleId="2">
    <w:name w:val="heading 2"/>
    <w:basedOn w:val="1"/>
    <w:next w:val="1"/>
    <w:unhideWhenUsed/>
    <w:qFormat/>
    <w:uiPriority w:val="9"/>
    <w:pPr>
      <w:keepNext/>
      <w:keepLines/>
      <w:spacing w:before="200" w:after="0" w:line="276" w:lineRule="auto"/>
      <w:jc w:val="left"/>
      <w:outlineLvl w:val="1"/>
    </w:pPr>
    <w:rPr>
      <w:rFonts w:asciiTheme="majorHAnsi" w:hAnsiTheme="majorHAnsi" w:eastAsiaTheme="majorEastAsia" w:cstheme="majorBidi"/>
      <w:b/>
      <w:bCs/>
      <w:color w:val="5B9BD5" w:themeColor="accent1"/>
      <w:sz w:val="26"/>
      <w:szCs w:val="26"/>
      <w14:textFill>
        <w14:solidFill>
          <w14:schemeClr w14:val="accent1"/>
        </w14:solidFill>
      </w14:textFill>
    </w:rPr>
  </w:style>
  <w:style w:type="character" w:default="1" w:styleId="6">
    <w:name w:val="Default Paragraph Font"/>
    <w:semiHidden/>
    <w:unhideWhenUsed/>
    <w:qFormat/>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3">
    <w:name w:val="footer"/>
    <w:basedOn w:val="1"/>
    <w:link w:val="10"/>
    <w:unhideWhenUsed/>
    <w:uiPriority w:val="99"/>
    <w:pPr>
      <w:tabs>
        <w:tab w:val="center" w:pos="4513"/>
        <w:tab w:val="right" w:pos="9026"/>
      </w:tabs>
      <w:spacing w:before="0" w:after="0" w:line="240" w:lineRule="auto"/>
    </w:pPr>
  </w:style>
  <w:style w:type="paragraph" w:styleId="4">
    <w:name w:val="header"/>
    <w:basedOn w:val="1"/>
    <w:link w:val="9"/>
    <w:unhideWhenUsed/>
    <w:uiPriority w:val="99"/>
    <w:pPr>
      <w:tabs>
        <w:tab w:val="center" w:pos="4513"/>
        <w:tab w:val="right" w:pos="9026"/>
      </w:tabs>
      <w:spacing w:before="0" w:after="0" w:line="240" w:lineRule="auto"/>
    </w:pPr>
  </w:style>
  <w:style w:type="character" w:styleId="7">
    <w:name w:val="Hyperlink"/>
    <w:basedOn w:val="6"/>
    <w:unhideWhenUsed/>
    <w:uiPriority w:val="99"/>
    <w:rPr>
      <w:color w:val="0563C1" w:themeColor="hyperlink"/>
      <w:u w:val="single"/>
      <w14:textFill>
        <w14:solidFill>
          <w14:schemeClr w14:val="hlink"/>
        </w14:solidFill>
      </w14:textFill>
    </w:rPr>
  </w:style>
  <w:style w:type="paragraph" w:styleId="8">
    <w:name w:val="List Paragraph"/>
    <w:basedOn w:val="1"/>
    <w:qFormat/>
    <w:uiPriority w:val="34"/>
    <w:pPr>
      <w:ind w:left="720"/>
      <w:contextualSpacing/>
    </w:pPr>
  </w:style>
  <w:style w:type="character" w:customStyle="1" w:styleId="9">
    <w:name w:val="Header Char"/>
    <w:basedOn w:val="6"/>
    <w:link w:val="4"/>
    <w:qFormat/>
    <w:uiPriority w:val="99"/>
  </w:style>
  <w:style w:type="character" w:customStyle="1" w:styleId="10">
    <w:name w:val="Footer Char"/>
    <w:basedOn w:val="6"/>
    <w:link w:val="3"/>
    <w:uiPriority w:val="99"/>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11</Pages>
  <Words>2893</Words>
  <Characters>16395</Characters>
  <Lines>137</Lines>
  <Paragraphs>38</Paragraphs>
  <TotalTime>2</TotalTime>
  <ScaleCrop>false</ScaleCrop>
  <LinksUpToDate>false</LinksUpToDate>
  <CharactersWithSpaces>19019</CharactersWithSpaces>
  <Application>WPS Office_11.1.0.9584_F1E327BC-269C-435d-A152-05C5408002CA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2020-04-28T11:33:00Z</dcterms:created>
  <dc:creator>Administrator</dc:creator>
  <cp:lastModifiedBy>枫</cp:lastModifiedBy>
  <dcterms:modified xsi:type="dcterms:W3CDTF">2020-05-13T12:10:03Z</dcterms:modified>
  <cp:revision>63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2052-11.1.0.9584</vt:lpwstr>
  </property>
</Properties>
</file>