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49D51" w14:textId="2D572EA4" w:rsidR="00D47138" w:rsidRPr="000118AF" w:rsidRDefault="00D47138" w:rsidP="000118AF">
      <w:pPr>
        <w:pStyle w:val="Heading2"/>
        <w:shd w:val="clear" w:color="auto" w:fill="FFFFFF"/>
        <w:spacing w:before="0" w:line="360" w:lineRule="auto"/>
        <w:jc w:val="both"/>
        <w:rPr>
          <w:rFonts w:ascii="Times New Roman" w:hAnsi="Times New Roman" w:cs="Times New Roman"/>
          <w:b/>
          <w:bCs/>
          <w:color w:val="212529"/>
          <w:sz w:val="24"/>
          <w:szCs w:val="24"/>
        </w:rPr>
      </w:pPr>
      <w:r w:rsidRPr="000118AF">
        <w:rPr>
          <w:rFonts w:ascii="Times New Roman" w:hAnsi="Times New Roman" w:cs="Times New Roman"/>
          <w:b/>
          <w:bCs/>
          <w:color w:val="212529"/>
          <w:sz w:val="24"/>
          <w:szCs w:val="24"/>
        </w:rPr>
        <w:t xml:space="preserve">Student Name </w:t>
      </w:r>
    </w:p>
    <w:p w14:paraId="4CAEA42A" w14:textId="54AA9A25" w:rsidR="00D47138" w:rsidRPr="000118AF" w:rsidRDefault="00D47138" w:rsidP="000118AF">
      <w:pPr>
        <w:spacing w:line="360" w:lineRule="auto"/>
        <w:rPr>
          <w:rFonts w:ascii="Times New Roman" w:hAnsi="Times New Roman" w:cs="Times New Roman"/>
          <w:sz w:val="24"/>
          <w:szCs w:val="24"/>
        </w:rPr>
      </w:pPr>
      <w:r w:rsidRPr="000118AF">
        <w:rPr>
          <w:rFonts w:ascii="Times New Roman" w:hAnsi="Times New Roman" w:cs="Times New Roman"/>
          <w:sz w:val="24"/>
          <w:szCs w:val="24"/>
        </w:rPr>
        <w:t xml:space="preserve">Student Number </w:t>
      </w:r>
    </w:p>
    <w:p w14:paraId="6A9C0BB4" w14:textId="36DB5EFD" w:rsidR="00D47138" w:rsidRPr="000118AF" w:rsidRDefault="00D47138" w:rsidP="000118AF">
      <w:pPr>
        <w:spacing w:line="360" w:lineRule="auto"/>
        <w:rPr>
          <w:rFonts w:ascii="Times New Roman" w:hAnsi="Times New Roman" w:cs="Times New Roman"/>
          <w:sz w:val="24"/>
          <w:szCs w:val="24"/>
        </w:rPr>
      </w:pPr>
      <w:r w:rsidRPr="000118AF">
        <w:rPr>
          <w:rFonts w:ascii="Times New Roman" w:hAnsi="Times New Roman" w:cs="Times New Roman"/>
          <w:sz w:val="24"/>
          <w:szCs w:val="24"/>
        </w:rPr>
        <w:t>Module code</w:t>
      </w:r>
    </w:p>
    <w:p w14:paraId="1CFC4583" w14:textId="77777777" w:rsidR="00D47138" w:rsidRPr="000118AF" w:rsidRDefault="00D47138" w:rsidP="000118AF">
      <w:pPr>
        <w:pStyle w:val="Heading2"/>
        <w:shd w:val="clear" w:color="auto" w:fill="FFFFFF"/>
        <w:spacing w:before="0" w:line="360" w:lineRule="auto"/>
        <w:jc w:val="both"/>
        <w:rPr>
          <w:rFonts w:ascii="Times New Roman" w:hAnsi="Times New Roman" w:cs="Times New Roman"/>
          <w:b/>
          <w:bCs/>
          <w:color w:val="212529"/>
          <w:sz w:val="24"/>
          <w:szCs w:val="24"/>
        </w:rPr>
      </w:pPr>
    </w:p>
    <w:p w14:paraId="7DB195E8" w14:textId="49AE1E0A" w:rsidR="00D47138" w:rsidRPr="000118AF" w:rsidRDefault="00E44777" w:rsidP="000118AF">
      <w:pPr>
        <w:pStyle w:val="Heading2"/>
        <w:shd w:val="clear" w:color="auto" w:fill="FFFFFF"/>
        <w:spacing w:before="0" w:line="360" w:lineRule="auto"/>
        <w:jc w:val="both"/>
        <w:rPr>
          <w:rFonts w:ascii="Times New Roman" w:hAnsi="Times New Roman" w:cs="Times New Roman"/>
          <w:b/>
          <w:bCs/>
          <w:color w:val="212529"/>
          <w:sz w:val="24"/>
          <w:szCs w:val="24"/>
        </w:rPr>
      </w:pPr>
      <w:r>
        <w:rPr>
          <w:rFonts w:ascii="Times New Roman" w:hAnsi="Times New Roman" w:cs="Times New Roman"/>
          <w:b/>
          <w:bCs/>
          <w:color w:val="212529"/>
          <w:sz w:val="24"/>
          <w:szCs w:val="24"/>
        </w:rPr>
        <w:t>Describe</w:t>
      </w:r>
      <w:r w:rsidR="00D47138" w:rsidRPr="000118AF">
        <w:rPr>
          <w:rFonts w:ascii="Times New Roman" w:hAnsi="Times New Roman" w:cs="Times New Roman"/>
          <w:b/>
          <w:bCs/>
          <w:color w:val="212529"/>
          <w:sz w:val="24"/>
          <w:szCs w:val="24"/>
        </w:rPr>
        <w:t xml:space="preserve"> the impact of Technological Innovation on Health and Social Care Provision?</w:t>
      </w:r>
    </w:p>
    <w:p w14:paraId="322AA2FD" w14:textId="77777777" w:rsidR="00D47138" w:rsidRPr="000118AF" w:rsidRDefault="00D47138" w:rsidP="000118AF">
      <w:pPr>
        <w:spacing w:line="360" w:lineRule="auto"/>
        <w:rPr>
          <w:rFonts w:ascii="Times New Roman" w:hAnsi="Times New Roman" w:cs="Times New Roman"/>
          <w:sz w:val="24"/>
          <w:szCs w:val="24"/>
        </w:rPr>
      </w:pPr>
    </w:p>
    <w:p w14:paraId="20D0EA6E" w14:textId="77777777" w:rsidR="00D47138" w:rsidRPr="000118AF" w:rsidRDefault="00D47138" w:rsidP="000118AF">
      <w:pPr>
        <w:pStyle w:val="NormalWeb"/>
        <w:shd w:val="clear" w:color="auto" w:fill="FFFFFF"/>
        <w:spacing w:before="0" w:beforeAutospacing="0" w:line="360" w:lineRule="auto"/>
        <w:jc w:val="both"/>
        <w:rPr>
          <w:color w:val="212529"/>
        </w:rPr>
      </w:pPr>
      <w:r w:rsidRPr="000118AF">
        <w:rPr>
          <w:color w:val="212529"/>
        </w:rPr>
        <w:t>The potential for technological innovation to have a transformative impact on health and social care provision has been recognised in a range of areas, including mental health services (Barak and Grohol, 2011), substance addiction (</w:t>
      </w:r>
      <w:proofErr w:type="spellStart"/>
      <w:r w:rsidRPr="000118AF">
        <w:rPr>
          <w:color w:val="212529"/>
        </w:rPr>
        <w:t>Schoech</w:t>
      </w:r>
      <w:proofErr w:type="spellEnd"/>
      <w:r w:rsidRPr="000118AF">
        <w:rPr>
          <w:color w:val="212529"/>
        </w:rPr>
        <w:t xml:space="preserve"> et al, 2013) and supporting people with disabilities (</w:t>
      </w:r>
      <w:proofErr w:type="spellStart"/>
      <w:r w:rsidRPr="000118AF">
        <w:rPr>
          <w:color w:val="212529"/>
        </w:rPr>
        <w:t>Mintz</w:t>
      </w:r>
      <w:proofErr w:type="spellEnd"/>
      <w:r w:rsidRPr="000118AF">
        <w:rPr>
          <w:color w:val="212529"/>
        </w:rPr>
        <w:t xml:space="preserve"> et al, 2012; Dunst et al, 2013). Juxtaposed alongside this recognition has been an increasing concern surrounding the ethical, privacy and social justice ramifications of these technological innovations (Social Care Institute for Excellence [SCIE], 2014). This essay explores both the opportunities and challenges related to the increased use of technology in these settings. Initially, some of the key challenges will be outlined, followed by an attempt to reframe these </w:t>
      </w:r>
      <w:proofErr w:type="gramStart"/>
      <w:r w:rsidRPr="000118AF">
        <w:rPr>
          <w:color w:val="212529"/>
        </w:rPr>
        <w:t>challenges</w:t>
      </w:r>
      <w:proofErr w:type="gramEnd"/>
      <w:r w:rsidRPr="000118AF">
        <w:rPr>
          <w:color w:val="212529"/>
        </w:rPr>
        <w:t xml:space="preserve"> and look at the potential that technology has to revolutionise many areas of health and social care delivery. </w:t>
      </w:r>
      <w:proofErr w:type="gramStart"/>
      <w:r w:rsidRPr="000118AF">
        <w:rPr>
          <w:color w:val="212529"/>
        </w:rPr>
        <w:t>In order to</w:t>
      </w:r>
      <w:proofErr w:type="gramEnd"/>
      <w:r w:rsidRPr="000118AF">
        <w:rPr>
          <w:color w:val="212529"/>
        </w:rPr>
        <w:t xml:space="preserve"> explore these issues in depth, a specific and particularly divisive issue will then be considered in depth: surveillance. This will include an exploration of the dominant discourses that exist around surveillance technology in health and social care. It will be shown that while there are undoubtedly challenges in this area, technology itself is only a tool, one that can be used either </w:t>
      </w:r>
      <w:proofErr w:type="spellStart"/>
      <w:r w:rsidRPr="000118AF">
        <w:rPr>
          <w:color w:val="212529"/>
        </w:rPr>
        <w:t>transformatively</w:t>
      </w:r>
      <w:proofErr w:type="spellEnd"/>
      <w:r w:rsidRPr="000118AF">
        <w:rPr>
          <w:color w:val="212529"/>
        </w:rPr>
        <w:t xml:space="preserve"> or oppressively.</w:t>
      </w:r>
    </w:p>
    <w:p w14:paraId="15EADED5" w14:textId="27D9FE75" w:rsidR="00D47138" w:rsidRPr="000118AF" w:rsidRDefault="00D47138" w:rsidP="000118AF">
      <w:pPr>
        <w:pStyle w:val="NormalWeb"/>
        <w:shd w:val="clear" w:color="auto" w:fill="FFFFFF"/>
        <w:spacing w:before="0" w:beforeAutospacing="0" w:line="360" w:lineRule="auto"/>
        <w:jc w:val="both"/>
        <w:rPr>
          <w:color w:val="212529"/>
        </w:rPr>
      </w:pPr>
      <w:r w:rsidRPr="000118AF">
        <w:rPr>
          <w:color w:val="212529"/>
        </w:rPr>
        <w:t xml:space="preserve">One of the most fundamental challenges related to technological innovation in health and social care relates to staff ability, </w:t>
      </w:r>
      <w:proofErr w:type="gramStart"/>
      <w:r w:rsidRPr="000118AF">
        <w:rPr>
          <w:color w:val="212529"/>
        </w:rPr>
        <w:t>training</w:t>
      </w:r>
      <w:proofErr w:type="gramEnd"/>
      <w:r w:rsidRPr="000118AF">
        <w:rPr>
          <w:color w:val="212529"/>
        </w:rPr>
        <w:t xml:space="preserve"> and motivation (Liddell et al, 2008; Gillingham, 2015). Health and social care provision has traditionally relied on </w:t>
      </w:r>
      <w:proofErr w:type="gramStart"/>
      <w:r w:rsidRPr="000118AF">
        <w:rPr>
          <w:color w:val="212529"/>
        </w:rPr>
        <w:t>face to face</w:t>
      </w:r>
      <w:proofErr w:type="gramEnd"/>
      <w:r w:rsidRPr="000118AF">
        <w:rPr>
          <w:color w:val="212529"/>
        </w:rPr>
        <w:t xml:space="preserve"> interactions as the fundamental remit for practice (</w:t>
      </w:r>
      <w:proofErr w:type="spellStart"/>
      <w:r w:rsidRPr="000118AF">
        <w:rPr>
          <w:color w:val="212529"/>
        </w:rPr>
        <w:t>Berzine</w:t>
      </w:r>
      <w:proofErr w:type="spellEnd"/>
      <w:r w:rsidRPr="000118AF">
        <w:rPr>
          <w:color w:val="212529"/>
        </w:rPr>
        <w:t xml:space="preserve"> et al, 2015). Therefore, any erosion of this interpersonal focus is likely to be challenged by the status quo, and those professionals who fear their skills may no longer apply to these shifting contexts (Liddell et al, 2008). Unsurprisingly, then, health and social care sectors have been shown to be markedly slow in the uptake of new technological innovations, </w:t>
      </w:r>
      <w:proofErr w:type="gramStart"/>
      <w:r w:rsidRPr="000118AF">
        <w:rPr>
          <w:color w:val="212529"/>
        </w:rPr>
        <w:t>in particular when</w:t>
      </w:r>
      <w:proofErr w:type="gramEnd"/>
      <w:r w:rsidRPr="000118AF">
        <w:rPr>
          <w:color w:val="212529"/>
        </w:rPr>
        <w:t xml:space="preserve"> compared to private sector organisations (Zorn et al, 2011).</w:t>
      </w:r>
    </w:p>
    <w:p w14:paraId="790E0BF7" w14:textId="77586A17" w:rsidR="00D47138" w:rsidRPr="000118AF" w:rsidRDefault="00D47138" w:rsidP="000118AF">
      <w:pPr>
        <w:pStyle w:val="NormalWeb"/>
        <w:shd w:val="clear" w:color="auto" w:fill="FFFFFF"/>
        <w:spacing w:before="0" w:beforeAutospacing="0" w:line="360" w:lineRule="auto"/>
        <w:jc w:val="both"/>
        <w:rPr>
          <w:color w:val="212529"/>
        </w:rPr>
      </w:pPr>
      <w:r w:rsidRPr="000118AF">
        <w:rPr>
          <w:color w:val="212529"/>
        </w:rPr>
        <w:t xml:space="preserve">Alongside these practical issues, there are a range of ethical concerns related to the use of technology in these settings. Chief amongst these is a concern that technology is leading to an </w:t>
      </w:r>
      <w:r w:rsidRPr="000118AF">
        <w:rPr>
          <w:color w:val="212529"/>
        </w:rPr>
        <w:lastRenderedPageBreak/>
        <w:t xml:space="preserve">exacerbation of some of the key issues that health and social care professionals deal with on a regular basis. For example, research has shown that </w:t>
      </w:r>
      <w:proofErr w:type="gramStart"/>
      <w:r w:rsidRPr="000118AF">
        <w:rPr>
          <w:color w:val="212529"/>
        </w:rPr>
        <w:t>over use</w:t>
      </w:r>
      <w:proofErr w:type="gramEnd"/>
      <w:r w:rsidRPr="000118AF">
        <w:rPr>
          <w:color w:val="212529"/>
        </w:rPr>
        <w:t xml:space="preserve"> of technology is leading to an increase in depression and a worsening of depressive symptoms (Tong Mok et al, 2014). This is particularly concerning for children, where the younger a person is when they start using technological devices on a regular basis, the more likely they are to experience mental health difficulties related to this (</w:t>
      </w:r>
      <w:proofErr w:type="spellStart"/>
      <w:r w:rsidRPr="000118AF">
        <w:rPr>
          <w:color w:val="212529"/>
        </w:rPr>
        <w:t>Augner</w:t>
      </w:r>
      <w:proofErr w:type="spellEnd"/>
      <w:r w:rsidRPr="000118AF">
        <w:rPr>
          <w:color w:val="212529"/>
        </w:rPr>
        <w:t xml:space="preserve"> and Hacker, 2012). The use of technology is also linked to an increase in childhood obesity, which is a significant public health concern in contemporary society (Rosen et al, 2013). Other concerns commonly raised include cyber bullying (Office of Communications, 2015), internet addiction (King et al, 2012) and online grooming practices (Palmer, 2015).</w:t>
      </w:r>
    </w:p>
    <w:p w14:paraId="2AEE052F" w14:textId="77777777" w:rsidR="00D47138" w:rsidRPr="000118AF" w:rsidRDefault="00D47138" w:rsidP="000118AF">
      <w:pPr>
        <w:pStyle w:val="NormalWeb"/>
        <w:shd w:val="clear" w:color="auto" w:fill="FFFFFF"/>
        <w:spacing w:before="0" w:beforeAutospacing="0" w:line="360" w:lineRule="auto"/>
        <w:jc w:val="both"/>
        <w:rPr>
          <w:color w:val="212529"/>
        </w:rPr>
      </w:pPr>
      <w:r w:rsidRPr="000118AF">
        <w:rPr>
          <w:color w:val="212529"/>
        </w:rPr>
        <w:t xml:space="preserve">It is important, however, that these concerns do not lead to an irrational proclivity towards technological scepticism at the expense of the benefits that new technologies could provide service users and patients. Welsh et al (2003) prominently noted that new technologies are themselves morally neutral, and it is the use to which they are put that raises ethical concerns. Mirroring this perspective, Greenfield (2014) discusses that the impact of any technological innovation depends on how it is utilised, and stresses that it is naïve to consider any technology as intrinsically positive or negative. For example, while it was noted above that technology brings with it </w:t>
      </w:r>
      <w:proofErr w:type="gramStart"/>
      <w:r w:rsidRPr="000118AF">
        <w:rPr>
          <w:color w:val="212529"/>
        </w:rPr>
        <w:t>particular risks</w:t>
      </w:r>
      <w:proofErr w:type="gramEnd"/>
      <w:r w:rsidRPr="000118AF">
        <w:rPr>
          <w:color w:val="212529"/>
        </w:rPr>
        <w:t xml:space="preserve"> for younger people, it is also important to recognise that technology provides an opportunity to engage with younger people, in particular young men, a demographic that health and social care agencies have traditionally struggled to engage (Ellis et al, 2012). It has also been shown that some traditional interpersonal interventions, such as </w:t>
      </w:r>
      <w:proofErr w:type="gramStart"/>
      <w:r w:rsidRPr="000118AF">
        <w:rPr>
          <w:color w:val="212529"/>
        </w:rPr>
        <w:t>person centred</w:t>
      </w:r>
      <w:proofErr w:type="gramEnd"/>
      <w:r w:rsidRPr="000118AF">
        <w:rPr>
          <w:color w:val="212529"/>
        </w:rPr>
        <w:t xml:space="preserve"> counselling, can be effectively provided through new technological mediums (</w:t>
      </w:r>
      <w:proofErr w:type="spellStart"/>
      <w:r w:rsidRPr="000118AF">
        <w:rPr>
          <w:color w:val="212529"/>
        </w:rPr>
        <w:t>Vossler</w:t>
      </w:r>
      <w:proofErr w:type="spellEnd"/>
      <w:r w:rsidRPr="000118AF">
        <w:rPr>
          <w:color w:val="212529"/>
        </w:rPr>
        <w:t>, 2010).</w:t>
      </w:r>
    </w:p>
    <w:p w14:paraId="278C12B7" w14:textId="4E8D8FFF" w:rsidR="00D47138" w:rsidRPr="000118AF" w:rsidRDefault="00D47138" w:rsidP="000118AF">
      <w:pPr>
        <w:pStyle w:val="NormalWeb"/>
        <w:shd w:val="clear" w:color="auto" w:fill="FFFFFF"/>
        <w:spacing w:before="0" w:beforeAutospacing="0" w:line="360" w:lineRule="auto"/>
        <w:jc w:val="both"/>
        <w:rPr>
          <w:color w:val="212529"/>
        </w:rPr>
      </w:pPr>
      <w:r w:rsidRPr="000118AF">
        <w:rPr>
          <w:color w:val="212529"/>
        </w:rPr>
        <w:t xml:space="preserve">To give greater substance to this discussion it is beneficial to look at one </w:t>
      </w:r>
      <w:proofErr w:type="gramStart"/>
      <w:r w:rsidRPr="000118AF">
        <w:rPr>
          <w:color w:val="212529"/>
        </w:rPr>
        <w:t>particular area</w:t>
      </w:r>
      <w:proofErr w:type="gramEnd"/>
      <w:r w:rsidRPr="000118AF">
        <w:rPr>
          <w:color w:val="212529"/>
        </w:rPr>
        <w:t xml:space="preserve"> in depth, that of surveillance. Health and social care services are increasingly concerned with issues around privacy, and there are competing priorities in these settings that provide a key challenge in managing these concerns (</w:t>
      </w:r>
      <w:proofErr w:type="spellStart"/>
      <w:r w:rsidRPr="000118AF">
        <w:rPr>
          <w:color w:val="212529"/>
        </w:rPr>
        <w:t>Zwijsen</w:t>
      </w:r>
      <w:proofErr w:type="spellEnd"/>
      <w:r w:rsidRPr="000118AF">
        <w:rPr>
          <w:color w:val="212529"/>
        </w:rPr>
        <w:t xml:space="preserve"> et al, 2011; Mortenson et al, 2015). On the one hand, the legislative and policy framework that provides the broader context for health and social care delivery stresses the importance of sharing information with other professionals. For example, section 6 of the Care Act 2014 outlines </w:t>
      </w:r>
      <w:proofErr w:type="gramStart"/>
      <w:r w:rsidRPr="000118AF">
        <w:rPr>
          <w:color w:val="212529"/>
        </w:rPr>
        <w:t>that local authorities</w:t>
      </w:r>
      <w:proofErr w:type="gramEnd"/>
      <w:r w:rsidRPr="000118AF">
        <w:rPr>
          <w:color w:val="212529"/>
        </w:rPr>
        <w:t xml:space="preserve">, the NHS and other organisations involved in the provision of health and social care services must co-operate in the sharing of information as required. Other legislation in this area places similar duties on </w:t>
      </w:r>
      <w:r w:rsidRPr="000118AF">
        <w:rPr>
          <w:color w:val="212529"/>
        </w:rPr>
        <w:lastRenderedPageBreak/>
        <w:t xml:space="preserve">agencies to co-operate in this way, including the Children Act 2004 and the Health and Social Care Act 2012. However, these requirements to share information exist alongside the fundamental right to family and private life, outlined under section 8 of the Human Rights Act 1998. Concerns around the sharing of information have been exacerbated by the newly implemented General Data Protection Regulation 2016, which came into force in the UK in May 2018. This has placed substantial responsibilities on governmental and non-governmental agencies when it comes to confidentially storing, </w:t>
      </w:r>
      <w:proofErr w:type="gramStart"/>
      <w:r w:rsidRPr="000118AF">
        <w:rPr>
          <w:color w:val="212529"/>
        </w:rPr>
        <w:t>processing</w:t>
      </w:r>
      <w:proofErr w:type="gramEnd"/>
      <w:r w:rsidRPr="000118AF">
        <w:rPr>
          <w:color w:val="212529"/>
        </w:rPr>
        <w:t xml:space="preserve"> and sharing personal data.</w:t>
      </w:r>
    </w:p>
    <w:p w14:paraId="64C3A43D" w14:textId="2647B233" w:rsidR="00D47138" w:rsidRPr="000118AF" w:rsidRDefault="00D47138" w:rsidP="000118AF">
      <w:pPr>
        <w:pStyle w:val="NormalWeb"/>
        <w:shd w:val="clear" w:color="auto" w:fill="FFFFFF"/>
        <w:spacing w:before="0" w:beforeAutospacing="0" w:line="360" w:lineRule="auto"/>
        <w:jc w:val="both"/>
        <w:rPr>
          <w:color w:val="212529"/>
        </w:rPr>
      </w:pPr>
      <w:r w:rsidRPr="000118AF">
        <w:rPr>
          <w:color w:val="212529"/>
        </w:rPr>
        <w:t xml:space="preserve">Alongside these competing priorities, it is undoubtedly the case that contemporary society is more concerned with surveillance than ever, and this has extended to health and social care settings (Mortenson et al, 2015). Welsh et al (2003) argued that within these health and social care settings, concerns are gradually shifting, moving from concerns about being under surveillance towards being concerned if people are not under surveillance, and these issues have only intensified due to the wider availability of technology to provide unceasing surveillance (Perry et al, 2010). The types of technological advances that allow for more consistent surveillance in health and social care include telecare sensors, GPS devices, </w:t>
      </w:r>
      <w:proofErr w:type="gramStart"/>
      <w:r w:rsidRPr="000118AF">
        <w:rPr>
          <w:color w:val="212529"/>
        </w:rPr>
        <w:t>cameras</w:t>
      </w:r>
      <w:proofErr w:type="gramEnd"/>
      <w:r w:rsidRPr="000118AF">
        <w:rPr>
          <w:color w:val="212529"/>
        </w:rPr>
        <w:t xml:space="preserve"> and smart health recording devices (Mortenson et al, 2015). The fact that the Care Quality Commission (CQC, 2015) and the SCIE (2014) have both provided explicit guidance on using surveillance technology in health and social care settings demonstrates how prevalent surveillance technology has become in health and social care.</w:t>
      </w:r>
    </w:p>
    <w:p w14:paraId="40809D3D" w14:textId="77777777" w:rsidR="00D47138" w:rsidRPr="000118AF" w:rsidRDefault="00D47138" w:rsidP="000118AF">
      <w:pPr>
        <w:pStyle w:val="NormalWeb"/>
        <w:shd w:val="clear" w:color="auto" w:fill="FFFFFF"/>
        <w:spacing w:before="0" w:beforeAutospacing="0" w:line="360" w:lineRule="auto"/>
        <w:jc w:val="both"/>
        <w:rPr>
          <w:color w:val="212529"/>
        </w:rPr>
      </w:pPr>
      <w:r w:rsidRPr="000118AF">
        <w:rPr>
          <w:color w:val="212529"/>
        </w:rPr>
        <w:t xml:space="preserve">It is vital to recognise that surveillance technologies can have substantial benefits for individuals making use of health and social care services. For example, older adults who wish to remain in their own homes have been shown to value the use of surveillance technology to facilitate this and prevent a premature move to a care home (Perry et al, 2010; </w:t>
      </w:r>
      <w:proofErr w:type="spellStart"/>
      <w:r w:rsidRPr="000118AF">
        <w:rPr>
          <w:color w:val="212529"/>
        </w:rPr>
        <w:t>Andruszkiewicz</w:t>
      </w:r>
      <w:proofErr w:type="spellEnd"/>
      <w:r w:rsidRPr="000118AF">
        <w:rPr>
          <w:color w:val="212529"/>
        </w:rPr>
        <w:t xml:space="preserve"> and Fike, 2015). Furthermore, surveillance technology has been successful in recent years in uncovering some of the most egregious abuses in health and social care services, most notably in Winterbourne View Hospital, where traditional whistleblowing and inspections had failed (Flynn, 2012). However, alongside a consideration of these benefits there is minimal consideration of the ethical ramifications of these new surveillance technologies (Perry et al, 2010; Gillingham, 2015). This point is significant because research shows that managers, </w:t>
      </w:r>
      <w:proofErr w:type="gramStart"/>
      <w:r w:rsidRPr="000118AF">
        <w:rPr>
          <w:color w:val="212529"/>
        </w:rPr>
        <w:t>practitioners</w:t>
      </w:r>
      <w:proofErr w:type="gramEnd"/>
      <w:r w:rsidRPr="000118AF">
        <w:rPr>
          <w:color w:val="212529"/>
        </w:rPr>
        <w:t xml:space="preserve"> and patients often have vastly differing perspectives on the risks related to these new surveillance technologies (Essen and </w:t>
      </w:r>
      <w:proofErr w:type="spellStart"/>
      <w:r w:rsidRPr="000118AF">
        <w:rPr>
          <w:color w:val="212529"/>
        </w:rPr>
        <w:t>Conrick</w:t>
      </w:r>
      <w:proofErr w:type="spellEnd"/>
      <w:r w:rsidRPr="000118AF">
        <w:rPr>
          <w:color w:val="212529"/>
        </w:rPr>
        <w:t>, 2008; Mortenson et al, 2015).</w:t>
      </w:r>
    </w:p>
    <w:p w14:paraId="274A8B9A" w14:textId="24E34012" w:rsidR="00D47138" w:rsidRPr="000118AF" w:rsidRDefault="00D47138" w:rsidP="000118AF">
      <w:pPr>
        <w:pStyle w:val="NormalWeb"/>
        <w:shd w:val="clear" w:color="auto" w:fill="FFFFFF"/>
        <w:spacing w:before="0" w:beforeAutospacing="0" w:line="360" w:lineRule="auto"/>
        <w:jc w:val="both"/>
        <w:rPr>
          <w:color w:val="212529"/>
        </w:rPr>
      </w:pPr>
      <w:proofErr w:type="gramStart"/>
      <w:r w:rsidRPr="000118AF">
        <w:rPr>
          <w:color w:val="212529"/>
        </w:rPr>
        <w:lastRenderedPageBreak/>
        <w:t>In order to</w:t>
      </w:r>
      <w:proofErr w:type="gramEnd"/>
      <w:r w:rsidRPr="000118AF">
        <w:rPr>
          <w:color w:val="212529"/>
        </w:rPr>
        <w:t xml:space="preserve"> comprehensively analyse these issues, it is helpful to look at the discourse that is used in this area. Foucault (1980</w:t>
      </w:r>
      <w:r w:rsidR="008C72A9">
        <w:rPr>
          <w:color w:val="212529"/>
        </w:rPr>
        <w:t xml:space="preserve"> p.</w:t>
      </w:r>
      <w:r w:rsidRPr="000118AF">
        <w:rPr>
          <w:color w:val="212529"/>
        </w:rPr>
        <w:t xml:space="preserve"> 93) defines discourse as “historically variable ways to specify knowledge and truth”. There are key discourses around surveillance that typify the debate in this area, in particular the technical discourse, or what the technological systems </w:t>
      </w:r>
      <w:proofErr w:type="gramStart"/>
      <w:r w:rsidRPr="000118AF">
        <w:rPr>
          <w:color w:val="212529"/>
        </w:rPr>
        <w:t>actually do</w:t>
      </w:r>
      <w:proofErr w:type="gramEnd"/>
      <w:r w:rsidRPr="000118AF">
        <w:rPr>
          <w:color w:val="212529"/>
        </w:rPr>
        <w:t xml:space="preserve">, and the discourse on rights, or the acceptability of the technology systems to these settings (SCIE, 2014). In relation to the discourse on rights, a movement has begun based on the principle of “no information about me without me”, related to a desire for health and social care agencies to not store or use information about service users without explicit consent and user involvement (Cantor, 2006: 49). Alongside this is a recognition that the concepts of privacy and surveillance are inextricably linked to consent and capacity as defined under the Mental Capacity Act 2005 (SCIE, 2014). The technical discourse, while valuable for innovation and development, does not provide space for these types of discussions, and so it is crucial to not lose sight of the ‘rights’ discourse alongside this (SCIE, 2014). Technological innovation in health and social care has the capacity to transform service provision; however, technology alone is not a guarantee of enhanced social justice or service provision, which should be the </w:t>
      </w:r>
      <w:proofErr w:type="gramStart"/>
      <w:r w:rsidRPr="000118AF">
        <w:rPr>
          <w:color w:val="212529"/>
        </w:rPr>
        <w:t>ultimate goal</w:t>
      </w:r>
      <w:proofErr w:type="gramEnd"/>
      <w:r w:rsidRPr="000118AF">
        <w:rPr>
          <w:color w:val="212529"/>
        </w:rPr>
        <w:t xml:space="preserve"> of professionals and organisation in this area (</w:t>
      </w:r>
      <w:proofErr w:type="spellStart"/>
      <w:r w:rsidRPr="000118AF">
        <w:rPr>
          <w:color w:val="212529"/>
        </w:rPr>
        <w:t>Goldkind</w:t>
      </w:r>
      <w:proofErr w:type="spellEnd"/>
      <w:r w:rsidRPr="000118AF">
        <w:rPr>
          <w:color w:val="212529"/>
        </w:rPr>
        <w:t xml:space="preserve"> and Wolf, 2015).</w:t>
      </w:r>
    </w:p>
    <w:p w14:paraId="0612C14F" w14:textId="16647789" w:rsidR="00D47138" w:rsidRDefault="00D47138" w:rsidP="000118AF">
      <w:pPr>
        <w:shd w:val="clear" w:color="auto" w:fill="FFFFFF"/>
        <w:spacing w:after="100" w:afterAutospacing="1" w:line="360" w:lineRule="auto"/>
        <w:jc w:val="both"/>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This essay has shown that there are clear challenges and opportunities for technological innovation in health and social care settings, and that it is the practitioners, managers and policy makers in this area who will shape the impact that these new technological innovations have. This essay has covered some of the commonly noted challenges that technology presents in this area and has considered the opportunities that exist alongside these concerns. The concept of surveillance was then considered in depth, </w:t>
      </w:r>
      <w:proofErr w:type="gramStart"/>
      <w:r w:rsidRPr="00D47138">
        <w:rPr>
          <w:rFonts w:ascii="Times New Roman" w:eastAsia="Times New Roman" w:hAnsi="Times New Roman" w:cs="Times New Roman"/>
          <w:color w:val="212529"/>
          <w:kern w:val="0"/>
          <w:sz w:val="24"/>
          <w:szCs w:val="24"/>
          <w14:ligatures w14:val="none"/>
        </w:rPr>
        <w:t>in particular around</w:t>
      </w:r>
      <w:proofErr w:type="gramEnd"/>
      <w:r w:rsidRPr="00D47138">
        <w:rPr>
          <w:rFonts w:ascii="Times New Roman" w:eastAsia="Times New Roman" w:hAnsi="Times New Roman" w:cs="Times New Roman"/>
          <w:color w:val="212529"/>
          <w:kern w:val="0"/>
          <w:sz w:val="24"/>
          <w:szCs w:val="24"/>
          <w14:ligatures w14:val="none"/>
        </w:rPr>
        <w:t xml:space="preserve"> how discourse impacts on how technology is perceived in these settings. This discussion around discourse should remain central to technological engagement in these settings, and there is potential for technological innovation to be driven not by what is best for service users and patients, but instead by a desire to save money and promote perceived efficiency (Norrie et al, 2014). Keeping the discourse of rights at the centre of all discussions in this area will play a key role in mitigating these </w:t>
      </w:r>
      <w:proofErr w:type="gramStart"/>
      <w:r w:rsidRPr="00D47138">
        <w:rPr>
          <w:rFonts w:ascii="Times New Roman" w:eastAsia="Times New Roman" w:hAnsi="Times New Roman" w:cs="Times New Roman"/>
          <w:color w:val="212529"/>
          <w:kern w:val="0"/>
          <w:sz w:val="24"/>
          <w:szCs w:val="24"/>
          <w14:ligatures w14:val="none"/>
        </w:rPr>
        <w:t>issues, and</w:t>
      </w:r>
      <w:proofErr w:type="gramEnd"/>
      <w:r w:rsidRPr="00D47138">
        <w:rPr>
          <w:rFonts w:ascii="Times New Roman" w:eastAsia="Times New Roman" w:hAnsi="Times New Roman" w:cs="Times New Roman"/>
          <w:color w:val="212529"/>
          <w:kern w:val="0"/>
          <w:sz w:val="24"/>
          <w:szCs w:val="24"/>
          <w14:ligatures w14:val="none"/>
        </w:rPr>
        <w:t xml:space="preserve"> ensure that the vast opportunities presented by these new technological innovations are realised. </w:t>
      </w:r>
    </w:p>
    <w:p w14:paraId="33904FF0" w14:textId="77777777" w:rsidR="000118AF" w:rsidRDefault="000118AF" w:rsidP="000118AF">
      <w:pPr>
        <w:shd w:val="clear" w:color="auto" w:fill="FFFFFF"/>
        <w:spacing w:after="100" w:afterAutospacing="1" w:line="360" w:lineRule="auto"/>
        <w:jc w:val="both"/>
        <w:rPr>
          <w:rFonts w:ascii="Times New Roman" w:eastAsia="Times New Roman" w:hAnsi="Times New Roman" w:cs="Times New Roman"/>
          <w:color w:val="212529"/>
          <w:kern w:val="0"/>
          <w:sz w:val="24"/>
          <w:szCs w:val="24"/>
          <w14:ligatures w14:val="none"/>
        </w:rPr>
      </w:pPr>
    </w:p>
    <w:p w14:paraId="26CD47BD" w14:textId="77777777" w:rsidR="000118AF" w:rsidRDefault="000118AF" w:rsidP="000118AF">
      <w:pPr>
        <w:shd w:val="clear" w:color="auto" w:fill="FFFFFF"/>
        <w:spacing w:after="100" w:afterAutospacing="1" w:line="360" w:lineRule="auto"/>
        <w:jc w:val="both"/>
        <w:rPr>
          <w:rFonts w:ascii="Times New Roman" w:eastAsia="Times New Roman" w:hAnsi="Times New Roman" w:cs="Times New Roman"/>
          <w:color w:val="212529"/>
          <w:kern w:val="0"/>
          <w:sz w:val="24"/>
          <w:szCs w:val="24"/>
          <w14:ligatures w14:val="none"/>
        </w:rPr>
      </w:pPr>
    </w:p>
    <w:p w14:paraId="188EB62A" w14:textId="77777777" w:rsidR="00D47138" w:rsidRPr="00D47138" w:rsidRDefault="00D47138" w:rsidP="000118AF">
      <w:pPr>
        <w:shd w:val="clear" w:color="auto" w:fill="FFFFFF"/>
        <w:spacing w:after="100" w:afterAutospacing="1" w:line="360" w:lineRule="auto"/>
        <w:jc w:val="both"/>
        <w:outlineLvl w:val="2"/>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lastRenderedPageBreak/>
        <w:t>References</w:t>
      </w:r>
    </w:p>
    <w:p w14:paraId="35EF2128"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proofErr w:type="spellStart"/>
      <w:r w:rsidRPr="00D47138">
        <w:rPr>
          <w:rFonts w:ascii="Times New Roman" w:eastAsia="Times New Roman" w:hAnsi="Times New Roman" w:cs="Times New Roman"/>
          <w:color w:val="212529"/>
          <w:kern w:val="0"/>
          <w:sz w:val="24"/>
          <w:szCs w:val="24"/>
          <w14:ligatures w14:val="none"/>
        </w:rPr>
        <w:t>Andruszkiewicz</w:t>
      </w:r>
      <w:proofErr w:type="spellEnd"/>
      <w:r w:rsidRPr="00D47138">
        <w:rPr>
          <w:rFonts w:ascii="Times New Roman" w:eastAsia="Times New Roman" w:hAnsi="Times New Roman" w:cs="Times New Roman"/>
          <w:color w:val="212529"/>
          <w:kern w:val="0"/>
          <w:sz w:val="24"/>
          <w:szCs w:val="24"/>
          <w14:ligatures w14:val="none"/>
        </w:rPr>
        <w:t>, G. and Fike, K. (2015) ‘Emerging technology trends and products: How tech innovations are easing the burden of family caregiving’, </w:t>
      </w:r>
      <w:r w:rsidRPr="00D47138">
        <w:rPr>
          <w:rFonts w:ascii="Times New Roman" w:eastAsia="Times New Roman" w:hAnsi="Times New Roman" w:cs="Times New Roman"/>
          <w:i/>
          <w:iCs/>
          <w:color w:val="212529"/>
          <w:kern w:val="0"/>
          <w:sz w:val="24"/>
          <w:szCs w:val="24"/>
          <w14:ligatures w14:val="none"/>
        </w:rPr>
        <w:t>Journal of the American Society on Aging, </w:t>
      </w:r>
      <w:r w:rsidRPr="00D47138">
        <w:rPr>
          <w:rFonts w:ascii="Times New Roman" w:eastAsia="Times New Roman" w:hAnsi="Times New Roman" w:cs="Times New Roman"/>
          <w:b/>
          <w:bCs/>
          <w:color w:val="212529"/>
          <w:kern w:val="0"/>
          <w:sz w:val="24"/>
          <w:szCs w:val="24"/>
          <w14:ligatures w14:val="none"/>
        </w:rPr>
        <w:t>39</w:t>
      </w:r>
      <w:r w:rsidRPr="00D47138">
        <w:rPr>
          <w:rFonts w:ascii="Times New Roman" w:eastAsia="Times New Roman" w:hAnsi="Times New Roman" w:cs="Times New Roman"/>
          <w:color w:val="212529"/>
          <w:kern w:val="0"/>
          <w:sz w:val="24"/>
          <w:szCs w:val="24"/>
          <w14:ligatures w14:val="none"/>
        </w:rPr>
        <w:t>(4), 64-68.</w:t>
      </w:r>
    </w:p>
    <w:p w14:paraId="31D7C257"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proofErr w:type="spellStart"/>
      <w:r w:rsidRPr="00D47138">
        <w:rPr>
          <w:rFonts w:ascii="Times New Roman" w:eastAsia="Times New Roman" w:hAnsi="Times New Roman" w:cs="Times New Roman"/>
          <w:color w:val="212529"/>
          <w:kern w:val="0"/>
          <w:sz w:val="24"/>
          <w:szCs w:val="24"/>
          <w14:ligatures w14:val="none"/>
        </w:rPr>
        <w:t>Augner</w:t>
      </w:r>
      <w:proofErr w:type="spellEnd"/>
      <w:r w:rsidRPr="00D47138">
        <w:rPr>
          <w:rFonts w:ascii="Times New Roman" w:eastAsia="Times New Roman" w:hAnsi="Times New Roman" w:cs="Times New Roman"/>
          <w:color w:val="212529"/>
          <w:kern w:val="0"/>
          <w:sz w:val="24"/>
          <w:szCs w:val="24"/>
          <w14:ligatures w14:val="none"/>
        </w:rPr>
        <w:t>, C. and Hacker, G. (2012) ‘Associations between problematic mobile phone use and psychological parameters in young adults’, </w:t>
      </w:r>
      <w:r w:rsidRPr="00D47138">
        <w:rPr>
          <w:rFonts w:ascii="Times New Roman" w:eastAsia="Times New Roman" w:hAnsi="Times New Roman" w:cs="Times New Roman"/>
          <w:i/>
          <w:iCs/>
          <w:color w:val="212529"/>
          <w:kern w:val="0"/>
          <w:sz w:val="24"/>
          <w:szCs w:val="24"/>
          <w14:ligatures w14:val="none"/>
        </w:rPr>
        <w:t>International Journal of Public Health, </w:t>
      </w:r>
      <w:r w:rsidRPr="00D47138">
        <w:rPr>
          <w:rFonts w:ascii="Times New Roman" w:eastAsia="Times New Roman" w:hAnsi="Times New Roman" w:cs="Times New Roman"/>
          <w:b/>
          <w:bCs/>
          <w:color w:val="212529"/>
          <w:kern w:val="0"/>
          <w:sz w:val="24"/>
          <w:szCs w:val="24"/>
          <w14:ligatures w14:val="none"/>
        </w:rPr>
        <w:t>57</w:t>
      </w:r>
      <w:r w:rsidRPr="00D47138">
        <w:rPr>
          <w:rFonts w:ascii="Times New Roman" w:eastAsia="Times New Roman" w:hAnsi="Times New Roman" w:cs="Times New Roman"/>
          <w:color w:val="212529"/>
          <w:kern w:val="0"/>
          <w:sz w:val="24"/>
          <w:szCs w:val="24"/>
          <w14:ligatures w14:val="none"/>
        </w:rPr>
        <w:t>(2), 437-441.</w:t>
      </w:r>
    </w:p>
    <w:p w14:paraId="3D475008"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Barak, A. and Grohol, J. (2011) ‘Current and future trends in internet-supported mental health interventions’, </w:t>
      </w:r>
      <w:r w:rsidRPr="00D47138">
        <w:rPr>
          <w:rFonts w:ascii="Times New Roman" w:eastAsia="Times New Roman" w:hAnsi="Times New Roman" w:cs="Times New Roman"/>
          <w:i/>
          <w:iCs/>
          <w:color w:val="212529"/>
          <w:kern w:val="0"/>
          <w:sz w:val="24"/>
          <w:szCs w:val="24"/>
          <w14:ligatures w14:val="none"/>
        </w:rPr>
        <w:t>Journal of Technology in Human Services</w:t>
      </w:r>
      <w:r w:rsidRPr="00D47138">
        <w:rPr>
          <w:rFonts w:ascii="Times New Roman" w:eastAsia="Times New Roman" w:hAnsi="Times New Roman" w:cs="Times New Roman"/>
          <w:color w:val="212529"/>
          <w:kern w:val="0"/>
          <w:sz w:val="24"/>
          <w:szCs w:val="24"/>
          <w14:ligatures w14:val="none"/>
        </w:rPr>
        <w:t>, </w:t>
      </w:r>
      <w:r w:rsidRPr="00D47138">
        <w:rPr>
          <w:rFonts w:ascii="Times New Roman" w:eastAsia="Times New Roman" w:hAnsi="Times New Roman" w:cs="Times New Roman"/>
          <w:b/>
          <w:bCs/>
          <w:color w:val="212529"/>
          <w:kern w:val="0"/>
          <w:sz w:val="24"/>
          <w:szCs w:val="24"/>
          <w14:ligatures w14:val="none"/>
        </w:rPr>
        <w:t>29</w:t>
      </w:r>
      <w:r w:rsidRPr="00D47138">
        <w:rPr>
          <w:rFonts w:ascii="Times New Roman" w:eastAsia="Times New Roman" w:hAnsi="Times New Roman" w:cs="Times New Roman"/>
          <w:color w:val="212529"/>
          <w:kern w:val="0"/>
          <w:sz w:val="24"/>
          <w:szCs w:val="24"/>
          <w14:ligatures w14:val="none"/>
        </w:rPr>
        <w:t>, 155–196.</w:t>
      </w:r>
    </w:p>
    <w:p w14:paraId="73D6273B"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proofErr w:type="spellStart"/>
      <w:r w:rsidRPr="00D47138">
        <w:rPr>
          <w:rFonts w:ascii="Times New Roman" w:eastAsia="Times New Roman" w:hAnsi="Times New Roman" w:cs="Times New Roman"/>
          <w:color w:val="212529"/>
          <w:kern w:val="0"/>
          <w:sz w:val="24"/>
          <w:szCs w:val="24"/>
          <w14:ligatures w14:val="none"/>
        </w:rPr>
        <w:t>Berzine</w:t>
      </w:r>
      <w:proofErr w:type="spellEnd"/>
      <w:r w:rsidRPr="00D47138">
        <w:rPr>
          <w:rFonts w:ascii="Times New Roman" w:eastAsia="Times New Roman" w:hAnsi="Times New Roman" w:cs="Times New Roman"/>
          <w:color w:val="212529"/>
          <w:kern w:val="0"/>
          <w:sz w:val="24"/>
          <w:szCs w:val="24"/>
          <w14:ligatures w14:val="none"/>
        </w:rPr>
        <w:t>, S., Singer, J. and Chan, C. (2015) </w:t>
      </w:r>
      <w:r w:rsidRPr="00D47138">
        <w:rPr>
          <w:rFonts w:ascii="Times New Roman" w:eastAsia="Times New Roman" w:hAnsi="Times New Roman" w:cs="Times New Roman"/>
          <w:i/>
          <w:iCs/>
          <w:color w:val="212529"/>
          <w:kern w:val="0"/>
          <w:sz w:val="24"/>
          <w:szCs w:val="24"/>
          <w14:ligatures w14:val="none"/>
        </w:rPr>
        <w:t>Practice Innovation through Technology in the Digital Age: A Grand Challenge for Social Work, </w:t>
      </w:r>
      <w:r w:rsidRPr="00D47138">
        <w:rPr>
          <w:rFonts w:ascii="Times New Roman" w:eastAsia="Times New Roman" w:hAnsi="Times New Roman" w:cs="Times New Roman"/>
          <w:color w:val="212529"/>
          <w:kern w:val="0"/>
          <w:sz w:val="24"/>
          <w:szCs w:val="24"/>
          <w14:ligatures w14:val="none"/>
        </w:rPr>
        <w:t>Columbia: AASWSW.</w:t>
      </w:r>
    </w:p>
    <w:p w14:paraId="79AC0AF3"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Cantor, M. (2006) ‘No information about me without me: Technology, Privacy and Home Monitoring’, </w:t>
      </w:r>
      <w:r w:rsidRPr="00D47138">
        <w:rPr>
          <w:rFonts w:ascii="Times New Roman" w:eastAsia="Times New Roman" w:hAnsi="Times New Roman" w:cs="Times New Roman"/>
          <w:i/>
          <w:iCs/>
          <w:color w:val="212529"/>
          <w:kern w:val="0"/>
          <w:sz w:val="24"/>
          <w:szCs w:val="24"/>
          <w14:ligatures w14:val="none"/>
        </w:rPr>
        <w:t>Technology Innovations and Aging, </w:t>
      </w:r>
      <w:r w:rsidRPr="00D47138">
        <w:rPr>
          <w:rFonts w:ascii="Times New Roman" w:eastAsia="Times New Roman" w:hAnsi="Times New Roman" w:cs="Times New Roman"/>
          <w:b/>
          <w:bCs/>
          <w:color w:val="212529"/>
          <w:kern w:val="0"/>
          <w:sz w:val="24"/>
          <w:szCs w:val="24"/>
          <w14:ligatures w14:val="none"/>
        </w:rPr>
        <w:t>30</w:t>
      </w:r>
      <w:r w:rsidRPr="00D47138">
        <w:rPr>
          <w:rFonts w:ascii="Times New Roman" w:eastAsia="Times New Roman" w:hAnsi="Times New Roman" w:cs="Times New Roman"/>
          <w:color w:val="212529"/>
          <w:kern w:val="0"/>
          <w:sz w:val="24"/>
          <w:szCs w:val="24"/>
          <w14:ligatures w14:val="none"/>
        </w:rPr>
        <w:t>(2), 49-53.</w:t>
      </w:r>
    </w:p>
    <w:p w14:paraId="582D0AAE"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Care Quality Commission (2015) </w:t>
      </w:r>
      <w:r w:rsidRPr="00D47138">
        <w:rPr>
          <w:rFonts w:ascii="Times New Roman" w:eastAsia="Times New Roman" w:hAnsi="Times New Roman" w:cs="Times New Roman"/>
          <w:i/>
          <w:iCs/>
          <w:color w:val="212529"/>
          <w:kern w:val="0"/>
          <w:sz w:val="24"/>
          <w:szCs w:val="24"/>
          <w14:ligatures w14:val="none"/>
        </w:rPr>
        <w:t>Using Surveillance: Information for providers of health and social care on using surveillance to monitor services, </w:t>
      </w:r>
      <w:r w:rsidRPr="00D47138">
        <w:rPr>
          <w:rFonts w:ascii="Times New Roman" w:eastAsia="Times New Roman" w:hAnsi="Times New Roman" w:cs="Times New Roman"/>
          <w:color w:val="212529"/>
          <w:kern w:val="0"/>
          <w:sz w:val="24"/>
          <w:szCs w:val="24"/>
          <w14:ligatures w14:val="none"/>
        </w:rPr>
        <w:t>London: CQC.</w:t>
      </w:r>
    </w:p>
    <w:p w14:paraId="52FF9F89"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Dunst, C., </w:t>
      </w:r>
      <w:proofErr w:type="spellStart"/>
      <w:r w:rsidRPr="00D47138">
        <w:rPr>
          <w:rFonts w:ascii="Times New Roman" w:eastAsia="Times New Roman" w:hAnsi="Times New Roman" w:cs="Times New Roman"/>
          <w:color w:val="212529"/>
          <w:kern w:val="0"/>
          <w:sz w:val="24"/>
          <w:szCs w:val="24"/>
          <w14:ligatures w14:val="none"/>
        </w:rPr>
        <w:t>Trivett</w:t>
      </w:r>
      <w:proofErr w:type="spellEnd"/>
      <w:r w:rsidRPr="00D47138">
        <w:rPr>
          <w:rFonts w:ascii="Times New Roman" w:eastAsia="Times New Roman" w:hAnsi="Times New Roman" w:cs="Times New Roman"/>
          <w:color w:val="212529"/>
          <w:kern w:val="0"/>
          <w:sz w:val="24"/>
          <w:szCs w:val="24"/>
          <w14:ligatures w14:val="none"/>
        </w:rPr>
        <w:t xml:space="preserve">, C., Hamby, D. and </w:t>
      </w:r>
      <w:proofErr w:type="spellStart"/>
      <w:r w:rsidRPr="00D47138">
        <w:rPr>
          <w:rFonts w:ascii="Times New Roman" w:eastAsia="Times New Roman" w:hAnsi="Times New Roman" w:cs="Times New Roman"/>
          <w:color w:val="212529"/>
          <w:kern w:val="0"/>
          <w:sz w:val="24"/>
          <w:szCs w:val="24"/>
          <w14:ligatures w14:val="none"/>
        </w:rPr>
        <w:t>Simkus</w:t>
      </w:r>
      <w:proofErr w:type="spellEnd"/>
      <w:r w:rsidRPr="00D47138">
        <w:rPr>
          <w:rFonts w:ascii="Times New Roman" w:eastAsia="Times New Roman" w:hAnsi="Times New Roman" w:cs="Times New Roman"/>
          <w:color w:val="212529"/>
          <w:kern w:val="0"/>
          <w:sz w:val="24"/>
          <w:szCs w:val="24"/>
          <w14:ligatures w14:val="none"/>
        </w:rPr>
        <w:t>, A. (2013) ‘Systematic review of studies promoting the use of assistive technology devices by young children with disabilities’, </w:t>
      </w:r>
      <w:proofErr w:type="gramStart"/>
      <w:r w:rsidRPr="00D47138">
        <w:rPr>
          <w:rFonts w:ascii="Times New Roman" w:eastAsia="Times New Roman" w:hAnsi="Times New Roman" w:cs="Times New Roman"/>
          <w:i/>
          <w:iCs/>
          <w:color w:val="212529"/>
          <w:kern w:val="0"/>
          <w:sz w:val="24"/>
          <w:szCs w:val="24"/>
          <w14:ligatures w14:val="none"/>
        </w:rPr>
        <w:t>Tots</w:t>
      </w:r>
      <w:proofErr w:type="gramEnd"/>
      <w:r w:rsidRPr="00D47138">
        <w:rPr>
          <w:rFonts w:ascii="Times New Roman" w:eastAsia="Times New Roman" w:hAnsi="Times New Roman" w:cs="Times New Roman"/>
          <w:i/>
          <w:iCs/>
          <w:color w:val="212529"/>
          <w:kern w:val="0"/>
          <w:sz w:val="24"/>
          <w:szCs w:val="24"/>
          <w14:ligatures w14:val="none"/>
        </w:rPr>
        <w:t xml:space="preserve"> and Tech, </w:t>
      </w:r>
      <w:r w:rsidRPr="00D47138">
        <w:rPr>
          <w:rFonts w:ascii="Times New Roman" w:eastAsia="Times New Roman" w:hAnsi="Times New Roman" w:cs="Times New Roman"/>
          <w:b/>
          <w:bCs/>
          <w:color w:val="212529"/>
          <w:kern w:val="0"/>
          <w:sz w:val="24"/>
          <w:szCs w:val="24"/>
          <w14:ligatures w14:val="none"/>
        </w:rPr>
        <w:t>8</w:t>
      </w:r>
      <w:r w:rsidRPr="00D47138">
        <w:rPr>
          <w:rFonts w:ascii="Times New Roman" w:eastAsia="Times New Roman" w:hAnsi="Times New Roman" w:cs="Times New Roman"/>
          <w:color w:val="212529"/>
          <w:kern w:val="0"/>
          <w:sz w:val="24"/>
          <w:szCs w:val="24"/>
          <w14:ligatures w14:val="none"/>
        </w:rPr>
        <w:t>(1), 1-21.</w:t>
      </w:r>
    </w:p>
    <w:p w14:paraId="33981AF2"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Ellis, L., Collin, P., Davenport, T., Hurley, P., Burns, J. and </w:t>
      </w:r>
      <w:proofErr w:type="spellStart"/>
      <w:r w:rsidRPr="00D47138">
        <w:rPr>
          <w:rFonts w:ascii="Times New Roman" w:eastAsia="Times New Roman" w:hAnsi="Times New Roman" w:cs="Times New Roman"/>
          <w:color w:val="212529"/>
          <w:kern w:val="0"/>
          <w:sz w:val="24"/>
          <w:szCs w:val="24"/>
          <w14:ligatures w14:val="none"/>
        </w:rPr>
        <w:t>Hickie</w:t>
      </w:r>
      <w:proofErr w:type="spellEnd"/>
      <w:r w:rsidRPr="00D47138">
        <w:rPr>
          <w:rFonts w:ascii="Times New Roman" w:eastAsia="Times New Roman" w:hAnsi="Times New Roman" w:cs="Times New Roman"/>
          <w:color w:val="212529"/>
          <w:kern w:val="0"/>
          <w:sz w:val="24"/>
          <w:szCs w:val="24"/>
          <w14:ligatures w14:val="none"/>
        </w:rPr>
        <w:t>, I.  (2012) ‘Young Men, Mental Health, and Technology: Implications for Service Design and Delivery in the Digital Age’, </w:t>
      </w:r>
      <w:r w:rsidRPr="00D47138">
        <w:rPr>
          <w:rFonts w:ascii="Times New Roman" w:eastAsia="Times New Roman" w:hAnsi="Times New Roman" w:cs="Times New Roman"/>
          <w:i/>
          <w:iCs/>
          <w:color w:val="212529"/>
          <w:kern w:val="0"/>
          <w:sz w:val="24"/>
          <w:szCs w:val="24"/>
          <w14:ligatures w14:val="none"/>
        </w:rPr>
        <w:t>Journal of Medical Internet Research</w:t>
      </w:r>
      <w:r w:rsidRPr="00D47138">
        <w:rPr>
          <w:rFonts w:ascii="Times New Roman" w:eastAsia="Times New Roman" w:hAnsi="Times New Roman" w:cs="Times New Roman"/>
          <w:color w:val="212529"/>
          <w:kern w:val="0"/>
          <w:sz w:val="24"/>
          <w:szCs w:val="24"/>
          <w14:ligatures w14:val="none"/>
        </w:rPr>
        <w:t>, </w:t>
      </w:r>
      <w:r w:rsidRPr="00D47138">
        <w:rPr>
          <w:rFonts w:ascii="Times New Roman" w:eastAsia="Times New Roman" w:hAnsi="Times New Roman" w:cs="Times New Roman"/>
          <w:b/>
          <w:bCs/>
          <w:color w:val="212529"/>
          <w:kern w:val="0"/>
          <w:sz w:val="24"/>
          <w:szCs w:val="24"/>
          <w14:ligatures w14:val="none"/>
        </w:rPr>
        <w:t>14</w:t>
      </w:r>
      <w:r w:rsidRPr="00D47138">
        <w:rPr>
          <w:rFonts w:ascii="Times New Roman" w:eastAsia="Times New Roman" w:hAnsi="Times New Roman" w:cs="Times New Roman"/>
          <w:color w:val="212529"/>
          <w:kern w:val="0"/>
          <w:sz w:val="24"/>
          <w:szCs w:val="24"/>
          <w14:ligatures w14:val="none"/>
        </w:rPr>
        <w:t>(6), e160.</w:t>
      </w:r>
    </w:p>
    <w:p w14:paraId="6D4E7706"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Essen, A. and </w:t>
      </w:r>
      <w:proofErr w:type="spellStart"/>
      <w:r w:rsidRPr="00D47138">
        <w:rPr>
          <w:rFonts w:ascii="Times New Roman" w:eastAsia="Times New Roman" w:hAnsi="Times New Roman" w:cs="Times New Roman"/>
          <w:color w:val="212529"/>
          <w:kern w:val="0"/>
          <w:sz w:val="24"/>
          <w:szCs w:val="24"/>
          <w14:ligatures w14:val="none"/>
        </w:rPr>
        <w:t>Conrick</w:t>
      </w:r>
      <w:proofErr w:type="spellEnd"/>
      <w:r w:rsidRPr="00D47138">
        <w:rPr>
          <w:rFonts w:ascii="Times New Roman" w:eastAsia="Times New Roman" w:hAnsi="Times New Roman" w:cs="Times New Roman"/>
          <w:color w:val="212529"/>
          <w:kern w:val="0"/>
          <w:sz w:val="24"/>
          <w:szCs w:val="24"/>
          <w14:ligatures w14:val="none"/>
        </w:rPr>
        <w:t>, M. (2008) ‘New E-service development in the homecare sector: Beyond implementing a radical technology’, </w:t>
      </w:r>
      <w:r w:rsidRPr="00D47138">
        <w:rPr>
          <w:rFonts w:ascii="Times New Roman" w:eastAsia="Times New Roman" w:hAnsi="Times New Roman" w:cs="Times New Roman"/>
          <w:i/>
          <w:iCs/>
          <w:color w:val="212529"/>
          <w:kern w:val="0"/>
          <w:sz w:val="24"/>
          <w:szCs w:val="24"/>
          <w14:ligatures w14:val="none"/>
        </w:rPr>
        <w:t>International Journal of Medical Informatics, </w:t>
      </w:r>
      <w:r w:rsidRPr="00D47138">
        <w:rPr>
          <w:rFonts w:ascii="Times New Roman" w:eastAsia="Times New Roman" w:hAnsi="Times New Roman" w:cs="Times New Roman"/>
          <w:b/>
          <w:bCs/>
          <w:color w:val="212529"/>
          <w:kern w:val="0"/>
          <w:sz w:val="24"/>
          <w:szCs w:val="24"/>
          <w14:ligatures w14:val="none"/>
        </w:rPr>
        <w:t>77</w:t>
      </w:r>
      <w:r w:rsidRPr="00D47138">
        <w:rPr>
          <w:rFonts w:ascii="Times New Roman" w:eastAsia="Times New Roman" w:hAnsi="Times New Roman" w:cs="Times New Roman"/>
          <w:color w:val="212529"/>
          <w:kern w:val="0"/>
          <w:sz w:val="24"/>
          <w:szCs w:val="24"/>
          <w14:ligatures w14:val="none"/>
        </w:rPr>
        <w:t>, 679-688.</w:t>
      </w:r>
    </w:p>
    <w:p w14:paraId="76391B76"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Flynn, M. (2012) </w:t>
      </w:r>
      <w:r w:rsidRPr="00D47138">
        <w:rPr>
          <w:rFonts w:ascii="Times New Roman" w:eastAsia="Times New Roman" w:hAnsi="Times New Roman" w:cs="Times New Roman"/>
          <w:i/>
          <w:iCs/>
          <w:color w:val="212529"/>
          <w:kern w:val="0"/>
          <w:sz w:val="24"/>
          <w:szCs w:val="24"/>
          <w14:ligatures w14:val="none"/>
        </w:rPr>
        <w:t>Winterbourne View Hospital Serious Case Review</w:t>
      </w:r>
      <w:r w:rsidRPr="00D47138">
        <w:rPr>
          <w:rFonts w:ascii="Times New Roman" w:eastAsia="Times New Roman" w:hAnsi="Times New Roman" w:cs="Times New Roman"/>
          <w:color w:val="212529"/>
          <w:kern w:val="0"/>
          <w:sz w:val="24"/>
          <w:szCs w:val="24"/>
          <w14:ligatures w14:val="none"/>
        </w:rPr>
        <w:t>, Gloucestershire: GSAB.</w:t>
      </w:r>
    </w:p>
    <w:p w14:paraId="07DF687E"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Foucault, M. (1980) </w:t>
      </w:r>
      <w:r w:rsidRPr="00D47138">
        <w:rPr>
          <w:rFonts w:ascii="Times New Roman" w:eastAsia="Times New Roman" w:hAnsi="Times New Roman" w:cs="Times New Roman"/>
          <w:i/>
          <w:iCs/>
          <w:color w:val="212529"/>
          <w:kern w:val="0"/>
          <w:sz w:val="24"/>
          <w:szCs w:val="24"/>
          <w14:ligatures w14:val="none"/>
        </w:rPr>
        <w:t>Power/Knowledge: Selected Interviews and Other Writings</w:t>
      </w:r>
      <w:r w:rsidRPr="00D47138">
        <w:rPr>
          <w:rFonts w:ascii="Times New Roman" w:eastAsia="Times New Roman" w:hAnsi="Times New Roman" w:cs="Times New Roman"/>
          <w:color w:val="212529"/>
          <w:kern w:val="0"/>
          <w:sz w:val="24"/>
          <w:szCs w:val="24"/>
          <w14:ligatures w14:val="none"/>
        </w:rPr>
        <w:t> </w:t>
      </w:r>
      <w:r w:rsidRPr="00D47138">
        <w:rPr>
          <w:rFonts w:ascii="Times New Roman" w:eastAsia="Times New Roman" w:hAnsi="Times New Roman" w:cs="Times New Roman"/>
          <w:i/>
          <w:iCs/>
          <w:color w:val="212529"/>
          <w:kern w:val="0"/>
          <w:sz w:val="24"/>
          <w:szCs w:val="24"/>
          <w14:ligatures w14:val="none"/>
        </w:rPr>
        <w:t>1972-77, </w:t>
      </w:r>
      <w:r w:rsidRPr="00D47138">
        <w:rPr>
          <w:rFonts w:ascii="Times New Roman" w:eastAsia="Times New Roman" w:hAnsi="Times New Roman" w:cs="Times New Roman"/>
          <w:color w:val="212529"/>
          <w:kern w:val="0"/>
          <w:sz w:val="24"/>
          <w:szCs w:val="24"/>
          <w14:ligatures w14:val="none"/>
        </w:rPr>
        <w:t>New York: Pantheon.</w:t>
      </w:r>
    </w:p>
    <w:p w14:paraId="20B86F89"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Gillingham, P. (2015) ‘Electronic information Systems and Human Services Organisations: The Unanticipated Consequences of Organisational Change’, </w:t>
      </w:r>
      <w:r w:rsidRPr="00D47138">
        <w:rPr>
          <w:rFonts w:ascii="Times New Roman" w:eastAsia="Times New Roman" w:hAnsi="Times New Roman" w:cs="Times New Roman"/>
          <w:i/>
          <w:iCs/>
          <w:color w:val="212529"/>
          <w:kern w:val="0"/>
          <w:sz w:val="24"/>
          <w:szCs w:val="24"/>
          <w14:ligatures w14:val="none"/>
        </w:rPr>
        <w:t>Human Service Organisations, </w:t>
      </w:r>
      <w:r w:rsidRPr="00D47138">
        <w:rPr>
          <w:rFonts w:ascii="Times New Roman" w:eastAsia="Times New Roman" w:hAnsi="Times New Roman" w:cs="Times New Roman"/>
          <w:b/>
          <w:bCs/>
          <w:color w:val="212529"/>
          <w:kern w:val="0"/>
          <w:sz w:val="24"/>
          <w:szCs w:val="24"/>
          <w14:ligatures w14:val="none"/>
        </w:rPr>
        <w:t>39</w:t>
      </w:r>
      <w:r w:rsidRPr="00D47138">
        <w:rPr>
          <w:rFonts w:ascii="Times New Roman" w:eastAsia="Times New Roman" w:hAnsi="Times New Roman" w:cs="Times New Roman"/>
          <w:color w:val="212529"/>
          <w:kern w:val="0"/>
          <w:sz w:val="24"/>
          <w:szCs w:val="24"/>
          <w14:ligatures w14:val="none"/>
        </w:rPr>
        <w:t>(2), 89-100.</w:t>
      </w:r>
    </w:p>
    <w:p w14:paraId="5E9B925D"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proofErr w:type="spellStart"/>
      <w:r w:rsidRPr="00D47138">
        <w:rPr>
          <w:rFonts w:ascii="Times New Roman" w:eastAsia="Times New Roman" w:hAnsi="Times New Roman" w:cs="Times New Roman"/>
          <w:color w:val="212529"/>
          <w:kern w:val="0"/>
          <w:sz w:val="24"/>
          <w:szCs w:val="24"/>
          <w14:ligatures w14:val="none"/>
        </w:rPr>
        <w:t>Goldkind</w:t>
      </w:r>
      <w:proofErr w:type="spellEnd"/>
      <w:r w:rsidRPr="00D47138">
        <w:rPr>
          <w:rFonts w:ascii="Times New Roman" w:eastAsia="Times New Roman" w:hAnsi="Times New Roman" w:cs="Times New Roman"/>
          <w:color w:val="212529"/>
          <w:kern w:val="0"/>
          <w:sz w:val="24"/>
          <w:szCs w:val="24"/>
          <w14:ligatures w14:val="none"/>
        </w:rPr>
        <w:t>, A. and Riva, G. (2015) ‘A digital environment approach: Four technologies that will disrupt social work practice’, </w:t>
      </w:r>
      <w:r w:rsidRPr="00D47138">
        <w:rPr>
          <w:rFonts w:ascii="Times New Roman" w:eastAsia="Times New Roman" w:hAnsi="Times New Roman" w:cs="Times New Roman"/>
          <w:i/>
          <w:iCs/>
          <w:color w:val="212529"/>
          <w:kern w:val="0"/>
          <w:sz w:val="24"/>
          <w:szCs w:val="24"/>
          <w14:ligatures w14:val="none"/>
        </w:rPr>
        <w:t>Social Work, </w:t>
      </w:r>
      <w:r w:rsidRPr="00D47138">
        <w:rPr>
          <w:rFonts w:ascii="Times New Roman" w:eastAsia="Times New Roman" w:hAnsi="Times New Roman" w:cs="Times New Roman"/>
          <w:b/>
          <w:bCs/>
          <w:color w:val="212529"/>
          <w:kern w:val="0"/>
          <w:sz w:val="24"/>
          <w:szCs w:val="24"/>
          <w14:ligatures w14:val="none"/>
        </w:rPr>
        <w:t>60</w:t>
      </w:r>
      <w:r w:rsidRPr="00D47138">
        <w:rPr>
          <w:rFonts w:ascii="Times New Roman" w:eastAsia="Times New Roman" w:hAnsi="Times New Roman" w:cs="Times New Roman"/>
          <w:color w:val="212529"/>
          <w:kern w:val="0"/>
          <w:sz w:val="24"/>
          <w:szCs w:val="24"/>
          <w14:ligatures w14:val="none"/>
        </w:rPr>
        <w:t>(1), 85-87.</w:t>
      </w:r>
    </w:p>
    <w:p w14:paraId="114AF173"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Greenfield, P. (2014) </w:t>
      </w:r>
      <w:r w:rsidRPr="00D47138">
        <w:rPr>
          <w:rFonts w:ascii="Times New Roman" w:eastAsia="Times New Roman" w:hAnsi="Times New Roman" w:cs="Times New Roman"/>
          <w:i/>
          <w:iCs/>
          <w:color w:val="212529"/>
          <w:kern w:val="0"/>
          <w:sz w:val="24"/>
          <w:szCs w:val="24"/>
          <w14:ligatures w14:val="none"/>
        </w:rPr>
        <w:t>Mind and Media: The effects of Television, Video Games and Computers, </w:t>
      </w:r>
      <w:r w:rsidRPr="00D47138">
        <w:rPr>
          <w:rFonts w:ascii="Times New Roman" w:eastAsia="Times New Roman" w:hAnsi="Times New Roman" w:cs="Times New Roman"/>
          <w:color w:val="212529"/>
          <w:kern w:val="0"/>
          <w:sz w:val="24"/>
          <w:szCs w:val="24"/>
          <w14:ligatures w14:val="none"/>
        </w:rPr>
        <w:t>New York: Psychology Press.</w:t>
      </w:r>
    </w:p>
    <w:p w14:paraId="031D7F54"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lastRenderedPageBreak/>
        <w:t xml:space="preserve">King, D., Griffiths, M. and </w:t>
      </w:r>
      <w:proofErr w:type="spellStart"/>
      <w:r w:rsidRPr="00D47138">
        <w:rPr>
          <w:rFonts w:ascii="Times New Roman" w:eastAsia="Times New Roman" w:hAnsi="Times New Roman" w:cs="Times New Roman"/>
          <w:color w:val="212529"/>
          <w:kern w:val="0"/>
          <w:sz w:val="24"/>
          <w:szCs w:val="24"/>
          <w14:ligatures w14:val="none"/>
        </w:rPr>
        <w:t>Gradisar</w:t>
      </w:r>
      <w:proofErr w:type="spellEnd"/>
      <w:r w:rsidRPr="00D47138">
        <w:rPr>
          <w:rFonts w:ascii="Times New Roman" w:eastAsia="Times New Roman" w:hAnsi="Times New Roman" w:cs="Times New Roman"/>
          <w:color w:val="212529"/>
          <w:kern w:val="0"/>
          <w:sz w:val="24"/>
          <w:szCs w:val="24"/>
          <w14:ligatures w14:val="none"/>
        </w:rPr>
        <w:t>, M. (2012) ‘Cognitive-behavioural approaches to outpatient treatment of internet addiction in children and adolescents’, </w:t>
      </w:r>
      <w:r w:rsidRPr="00D47138">
        <w:rPr>
          <w:rFonts w:ascii="Times New Roman" w:eastAsia="Times New Roman" w:hAnsi="Times New Roman" w:cs="Times New Roman"/>
          <w:i/>
          <w:iCs/>
          <w:color w:val="212529"/>
          <w:kern w:val="0"/>
          <w:sz w:val="24"/>
          <w:szCs w:val="24"/>
          <w14:ligatures w14:val="none"/>
        </w:rPr>
        <w:t>Journal of Clinical Psychology, </w:t>
      </w:r>
      <w:r w:rsidRPr="00D47138">
        <w:rPr>
          <w:rFonts w:ascii="Times New Roman" w:eastAsia="Times New Roman" w:hAnsi="Times New Roman" w:cs="Times New Roman"/>
          <w:b/>
          <w:bCs/>
          <w:color w:val="212529"/>
          <w:kern w:val="0"/>
          <w:sz w:val="24"/>
          <w:szCs w:val="24"/>
          <w14:ligatures w14:val="none"/>
        </w:rPr>
        <w:t>68</w:t>
      </w:r>
      <w:r w:rsidRPr="00D47138">
        <w:rPr>
          <w:rFonts w:ascii="Times New Roman" w:eastAsia="Times New Roman" w:hAnsi="Times New Roman" w:cs="Times New Roman"/>
          <w:color w:val="212529"/>
          <w:kern w:val="0"/>
          <w:sz w:val="24"/>
          <w:szCs w:val="24"/>
          <w14:ligatures w14:val="none"/>
        </w:rPr>
        <w:t>(11), 1185-1195.</w:t>
      </w:r>
    </w:p>
    <w:p w14:paraId="1DAA75FC"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Liddell, A., </w:t>
      </w:r>
      <w:proofErr w:type="spellStart"/>
      <w:r w:rsidRPr="00D47138">
        <w:rPr>
          <w:rFonts w:ascii="Times New Roman" w:eastAsia="Times New Roman" w:hAnsi="Times New Roman" w:cs="Times New Roman"/>
          <w:color w:val="212529"/>
          <w:kern w:val="0"/>
          <w:sz w:val="24"/>
          <w:szCs w:val="24"/>
          <w14:ligatures w14:val="none"/>
        </w:rPr>
        <w:t>Adshead</w:t>
      </w:r>
      <w:proofErr w:type="spellEnd"/>
      <w:r w:rsidRPr="00D47138">
        <w:rPr>
          <w:rFonts w:ascii="Times New Roman" w:eastAsia="Times New Roman" w:hAnsi="Times New Roman" w:cs="Times New Roman"/>
          <w:color w:val="212529"/>
          <w:kern w:val="0"/>
          <w:sz w:val="24"/>
          <w:szCs w:val="24"/>
          <w14:ligatures w14:val="none"/>
        </w:rPr>
        <w:t>, S. and Burgess, E. (2008) </w:t>
      </w:r>
      <w:r w:rsidRPr="00D47138">
        <w:rPr>
          <w:rFonts w:ascii="Times New Roman" w:eastAsia="Times New Roman" w:hAnsi="Times New Roman" w:cs="Times New Roman"/>
          <w:i/>
          <w:iCs/>
          <w:color w:val="212529"/>
          <w:kern w:val="0"/>
          <w:sz w:val="24"/>
          <w:szCs w:val="24"/>
          <w14:ligatures w14:val="none"/>
        </w:rPr>
        <w:t>Technology in the NHS Transforming the patient’s experience of care</w:t>
      </w:r>
      <w:r w:rsidRPr="00D47138">
        <w:rPr>
          <w:rFonts w:ascii="Times New Roman" w:eastAsia="Times New Roman" w:hAnsi="Times New Roman" w:cs="Times New Roman"/>
          <w:color w:val="212529"/>
          <w:kern w:val="0"/>
          <w:sz w:val="24"/>
          <w:szCs w:val="24"/>
          <w14:ligatures w14:val="none"/>
        </w:rPr>
        <w:t>, London: The King’s Fund.</w:t>
      </w:r>
    </w:p>
    <w:p w14:paraId="2F7D0E6E"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proofErr w:type="spellStart"/>
      <w:r w:rsidRPr="00D47138">
        <w:rPr>
          <w:rFonts w:ascii="Times New Roman" w:eastAsia="Times New Roman" w:hAnsi="Times New Roman" w:cs="Times New Roman"/>
          <w:color w:val="212529"/>
          <w:kern w:val="0"/>
          <w:sz w:val="24"/>
          <w:szCs w:val="24"/>
          <w14:ligatures w14:val="none"/>
        </w:rPr>
        <w:t>Mintz</w:t>
      </w:r>
      <w:proofErr w:type="spellEnd"/>
      <w:r w:rsidRPr="00D47138">
        <w:rPr>
          <w:rFonts w:ascii="Times New Roman" w:eastAsia="Times New Roman" w:hAnsi="Times New Roman" w:cs="Times New Roman"/>
          <w:color w:val="212529"/>
          <w:kern w:val="0"/>
          <w:sz w:val="24"/>
          <w:szCs w:val="24"/>
          <w14:ligatures w14:val="none"/>
        </w:rPr>
        <w:t xml:space="preserve">, J., Branch, C., March, C. and </w:t>
      </w:r>
      <w:proofErr w:type="spellStart"/>
      <w:r w:rsidRPr="00D47138">
        <w:rPr>
          <w:rFonts w:ascii="Times New Roman" w:eastAsia="Times New Roman" w:hAnsi="Times New Roman" w:cs="Times New Roman"/>
          <w:color w:val="212529"/>
          <w:kern w:val="0"/>
          <w:sz w:val="24"/>
          <w:szCs w:val="24"/>
          <w14:ligatures w14:val="none"/>
        </w:rPr>
        <w:t>Lerman</w:t>
      </w:r>
      <w:proofErr w:type="spellEnd"/>
      <w:r w:rsidRPr="00D47138">
        <w:rPr>
          <w:rFonts w:ascii="Times New Roman" w:eastAsia="Times New Roman" w:hAnsi="Times New Roman" w:cs="Times New Roman"/>
          <w:color w:val="212529"/>
          <w:kern w:val="0"/>
          <w:sz w:val="24"/>
          <w:szCs w:val="24"/>
          <w14:ligatures w14:val="none"/>
        </w:rPr>
        <w:t>, S. (2012) ‘Key factors mediating the use of a mobile technology tool designed to develop social and life skills in children with Autistic Spectrum Disorders’, </w:t>
      </w:r>
      <w:r w:rsidRPr="00D47138">
        <w:rPr>
          <w:rFonts w:ascii="Times New Roman" w:eastAsia="Times New Roman" w:hAnsi="Times New Roman" w:cs="Times New Roman"/>
          <w:i/>
          <w:iCs/>
          <w:color w:val="212529"/>
          <w:kern w:val="0"/>
          <w:sz w:val="24"/>
          <w:szCs w:val="24"/>
          <w14:ligatures w14:val="none"/>
        </w:rPr>
        <w:t>Computers and Education, </w:t>
      </w:r>
      <w:r w:rsidRPr="00D47138">
        <w:rPr>
          <w:rFonts w:ascii="Times New Roman" w:eastAsia="Times New Roman" w:hAnsi="Times New Roman" w:cs="Times New Roman"/>
          <w:b/>
          <w:bCs/>
          <w:color w:val="212529"/>
          <w:kern w:val="0"/>
          <w:sz w:val="24"/>
          <w:szCs w:val="24"/>
          <w14:ligatures w14:val="none"/>
        </w:rPr>
        <w:t>58</w:t>
      </w:r>
      <w:r w:rsidRPr="00D47138">
        <w:rPr>
          <w:rFonts w:ascii="Times New Roman" w:eastAsia="Times New Roman" w:hAnsi="Times New Roman" w:cs="Times New Roman"/>
          <w:color w:val="212529"/>
          <w:kern w:val="0"/>
          <w:sz w:val="24"/>
          <w:szCs w:val="24"/>
          <w14:ligatures w14:val="none"/>
        </w:rPr>
        <w:t>(1), 53-62.</w:t>
      </w:r>
    </w:p>
    <w:p w14:paraId="6B9F602F"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Mortenson, W., Sixsmith, A. and </w:t>
      </w:r>
      <w:proofErr w:type="spellStart"/>
      <w:r w:rsidRPr="00D47138">
        <w:rPr>
          <w:rFonts w:ascii="Times New Roman" w:eastAsia="Times New Roman" w:hAnsi="Times New Roman" w:cs="Times New Roman"/>
          <w:color w:val="212529"/>
          <w:kern w:val="0"/>
          <w:sz w:val="24"/>
          <w:szCs w:val="24"/>
          <w14:ligatures w14:val="none"/>
        </w:rPr>
        <w:t>Woolrych</w:t>
      </w:r>
      <w:proofErr w:type="spellEnd"/>
      <w:r w:rsidRPr="00D47138">
        <w:rPr>
          <w:rFonts w:ascii="Times New Roman" w:eastAsia="Times New Roman" w:hAnsi="Times New Roman" w:cs="Times New Roman"/>
          <w:color w:val="212529"/>
          <w:kern w:val="0"/>
          <w:sz w:val="24"/>
          <w:szCs w:val="24"/>
          <w14:ligatures w14:val="none"/>
        </w:rPr>
        <w:t>, R. (2015) ‘The powers of observation: theoretical perspectives on surveillance technologies and older people’, </w:t>
      </w:r>
      <w:r w:rsidRPr="00D47138">
        <w:rPr>
          <w:rFonts w:ascii="Times New Roman" w:eastAsia="Times New Roman" w:hAnsi="Times New Roman" w:cs="Times New Roman"/>
          <w:i/>
          <w:iCs/>
          <w:color w:val="212529"/>
          <w:kern w:val="0"/>
          <w:sz w:val="24"/>
          <w:szCs w:val="24"/>
          <w14:ligatures w14:val="none"/>
        </w:rPr>
        <w:t>Ageing and Society, </w:t>
      </w:r>
      <w:r w:rsidRPr="00D47138">
        <w:rPr>
          <w:rFonts w:ascii="Times New Roman" w:eastAsia="Times New Roman" w:hAnsi="Times New Roman" w:cs="Times New Roman"/>
          <w:b/>
          <w:bCs/>
          <w:color w:val="212529"/>
          <w:kern w:val="0"/>
          <w:sz w:val="24"/>
          <w:szCs w:val="24"/>
          <w14:ligatures w14:val="none"/>
        </w:rPr>
        <w:t>35</w:t>
      </w:r>
      <w:r w:rsidRPr="00D47138">
        <w:rPr>
          <w:rFonts w:ascii="Times New Roman" w:eastAsia="Times New Roman" w:hAnsi="Times New Roman" w:cs="Times New Roman"/>
          <w:color w:val="212529"/>
          <w:kern w:val="0"/>
          <w:sz w:val="24"/>
          <w:szCs w:val="24"/>
          <w14:ligatures w14:val="none"/>
        </w:rPr>
        <w:t>, 512-530.</w:t>
      </w:r>
    </w:p>
    <w:p w14:paraId="5C39DD30"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Norrie, C., Stevens, M., Graham, K., </w:t>
      </w:r>
      <w:proofErr w:type="spellStart"/>
      <w:r w:rsidRPr="00D47138">
        <w:rPr>
          <w:rFonts w:ascii="Times New Roman" w:eastAsia="Times New Roman" w:hAnsi="Times New Roman" w:cs="Times New Roman"/>
          <w:color w:val="212529"/>
          <w:kern w:val="0"/>
          <w:sz w:val="24"/>
          <w:szCs w:val="24"/>
          <w14:ligatures w14:val="none"/>
        </w:rPr>
        <w:t>Manthorpe</w:t>
      </w:r>
      <w:proofErr w:type="spellEnd"/>
      <w:r w:rsidRPr="00D47138">
        <w:rPr>
          <w:rFonts w:ascii="Times New Roman" w:eastAsia="Times New Roman" w:hAnsi="Times New Roman" w:cs="Times New Roman"/>
          <w:color w:val="212529"/>
          <w:kern w:val="0"/>
          <w:sz w:val="24"/>
          <w:szCs w:val="24"/>
          <w14:ligatures w14:val="none"/>
        </w:rPr>
        <w:t>, J., Moriarty, J. and Hussein, S. (2014) ‘Investigating models of adult safeguarding in England – a mixed-methods approach’, </w:t>
      </w:r>
      <w:r w:rsidRPr="00D47138">
        <w:rPr>
          <w:rFonts w:ascii="Times New Roman" w:eastAsia="Times New Roman" w:hAnsi="Times New Roman" w:cs="Times New Roman"/>
          <w:i/>
          <w:iCs/>
          <w:color w:val="212529"/>
          <w:kern w:val="0"/>
          <w:sz w:val="24"/>
          <w:szCs w:val="24"/>
          <w14:ligatures w14:val="none"/>
        </w:rPr>
        <w:t>Journal of Adult Protection, </w:t>
      </w:r>
      <w:r w:rsidRPr="00D47138">
        <w:rPr>
          <w:rFonts w:ascii="Times New Roman" w:eastAsia="Times New Roman" w:hAnsi="Times New Roman" w:cs="Times New Roman"/>
          <w:b/>
          <w:bCs/>
          <w:color w:val="212529"/>
          <w:kern w:val="0"/>
          <w:sz w:val="24"/>
          <w:szCs w:val="24"/>
          <w14:ligatures w14:val="none"/>
        </w:rPr>
        <w:t>16</w:t>
      </w:r>
      <w:r w:rsidRPr="00D47138">
        <w:rPr>
          <w:rFonts w:ascii="Times New Roman" w:eastAsia="Times New Roman" w:hAnsi="Times New Roman" w:cs="Times New Roman"/>
          <w:color w:val="212529"/>
          <w:kern w:val="0"/>
          <w:sz w:val="24"/>
          <w:szCs w:val="24"/>
          <w14:ligatures w14:val="none"/>
        </w:rPr>
        <w:t>(6), 377-388.</w:t>
      </w:r>
    </w:p>
    <w:p w14:paraId="32E76CDB"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Office of Communications (2015) </w:t>
      </w:r>
      <w:r w:rsidRPr="00D47138">
        <w:rPr>
          <w:rFonts w:ascii="Times New Roman" w:eastAsia="Times New Roman" w:hAnsi="Times New Roman" w:cs="Times New Roman"/>
          <w:i/>
          <w:iCs/>
          <w:color w:val="212529"/>
          <w:kern w:val="0"/>
          <w:sz w:val="24"/>
          <w:szCs w:val="24"/>
          <w14:ligatures w14:val="none"/>
        </w:rPr>
        <w:t>Report on Internet Safety Measures, </w:t>
      </w:r>
      <w:r w:rsidRPr="00D47138">
        <w:rPr>
          <w:rFonts w:ascii="Times New Roman" w:eastAsia="Times New Roman" w:hAnsi="Times New Roman" w:cs="Times New Roman"/>
          <w:color w:val="212529"/>
          <w:kern w:val="0"/>
          <w:sz w:val="24"/>
          <w:szCs w:val="24"/>
          <w14:ligatures w14:val="none"/>
        </w:rPr>
        <w:t>London: Ofcom.</w:t>
      </w:r>
    </w:p>
    <w:p w14:paraId="7347CF0B"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Palmer, T. (2015) </w:t>
      </w:r>
      <w:r w:rsidRPr="00D47138">
        <w:rPr>
          <w:rFonts w:ascii="Times New Roman" w:eastAsia="Times New Roman" w:hAnsi="Times New Roman" w:cs="Times New Roman"/>
          <w:i/>
          <w:iCs/>
          <w:color w:val="212529"/>
          <w:kern w:val="0"/>
          <w:sz w:val="24"/>
          <w:szCs w:val="24"/>
          <w14:ligatures w14:val="none"/>
        </w:rPr>
        <w:t>Digital dangers: The impact of technology on the sexual abuse and exploitation of children and young people</w:t>
      </w:r>
      <w:r w:rsidRPr="00D47138">
        <w:rPr>
          <w:rFonts w:ascii="Times New Roman" w:eastAsia="Times New Roman" w:hAnsi="Times New Roman" w:cs="Times New Roman"/>
          <w:color w:val="212529"/>
          <w:kern w:val="0"/>
          <w:sz w:val="24"/>
          <w:szCs w:val="24"/>
          <w14:ligatures w14:val="none"/>
        </w:rPr>
        <w:t>, London: Bernardo’s.</w:t>
      </w:r>
    </w:p>
    <w:p w14:paraId="24DECFC2"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Perry, J., Beyer, S., Francis, J. and Holmes, P. (2010) </w:t>
      </w:r>
      <w:r w:rsidRPr="00D47138">
        <w:rPr>
          <w:rFonts w:ascii="Times New Roman" w:eastAsia="Times New Roman" w:hAnsi="Times New Roman" w:cs="Times New Roman"/>
          <w:i/>
          <w:iCs/>
          <w:color w:val="212529"/>
          <w:kern w:val="0"/>
          <w:sz w:val="24"/>
          <w:szCs w:val="24"/>
          <w14:ligatures w14:val="none"/>
        </w:rPr>
        <w:t>Ethical issues in the use of telecare, </w:t>
      </w:r>
      <w:r w:rsidRPr="00D47138">
        <w:rPr>
          <w:rFonts w:ascii="Times New Roman" w:eastAsia="Times New Roman" w:hAnsi="Times New Roman" w:cs="Times New Roman"/>
          <w:color w:val="212529"/>
          <w:kern w:val="0"/>
          <w:sz w:val="24"/>
          <w:szCs w:val="24"/>
          <w14:ligatures w14:val="none"/>
        </w:rPr>
        <w:t>London: SCIE.</w:t>
      </w:r>
    </w:p>
    <w:p w14:paraId="12D51B92"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Rosen, L., Whaling, K., Rab, S., Carrier, L. and Cheever, N. (2013) ‘Is Facebook creating </w:t>
      </w:r>
      <w:proofErr w:type="spellStart"/>
      <w:r w:rsidRPr="00D47138">
        <w:rPr>
          <w:rFonts w:ascii="Times New Roman" w:eastAsia="Times New Roman" w:hAnsi="Times New Roman" w:cs="Times New Roman"/>
          <w:color w:val="212529"/>
          <w:kern w:val="0"/>
          <w:sz w:val="24"/>
          <w:szCs w:val="24"/>
          <w14:ligatures w14:val="none"/>
        </w:rPr>
        <w:t>iDisorders</w:t>
      </w:r>
      <w:proofErr w:type="spellEnd"/>
      <w:r w:rsidRPr="00D47138">
        <w:rPr>
          <w:rFonts w:ascii="Times New Roman" w:eastAsia="Times New Roman" w:hAnsi="Times New Roman" w:cs="Times New Roman"/>
          <w:color w:val="212529"/>
          <w:kern w:val="0"/>
          <w:sz w:val="24"/>
          <w:szCs w:val="24"/>
          <w14:ligatures w14:val="none"/>
        </w:rPr>
        <w:t xml:space="preserve">? The link between clinical symptoms of psychiatric disorders and technology use, </w:t>
      </w:r>
      <w:proofErr w:type="gramStart"/>
      <w:r w:rsidRPr="00D47138">
        <w:rPr>
          <w:rFonts w:ascii="Times New Roman" w:eastAsia="Times New Roman" w:hAnsi="Times New Roman" w:cs="Times New Roman"/>
          <w:color w:val="212529"/>
          <w:kern w:val="0"/>
          <w:sz w:val="24"/>
          <w:szCs w:val="24"/>
          <w14:ligatures w14:val="none"/>
        </w:rPr>
        <w:t>attitudes</w:t>
      </w:r>
      <w:proofErr w:type="gramEnd"/>
      <w:r w:rsidRPr="00D47138">
        <w:rPr>
          <w:rFonts w:ascii="Times New Roman" w:eastAsia="Times New Roman" w:hAnsi="Times New Roman" w:cs="Times New Roman"/>
          <w:color w:val="212529"/>
          <w:kern w:val="0"/>
          <w:sz w:val="24"/>
          <w:szCs w:val="24"/>
          <w14:ligatures w14:val="none"/>
        </w:rPr>
        <w:t xml:space="preserve"> and anxiety’, </w:t>
      </w:r>
      <w:r w:rsidRPr="00D47138">
        <w:rPr>
          <w:rFonts w:ascii="Times New Roman" w:eastAsia="Times New Roman" w:hAnsi="Times New Roman" w:cs="Times New Roman"/>
          <w:i/>
          <w:iCs/>
          <w:color w:val="212529"/>
          <w:kern w:val="0"/>
          <w:sz w:val="24"/>
          <w:szCs w:val="24"/>
          <w14:ligatures w14:val="none"/>
        </w:rPr>
        <w:t>Computers in Human Behaviour, </w:t>
      </w:r>
      <w:r w:rsidRPr="00D47138">
        <w:rPr>
          <w:rFonts w:ascii="Times New Roman" w:eastAsia="Times New Roman" w:hAnsi="Times New Roman" w:cs="Times New Roman"/>
          <w:b/>
          <w:bCs/>
          <w:color w:val="212529"/>
          <w:kern w:val="0"/>
          <w:sz w:val="24"/>
          <w:szCs w:val="24"/>
          <w14:ligatures w14:val="none"/>
        </w:rPr>
        <w:t>29</w:t>
      </w:r>
      <w:r w:rsidRPr="00D47138">
        <w:rPr>
          <w:rFonts w:ascii="Times New Roman" w:eastAsia="Times New Roman" w:hAnsi="Times New Roman" w:cs="Times New Roman"/>
          <w:color w:val="212529"/>
          <w:kern w:val="0"/>
          <w:sz w:val="24"/>
          <w:szCs w:val="24"/>
          <w14:ligatures w14:val="none"/>
        </w:rPr>
        <w:t>(3), 1243-1254.</w:t>
      </w:r>
    </w:p>
    <w:p w14:paraId="148F7E91"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proofErr w:type="spellStart"/>
      <w:r w:rsidRPr="00D47138">
        <w:rPr>
          <w:rFonts w:ascii="Times New Roman" w:eastAsia="Times New Roman" w:hAnsi="Times New Roman" w:cs="Times New Roman"/>
          <w:color w:val="212529"/>
          <w:kern w:val="0"/>
          <w:sz w:val="24"/>
          <w:szCs w:val="24"/>
          <w14:ligatures w14:val="none"/>
        </w:rPr>
        <w:t>Schoech</w:t>
      </w:r>
      <w:proofErr w:type="spellEnd"/>
      <w:r w:rsidRPr="00D47138">
        <w:rPr>
          <w:rFonts w:ascii="Times New Roman" w:eastAsia="Times New Roman" w:hAnsi="Times New Roman" w:cs="Times New Roman"/>
          <w:color w:val="212529"/>
          <w:kern w:val="0"/>
          <w:sz w:val="24"/>
          <w:szCs w:val="24"/>
          <w14:ligatures w14:val="none"/>
        </w:rPr>
        <w:t xml:space="preserve">, D., </w:t>
      </w:r>
      <w:proofErr w:type="spellStart"/>
      <w:r w:rsidRPr="00D47138">
        <w:rPr>
          <w:rFonts w:ascii="Times New Roman" w:eastAsia="Times New Roman" w:hAnsi="Times New Roman" w:cs="Times New Roman"/>
          <w:color w:val="212529"/>
          <w:kern w:val="0"/>
          <w:sz w:val="24"/>
          <w:szCs w:val="24"/>
          <w14:ligatures w14:val="none"/>
        </w:rPr>
        <w:t>Boyas</w:t>
      </w:r>
      <w:proofErr w:type="spellEnd"/>
      <w:r w:rsidRPr="00D47138">
        <w:rPr>
          <w:rFonts w:ascii="Times New Roman" w:eastAsia="Times New Roman" w:hAnsi="Times New Roman" w:cs="Times New Roman"/>
          <w:color w:val="212529"/>
          <w:kern w:val="0"/>
          <w:sz w:val="24"/>
          <w:szCs w:val="24"/>
          <w14:ligatures w14:val="none"/>
        </w:rPr>
        <w:t>, J., Black, B. M. and Elias-Lambert, N. (2013) ‘Gamification for behaviour change: Lessons from developing a social, multiuser, Web-tablet based prevention game for youths’, </w:t>
      </w:r>
      <w:r w:rsidRPr="00D47138">
        <w:rPr>
          <w:rFonts w:ascii="Times New Roman" w:eastAsia="Times New Roman" w:hAnsi="Times New Roman" w:cs="Times New Roman"/>
          <w:i/>
          <w:iCs/>
          <w:color w:val="212529"/>
          <w:kern w:val="0"/>
          <w:sz w:val="24"/>
          <w:szCs w:val="24"/>
          <w14:ligatures w14:val="none"/>
        </w:rPr>
        <w:t>Journal of Technology in Human Services</w:t>
      </w:r>
      <w:r w:rsidRPr="00D47138">
        <w:rPr>
          <w:rFonts w:ascii="Times New Roman" w:eastAsia="Times New Roman" w:hAnsi="Times New Roman" w:cs="Times New Roman"/>
          <w:color w:val="212529"/>
          <w:kern w:val="0"/>
          <w:sz w:val="24"/>
          <w:szCs w:val="24"/>
          <w14:ligatures w14:val="none"/>
        </w:rPr>
        <w:t>,</w:t>
      </w:r>
      <w:r w:rsidRPr="00D47138">
        <w:rPr>
          <w:rFonts w:ascii="Times New Roman" w:eastAsia="Times New Roman" w:hAnsi="Times New Roman" w:cs="Times New Roman"/>
          <w:b/>
          <w:bCs/>
          <w:color w:val="212529"/>
          <w:kern w:val="0"/>
          <w:sz w:val="24"/>
          <w:szCs w:val="24"/>
          <w14:ligatures w14:val="none"/>
        </w:rPr>
        <w:t> 31</w:t>
      </w:r>
      <w:r w:rsidRPr="00D47138">
        <w:rPr>
          <w:rFonts w:ascii="Times New Roman" w:eastAsia="Times New Roman" w:hAnsi="Times New Roman" w:cs="Times New Roman"/>
          <w:color w:val="212529"/>
          <w:kern w:val="0"/>
          <w:sz w:val="24"/>
          <w:szCs w:val="24"/>
          <w14:ligatures w14:val="none"/>
        </w:rPr>
        <w:t>(3), 197–217.</w:t>
      </w:r>
    </w:p>
    <w:p w14:paraId="5FF741F0"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Social Care Institute for Excellence (2014) </w:t>
      </w:r>
      <w:r w:rsidRPr="00D47138">
        <w:rPr>
          <w:rFonts w:ascii="Times New Roman" w:eastAsia="Times New Roman" w:hAnsi="Times New Roman" w:cs="Times New Roman"/>
          <w:i/>
          <w:iCs/>
          <w:color w:val="212529"/>
          <w:kern w:val="0"/>
          <w:sz w:val="24"/>
          <w:szCs w:val="24"/>
          <w14:ligatures w14:val="none"/>
        </w:rPr>
        <w:t>Electronic Surveillance in Health and Social Care Settings: A Brief Review, </w:t>
      </w:r>
      <w:r w:rsidRPr="00D47138">
        <w:rPr>
          <w:rFonts w:ascii="Times New Roman" w:eastAsia="Times New Roman" w:hAnsi="Times New Roman" w:cs="Times New Roman"/>
          <w:color w:val="212529"/>
          <w:kern w:val="0"/>
          <w:sz w:val="24"/>
          <w:szCs w:val="24"/>
          <w14:ligatures w14:val="none"/>
        </w:rPr>
        <w:t>London: SCIE.</w:t>
      </w:r>
    </w:p>
    <w:p w14:paraId="2BA9760C"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Tong Mok, M. Sing, R., Jiang, X. and See, L. (2014) ‘Investigation of social media on depression’, The 9th International Symposium on Chinese Spoken Language Processing, 488-491.</w:t>
      </w:r>
    </w:p>
    <w:p w14:paraId="1F226661"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proofErr w:type="spellStart"/>
      <w:r w:rsidRPr="00D47138">
        <w:rPr>
          <w:rFonts w:ascii="Times New Roman" w:eastAsia="Times New Roman" w:hAnsi="Times New Roman" w:cs="Times New Roman"/>
          <w:color w:val="212529"/>
          <w:kern w:val="0"/>
          <w:sz w:val="24"/>
          <w:szCs w:val="24"/>
          <w14:ligatures w14:val="none"/>
        </w:rPr>
        <w:t>Vossler</w:t>
      </w:r>
      <w:proofErr w:type="spellEnd"/>
      <w:r w:rsidRPr="00D47138">
        <w:rPr>
          <w:rFonts w:ascii="Times New Roman" w:eastAsia="Times New Roman" w:hAnsi="Times New Roman" w:cs="Times New Roman"/>
          <w:color w:val="212529"/>
          <w:kern w:val="0"/>
          <w:sz w:val="24"/>
          <w:szCs w:val="24"/>
          <w14:ligatures w14:val="none"/>
        </w:rPr>
        <w:t xml:space="preserve">, A. (2010) ‘Context and Setting’, in M. Barker, A. </w:t>
      </w:r>
      <w:proofErr w:type="spellStart"/>
      <w:r w:rsidRPr="00D47138">
        <w:rPr>
          <w:rFonts w:ascii="Times New Roman" w:eastAsia="Times New Roman" w:hAnsi="Times New Roman" w:cs="Times New Roman"/>
          <w:color w:val="212529"/>
          <w:kern w:val="0"/>
          <w:sz w:val="24"/>
          <w:szCs w:val="24"/>
          <w14:ligatures w14:val="none"/>
        </w:rPr>
        <w:t>Vossler</w:t>
      </w:r>
      <w:proofErr w:type="spellEnd"/>
      <w:r w:rsidRPr="00D47138">
        <w:rPr>
          <w:rFonts w:ascii="Times New Roman" w:eastAsia="Times New Roman" w:hAnsi="Times New Roman" w:cs="Times New Roman"/>
          <w:color w:val="212529"/>
          <w:kern w:val="0"/>
          <w:sz w:val="24"/>
          <w:szCs w:val="24"/>
          <w14:ligatures w14:val="none"/>
        </w:rPr>
        <w:t xml:space="preserve"> and D. Langdridge (eds) </w:t>
      </w:r>
      <w:r w:rsidRPr="00D47138">
        <w:rPr>
          <w:rFonts w:ascii="Times New Roman" w:eastAsia="Times New Roman" w:hAnsi="Times New Roman" w:cs="Times New Roman"/>
          <w:i/>
          <w:iCs/>
          <w:color w:val="212529"/>
          <w:kern w:val="0"/>
          <w:sz w:val="24"/>
          <w:szCs w:val="24"/>
          <w14:ligatures w14:val="none"/>
        </w:rPr>
        <w:t>Understanding Counselling and Psychotherapy, </w:t>
      </w:r>
      <w:r w:rsidRPr="00D47138">
        <w:rPr>
          <w:rFonts w:ascii="Times New Roman" w:eastAsia="Times New Roman" w:hAnsi="Times New Roman" w:cs="Times New Roman"/>
          <w:color w:val="212529"/>
          <w:kern w:val="0"/>
          <w:sz w:val="24"/>
          <w:szCs w:val="24"/>
          <w14:ligatures w14:val="none"/>
        </w:rPr>
        <w:t>London: Sage.</w:t>
      </w:r>
    </w:p>
    <w:p w14:paraId="05BE5DAD"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t xml:space="preserve">Welsh, S., </w:t>
      </w:r>
      <w:proofErr w:type="spellStart"/>
      <w:r w:rsidRPr="00D47138">
        <w:rPr>
          <w:rFonts w:ascii="Times New Roman" w:eastAsia="Times New Roman" w:hAnsi="Times New Roman" w:cs="Times New Roman"/>
          <w:color w:val="212529"/>
          <w:kern w:val="0"/>
          <w:sz w:val="24"/>
          <w:szCs w:val="24"/>
          <w14:ligatures w14:val="none"/>
        </w:rPr>
        <w:t>Hassiotis</w:t>
      </w:r>
      <w:proofErr w:type="spellEnd"/>
      <w:r w:rsidRPr="00D47138">
        <w:rPr>
          <w:rFonts w:ascii="Times New Roman" w:eastAsia="Times New Roman" w:hAnsi="Times New Roman" w:cs="Times New Roman"/>
          <w:color w:val="212529"/>
          <w:kern w:val="0"/>
          <w:sz w:val="24"/>
          <w:szCs w:val="24"/>
          <w14:ligatures w14:val="none"/>
        </w:rPr>
        <w:t xml:space="preserve">, A., </w:t>
      </w:r>
      <w:proofErr w:type="spellStart"/>
      <w:r w:rsidRPr="00D47138">
        <w:rPr>
          <w:rFonts w:ascii="Times New Roman" w:eastAsia="Times New Roman" w:hAnsi="Times New Roman" w:cs="Times New Roman"/>
          <w:color w:val="212529"/>
          <w:kern w:val="0"/>
          <w:sz w:val="24"/>
          <w:szCs w:val="24"/>
          <w14:ligatures w14:val="none"/>
        </w:rPr>
        <w:t>O’Mahony</w:t>
      </w:r>
      <w:proofErr w:type="spellEnd"/>
      <w:r w:rsidRPr="00D47138">
        <w:rPr>
          <w:rFonts w:ascii="Times New Roman" w:eastAsia="Times New Roman" w:hAnsi="Times New Roman" w:cs="Times New Roman"/>
          <w:color w:val="212529"/>
          <w:kern w:val="0"/>
          <w:sz w:val="24"/>
          <w:szCs w:val="24"/>
          <w14:ligatures w14:val="none"/>
        </w:rPr>
        <w:t xml:space="preserve">, G. and </w:t>
      </w:r>
      <w:proofErr w:type="spellStart"/>
      <w:r w:rsidRPr="00D47138">
        <w:rPr>
          <w:rFonts w:ascii="Times New Roman" w:eastAsia="Times New Roman" w:hAnsi="Times New Roman" w:cs="Times New Roman"/>
          <w:color w:val="212529"/>
          <w:kern w:val="0"/>
          <w:sz w:val="24"/>
          <w:szCs w:val="24"/>
          <w14:ligatures w14:val="none"/>
        </w:rPr>
        <w:t>Deahl</w:t>
      </w:r>
      <w:proofErr w:type="spellEnd"/>
      <w:r w:rsidRPr="00D47138">
        <w:rPr>
          <w:rFonts w:ascii="Times New Roman" w:eastAsia="Times New Roman" w:hAnsi="Times New Roman" w:cs="Times New Roman"/>
          <w:color w:val="212529"/>
          <w:kern w:val="0"/>
          <w:sz w:val="24"/>
          <w:szCs w:val="24"/>
          <w14:ligatures w14:val="none"/>
        </w:rPr>
        <w:t>, M. (2003) ‘Big Brother is watching you: The ethical implications of electronic surveillance measures in the elderly with dementia and in adults with learning difficulties’, </w:t>
      </w:r>
      <w:r w:rsidRPr="00D47138">
        <w:rPr>
          <w:rFonts w:ascii="Times New Roman" w:eastAsia="Times New Roman" w:hAnsi="Times New Roman" w:cs="Times New Roman"/>
          <w:b/>
          <w:bCs/>
          <w:color w:val="212529"/>
          <w:kern w:val="0"/>
          <w:sz w:val="24"/>
          <w:szCs w:val="24"/>
          <w14:ligatures w14:val="none"/>
        </w:rPr>
        <w:t>7</w:t>
      </w:r>
      <w:r w:rsidRPr="00D47138">
        <w:rPr>
          <w:rFonts w:ascii="Times New Roman" w:eastAsia="Times New Roman" w:hAnsi="Times New Roman" w:cs="Times New Roman"/>
          <w:color w:val="212529"/>
          <w:kern w:val="0"/>
          <w:sz w:val="24"/>
          <w:szCs w:val="24"/>
          <w14:ligatures w14:val="none"/>
        </w:rPr>
        <w:t>(5), 372-375.</w:t>
      </w:r>
    </w:p>
    <w:p w14:paraId="731C5F6E"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r w:rsidRPr="00D47138">
        <w:rPr>
          <w:rFonts w:ascii="Times New Roman" w:eastAsia="Times New Roman" w:hAnsi="Times New Roman" w:cs="Times New Roman"/>
          <w:color w:val="212529"/>
          <w:kern w:val="0"/>
          <w:sz w:val="24"/>
          <w:szCs w:val="24"/>
          <w14:ligatures w14:val="none"/>
        </w:rPr>
        <w:lastRenderedPageBreak/>
        <w:t xml:space="preserve">Zorn, T., </w:t>
      </w:r>
      <w:proofErr w:type="spellStart"/>
      <w:r w:rsidRPr="00D47138">
        <w:rPr>
          <w:rFonts w:ascii="Times New Roman" w:eastAsia="Times New Roman" w:hAnsi="Times New Roman" w:cs="Times New Roman"/>
          <w:color w:val="212529"/>
          <w:kern w:val="0"/>
          <w:sz w:val="24"/>
          <w:szCs w:val="24"/>
          <w14:ligatures w14:val="none"/>
        </w:rPr>
        <w:t>Flanagin</w:t>
      </w:r>
      <w:proofErr w:type="spellEnd"/>
      <w:r w:rsidRPr="00D47138">
        <w:rPr>
          <w:rFonts w:ascii="Times New Roman" w:eastAsia="Times New Roman" w:hAnsi="Times New Roman" w:cs="Times New Roman"/>
          <w:color w:val="212529"/>
          <w:kern w:val="0"/>
          <w:sz w:val="24"/>
          <w:szCs w:val="24"/>
          <w14:ligatures w14:val="none"/>
        </w:rPr>
        <w:t>, A., and Shoham, M. (2011) ‘Institutional and non-institutional influences on information and communication technology adoption and use among non-profit organizations’, </w:t>
      </w:r>
      <w:r w:rsidRPr="00D47138">
        <w:rPr>
          <w:rFonts w:ascii="Times New Roman" w:eastAsia="Times New Roman" w:hAnsi="Times New Roman" w:cs="Times New Roman"/>
          <w:i/>
          <w:iCs/>
          <w:color w:val="212529"/>
          <w:kern w:val="0"/>
          <w:sz w:val="24"/>
          <w:szCs w:val="24"/>
          <w14:ligatures w14:val="none"/>
        </w:rPr>
        <w:t>Human Communication Research</w:t>
      </w:r>
      <w:r w:rsidRPr="00D47138">
        <w:rPr>
          <w:rFonts w:ascii="Times New Roman" w:eastAsia="Times New Roman" w:hAnsi="Times New Roman" w:cs="Times New Roman"/>
          <w:color w:val="212529"/>
          <w:kern w:val="0"/>
          <w:sz w:val="24"/>
          <w:szCs w:val="24"/>
          <w14:ligatures w14:val="none"/>
        </w:rPr>
        <w:t>, </w:t>
      </w:r>
      <w:r w:rsidRPr="00D47138">
        <w:rPr>
          <w:rFonts w:ascii="Times New Roman" w:eastAsia="Times New Roman" w:hAnsi="Times New Roman" w:cs="Times New Roman"/>
          <w:b/>
          <w:bCs/>
          <w:color w:val="212529"/>
          <w:kern w:val="0"/>
          <w:sz w:val="24"/>
          <w:szCs w:val="24"/>
          <w14:ligatures w14:val="none"/>
        </w:rPr>
        <w:t>37</w:t>
      </w:r>
      <w:r w:rsidRPr="00D47138">
        <w:rPr>
          <w:rFonts w:ascii="Times New Roman" w:eastAsia="Times New Roman" w:hAnsi="Times New Roman" w:cs="Times New Roman"/>
          <w:color w:val="212529"/>
          <w:kern w:val="0"/>
          <w:sz w:val="24"/>
          <w:szCs w:val="24"/>
          <w14:ligatures w14:val="none"/>
        </w:rPr>
        <w:t>(1), 1–33.</w:t>
      </w:r>
    </w:p>
    <w:p w14:paraId="2285F7E6" w14:textId="77777777" w:rsidR="00D47138" w:rsidRPr="00D47138" w:rsidRDefault="00D47138" w:rsidP="000118AF">
      <w:pPr>
        <w:shd w:val="clear" w:color="auto" w:fill="FFFFFF"/>
        <w:spacing w:after="100" w:afterAutospacing="1" w:line="240" w:lineRule="auto"/>
        <w:ind w:left="720" w:hanging="720"/>
        <w:rPr>
          <w:rFonts w:ascii="Times New Roman" w:eastAsia="Times New Roman" w:hAnsi="Times New Roman" w:cs="Times New Roman"/>
          <w:color w:val="212529"/>
          <w:kern w:val="0"/>
          <w:sz w:val="24"/>
          <w:szCs w:val="24"/>
          <w14:ligatures w14:val="none"/>
        </w:rPr>
      </w:pPr>
      <w:proofErr w:type="spellStart"/>
      <w:r w:rsidRPr="00D47138">
        <w:rPr>
          <w:rFonts w:ascii="Times New Roman" w:eastAsia="Times New Roman" w:hAnsi="Times New Roman" w:cs="Times New Roman"/>
          <w:color w:val="212529"/>
          <w:kern w:val="0"/>
          <w:sz w:val="24"/>
          <w:szCs w:val="24"/>
          <w14:ligatures w14:val="none"/>
        </w:rPr>
        <w:t>Zwijsen</w:t>
      </w:r>
      <w:proofErr w:type="spellEnd"/>
      <w:r w:rsidRPr="00D47138">
        <w:rPr>
          <w:rFonts w:ascii="Times New Roman" w:eastAsia="Times New Roman" w:hAnsi="Times New Roman" w:cs="Times New Roman"/>
          <w:color w:val="212529"/>
          <w:kern w:val="0"/>
          <w:sz w:val="24"/>
          <w:szCs w:val="24"/>
          <w14:ligatures w14:val="none"/>
        </w:rPr>
        <w:t xml:space="preserve">, S., </w:t>
      </w:r>
      <w:proofErr w:type="spellStart"/>
      <w:r w:rsidRPr="00D47138">
        <w:rPr>
          <w:rFonts w:ascii="Times New Roman" w:eastAsia="Times New Roman" w:hAnsi="Times New Roman" w:cs="Times New Roman"/>
          <w:color w:val="212529"/>
          <w:kern w:val="0"/>
          <w:sz w:val="24"/>
          <w:szCs w:val="24"/>
          <w14:ligatures w14:val="none"/>
        </w:rPr>
        <w:t>Niemeijer</w:t>
      </w:r>
      <w:proofErr w:type="spellEnd"/>
      <w:r w:rsidRPr="00D47138">
        <w:rPr>
          <w:rFonts w:ascii="Times New Roman" w:eastAsia="Times New Roman" w:hAnsi="Times New Roman" w:cs="Times New Roman"/>
          <w:color w:val="212529"/>
          <w:kern w:val="0"/>
          <w:sz w:val="24"/>
          <w:szCs w:val="24"/>
          <w14:ligatures w14:val="none"/>
        </w:rPr>
        <w:t>, A. and Hertogh, C. (2011) ‘Ethics of using assistive technology in the care for community-dwelling elderly people’, </w:t>
      </w:r>
      <w:r w:rsidRPr="00D47138">
        <w:rPr>
          <w:rFonts w:ascii="Times New Roman" w:eastAsia="Times New Roman" w:hAnsi="Times New Roman" w:cs="Times New Roman"/>
          <w:i/>
          <w:iCs/>
          <w:color w:val="212529"/>
          <w:kern w:val="0"/>
          <w:sz w:val="24"/>
          <w:szCs w:val="24"/>
          <w14:ligatures w14:val="none"/>
        </w:rPr>
        <w:t>Ageing and Mental Health, </w:t>
      </w:r>
      <w:r w:rsidRPr="00D47138">
        <w:rPr>
          <w:rFonts w:ascii="Times New Roman" w:eastAsia="Times New Roman" w:hAnsi="Times New Roman" w:cs="Times New Roman"/>
          <w:b/>
          <w:bCs/>
          <w:color w:val="212529"/>
          <w:kern w:val="0"/>
          <w:sz w:val="24"/>
          <w:szCs w:val="24"/>
          <w14:ligatures w14:val="none"/>
        </w:rPr>
        <w:t>15</w:t>
      </w:r>
      <w:r w:rsidRPr="00D47138">
        <w:rPr>
          <w:rFonts w:ascii="Times New Roman" w:eastAsia="Times New Roman" w:hAnsi="Times New Roman" w:cs="Times New Roman"/>
          <w:color w:val="212529"/>
          <w:kern w:val="0"/>
          <w:sz w:val="24"/>
          <w:szCs w:val="24"/>
          <w14:ligatures w14:val="none"/>
        </w:rPr>
        <w:t>(4), 419-427.</w:t>
      </w:r>
    </w:p>
    <w:p w14:paraId="797407DC" w14:textId="77777777" w:rsidR="00076096" w:rsidRPr="000118AF" w:rsidRDefault="00076096" w:rsidP="000118AF">
      <w:pPr>
        <w:spacing w:line="360" w:lineRule="auto"/>
        <w:jc w:val="both"/>
        <w:rPr>
          <w:rFonts w:ascii="Times New Roman" w:hAnsi="Times New Roman" w:cs="Times New Roman"/>
          <w:sz w:val="24"/>
          <w:szCs w:val="24"/>
        </w:rPr>
      </w:pPr>
    </w:p>
    <w:sectPr w:rsidR="00076096" w:rsidRPr="000118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451BC" w14:textId="77777777" w:rsidR="00E44777" w:rsidRDefault="00E44777" w:rsidP="00E44777">
      <w:pPr>
        <w:spacing w:after="0" w:line="240" w:lineRule="auto"/>
      </w:pPr>
      <w:r>
        <w:separator/>
      </w:r>
    </w:p>
  </w:endnote>
  <w:endnote w:type="continuationSeparator" w:id="0">
    <w:p w14:paraId="5A2AA1AC" w14:textId="77777777" w:rsidR="00E44777" w:rsidRDefault="00E44777" w:rsidP="00E44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F9E85" w14:textId="77777777" w:rsidR="00E44777" w:rsidRDefault="00E44777" w:rsidP="00E44777">
      <w:pPr>
        <w:spacing w:after="0" w:line="240" w:lineRule="auto"/>
      </w:pPr>
      <w:r>
        <w:separator/>
      </w:r>
    </w:p>
  </w:footnote>
  <w:footnote w:type="continuationSeparator" w:id="0">
    <w:p w14:paraId="26F9C972" w14:textId="77777777" w:rsidR="00E44777" w:rsidRDefault="00E44777" w:rsidP="00E44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38"/>
    <w:rsid w:val="000118AF"/>
    <w:rsid w:val="00076096"/>
    <w:rsid w:val="008C72A9"/>
    <w:rsid w:val="00D47138"/>
    <w:rsid w:val="00E447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D4911"/>
  <w15:chartTrackingRefBased/>
  <w15:docId w15:val="{697A1F88-B2AB-4F7A-91D8-98BCEA5FD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471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47138"/>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47138"/>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D4713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D47138"/>
    <w:rPr>
      <w:i/>
      <w:iCs/>
    </w:rPr>
  </w:style>
  <w:style w:type="character" w:styleId="Strong">
    <w:name w:val="Strong"/>
    <w:basedOn w:val="DefaultParagraphFont"/>
    <w:uiPriority w:val="22"/>
    <w:qFormat/>
    <w:rsid w:val="00D47138"/>
    <w:rPr>
      <w:b/>
      <w:bCs/>
    </w:rPr>
  </w:style>
  <w:style w:type="character" w:customStyle="1" w:styleId="Heading2Char">
    <w:name w:val="Heading 2 Char"/>
    <w:basedOn w:val="DefaultParagraphFont"/>
    <w:link w:val="Heading2"/>
    <w:uiPriority w:val="9"/>
    <w:semiHidden/>
    <w:rsid w:val="00D4713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44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777"/>
  </w:style>
  <w:style w:type="paragraph" w:styleId="Footer">
    <w:name w:val="footer"/>
    <w:basedOn w:val="Normal"/>
    <w:link w:val="FooterChar"/>
    <w:uiPriority w:val="99"/>
    <w:unhideWhenUsed/>
    <w:rsid w:val="00E44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658220">
      <w:bodyDiv w:val="1"/>
      <w:marLeft w:val="0"/>
      <w:marRight w:val="0"/>
      <w:marTop w:val="0"/>
      <w:marBottom w:val="0"/>
      <w:divBdr>
        <w:top w:val="none" w:sz="0" w:space="0" w:color="auto"/>
        <w:left w:val="none" w:sz="0" w:space="0" w:color="auto"/>
        <w:bottom w:val="none" w:sz="0" w:space="0" w:color="auto"/>
        <w:right w:val="none" w:sz="0" w:space="0" w:color="auto"/>
      </w:divBdr>
    </w:div>
    <w:div w:id="1011221719">
      <w:bodyDiv w:val="1"/>
      <w:marLeft w:val="0"/>
      <w:marRight w:val="0"/>
      <w:marTop w:val="0"/>
      <w:marBottom w:val="0"/>
      <w:divBdr>
        <w:top w:val="none" w:sz="0" w:space="0" w:color="auto"/>
        <w:left w:val="none" w:sz="0" w:space="0" w:color="auto"/>
        <w:bottom w:val="none" w:sz="0" w:space="0" w:color="auto"/>
        <w:right w:val="none" w:sz="0" w:space="0" w:color="auto"/>
      </w:divBdr>
    </w:div>
    <w:div w:id="1250119684">
      <w:bodyDiv w:val="1"/>
      <w:marLeft w:val="0"/>
      <w:marRight w:val="0"/>
      <w:marTop w:val="0"/>
      <w:marBottom w:val="0"/>
      <w:divBdr>
        <w:top w:val="none" w:sz="0" w:space="0" w:color="auto"/>
        <w:left w:val="none" w:sz="0" w:space="0" w:color="auto"/>
        <w:bottom w:val="none" w:sz="0" w:space="0" w:color="auto"/>
        <w:right w:val="none" w:sz="0" w:space="0" w:color="auto"/>
      </w:divBdr>
    </w:div>
    <w:div w:id="155846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150FE-5281-488D-B674-463A3D3E9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2383</Words>
  <Characters>13589</Characters>
  <Application>Microsoft Office Word</Application>
  <DocSecurity>0</DocSecurity>
  <Lines>113</Lines>
  <Paragraphs>31</Paragraphs>
  <ScaleCrop>false</ScaleCrop>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Laura Jenkins (IEH)</cp:lastModifiedBy>
  <cp:revision>4</cp:revision>
  <dcterms:created xsi:type="dcterms:W3CDTF">2023-09-12T07:56:00Z</dcterms:created>
  <dcterms:modified xsi:type="dcterms:W3CDTF">2023-09-12T10:41:00Z</dcterms:modified>
</cp:coreProperties>
</file>