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C01C8" w14:textId="77777777" w:rsidR="00C23D2D" w:rsidRPr="00C03A91" w:rsidRDefault="00C23D2D" w:rsidP="00C23D2D">
      <w:pPr>
        <w:rPr>
          <w:rFonts w:cs="Arial"/>
          <w:szCs w:val="24"/>
        </w:rPr>
      </w:pPr>
      <w:r w:rsidRPr="00C03A91">
        <w:rPr>
          <w:rFonts w:cs="Arial"/>
          <w:noProof/>
          <w:szCs w:val="24"/>
        </w:rPr>
        <w:drawing>
          <wp:anchor distT="0" distB="0" distL="114300" distR="114300" simplePos="0" relativeHeight="251659264" behindDoc="0" locked="0" layoutInCell="1" allowOverlap="1" wp14:anchorId="336E1BC5" wp14:editId="222C2A83">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9D411A" w14:textId="77777777" w:rsidR="00C23D2D" w:rsidRPr="00C03A91" w:rsidRDefault="00C23D2D" w:rsidP="00C23D2D">
      <w:pPr>
        <w:rPr>
          <w:rFonts w:cs="Arial"/>
          <w:szCs w:val="24"/>
        </w:rPr>
      </w:pPr>
    </w:p>
    <w:p w14:paraId="20D76E6B" w14:textId="77777777" w:rsidR="00C23D2D" w:rsidRPr="00C03A91" w:rsidRDefault="00C23D2D" w:rsidP="00C23D2D">
      <w:pPr>
        <w:rPr>
          <w:rFonts w:cs="Arial"/>
          <w:szCs w:val="24"/>
        </w:rPr>
      </w:pPr>
    </w:p>
    <w:p w14:paraId="03B3CEF9" w14:textId="217FD0B1" w:rsidR="00C23D2D" w:rsidRPr="00076AC0" w:rsidRDefault="00C23D2D" w:rsidP="00C23D2D">
      <w:pPr>
        <w:tabs>
          <w:tab w:val="left" w:pos="6540"/>
        </w:tabs>
        <w:rPr>
          <w:rFonts w:cs="Arial"/>
          <w:sz w:val="28"/>
          <w:szCs w:val="28"/>
          <w:lang w:val="nl-NL"/>
        </w:rPr>
      </w:pPr>
      <w:r w:rsidRPr="00076AC0">
        <w:rPr>
          <w:rFonts w:cs="Arial"/>
          <w:b/>
          <w:bCs/>
          <w:sz w:val="28"/>
          <w:szCs w:val="28"/>
          <w:lang w:val="nl-NL"/>
        </w:rPr>
        <w:t xml:space="preserve">Student </w:t>
      </w:r>
      <w:r>
        <w:rPr>
          <w:rFonts w:cs="Arial"/>
          <w:b/>
          <w:bCs/>
          <w:sz w:val="28"/>
          <w:szCs w:val="28"/>
          <w:lang w:val="nl-NL"/>
        </w:rPr>
        <w:t>N</w:t>
      </w:r>
      <w:r w:rsidRPr="00076AC0">
        <w:rPr>
          <w:rFonts w:cs="Arial"/>
          <w:b/>
          <w:bCs/>
          <w:sz w:val="28"/>
          <w:szCs w:val="28"/>
          <w:lang w:val="nl-NL"/>
        </w:rPr>
        <w:t>ame</w:t>
      </w:r>
      <w:r w:rsidRPr="00076AC0">
        <w:rPr>
          <w:rFonts w:cs="Arial"/>
          <w:sz w:val="28"/>
          <w:szCs w:val="28"/>
          <w:lang w:val="nl-NL"/>
        </w:rPr>
        <w:t>:</w:t>
      </w:r>
      <w:r>
        <w:rPr>
          <w:rFonts w:cs="Arial"/>
          <w:sz w:val="28"/>
          <w:szCs w:val="28"/>
          <w:lang w:val="nl-NL"/>
        </w:rPr>
        <w:t xml:space="preserve"> Francis </w:t>
      </w:r>
      <w:r w:rsidR="00F7789B">
        <w:rPr>
          <w:rFonts w:cs="Arial"/>
          <w:sz w:val="28"/>
          <w:szCs w:val="28"/>
          <w:lang w:val="nl-NL"/>
        </w:rPr>
        <w:t>Egbeonu</w:t>
      </w:r>
    </w:p>
    <w:p w14:paraId="2417E09A" w14:textId="55153F5D" w:rsidR="00C23D2D" w:rsidRPr="00076AC0" w:rsidRDefault="00C23D2D" w:rsidP="00C23D2D">
      <w:pPr>
        <w:tabs>
          <w:tab w:val="left" w:pos="6540"/>
        </w:tabs>
        <w:rPr>
          <w:rFonts w:cs="Arial"/>
          <w:sz w:val="28"/>
          <w:szCs w:val="28"/>
          <w:lang w:val="nl-NL"/>
        </w:rPr>
      </w:pPr>
      <w:r w:rsidRPr="00076AC0">
        <w:rPr>
          <w:rFonts w:cs="Arial"/>
          <w:b/>
          <w:bCs/>
          <w:sz w:val="28"/>
          <w:szCs w:val="28"/>
          <w:lang w:val="nl-NL"/>
        </w:rPr>
        <w:t>Student ID</w:t>
      </w:r>
      <w:r w:rsidRPr="00076AC0">
        <w:rPr>
          <w:rFonts w:cs="Arial"/>
          <w:sz w:val="28"/>
          <w:szCs w:val="28"/>
          <w:lang w:val="nl-NL"/>
        </w:rPr>
        <w:t>:</w:t>
      </w:r>
      <w:r w:rsidR="00F7789B">
        <w:rPr>
          <w:rFonts w:cs="Arial"/>
          <w:sz w:val="28"/>
          <w:szCs w:val="28"/>
          <w:lang w:val="nl-NL"/>
        </w:rPr>
        <w:t xml:space="preserve"> </w:t>
      </w:r>
      <w:r w:rsidR="00C851BF">
        <w:rPr>
          <w:rFonts w:cs="Arial"/>
          <w:sz w:val="28"/>
          <w:szCs w:val="28"/>
          <w:lang w:val="nl-NL"/>
        </w:rPr>
        <w:t>2438118</w:t>
      </w:r>
    </w:p>
    <w:p w14:paraId="43104BFC" w14:textId="77777777" w:rsidR="00C23D2D" w:rsidRPr="00076AC0" w:rsidRDefault="00C23D2D" w:rsidP="00C23D2D">
      <w:pPr>
        <w:tabs>
          <w:tab w:val="left" w:pos="6540"/>
        </w:tabs>
        <w:rPr>
          <w:rFonts w:cs="Arial"/>
          <w:sz w:val="28"/>
          <w:szCs w:val="28"/>
          <w:lang w:val="nl-NL"/>
        </w:rPr>
      </w:pPr>
      <w:r w:rsidRPr="00076AC0">
        <w:rPr>
          <w:rFonts w:cs="Arial"/>
          <w:b/>
          <w:bCs/>
          <w:sz w:val="28"/>
          <w:szCs w:val="28"/>
          <w:lang w:val="nl-NL"/>
        </w:rPr>
        <w:t xml:space="preserve">Module </w:t>
      </w:r>
      <w:r>
        <w:rPr>
          <w:rFonts w:cs="Arial"/>
          <w:b/>
          <w:bCs/>
          <w:sz w:val="28"/>
          <w:szCs w:val="28"/>
          <w:lang w:val="nl-NL"/>
        </w:rPr>
        <w:t>N</w:t>
      </w:r>
      <w:r w:rsidRPr="00076AC0">
        <w:rPr>
          <w:rFonts w:cs="Arial"/>
          <w:b/>
          <w:bCs/>
          <w:sz w:val="28"/>
          <w:szCs w:val="28"/>
          <w:lang w:val="nl-NL"/>
        </w:rPr>
        <w:t>ame</w:t>
      </w:r>
      <w:r w:rsidRPr="00076AC0">
        <w:rPr>
          <w:rFonts w:cs="Arial"/>
          <w:sz w:val="28"/>
          <w:szCs w:val="28"/>
          <w:lang w:val="nl-NL"/>
        </w:rPr>
        <w:t xml:space="preserve">: </w:t>
      </w:r>
      <w:r w:rsidRPr="00CA7D7A">
        <w:rPr>
          <w:rFonts w:cs="Arial"/>
          <w:sz w:val="28"/>
          <w:szCs w:val="28"/>
          <w:lang w:val="nl-NL"/>
        </w:rPr>
        <w:t>Principles of Health and Social Care Practice</w:t>
      </w:r>
    </w:p>
    <w:p w14:paraId="633FECCB" w14:textId="77777777" w:rsidR="00C23D2D" w:rsidRPr="00C03A91" w:rsidRDefault="00C23D2D" w:rsidP="00C23D2D">
      <w:pPr>
        <w:tabs>
          <w:tab w:val="left" w:pos="6540"/>
        </w:tabs>
        <w:rPr>
          <w:rFonts w:cs="Arial"/>
          <w:sz w:val="28"/>
          <w:szCs w:val="28"/>
        </w:rPr>
      </w:pPr>
      <w:r w:rsidRPr="00C03A91">
        <w:rPr>
          <w:rFonts w:cs="Arial"/>
          <w:b/>
          <w:bCs/>
          <w:sz w:val="28"/>
          <w:szCs w:val="28"/>
        </w:rPr>
        <w:t xml:space="preserve">Module </w:t>
      </w:r>
      <w:r>
        <w:rPr>
          <w:rFonts w:cs="Arial"/>
          <w:b/>
          <w:bCs/>
          <w:sz w:val="28"/>
          <w:szCs w:val="28"/>
        </w:rPr>
        <w:t>C</w:t>
      </w:r>
      <w:r w:rsidRPr="00C03A91">
        <w:rPr>
          <w:rFonts w:cs="Arial"/>
          <w:b/>
          <w:bCs/>
          <w:sz w:val="28"/>
          <w:szCs w:val="28"/>
        </w:rPr>
        <w:t>ode</w:t>
      </w:r>
      <w:r w:rsidRPr="00C03A91">
        <w:rPr>
          <w:rFonts w:cs="Arial"/>
          <w:sz w:val="28"/>
          <w:szCs w:val="28"/>
        </w:rPr>
        <w:t>:</w:t>
      </w:r>
      <w:r>
        <w:rPr>
          <w:rFonts w:cs="Arial"/>
          <w:sz w:val="28"/>
          <w:szCs w:val="28"/>
        </w:rPr>
        <w:t xml:space="preserve"> </w:t>
      </w:r>
      <w:r w:rsidRPr="0031778F">
        <w:rPr>
          <w:rFonts w:cs="Arial"/>
          <w:sz w:val="28"/>
          <w:szCs w:val="28"/>
        </w:rPr>
        <w:t>BMHP5016</w:t>
      </w:r>
    </w:p>
    <w:p w14:paraId="266C1751" w14:textId="33FF3C48" w:rsidR="00C23D2D" w:rsidRPr="00B24134" w:rsidRDefault="00C23D2D" w:rsidP="00C23D2D">
      <w:pPr>
        <w:tabs>
          <w:tab w:val="left" w:pos="6540"/>
        </w:tabs>
        <w:rPr>
          <w:rFonts w:cs="Arial"/>
          <w:sz w:val="28"/>
          <w:szCs w:val="28"/>
        </w:rPr>
      </w:pPr>
      <w:r w:rsidRPr="00C03A91">
        <w:rPr>
          <w:rFonts w:cs="Arial"/>
          <w:b/>
          <w:bCs/>
          <w:sz w:val="28"/>
          <w:szCs w:val="28"/>
        </w:rPr>
        <w:t xml:space="preserve">Lecturer </w:t>
      </w:r>
      <w:r>
        <w:rPr>
          <w:rFonts w:cs="Arial"/>
          <w:b/>
          <w:bCs/>
          <w:sz w:val="28"/>
          <w:szCs w:val="28"/>
        </w:rPr>
        <w:t>N</w:t>
      </w:r>
      <w:r w:rsidRPr="00C03A91">
        <w:rPr>
          <w:rFonts w:cs="Arial"/>
          <w:b/>
          <w:bCs/>
          <w:sz w:val="28"/>
          <w:szCs w:val="28"/>
        </w:rPr>
        <w:t>ame</w:t>
      </w:r>
      <w:r w:rsidRPr="00C03A91">
        <w:rPr>
          <w:rFonts w:cs="Arial"/>
          <w:sz w:val="28"/>
          <w:szCs w:val="28"/>
        </w:rPr>
        <w:t>:</w:t>
      </w:r>
      <w:r>
        <w:rPr>
          <w:rFonts w:cs="Arial"/>
          <w:sz w:val="28"/>
          <w:szCs w:val="28"/>
        </w:rPr>
        <w:t xml:space="preserve"> </w:t>
      </w:r>
      <w:r w:rsidR="00971B9F" w:rsidRPr="00971B9F">
        <w:rPr>
          <w:rFonts w:cs="Arial"/>
          <w:sz w:val="28"/>
          <w:szCs w:val="28"/>
        </w:rPr>
        <w:t xml:space="preserve">Dr </w:t>
      </w:r>
      <w:proofErr w:type="spellStart"/>
      <w:r w:rsidR="00971B9F" w:rsidRPr="00971B9F">
        <w:rPr>
          <w:rFonts w:cs="Arial"/>
          <w:sz w:val="28"/>
          <w:szCs w:val="28"/>
        </w:rPr>
        <w:t>Itse</w:t>
      </w:r>
      <w:proofErr w:type="spellEnd"/>
      <w:r w:rsidR="00971B9F" w:rsidRPr="00971B9F">
        <w:rPr>
          <w:rFonts w:cs="Arial"/>
          <w:sz w:val="28"/>
          <w:szCs w:val="28"/>
        </w:rPr>
        <w:t xml:space="preserve"> Olaoye</w:t>
      </w:r>
    </w:p>
    <w:p w14:paraId="4EE08F80" w14:textId="612B834C" w:rsidR="00315C87" w:rsidRDefault="00C23D2D" w:rsidP="00C23D2D">
      <w:pPr>
        <w:tabs>
          <w:tab w:val="left" w:pos="6540"/>
        </w:tabs>
        <w:rPr>
          <w:rFonts w:cs="Arial"/>
          <w:sz w:val="28"/>
          <w:szCs w:val="28"/>
        </w:rPr>
      </w:pPr>
      <w:r w:rsidRPr="00C03A91">
        <w:rPr>
          <w:rFonts w:cs="Arial"/>
          <w:b/>
          <w:bCs/>
          <w:sz w:val="28"/>
          <w:szCs w:val="28"/>
        </w:rPr>
        <w:t>Assessment:</w:t>
      </w:r>
      <w:r>
        <w:rPr>
          <w:rFonts w:cs="Arial"/>
          <w:b/>
          <w:bCs/>
          <w:sz w:val="28"/>
          <w:szCs w:val="28"/>
        </w:rPr>
        <w:t xml:space="preserve"> </w:t>
      </w:r>
      <w:r w:rsidRPr="0021374A">
        <w:rPr>
          <w:rFonts w:cs="Arial"/>
          <w:sz w:val="28"/>
          <w:szCs w:val="28"/>
        </w:rPr>
        <w:t>Component 1</w:t>
      </w:r>
    </w:p>
    <w:p w14:paraId="4D8271D1" w14:textId="77777777" w:rsidR="00C036A9" w:rsidRDefault="00C036A9" w:rsidP="00C23D2D">
      <w:pPr>
        <w:tabs>
          <w:tab w:val="left" w:pos="6540"/>
        </w:tabs>
        <w:rPr>
          <w:rFonts w:cs="Arial"/>
          <w:sz w:val="28"/>
          <w:szCs w:val="28"/>
        </w:rPr>
      </w:pPr>
    </w:p>
    <w:p w14:paraId="0374C617" w14:textId="77777777" w:rsidR="00C036A9" w:rsidRDefault="00C036A9" w:rsidP="00C23D2D">
      <w:pPr>
        <w:tabs>
          <w:tab w:val="left" w:pos="6540"/>
        </w:tabs>
        <w:rPr>
          <w:rFonts w:cs="Arial"/>
          <w:sz w:val="28"/>
          <w:szCs w:val="28"/>
        </w:rPr>
      </w:pPr>
    </w:p>
    <w:p w14:paraId="7CECBDF8" w14:textId="0C30E8D9" w:rsidR="00C036A9" w:rsidRDefault="00C036A9" w:rsidP="00C23D2D">
      <w:pPr>
        <w:tabs>
          <w:tab w:val="left" w:pos="6540"/>
        </w:tabs>
        <w:rPr>
          <w:rFonts w:cs="Arial"/>
          <w:sz w:val="28"/>
          <w:szCs w:val="28"/>
        </w:rPr>
      </w:pPr>
      <w:r>
        <w:rPr>
          <w:rFonts w:cs="Arial"/>
          <w:sz w:val="28"/>
          <w:szCs w:val="28"/>
        </w:rPr>
        <w:t>I CAN CONFIRM I HAVE NOT USED AI TO COMPLETE MY WORK.</w:t>
      </w:r>
    </w:p>
    <w:p w14:paraId="10348576" w14:textId="77777777" w:rsidR="00C036A9" w:rsidRDefault="00C036A9" w:rsidP="00C23D2D">
      <w:pPr>
        <w:tabs>
          <w:tab w:val="left" w:pos="6540"/>
        </w:tabs>
        <w:rPr>
          <w:rFonts w:cs="Arial"/>
          <w:sz w:val="28"/>
          <w:szCs w:val="28"/>
        </w:rPr>
      </w:pPr>
    </w:p>
    <w:p w14:paraId="323127BD" w14:textId="77777777" w:rsidR="00C036A9" w:rsidRDefault="00C036A9" w:rsidP="00C23D2D">
      <w:pPr>
        <w:tabs>
          <w:tab w:val="left" w:pos="6540"/>
        </w:tabs>
        <w:rPr>
          <w:rFonts w:cs="Arial"/>
          <w:sz w:val="28"/>
          <w:szCs w:val="28"/>
        </w:rPr>
      </w:pPr>
    </w:p>
    <w:p w14:paraId="5C9BADBD" w14:textId="77777777" w:rsidR="00C036A9" w:rsidRDefault="00C036A9" w:rsidP="00C23D2D">
      <w:pPr>
        <w:tabs>
          <w:tab w:val="left" w:pos="6540"/>
        </w:tabs>
        <w:rPr>
          <w:rFonts w:cs="Arial"/>
          <w:sz w:val="28"/>
          <w:szCs w:val="28"/>
        </w:rPr>
      </w:pPr>
    </w:p>
    <w:p w14:paraId="0BA81A3A" w14:textId="77777777" w:rsidR="00315C87" w:rsidRDefault="00315C87" w:rsidP="00C23D2D">
      <w:pPr>
        <w:tabs>
          <w:tab w:val="left" w:pos="6540"/>
        </w:tabs>
        <w:rPr>
          <w:rFonts w:cs="Arial"/>
          <w:sz w:val="28"/>
          <w:szCs w:val="28"/>
        </w:rPr>
      </w:pPr>
    </w:p>
    <w:p w14:paraId="0862FFD8" w14:textId="77777777" w:rsidR="00AD0441" w:rsidRDefault="00AD0441" w:rsidP="00C23D2D">
      <w:pPr>
        <w:tabs>
          <w:tab w:val="left" w:pos="6540"/>
        </w:tabs>
        <w:rPr>
          <w:rFonts w:cs="Arial"/>
          <w:sz w:val="28"/>
          <w:szCs w:val="28"/>
        </w:rPr>
      </w:pPr>
    </w:p>
    <w:p w14:paraId="189D7362" w14:textId="77777777" w:rsidR="00AD0441" w:rsidRDefault="00AD0441" w:rsidP="00C23D2D">
      <w:pPr>
        <w:tabs>
          <w:tab w:val="left" w:pos="6540"/>
        </w:tabs>
        <w:rPr>
          <w:rFonts w:cs="Arial"/>
          <w:sz w:val="28"/>
          <w:szCs w:val="28"/>
        </w:rPr>
      </w:pPr>
    </w:p>
    <w:p w14:paraId="093E4E58" w14:textId="77777777" w:rsidR="00AD0441" w:rsidRDefault="00AD0441" w:rsidP="00C23D2D">
      <w:pPr>
        <w:tabs>
          <w:tab w:val="left" w:pos="6540"/>
        </w:tabs>
        <w:rPr>
          <w:rFonts w:cs="Arial"/>
          <w:sz w:val="28"/>
          <w:szCs w:val="28"/>
        </w:rPr>
      </w:pPr>
    </w:p>
    <w:p w14:paraId="3C573781" w14:textId="77777777" w:rsidR="00AD0441" w:rsidRDefault="00AD0441" w:rsidP="00C23D2D">
      <w:pPr>
        <w:tabs>
          <w:tab w:val="left" w:pos="6540"/>
        </w:tabs>
        <w:rPr>
          <w:rFonts w:cs="Arial"/>
          <w:sz w:val="28"/>
          <w:szCs w:val="28"/>
        </w:rPr>
      </w:pPr>
    </w:p>
    <w:p w14:paraId="46DC08F1" w14:textId="4DB84B4F" w:rsidR="005F7DB3" w:rsidRPr="00C851BF" w:rsidRDefault="005F7DB3" w:rsidP="00C23D2D">
      <w:pPr>
        <w:tabs>
          <w:tab w:val="left" w:pos="6540"/>
        </w:tabs>
        <w:rPr>
          <w:rFonts w:cs="Arial"/>
          <w:sz w:val="28"/>
          <w:szCs w:val="28"/>
        </w:rPr>
      </w:pPr>
    </w:p>
    <w:p w14:paraId="0A9B4E56" w14:textId="77777777" w:rsidR="00C23D2D" w:rsidRDefault="00C23D2D" w:rsidP="00C23D2D">
      <w:pPr>
        <w:pStyle w:val="Heading1"/>
      </w:pPr>
      <w:r w:rsidRPr="00C03A91">
        <w:rPr>
          <w:szCs w:val="28"/>
        </w:rPr>
        <w:br w:type="page"/>
      </w:r>
    </w:p>
    <w:p w14:paraId="0318ED2C" w14:textId="77777777" w:rsidR="00C23D2D" w:rsidRDefault="00C23D2D" w:rsidP="00C23D2D">
      <w:pPr>
        <w:spacing w:before="0" w:beforeAutospacing="0" w:after="160" w:afterAutospacing="0" w:line="259" w:lineRule="auto"/>
      </w:pPr>
      <w:r>
        <w:lastRenderedPageBreak/>
        <w:br w:type="page"/>
      </w:r>
    </w:p>
    <w:bookmarkStart w:id="0" w:name="_Toc235117144" w:displacedByCustomXml="next"/>
    <w:sdt>
      <w:sdtPr>
        <w:rPr>
          <w:b/>
        </w:rPr>
        <w:id w:val="1980723888"/>
        <w:docPartObj>
          <w:docPartGallery w:val="Table of Contents"/>
          <w:docPartUnique/>
        </w:docPartObj>
      </w:sdtPr>
      <w:sdtEndPr>
        <w:rPr>
          <w:b w:val="0"/>
          <w:bCs/>
          <w:noProof/>
        </w:rPr>
      </w:sdtEndPr>
      <w:sdtContent>
        <w:p w14:paraId="6E4F5FBD" w14:textId="16D4A71F" w:rsidR="00C23D2D" w:rsidRDefault="00C23D2D" w:rsidP="00315C87">
          <w:r>
            <w:t>Table of Contents</w:t>
          </w:r>
          <w:bookmarkEnd w:id="0"/>
        </w:p>
        <w:p w14:paraId="7618BCB0" w14:textId="77777777" w:rsidR="00C23D2D" w:rsidRDefault="00C23D2D" w:rsidP="00C23D2D">
          <w:pPr>
            <w:pStyle w:val="TOC1"/>
            <w:tabs>
              <w:tab w:val="right" w:leader="dot" w:pos="9016"/>
            </w:tabs>
            <w:rPr>
              <w:rFonts w:asciiTheme="minorHAnsi" w:eastAsiaTheme="minorEastAsia" w:hAnsiTheme="minorHAnsi"/>
              <w:noProof/>
              <w:kern w:val="2"/>
              <w:sz w:val="24"/>
              <w:szCs w:val="24"/>
              <w:lang w:val="en-US"/>
              <w14:ligatures w14:val="standardContextual"/>
            </w:rPr>
          </w:pPr>
          <w:r>
            <w:fldChar w:fldCharType="begin"/>
          </w:r>
          <w:r>
            <w:instrText xml:space="preserve"> TOC \o "1-3" \h \z \u </w:instrText>
          </w:r>
          <w:r>
            <w:fldChar w:fldCharType="separate"/>
          </w:r>
          <w:hyperlink w:anchor="_Toc235117144" w:history="1">
            <w:r w:rsidRPr="00476886">
              <w:rPr>
                <w:rStyle w:val="Hyperlink"/>
                <w:noProof/>
              </w:rPr>
              <w:t>Table of Contents</w:t>
            </w:r>
            <w:r>
              <w:rPr>
                <w:noProof/>
                <w:webHidden/>
              </w:rPr>
              <w:tab/>
            </w:r>
            <w:r>
              <w:rPr>
                <w:noProof/>
                <w:webHidden/>
              </w:rPr>
              <w:fldChar w:fldCharType="begin"/>
            </w:r>
            <w:r>
              <w:rPr>
                <w:noProof/>
                <w:webHidden/>
              </w:rPr>
              <w:instrText xml:space="preserve"> PAGEREF _Toc235117144 \h </w:instrText>
            </w:r>
            <w:r>
              <w:rPr>
                <w:noProof/>
                <w:webHidden/>
              </w:rPr>
            </w:r>
            <w:r>
              <w:rPr>
                <w:noProof/>
                <w:webHidden/>
              </w:rPr>
              <w:fldChar w:fldCharType="separate"/>
            </w:r>
            <w:r>
              <w:rPr>
                <w:noProof/>
                <w:webHidden/>
              </w:rPr>
              <w:t>3</w:t>
            </w:r>
            <w:r>
              <w:rPr>
                <w:noProof/>
                <w:webHidden/>
              </w:rPr>
              <w:fldChar w:fldCharType="end"/>
            </w:r>
          </w:hyperlink>
        </w:p>
        <w:p w14:paraId="2E0B936A" w14:textId="77777777" w:rsidR="00C23D2D" w:rsidRDefault="00C23D2D" w:rsidP="00C23D2D">
          <w:pPr>
            <w:pStyle w:val="TOC1"/>
            <w:tabs>
              <w:tab w:val="right" w:leader="dot" w:pos="9016"/>
            </w:tabs>
            <w:rPr>
              <w:rFonts w:asciiTheme="minorHAnsi" w:eastAsiaTheme="minorEastAsia" w:hAnsiTheme="minorHAnsi"/>
              <w:noProof/>
              <w:kern w:val="2"/>
              <w:sz w:val="24"/>
              <w:szCs w:val="24"/>
              <w:lang w:val="en-US"/>
              <w14:ligatures w14:val="standardContextual"/>
            </w:rPr>
          </w:pPr>
          <w:hyperlink w:anchor="_Toc235117145" w:history="1">
            <w:r w:rsidRPr="00476886">
              <w:rPr>
                <w:rStyle w:val="Hyperlink"/>
                <w:noProof/>
              </w:rPr>
              <w:t>Task 1: Reflection on the Importance of Principles of Health and Social Care</w:t>
            </w:r>
            <w:r>
              <w:rPr>
                <w:noProof/>
                <w:webHidden/>
              </w:rPr>
              <w:tab/>
            </w:r>
            <w:r>
              <w:rPr>
                <w:noProof/>
                <w:webHidden/>
              </w:rPr>
              <w:fldChar w:fldCharType="begin"/>
            </w:r>
            <w:r>
              <w:rPr>
                <w:noProof/>
                <w:webHidden/>
              </w:rPr>
              <w:instrText xml:space="preserve"> PAGEREF _Toc235117145 \h </w:instrText>
            </w:r>
            <w:r>
              <w:rPr>
                <w:noProof/>
                <w:webHidden/>
              </w:rPr>
            </w:r>
            <w:r>
              <w:rPr>
                <w:noProof/>
                <w:webHidden/>
              </w:rPr>
              <w:fldChar w:fldCharType="separate"/>
            </w:r>
            <w:r>
              <w:rPr>
                <w:noProof/>
                <w:webHidden/>
              </w:rPr>
              <w:t>4</w:t>
            </w:r>
            <w:r>
              <w:rPr>
                <w:noProof/>
                <w:webHidden/>
              </w:rPr>
              <w:fldChar w:fldCharType="end"/>
            </w:r>
          </w:hyperlink>
        </w:p>
        <w:p w14:paraId="0D231D81" w14:textId="77777777" w:rsidR="00C23D2D" w:rsidRDefault="00C23D2D" w:rsidP="00C23D2D">
          <w:pPr>
            <w:pStyle w:val="TOC1"/>
            <w:tabs>
              <w:tab w:val="right" w:leader="dot" w:pos="9016"/>
            </w:tabs>
            <w:rPr>
              <w:rFonts w:asciiTheme="minorHAnsi" w:eastAsiaTheme="minorEastAsia" w:hAnsiTheme="minorHAnsi"/>
              <w:noProof/>
              <w:kern w:val="2"/>
              <w:sz w:val="24"/>
              <w:szCs w:val="24"/>
              <w:lang w:val="en-US"/>
              <w14:ligatures w14:val="standardContextual"/>
            </w:rPr>
          </w:pPr>
          <w:hyperlink w:anchor="_Toc235117146" w:history="1">
            <w:r w:rsidRPr="00476886">
              <w:rPr>
                <w:rStyle w:val="Hyperlink"/>
                <w:noProof/>
              </w:rPr>
              <w:t>Task 2: Practical Examples of Concepts in Practice</w:t>
            </w:r>
            <w:r>
              <w:rPr>
                <w:noProof/>
                <w:webHidden/>
              </w:rPr>
              <w:tab/>
            </w:r>
            <w:r>
              <w:rPr>
                <w:noProof/>
                <w:webHidden/>
              </w:rPr>
              <w:fldChar w:fldCharType="begin"/>
            </w:r>
            <w:r>
              <w:rPr>
                <w:noProof/>
                <w:webHidden/>
              </w:rPr>
              <w:instrText xml:space="preserve"> PAGEREF _Toc235117146 \h </w:instrText>
            </w:r>
            <w:r>
              <w:rPr>
                <w:noProof/>
                <w:webHidden/>
              </w:rPr>
            </w:r>
            <w:r>
              <w:rPr>
                <w:noProof/>
                <w:webHidden/>
              </w:rPr>
              <w:fldChar w:fldCharType="separate"/>
            </w:r>
            <w:r>
              <w:rPr>
                <w:noProof/>
                <w:webHidden/>
              </w:rPr>
              <w:t>5</w:t>
            </w:r>
            <w:r>
              <w:rPr>
                <w:noProof/>
                <w:webHidden/>
              </w:rPr>
              <w:fldChar w:fldCharType="end"/>
            </w:r>
          </w:hyperlink>
        </w:p>
        <w:p w14:paraId="172FA918" w14:textId="77777777" w:rsidR="00C23D2D" w:rsidRDefault="00C23D2D" w:rsidP="00C23D2D">
          <w:pPr>
            <w:pStyle w:val="TOC1"/>
            <w:tabs>
              <w:tab w:val="right" w:leader="dot" w:pos="9016"/>
            </w:tabs>
            <w:rPr>
              <w:rFonts w:asciiTheme="minorHAnsi" w:eastAsiaTheme="minorEastAsia" w:hAnsiTheme="minorHAnsi"/>
              <w:noProof/>
              <w:kern w:val="2"/>
              <w:sz w:val="24"/>
              <w:szCs w:val="24"/>
              <w:lang w:val="en-US"/>
              <w14:ligatures w14:val="standardContextual"/>
            </w:rPr>
          </w:pPr>
          <w:hyperlink w:anchor="_Toc235117147" w:history="1">
            <w:r w:rsidRPr="00476886">
              <w:rPr>
                <w:rStyle w:val="Hyperlink"/>
                <w:noProof/>
              </w:rPr>
              <w:t>Task 3: Self-Reflection as a Health and Social Care Professional</w:t>
            </w:r>
            <w:r>
              <w:rPr>
                <w:noProof/>
                <w:webHidden/>
              </w:rPr>
              <w:tab/>
            </w:r>
            <w:r>
              <w:rPr>
                <w:noProof/>
                <w:webHidden/>
              </w:rPr>
              <w:fldChar w:fldCharType="begin"/>
            </w:r>
            <w:r>
              <w:rPr>
                <w:noProof/>
                <w:webHidden/>
              </w:rPr>
              <w:instrText xml:space="preserve"> PAGEREF _Toc235117147 \h </w:instrText>
            </w:r>
            <w:r>
              <w:rPr>
                <w:noProof/>
                <w:webHidden/>
              </w:rPr>
            </w:r>
            <w:r>
              <w:rPr>
                <w:noProof/>
                <w:webHidden/>
              </w:rPr>
              <w:fldChar w:fldCharType="separate"/>
            </w:r>
            <w:r>
              <w:rPr>
                <w:noProof/>
                <w:webHidden/>
              </w:rPr>
              <w:t>6</w:t>
            </w:r>
            <w:r>
              <w:rPr>
                <w:noProof/>
                <w:webHidden/>
              </w:rPr>
              <w:fldChar w:fldCharType="end"/>
            </w:r>
          </w:hyperlink>
        </w:p>
        <w:p w14:paraId="1A76BF49" w14:textId="77777777" w:rsidR="00C23D2D" w:rsidRDefault="00C23D2D" w:rsidP="00C23D2D">
          <w:pPr>
            <w:pStyle w:val="TOC1"/>
            <w:tabs>
              <w:tab w:val="right" w:leader="dot" w:pos="9016"/>
            </w:tabs>
            <w:rPr>
              <w:rFonts w:asciiTheme="minorHAnsi" w:eastAsiaTheme="minorEastAsia" w:hAnsiTheme="minorHAnsi"/>
              <w:noProof/>
              <w:kern w:val="2"/>
              <w:sz w:val="24"/>
              <w:szCs w:val="24"/>
              <w:lang w:val="en-US"/>
              <w14:ligatures w14:val="standardContextual"/>
            </w:rPr>
          </w:pPr>
          <w:hyperlink w:anchor="_Toc235117148" w:history="1">
            <w:r w:rsidRPr="00476886">
              <w:rPr>
                <w:rStyle w:val="Hyperlink"/>
                <w:noProof/>
              </w:rPr>
              <w:t>Reference List</w:t>
            </w:r>
            <w:r>
              <w:rPr>
                <w:noProof/>
                <w:webHidden/>
              </w:rPr>
              <w:tab/>
            </w:r>
            <w:r>
              <w:rPr>
                <w:noProof/>
                <w:webHidden/>
              </w:rPr>
              <w:fldChar w:fldCharType="begin"/>
            </w:r>
            <w:r>
              <w:rPr>
                <w:noProof/>
                <w:webHidden/>
              </w:rPr>
              <w:instrText xml:space="preserve"> PAGEREF _Toc235117148 \h </w:instrText>
            </w:r>
            <w:r>
              <w:rPr>
                <w:noProof/>
                <w:webHidden/>
              </w:rPr>
            </w:r>
            <w:r>
              <w:rPr>
                <w:noProof/>
                <w:webHidden/>
              </w:rPr>
              <w:fldChar w:fldCharType="separate"/>
            </w:r>
            <w:r>
              <w:rPr>
                <w:noProof/>
                <w:webHidden/>
              </w:rPr>
              <w:t>10</w:t>
            </w:r>
            <w:r>
              <w:rPr>
                <w:noProof/>
                <w:webHidden/>
              </w:rPr>
              <w:fldChar w:fldCharType="end"/>
            </w:r>
          </w:hyperlink>
        </w:p>
        <w:p w14:paraId="58950485" w14:textId="77777777" w:rsidR="00C23D2D" w:rsidRDefault="00C23D2D" w:rsidP="00C23D2D">
          <w:r>
            <w:rPr>
              <w:b/>
              <w:bCs/>
              <w:noProof/>
            </w:rPr>
            <w:fldChar w:fldCharType="end"/>
          </w:r>
        </w:p>
      </w:sdtContent>
    </w:sdt>
    <w:p w14:paraId="67DB5A93" w14:textId="77777777" w:rsidR="00C23D2D" w:rsidRDefault="00C23D2D" w:rsidP="00C23D2D">
      <w:pPr>
        <w:spacing w:before="0" w:beforeAutospacing="0" w:after="160" w:afterAutospacing="0" w:line="259" w:lineRule="auto"/>
      </w:pPr>
      <w:r>
        <w:br w:type="page"/>
      </w:r>
    </w:p>
    <w:p w14:paraId="652EA7B2" w14:textId="77777777" w:rsidR="00C23D2D" w:rsidRDefault="00C23D2D" w:rsidP="00C23D2D">
      <w:pPr>
        <w:pStyle w:val="Heading1"/>
      </w:pPr>
      <w:bookmarkStart w:id="1" w:name="_Toc235117145"/>
      <w:r w:rsidRPr="009027CB">
        <w:lastRenderedPageBreak/>
        <w:t>Task 1: Reflection on the Importance of Principles of Health and Social Care</w:t>
      </w:r>
      <w:bookmarkEnd w:id="1"/>
    </w:p>
    <w:p w14:paraId="49E43FE4" w14:textId="77777777" w:rsidR="00C23D2D" w:rsidRDefault="00C23D2D" w:rsidP="00C23D2D">
      <w:r>
        <w:t>In the United Kingdom (UK), person-centred care is now accepted as a fundamental element of health and social care practice (Health Education England [HEE], 2017). It is characterised as a strategy that involves the individual at the core of decision-making, so that care is adapted to their specific requirements, choices, values, and life circumstances (Health Foundation, 2014). According to Khatri et al. (2023), some core features include respect for autonomy, collaborative goal-setting, and holistic assessment. Person-centred care is well established as a quality practice that fosters dignity, increases satisfaction, and supports improved health outcomes. Coulter and Oldham (2016) opined that when people feel heard and involved in their care, they are more likely to engage positively with therapies and experience greater well-being. The importance of Maslow’s Hierarchy of Needs is clear here, as person-centred care enables individuals to meet physiological, emotional, and self-actualisation needs through tailored support (Maslow, 1943). In the end, person-centred care results in improved outcomes by promoting trust, minimising fear and tailoring interventions to what matters most to the individual.</w:t>
      </w:r>
    </w:p>
    <w:p w14:paraId="5473DAB4" w14:textId="77777777" w:rsidR="00C23D2D" w:rsidRDefault="00C23D2D" w:rsidP="00C23D2D">
      <w:r>
        <w:t xml:space="preserve">Partnership working is another key factor contributing to the safe, efficient and timely delivery of high-quality health and social care. Effective care does not happen in isolation; rather, it is founded on and established through teamwork and collaboration among all relevant stakeholders (Owen </w:t>
      </w:r>
      <w:r w:rsidRPr="00633192">
        <w:rPr>
          <w:i/>
          <w:iCs/>
        </w:rPr>
        <w:t>et al.,</w:t>
      </w:r>
      <w:r>
        <w:t xml:space="preserve"> 2026). Glasby and Dickinson (2014) further explained how this approach reflects the collective efforts of professionals, agencies and service users to achieve shared goals and provide integrated support. The primary goal is to ensure that complex needs are met through integrated practice rather than fragmented services. For example, a range of specialists, such as nurses, social workers, occupational therapists, and community organisations, work in partnership to provide coordinated care, which is essential for addressing the needs of people accessing these services. When people work together effectively, there is less duplication, better communication, and continuity of care, with service users having more seamless experiences, greater safety, and better access to suitable services (Rosen </w:t>
      </w:r>
      <w:r w:rsidRPr="00A82CB4">
        <w:rPr>
          <w:i/>
          <w:iCs/>
        </w:rPr>
        <w:t>et al.,</w:t>
      </w:r>
      <w:r>
        <w:t xml:space="preserve"> 2018). It helps health and social care professionals learn together, define role boundaries, and use resources more efficiently. The theory of multi-agency collaboration further stresses the advantages of organisations working together, including the ability to share expertise, overcome systemic barriers, and respond to varied demands more effectively (Horwath and Morrison, 2011).</w:t>
      </w:r>
    </w:p>
    <w:p w14:paraId="7B9A132A" w14:textId="77777777" w:rsidR="00C23D2D" w:rsidRDefault="00C23D2D" w:rsidP="00C23D2D">
      <w:r>
        <w:lastRenderedPageBreak/>
        <w:t xml:space="preserve">Ethics plays a vital role in ensuring safe, equitable, and effective health and social care delivery. Ethical practice is guided by the principles of autonomy, beneficence, nonmaleficence, justice, and secrecy (Beauchamp and Childress, 2019). These principles help professionals behave in ways that respect people's rights, enhance welfare, avoid harm, and treat people fairly. Ethical decision-making is critical to sustaining trust and accountability, especially when professionals face issues related to consent, safeguarding, or resource allocation (Robson </w:t>
      </w:r>
      <w:r w:rsidRPr="00A82CB4">
        <w:rPr>
          <w:i/>
          <w:iCs/>
        </w:rPr>
        <w:t>et al.,</w:t>
      </w:r>
      <w:r>
        <w:t xml:space="preserve"> 2019). Professional codes of conduct, such as those of the Nursing and Midwifery Council (NMC, 2018) and the Health and Care Professions Council (HCPC, 2023), further support these ethical expectations by detailing norms of behaviour, confidentiality, respect, and professional integrity.</w:t>
      </w:r>
    </w:p>
    <w:p w14:paraId="60DE220D" w14:textId="77777777" w:rsidR="00C23D2D" w:rsidRDefault="00C23D2D" w:rsidP="00C23D2D">
      <w:r>
        <w:t xml:space="preserve">In summary, person-centred care, partnership working, and ethics offer a coherent framework for supporting high-quality care in the UK health and social care context. </w:t>
      </w:r>
    </w:p>
    <w:p w14:paraId="44CD26DD" w14:textId="77777777" w:rsidR="00C23D2D" w:rsidRDefault="00C23D2D" w:rsidP="00C23D2D">
      <w:pPr>
        <w:pStyle w:val="Heading1"/>
      </w:pPr>
      <w:bookmarkStart w:id="2" w:name="_Toc235117146"/>
      <w:r w:rsidRPr="00B3740B">
        <w:t>Task 2: Practical Examples of Concepts in Practice</w:t>
      </w:r>
      <w:bookmarkEnd w:id="2"/>
    </w:p>
    <w:p w14:paraId="0D58B378" w14:textId="77777777" w:rsidR="00C23D2D" w:rsidRDefault="00C23D2D" w:rsidP="00C23D2D">
      <w:r>
        <w:t xml:space="preserve">A useful example of how person-centred care, collaborative working, and ethical practice operate within a UK health and social care context can be gleaned from a community-based transition service supporting older individuals after hospital discharge. Reablement services aim to help people restore their independence through short-term, intensive support from multidisciplinary teams (Clotworthy </w:t>
      </w:r>
      <w:r w:rsidRPr="00B74CFF">
        <w:rPr>
          <w:i/>
          <w:iCs/>
        </w:rPr>
        <w:t>et al.,</w:t>
      </w:r>
      <w:r>
        <w:t xml:space="preserve"> 2021). These services are common to local authorities and operate under the Care Act 2014, which focuses on wellbeing and on preventive and personalised assistance (Social Care Institute for Excellence [SCIE], 2020).</w:t>
      </w:r>
    </w:p>
    <w:p w14:paraId="1EE9CB80" w14:textId="77777777" w:rsidR="00C23D2D" w:rsidRDefault="00C23D2D" w:rsidP="00C23D2D">
      <w:r>
        <w:t xml:space="preserve">In one case, an older adult who had suffered a fall was referred to reablement upon discharge from an NHS unit. Staff began with a holistic examination that explored the person’s physical needs, emotional well-being, daily routines, cultural preferences, and personal aspirations. This approach aligned with the fundamental principles of person-centred care, which focus on understanding the individual's lived experience and adapting interventions accordingly (Lefurgey </w:t>
      </w:r>
      <w:r w:rsidRPr="00852908">
        <w:rPr>
          <w:i/>
          <w:iCs/>
        </w:rPr>
        <w:t>et al.,</w:t>
      </w:r>
      <w:r>
        <w:t xml:space="preserve"> 2025). The service user expressed a desire to return to cooking on her own, a meaningful activity for her identity, autonomy, and satisfaction. Staff consequently developed a personalised plan that includes physiotherapy exercises to increase mobility, occupational therapy sessions on culinary safety, and gradual confidence-building activities. The effect was profound, resulting in increased self-motivation, less anxiety, and a sense of dignity as control over daily life returned. This is consistent with </w:t>
      </w:r>
      <w:r>
        <w:lastRenderedPageBreak/>
        <w:t xml:space="preserve">findings that person-centred approaches increase engagement and improve functional outcomes (Santana </w:t>
      </w:r>
      <w:r w:rsidRPr="00DC5DCE">
        <w:rPr>
          <w:i/>
          <w:iCs/>
        </w:rPr>
        <w:t>et al.,</w:t>
      </w:r>
      <w:r>
        <w:t xml:space="preserve"> 2018).</w:t>
      </w:r>
    </w:p>
    <w:p w14:paraId="0A30BD3A" w14:textId="77777777" w:rsidR="00C23D2D" w:rsidRDefault="00C23D2D" w:rsidP="00C23D2D">
      <w:r>
        <w:t>The success of this intervention was based on partnership working as evidenced by the reablement team working closely with hospital discharge co-ordinators, physiotherapists, occupational therapists, social workers and the person’s GP. In this case, regular multidisciplinary team meetings facilitated information sharing, risk monitoring, and goal alignment. As Glasby and Dickinson (2014) state, integrated working reduces fragmentation and increases the continuity of treatment, as was apparent in this scenario. Interventions were practical, safe, and responsive to changing requirements through shared decision-making between the professional and service user. Collaboration also allowed for timely modifications, such as increased physiotherapy input when mobility plateaued. This collaborative approach ultimately enhanced the individual’s recovery trajectory and decreased the likelihood of readmission.</w:t>
      </w:r>
    </w:p>
    <w:p w14:paraId="0AD817BD" w14:textId="77777777" w:rsidR="00C23D2D" w:rsidRDefault="00C23D2D" w:rsidP="00C23D2D">
      <w:r>
        <w:t>Ethical practice was also a consideration, as staff noticed the person occasionally failed to use their walking aid, raising safety concerns and creating a dilemma. The team had to reconcile the individual’s right to independence with non-maleficence, to prevent harm while also allowing autonomy (Varkey, 2020). Based on the principles of beneficence and respect for autonomy, staff worked with the service user to have open conversations about risk, understand the individual’s preferences, and agree on solutions, such as environmental adjustments and reminder prompts (Beauchamp and Childress, 2019). Confidentiality was always maintained, and decisions were recorded in accordance with professional codes of conduct. In the end, the result was positive, with the individual feeling respected and being involved, and potential risks managed without the loss of independence.</w:t>
      </w:r>
    </w:p>
    <w:p w14:paraId="1F1373F2" w14:textId="77777777" w:rsidR="00C23D2D" w:rsidRDefault="00C23D2D" w:rsidP="00C23D2D">
      <w:r>
        <w:t xml:space="preserve">This example highlights crucial UK policies, including how the care intervention was informed by the Care Act (2014), which prioritises wellbeing, preventive care, and individualised treatment. The Health and Care Act (2022) </w:t>
      </w:r>
      <w:proofErr w:type="gramStart"/>
      <w:r>
        <w:t>strengthens</w:t>
      </w:r>
      <w:proofErr w:type="gramEnd"/>
      <w:r>
        <w:t xml:space="preserve"> integrated working across health and social care and supports the multidisciplinary teamwork demonstrated in the case. NICE (2025) recommendations on falls and reablement also emphasise the significance of person-centred assessment, risk management and coordinated care.</w:t>
      </w:r>
    </w:p>
    <w:p w14:paraId="4853CCED" w14:textId="77777777" w:rsidR="00C23D2D" w:rsidRDefault="00C23D2D" w:rsidP="00C23D2D">
      <w:pPr>
        <w:pStyle w:val="Heading1"/>
      </w:pPr>
      <w:bookmarkStart w:id="3" w:name="_Toc235117147"/>
      <w:r w:rsidRPr="00811BA5">
        <w:lastRenderedPageBreak/>
        <w:t>Task 3: Self-Reflection as a Health and Social Care Professional</w:t>
      </w:r>
      <w:bookmarkEnd w:id="3"/>
    </w:p>
    <w:p w14:paraId="51E97AE9" w14:textId="77777777" w:rsidR="00C23D2D" w:rsidRDefault="00C23D2D" w:rsidP="00C23D2D">
      <w:r>
        <w:t>The concepts of person-centred care, partnership working, and ethical practice are at the heart of practically every interaction I have with service users in my day-to-day practice as a health and social care professional (Glasby and Dickinson, 2014; Coulter and Oldham, 2016). Person</w:t>
      </w:r>
      <w:r>
        <w:rPr>
          <w:rFonts w:ascii="Cambria Math" w:hAnsi="Cambria Math" w:cs="Cambria Math"/>
        </w:rPr>
        <w:t>‑</w:t>
      </w:r>
      <w:r>
        <w:t xml:space="preserve">centred care forms the foundation of my approach, which I have learned to apply as a framework to see each person as a person, with their own preferences, history, values and aspirations, not as a set of symptoms or a diagnosis (Heggdal </w:t>
      </w:r>
      <w:r w:rsidRPr="00053D0B">
        <w:rPr>
          <w:i/>
          <w:iCs/>
        </w:rPr>
        <w:t>et al.,</w:t>
      </w:r>
      <w:r>
        <w:t xml:space="preserve"> 2021). This concept aligns with the general literature, which holds that person-centred care means seeing the person beyond their condition and helping them live a life that is important to them (Coulter and Oldham, 2016). In practice, this involves spending time listening attentively, asking open-ended questions, and helping others to communicate what matters most to them. For example, while helping an older adult with mobility issues, I should not presume that their primary goal is physical improvement. Instead, I explore activities that give people purpose, such as gardening, attending peer-group social events, or attending religious services, and I develop care interventions to help people accomplish these goals. This approach is also in line with the Care Act (2014), which places well-being, autonomy and prevention at the heart of professional practice.</w:t>
      </w:r>
    </w:p>
    <w:p w14:paraId="051D1C2F" w14:textId="77777777" w:rsidR="00C23D2D" w:rsidRDefault="00C23D2D" w:rsidP="00C23D2D">
      <w:r>
        <w:t>Partnership working is also key to my career, as people with complex needs often need input from a range of specialists and agencies (Davies, 2016). I acknowledge that no single practitioner can meet all the needs of a service user, and that collaborative working is therefore vital. During my placement, I worked in multidisciplinary teams, bringing my professional perspective, sharing knowledge appropriately, and appreciating others' expertise. I believe that good communication is very important, and I try to communicate clearly and listen actively so that the voices of service users remain central to the debate (</w:t>
      </w:r>
      <w:proofErr w:type="spellStart"/>
      <w:r>
        <w:t>Sharkiya</w:t>
      </w:r>
      <w:proofErr w:type="spellEnd"/>
      <w:r>
        <w:t xml:space="preserve">, 2023). One of my strengths in partnership working is my ability to build relationships with colleagues from diverse disciplines immediately. I feel confident initiating discussions, explaining duties, and coordinating chores to ensure continuity of care. I believe in shared decision-making, as it enables us to pool information and provide more holistic assistance (Perron </w:t>
      </w:r>
      <w:r w:rsidRPr="00053D0B">
        <w:rPr>
          <w:i/>
          <w:iCs/>
        </w:rPr>
        <w:t>et al.,</w:t>
      </w:r>
      <w:r>
        <w:t xml:space="preserve"> 2024).</w:t>
      </w:r>
    </w:p>
    <w:p w14:paraId="48CEDAE4" w14:textId="77777777" w:rsidR="00C23D2D" w:rsidRDefault="00C23D2D" w:rsidP="00C23D2D">
      <w:r>
        <w:t xml:space="preserve">I understand partnership working has its problems despite these strengths. I sometimes feel less confident when contributing to large multi-agency meetings, especially when top experts are present. I also recognise that my knowledge of the wider health and social care system </w:t>
      </w:r>
      <w:r>
        <w:lastRenderedPageBreak/>
        <w:t>should be improved, particularly around strategic decision-making. The Health and Care Act (2022) has identified the necessity of integrated care systems and collaborative practice, and I know that by strengthening my confidence and knowledge, I will be able to participate more effectively in these processes. Developing these skills will enable me to contribute more effectively to debates that shape service delivery and ensure that service consumers receive coordinated, high-quality support.</w:t>
      </w:r>
    </w:p>
    <w:p w14:paraId="42B02FEC" w14:textId="77777777" w:rsidR="00C23D2D" w:rsidRDefault="00C23D2D" w:rsidP="00C23D2D">
      <w:r>
        <w:t>Ethical practice is always on my mind whenever I work, and I often find myself in situations where I need to reconcile autonomy, beneficence, non-maleficence and justice. An example of this was caring for an adult with learning difficulties who wanted to make a risky financial decision. My role was to keep them safe and to honour their liberty. I addressed this by openly explaining the risks, examining alternatives, and involving an advocate to assure the protection of the individual’s rights. This event emphasised the necessity of transparency, respect, and protection, and demonstrated the ethical standards outlined by Beauchamp and Childress (2019). I have learnt to follow professional codes of conduct, such as those of the Health and Care Professions Council (HCPC, 2023) and the Nursing and Midwifery Council (NMC, 2018), which govern my actions and emphasise confidentiality, professional boundaries, accountability, and respect. I do this by keeping good records, by making sure people give me permission, and by being honest about what I can and cannot do.</w:t>
      </w:r>
    </w:p>
    <w:p w14:paraId="7C2B5B6E" w14:textId="77777777" w:rsidR="00C23D2D" w:rsidRDefault="00C23D2D" w:rsidP="00C23D2D">
      <w:r>
        <w:t>Reflecting on my current skills, I believe that communication is one of my strongest attributes. I can adapt my communication style to connect with different folks by actively listening, offering clear explanations, and engaging in culturally sensitive interactions. I try hard to be an empathetic practitioner, to really grasp how people are feeling, and to respond in ways that validate their experiences. I keep full and accurate records that promote continuity of care and meet legal and professional requirements. I am also good at maintaining professional boundaries, knowing when to draw the line between sympathy and professionalism. Another strength is cultural competence, as I support people from diverse backgrounds and aim to provide inclusive, respectful care.</w:t>
      </w:r>
    </w:p>
    <w:p w14:paraId="265F7DFA" w14:textId="308BCE35" w:rsidR="00C23D2D" w:rsidRDefault="00C23D2D" w:rsidP="00C23D2D">
      <w:r>
        <w:t xml:space="preserve">Despite these strengths, I recognise several areas where I need to improve. It can be hard to manage time effectively, especially when balancing administrative tasks with direct support. I also want to feel more comfortable in multi-agency meetings, especially when presenting complex issues. I have sufficient knowledge of </w:t>
      </w:r>
      <w:r w:rsidR="005F7DB3">
        <w:t>legislation but</w:t>
      </w:r>
      <w:r>
        <w:t xml:space="preserve"> would require a greater understanding of current policies and safeguarding frameworks. I also want to improve my capacity to navigate complex ethical challenges, especially when competing rights or scarce resources are at stake.</w:t>
      </w:r>
    </w:p>
    <w:p w14:paraId="3870B2C4" w14:textId="77777777" w:rsidR="00C23D2D" w:rsidRPr="00811BA5" w:rsidRDefault="00C23D2D" w:rsidP="00C23D2D">
      <w:r>
        <w:lastRenderedPageBreak/>
        <w:t>I have created a personal development plan to work on these areas. In the immediate term, I want to attend training on the Care Act (2014), safeguarding, and integrated care systems to increase my legislative knowledge. I want to get more involved in team meetings, too, building my confidence step by step through hard work and asking my colleagues for their opinions. Long-term, I plan to take advantage of opportunities for continued professional development, such as advanced communication training, ethical decision-making workshops, and a possible leadership course. Regular monitoring will allow me to assess my progress, and I will judge development by increased confidence, positive comments, and greater involvement in collaborative decision</w:t>
      </w:r>
      <w:r>
        <w:rPr>
          <w:rFonts w:ascii="Cambria Math" w:hAnsi="Cambria Math" w:cs="Cambria Math"/>
        </w:rPr>
        <w:t>‑</w:t>
      </w:r>
      <w:r>
        <w:t>making. In the future, I am committed to continued learning and professional improvement. My approach will continue to be grounded in person-centred care, partnership working and ethical practice.</w:t>
      </w:r>
    </w:p>
    <w:p w14:paraId="5686E5F7" w14:textId="77777777" w:rsidR="00C23D2D" w:rsidRDefault="00C23D2D" w:rsidP="00C23D2D">
      <w:pPr>
        <w:spacing w:before="0" w:beforeAutospacing="0" w:after="160" w:afterAutospacing="0" w:line="259" w:lineRule="auto"/>
        <w:rPr>
          <w:rFonts w:eastAsiaTheme="majorEastAsia" w:cstheme="majorBidi"/>
          <w:b/>
          <w:sz w:val="28"/>
          <w:szCs w:val="32"/>
        </w:rPr>
      </w:pPr>
      <w:r>
        <w:br w:type="page"/>
      </w:r>
    </w:p>
    <w:p w14:paraId="103109A1" w14:textId="77777777" w:rsidR="00C23D2D" w:rsidRDefault="00C23D2D" w:rsidP="00C23D2D">
      <w:pPr>
        <w:pStyle w:val="Heading1"/>
      </w:pPr>
      <w:bookmarkStart w:id="4" w:name="_Toc235117148"/>
      <w:r>
        <w:lastRenderedPageBreak/>
        <w:t>Reference List</w:t>
      </w:r>
      <w:bookmarkEnd w:id="4"/>
    </w:p>
    <w:p w14:paraId="444B113F" w14:textId="77777777" w:rsidR="00C23D2D" w:rsidRPr="00BA00F9" w:rsidRDefault="00C23D2D" w:rsidP="00C23D2D">
      <w:pPr>
        <w:spacing w:before="60" w:after="60"/>
        <w:rPr>
          <w:lang w:val="en-US"/>
        </w:rPr>
      </w:pPr>
      <w:r w:rsidRPr="00BA00F9">
        <w:rPr>
          <w:lang w:val="en-US"/>
        </w:rPr>
        <w:t xml:space="preserve">Care Act (2014) </w:t>
      </w:r>
      <w:r w:rsidRPr="00BA00F9">
        <w:rPr>
          <w:i/>
          <w:iCs/>
          <w:lang w:val="en-US"/>
        </w:rPr>
        <w:t>c.23</w:t>
      </w:r>
      <w:r w:rsidRPr="00BA00F9">
        <w:rPr>
          <w:lang w:val="en-US"/>
        </w:rPr>
        <w:t xml:space="preserve">. </w:t>
      </w:r>
      <w:r w:rsidRPr="00053EED">
        <w:rPr>
          <w:lang w:val="en-US"/>
        </w:rPr>
        <w:t xml:space="preserve">London: The Stationery Office. Available at: </w:t>
      </w:r>
      <w:hyperlink r:id="rId9" w:history="1">
        <w:r w:rsidRPr="0054229C">
          <w:rPr>
            <w:rStyle w:val="Hyperlink"/>
            <w:lang w:val="en-US"/>
          </w:rPr>
          <w:t>https://www.legislation.gov.uk/ukpga/2014/23/contents</w:t>
        </w:r>
      </w:hyperlink>
      <w:r>
        <w:rPr>
          <w:lang w:val="en-US"/>
        </w:rPr>
        <w:t xml:space="preserve"> </w:t>
      </w:r>
      <w:r w:rsidRPr="00053EED">
        <w:rPr>
          <w:lang w:val="en-US"/>
        </w:rPr>
        <w:t>(Accessed: 7 July 2026).</w:t>
      </w:r>
    </w:p>
    <w:p w14:paraId="0EE17ABA" w14:textId="77777777" w:rsidR="00C23D2D" w:rsidRDefault="00C23D2D" w:rsidP="00C23D2D">
      <w:pPr>
        <w:spacing w:before="60" w:after="60"/>
        <w:rPr>
          <w:lang w:val="en-US"/>
        </w:rPr>
      </w:pPr>
      <w:r w:rsidRPr="00542F9A">
        <w:rPr>
          <w:lang w:val="en-US"/>
        </w:rPr>
        <w:t xml:space="preserve">Clotworthy, A., </w:t>
      </w:r>
      <w:proofErr w:type="spellStart"/>
      <w:r w:rsidRPr="00542F9A">
        <w:rPr>
          <w:lang w:val="en-US"/>
        </w:rPr>
        <w:t>Kusumastuti</w:t>
      </w:r>
      <w:proofErr w:type="spellEnd"/>
      <w:r w:rsidRPr="00542F9A">
        <w:rPr>
          <w:lang w:val="en-US"/>
        </w:rPr>
        <w:t>, S.</w:t>
      </w:r>
      <w:r>
        <w:rPr>
          <w:lang w:val="en-US"/>
        </w:rPr>
        <w:t xml:space="preserve"> and</w:t>
      </w:r>
      <w:r w:rsidRPr="00542F9A">
        <w:rPr>
          <w:lang w:val="en-US"/>
        </w:rPr>
        <w:t xml:space="preserve"> </w:t>
      </w:r>
      <w:proofErr w:type="spellStart"/>
      <w:r w:rsidRPr="00542F9A">
        <w:rPr>
          <w:lang w:val="en-US"/>
        </w:rPr>
        <w:t>Westendorp</w:t>
      </w:r>
      <w:proofErr w:type="spellEnd"/>
      <w:r w:rsidRPr="00542F9A">
        <w:rPr>
          <w:lang w:val="en-US"/>
        </w:rPr>
        <w:t>, R.G. (2021)</w:t>
      </w:r>
      <w:r>
        <w:rPr>
          <w:lang w:val="en-US"/>
        </w:rPr>
        <w:t xml:space="preserve"> ‘</w:t>
      </w:r>
      <w:proofErr w:type="spellStart"/>
      <w:r w:rsidRPr="00542F9A">
        <w:rPr>
          <w:lang w:val="en-US"/>
        </w:rPr>
        <w:t>Reablement</w:t>
      </w:r>
      <w:proofErr w:type="spellEnd"/>
      <w:r w:rsidRPr="00542F9A">
        <w:rPr>
          <w:lang w:val="en-US"/>
        </w:rPr>
        <w:t xml:space="preserve"> through time and space: A scoping review of how the concept of ‘</w:t>
      </w:r>
      <w:proofErr w:type="spellStart"/>
      <w:r w:rsidRPr="00542F9A">
        <w:rPr>
          <w:lang w:val="en-US"/>
        </w:rPr>
        <w:t>reablement</w:t>
      </w:r>
      <w:proofErr w:type="spellEnd"/>
      <w:r w:rsidRPr="00542F9A">
        <w:rPr>
          <w:lang w:val="en-US"/>
        </w:rPr>
        <w:t xml:space="preserve">’ for older people has </w:t>
      </w:r>
      <w:proofErr w:type="gramStart"/>
      <w:r w:rsidRPr="00542F9A">
        <w:rPr>
          <w:lang w:val="en-US"/>
        </w:rPr>
        <w:t>been defined</w:t>
      </w:r>
      <w:proofErr w:type="gramEnd"/>
      <w:r w:rsidRPr="00542F9A">
        <w:rPr>
          <w:lang w:val="en-US"/>
        </w:rPr>
        <w:t xml:space="preserve"> and </w:t>
      </w:r>
      <w:proofErr w:type="spellStart"/>
      <w:r w:rsidRPr="00542F9A">
        <w:rPr>
          <w:lang w:val="en-US"/>
        </w:rPr>
        <w:t>operationalised</w:t>
      </w:r>
      <w:proofErr w:type="spellEnd"/>
      <w:r>
        <w:rPr>
          <w:lang w:val="en-US"/>
        </w:rPr>
        <w:t xml:space="preserve">’, </w:t>
      </w:r>
      <w:r w:rsidRPr="00542F9A">
        <w:rPr>
          <w:i/>
          <w:iCs/>
          <w:lang w:val="en-US"/>
        </w:rPr>
        <w:t>BMC Geriatrics</w:t>
      </w:r>
      <w:r w:rsidRPr="00542F9A">
        <w:rPr>
          <w:lang w:val="en-US"/>
        </w:rPr>
        <w:t xml:space="preserve">, </w:t>
      </w:r>
      <w:r w:rsidRPr="00542F9A">
        <w:rPr>
          <w:i/>
          <w:iCs/>
          <w:lang w:val="en-US"/>
        </w:rPr>
        <w:t>21</w:t>
      </w:r>
      <w:r w:rsidRPr="00542F9A">
        <w:rPr>
          <w:lang w:val="en-US"/>
        </w:rPr>
        <w:t xml:space="preserve">, 61. </w:t>
      </w:r>
      <w:hyperlink r:id="rId10" w:history="1">
        <w:r w:rsidRPr="0054229C">
          <w:rPr>
            <w:rStyle w:val="Hyperlink"/>
            <w:lang w:val="en-US"/>
          </w:rPr>
          <w:t>https://doi.org/10.1186/s12877-020-01958-1</w:t>
        </w:r>
      </w:hyperlink>
    </w:p>
    <w:p w14:paraId="7B2DE711" w14:textId="77777777" w:rsidR="00C23D2D" w:rsidRDefault="00C23D2D" w:rsidP="00C23D2D">
      <w:pPr>
        <w:spacing w:before="60" w:after="60"/>
      </w:pPr>
      <w:r w:rsidRPr="001E0525">
        <w:t>Coulter, A.</w:t>
      </w:r>
      <w:r>
        <w:t xml:space="preserve"> and</w:t>
      </w:r>
      <w:r w:rsidRPr="001E0525">
        <w:t xml:space="preserve"> Oldham, J. (2016)</w:t>
      </w:r>
      <w:r>
        <w:t xml:space="preserve"> ‘</w:t>
      </w:r>
      <w:r w:rsidRPr="001E0525">
        <w:t>Person-centred care: What is it and how do we get there?</w:t>
      </w:r>
      <w:r>
        <w:t>’</w:t>
      </w:r>
      <w:r w:rsidRPr="009F4FB6">
        <w:rPr>
          <w:i/>
          <w:iCs/>
        </w:rPr>
        <w:t>, Future Hospital Journal</w:t>
      </w:r>
      <w:r w:rsidRPr="001E0525">
        <w:t xml:space="preserve">, 3(2), 114. </w:t>
      </w:r>
      <w:hyperlink r:id="rId11" w:history="1">
        <w:r w:rsidRPr="00374E9A">
          <w:rPr>
            <w:rStyle w:val="Hyperlink"/>
          </w:rPr>
          <w:t>https://doi.org/10.7861/futurehosp.3-2-114</w:t>
        </w:r>
      </w:hyperlink>
      <w:r>
        <w:t xml:space="preserve"> </w:t>
      </w:r>
    </w:p>
    <w:p w14:paraId="2B066B8B" w14:textId="77777777" w:rsidR="00C23D2D" w:rsidRDefault="00C23D2D" w:rsidP="00C23D2D">
      <w:pPr>
        <w:spacing w:before="60" w:after="60"/>
      </w:pPr>
      <w:r w:rsidRPr="00053EED">
        <w:t>Coulter, A., Roberts, S. and Dixon, A. (201</w:t>
      </w:r>
      <w:r>
        <w:t>3</w:t>
      </w:r>
      <w:r w:rsidRPr="00053EED">
        <w:t xml:space="preserve">) </w:t>
      </w:r>
      <w:r w:rsidRPr="00053EED">
        <w:rPr>
          <w:i/>
          <w:iCs/>
        </w:rPr>
        <w:t>Delivering better services for people with long</w:t>
      </w:r>
      <w:r w:rsidRPr="00053EED">
        <w:rPr>
          <w:i/>
          <w:iCs/>
        </w:rPr>
        <w:noBreakHyphen/>
        <w:t>term conditions: building the house of care</w:t>
      </w:r>
      <w:r w:rsidRPr="00053EED">
        <w:t>. London: The King’s Fund.</w:t>
      </w:r>
      <w:r>
        <w:t xml:space="preserve"> Available at: </w:t>
      </w:r>
      <w:hyperlink r:id="rId12" w:history="1">
        <w:r w:rsidRPr="0054229C">
          <w:rPr>
            <w:rStyle w:val="Hyperlink"/>
          </w:rPr>
          <w:t>https://www.kingsfund.org.uk/insight-and-analysis/reports/better-services-people-long-term-conditions</w:t>
        </w:r>
      </w:hyperlink>
      <w:r>
        <w:t xml:space="preserve"> (Accessed: 7 July 2026).</w:t>
      </w:r>
    </w:p>
    <w:p w14:paraId="30586A6B" w14:textId="77777777" w:rsidR="00C23D2D" w:rsidRDefault="00C23D2D" w:rsidP="00C23D2D">
      <w:pPr>
        <w:spacing w:before="60" w:after="60"/>
      </w:pPr>
      <w:r w:rsidRPr="00053EED">
        <w:t xml:space="preserve">Glasby, J. and Dickinson, H. (2014) </w:t>
      </w:r>
      <w:r w:rsidRPr="00053EED">
        <w:rPr>
          <w:i/>
          <w:iCs/>
        </w:rPr>
        <w:t>Partnership working in health and social care: what is integrated care and how can we deliver it?</w:t>
      </w:r>
      <w:r w:rsidRPr="00053EED">
        <w:t xml:space="preserve"> 2nd </w:t>
      </w:r>
      <w:proofErr w:type="spellStart"/>
      <w:r w:rsidRPr="00053EED">
        <w:t>edn</w:t>
      </w:r>
      <w:proofErr w:type="spellEnd"/>
      <w:r w:rsidRPr="00053EED">
        <w:t>. Bristol: Policy Press.</w:t>
      </w:r>
    </w:p>
    <w:p w14:paraId="4AF76A2E" w14:textId="77777777" w:rsidR="00C23D2D" w:rsidRPr="00BA00F9" w:rsidRDefault="00C23D2D" w:rsidP="00C23D2D">
      <w:pPr>
        <w:spacing w:before="60" w:after="60"/>
        <w:rPr>
          <w:lang w:val="en-US"/>
        </w:rPr>
      </w:pPr>
      <w:r w:rsidRPr="00BA00F9">
        <w:rPr>
          <w:lang w:val="en-US"/>
        </w:rPr>
        <w:t xml:space="preserve">Health and Care Act (2022) </w:t>
      </w:r>
      <w:r w:rsidRPr="00BA00F9">
        <w:rPr>
          <w:i/>
          <w:iCs/>
          <w:lang w:val="en-US"/>
        </w:rPr>
        <w:t>c.31</w:t>
      </w:r>
      <w:r w:rsidRPr="00BA00F9">
        <w:rPr>
          <w:lang w:val="en-US"/>
        </w:rPr>
        <w:t>. London: The Stationery Office.</w:t>
      </w:r>
      <w:r>
        <w:rPr>
          <w:lang w:val="en-US"/>
        </w:rPr>
        <w:t xml:space="preserve"> </w:t>
      </w:r>
      <w:r w:rsidRPr="00694CC1">
        <w:rPr>
          <w:lang w:val="en-US"/>
        </w:rPr>
        <w:t xml:space="preserve">Available at: </w:t>
      </w:r>
      <w:hyperlink r:id="rId13" w:history="1">
        <w:r w:rsidRPr="0054229C">
          <w:rPr>
            <w:rStyle w:val="Hyperlink"/>
            <w:lang w:val="en-US"/>
          </w:rPr>
          <w:t>https://www.legislation.gov.uk/ukpga/2022/31/contents</w:t>
        </w:r>
      </w:hyperlink>
      <w:r>
        <w:rPr>
          <w:lang w:val="en-US"/>
        </w:rPr>
        <w:t xml:space="preserve"> </w:t>
      </w:r>
      <w:r w:rsidRPr="00694CC1">
        <w:rPr>
          <w:lang w:val="en-US"/>
        </w:rPr>
        <w:t>(Accessed: 7 July 2026).</w:t>
      </w:r>
    </w:p>
    <w:p w14:paraId="10B1425A" w14:textId="77777777" w:rsidR="00C23D2D" w:rsidRDefault="00C23D2D" w:rsidP="00C23D2D">
      <w:pPr>
        <w:spacing w:before="60" w:after="60"/>
      </w:pPr>
      <w:r w:rsidRPr="00C77F75">
        <w:t xml:space="preserve">Health and Care Professions Council </w:t>
      </w:r>
      <w:r>
        <w:t>[</w:t>
      </w:r>
      <w:r w:rsidRPr="00C77F75">
        <w:t>HCPC</w:t>
      </w:r>
      <w:r>
        <w:t>]</w:t>
      </w:r>
      <w:r w:rsidRPr="00C77F75">
        <w:t xml:space="preserve"> (2023) </w:t>
      </w:r>
      <w:r w:rsidRPr="00C77F75">
        <w:rPr>
          <w:i/>
          <w:iCs/>
        </w:rPr>
        <w:t>Standards of conduct, performance and ethics.</w:t>
      </w:r>
      <w:r w:rsidRPr="00C77F75">
        <w:t xml:space="preserve"> London: HCPC. Available at: </w:t>
      </w:r>
      <w:hyperlink r:id="rId14" w:history="1">
        <w:r w:rsidRPr="0054229C">
          <w:rPr>
            <w:rStyle w:val="Hyperlink"/>
          </w:rPr>
          <w:t>https://www.hcpc-uk.org</w:t>
        </w:r>
      </w:hyperlink>
      <w:r>
        <w:t xml:space="preserve"> </w:t>
      </w:r>
      <w:r w:rsidRPr="00C77F75">
        <w:t>(Accessed: 7 July 2026).</w:t>
      </w:r>
    </w:p>
    <w:p w14:paraId="7B4B2FCA" w14:textId="77777777" w:rsidR="00C23D2D" w:rsidRDefault="00C23D2D" w:rsidP="00C23D2D">
      <w:pPr>
        <w:spacing w:before="60" w:after="60"/>
      </w:pPr>
      <w:r>
        <w:t xml:space="preserve">Health Education England [HEE] (2017) </w:t>
      </w:r>
      <w:r w:rsidRPr="00200154">
        <w:rPr>
          <w:i/>
          <w:iCs/>
        </w:rPr>
        <w:t>Person-Centred Approaches: Empowering people in their lives and communities to enable an upgrade in prevention, wellbeing, health, care and support. London: HEE, Skills for Health</w:t>
      </w:r>
      <w:r>
        <w:t xml:space="preserve">. Available at: </w:t>
      </w:r>
      <w:hyperlink r:id="rId15" w:history="1">
        <w:r w:rsidRPr="00374E9A">
          <w:rPr>
            <w:rStyle w:val="Hyperlink"/>
          </w:rPr>
          <w:t>https://www.skillsforhealth.org.uk/app/uploads/2021/01/Person-Centred-Approaches-Framework.pdf</w:t>
        </w:r>
      </w:hyperlink>
      <w:r>
        <w:t xml:space="preserve"> (Accessed: 2 July 2026).</w:t>
      </w:r>
    </w:p>
    <w:p w14:paraId="0E7541F6" w14:textId="77777777" w:rsidR="00C23D2D" w:rsidRDefault="00C23D2D" w:rsidP="00C23D2D">
      <w:pPr>
        <w:spacing w:before="60" w:after="60"/>
      </w:pPr>
      <w:r>
        <w:t xml:space="preserve">Health Foundation (2014) </w:t>
      </w:r>
      <w:r w:rsidRPr="0055545F">
        <w:rPr>
          <w:i/>
          <w:iCs/>
        </w:rPr>
        <w:t>Person-centred care made simple: What everyone should know about person-centred care</w:t>
      </w:r>
      <w:r>
        <w:t xml:space="preserve">. Available at: </w:t>
      </w:r>
      <w:hyperlink r:id="rId16" w:history="1">
        <w:r w:rsidRPr="00374E9A">
          <w:rPr>
            <w:rStyle w:val="Hyperlink"/>
          </w:rPr>
          <w:t>http://www.health.org.uk/sites/health/files/PersonCentredCareMadeSimple.pdf</w:t>
        </w:r>
      </w:hyperlink>
      <w:r>
        <w:t xml:space="preserve"> (Accessed: 2 July 2026).</w:t>
      </w:r>
    </w:p>
    <w:p w14:paraId="43702B4C" w14:textId="77777777" w:rsidR="00C23D2D" w:rsidRDefault="00C23D2D" w:rsidP="00C23D2D">
      <w:pPr>
        <w:spacing w:before="60" w:after="60"/>
        <w:rPr>
          <w:lang w:val="en-US"/>
        </w:rPr>
      </w:pPr>
      <w:r w:rsidRPr="00BD7676">
        <w:rPr>
          <w:lang w:val="en-US"/>
        </w:rPr>
        <w:lastRenderedPageBreak/>
        <w:t>Heggdal, K.</w:t>
      </w:r>
      <w:r>
        <w:rPr>
          <w:lang w:val="en-US"/>
        </w:rPr>
        <w:t xml:space="preserve"> </w:t>
      </w:r>
      <w:r w:rsidRPr="00BD7676">
        <w:rPr>
          <w:i/>
          <w:iCs/>
          <w:lang w:val="en-US"/>
        </w:rPr>
        <w:t>et al.</w:t>
      </w:r>
      <w:r w:rsidRPr="00BD7676">
        <w:rPr>
          <w:lang w:val="en-US"/>
        </w:rPr>
        <w:t xml:space="preserve"> (</w:t>
      </w:r>
      <w:proofErr w:type="gramStart"/>
      <w:r w:rsidRPr="00BD7676">
        <w:rPr>
          <w:lang w:val="en-US"/>
        </w:rPr>
        <w:t>2021)</w:t>
      </w:r>
      <w:r>
        <w:rPr>
          <w:lang w:val="en-US"/>
        </w:rPr>
        <w:t xml:space="preserve"> ‘</w:t>
      </w:r>
      <w:proofErr w:type="gramEnd"/>
      <w:r w:rsidRPr="00BD7676">
        <w:rPr>
          <w:lang w:val="en-US"/>
        </w:rPr>
        <w:t>Health-care professionals’ assessment of a person-</w:t>
      </w:r>
      <w:proofErr w:type="spellStart"/>
      <w:r w:rsidRPr="00BD7676">
        <w:rPr>
          <w:lang w:val="en-US"/>
        </w:rPr>
        <w:t>centred</w:t>
      </w:r>
      <w:proofErr w:type="spellEnd"/>
      <w:r w:rsidRPr="00BD7676">
        <w:rPr>
          <w:lang w:val="en-US"/>
        </w:rPr>
        <w:t xml:space="preserve"> intervention to empower self-management and health across chronic illness: Qualitative findings from a process evaluation study</w:t>
      </w:r>
      <w:r>
        <w:rPr>
          <w:lang w:val="en-US"/>
        </w:rPr>
        <w:t>’,</w:t>
      </w:r>
      <w:r w:rsidRPr="00BD7676">
        <w:rPr>
          <w:lang w:val="en-US"/>
        </w:rPr>
        <w:t xml:space="preserve"> </w:t>
      </w:r>
      <w:r w:rsidRPr="00BD7676">
        <w:rPr>
          <w:i/>
          <w:iCs/>
          <w:lang w:val="en-US"/>
        </w:rPr>
        <w:t>Health Expectations</w:t>
      </w:r>
      <w:r w:rsidRPr="00BD7676">
        <w:rPr>
          <w:lang w:val="en-US"/>
        </w:rPr>
        <w:t xml:space="preserve">, </w:t>
      </w:r>
      <w:r w:rsidRPr="00BD7676">
        <w:rPr>
          <w:i/>
          <w:iCs/>
          <w:lang w:val="en-US"/>
        </w:rPr>
        <w:t>24</w:t>
      </w:r>
      <w:r w:rsidRPr="00BD7676">
        <w:rPr>
          <w:lang w:val="en-US"/>
        </w:rPr>
        <w:t xml:space="preserve">(4), 1367-1377. </w:t>
      </w:r>
      <w:hyperlink r:id="rId17" w:history="1">
        <w:r w:rsidRPr="0054229C">
          <w:rPr>
            <w:rStyle w:val="Hyperlink"/>
            <w:lang w:val="en-US"/>
          </w:rPr>
          <w:t>https://doi.org/10.1111/hex.13271</w:t>
        </w:r>
      </w:hyperlink>
    </w:p>
    <w:p w14:paraId="4139CD8A" w14:textId="77777777" w:rsidR="00C23D2D" w:rsidRDefault="00C23D2D" w:rsidP="00C23D2D">
      <w:pPr>
        <w:spacing w:before="60" w:after="60"/>
      </w:pPr>
      <w:r w:rsidRPr="00781957">
        <w:t>Khatri</w:t>
      </w:r>
      <w:r>
        <w:t xml:space="preserve">, </w:t>
      </w:r>
      <w:r w:rsidRPr="00781957">
        <w:t>R</w:t>
      </w:r>
      <w:r>
        <w:t>.</w:t>
      </w:r>
      <w:r w:rsidRPr="00781957">
        <w:t>B</w:t>
      </w:r>
      <w:r>
        <w:t xml:space="preserve">. </w:t>
      </w:r>
      <w:r w:rsidRPr="00390235">
        <w:rPr>
          <w:i/>
          <w:iCs/>
        </w:rPr>
        <w:t>et al.</w:t>
      </w:r>
      <w:r w:rsidRPr="00781957">
        <w:t xml:space="preserve"> </w:t>
      </w:r>
      <w:r>
        <w:t>(2023) ‘</w:t>
      </w:r>
      <w:r w:rsidRPr="00781957">
        <w:t>People-centred primary health care: a scoping review</w:t>
      </w:r>
      <w:r>
        <w:t xml:space="preserve">’, </w:t>
      </w:r>
      <w:r w:rsidRPr="00390235">
        <w:rPr>
          <w:i/>
          <w:iCs/>
        </w:rPr>
        <w:t>BMC Primary Care</w:t>
      </w:r>
      <w:r>
        <w:t xml:space="preserve">, </w:t>
      </w:r>
      <w:r w:rsidRPr="00781957">
        <w:t xml:space="preserve">24(1):236. </w:t>
      </w:r>
      <w:hyperlink r:id="rId18" w:history="1">
        <w:r w:rsidRPr="00374E9A">
          <w:rPr>
            <w:rStyle w:val="Hyperlink"/>
          </w:rPr>
          <w:t>https://doi10.1186/s12875-023-02194-3</w:t>
        </w:r>
      </w:hyperlink>
      <w:r w:rsidRPr="00781957">
        <w:t>.</w:t>
      </w:r>
    </w:p>
    <w:p w14:paraId="618EF32F" w14:textId="77777777" w:rsidR="00C23D2D" w:rsidRDefault="00C23D2D" w:rsidP="00C23D2D">
      <w:pPr>
        <w:spacing w:before="60" w:after="60"/>
        <w:rPr>
          <w:lang w:val="en-US"/>
        </w:rPr>
      </w:pPr>
      <w:r w:rsidRPr="004F7B16">
        <w:rPr>
          <w:lang w:val="en-US"/>
        </w:rPr>
        <w:t xml:space="preserve">Lefurgey, S. </w:t>
      </w:r>
      <w:r w:rsidRPr="004F7B16">
        <w:rPr>
          <w:i/>
          <w:iCs/>
          <w:lang w:val="en-US"/>
        </w:rPr>
        <w:t>et al.</w:t>
      </w:r>
      <w:r w:rsidRPr="004F7B16">
        <w:rPr>
          <w:lang w:val="en-US"/>
        </w:rPr>
        <w:t xml:space="preserve"> (</w:t>
      </w:r>
      <w:proofErr w:type="gramStart"/>
      <w:r w:rsidRPr="004F7B16">
        <w:rPr>
          <w:lang w:val="en-US"/>
        </w:rPr>
        <w:t>2025)</w:t>
      </w:r>
      <w:r>
        <w:rPr>
          <w:lang w:val="en-US"/>
        </w:rPr>
        <w:t xml:space="preserve"> ‘</w:t>
      </w:r>
      <w:proofErr w:type="gramEnd"/>
      <w:r w:rsidRPr="004F7B16">
        <w:rPr>
          <w:lang w:val="en-US"/>
        </w:rPr>
        <w:t>Person-Centered Care: Learning from the Evolution of Mental Health Care</w:t>
      </w:r>
      <w:r>
        <w:rPr>
          <w:lang w:val="en-US"/>
        </w:rPr>
        <w:t>’,</w:t>
      </w:r>
      <w:r w:rsidRPr="004F7B16">
        <w:rPr>
          <w:lang w:val="en-US"/>
        </w:rPr>
        <w:t xml:space="preserve"> </w:t>
      </w:r>
      <w:r w:rsidRPr="004F7B16">
        <w:rPr>
          <w:i/>
          <w:iCs/>
          <w:lang w:val="en-US"/>
        </w:rPr>
        <w:t>Encyclopedia</w:t>
      </w:r>
      <w:r w:rsidRPr="004F7B16">
        <w:rPr>
          <w:lang w:val="en-US"/>
        </w:rPr>
        <w:t xml:space="preserve">, </w:t>
      </w:r>
      <w:r w:rsidRPr="004F7B16">
        <w:rPr>
          <w:i/>
          <w:iCs/>
          <w:lang w:val="en-US"/>
        </w:rPr>
        <w:t>5</w:t>
      </w:r>
      <w:r w:rsidRPr="004F7B16">
        <w:rPr>
          <w:lang w:val="en-US"/>
        </w:rPr>
        <w:t xml:space="preserve">(1). </w:t>
      </w:r>
      <w:hyperlink r:id="rId19" w:history="1">
        <w:r w:rsidRPr="0054229C">
          <w:rPr>
            <w:rStyle w:val="Hyperlink"/>
            <w:lang w:val="en-US"/>
          </w:rPr>
          <w:t>https://doi.org/10.3390/encyclopedia5010029</w:t>
        </w:r>
      </w:hyperlink>
    </w:p>
    <w:p w14:paraId="441439ED" w14:textId="77777777" w:rsidR="00C23D2D" w:rsidRDefault="00C23D2D" w:rsidP="00C23D2D">
      <w:pPr>
        <w:spacing w:before="60" w:after="60"/>
      </w:pPr>
      <w:r w:rsidRPr="0095626E">
        <w:t xml:space="preserve">Maslow, A.H. (1943) ‘A theory of human motivation’, </w:t>
      </w:r>
      <w:r w:rsidRPr="0095626E">
        <w:rPr>
          <w:i/>
          <w:iCs/>
        </w:rPr>
        <w:t>Psychological Review</w:t>
      </w:r>
      <w:r w:rsidRPr="0095626E">
        <w:t>, 50(4), pp. 370–396.</w:t>
      </w:r>
    </w:p>
    <w:p w14:paraId="56FF097F" w14:textId="77777777" w:rsidR="00C23D2D" w:rsidRDefault="00C23D2D" w:rsidP="00C23D2D">
      <w:pPr>
        <w:spacing w:before="60" w:after="60"/>
      </w:pPr>
      <w:r w:rsidRPr="004324E8">
        <w:t>National Institute for Health and Care Excellence</w:t>
      </w:r>
      <w:r>
        <w:t xml:space="preserve"> [</w:t>
      </w:r>
      <w:r w:rsidRPr="004324E8">
        <w:t>NICE</w:t>
      </w:r>
      <w:r>
        <w:t>]</w:t>
      </w:r>
      <w:r w:rsidRPr="004324E8">
        <w:t xml:space="preserve"> (20</w:t>
      </w:r>
      <w:r>
        <w:t>15</w:t>
      </w:r>
      <w:r w:rsidRPr="004324E8">
        <w:t xml:space="preserve">) </w:t>
      </w:r>
      <w:r w:rsidRPr="004324E8">
        <w:rPr>
          <w:i/>
          <w:iCs/>
        </w:rPr>
        <w:t>Home care: delivering personal care and practical support to older people living in their own homes (NG21)</w:t>
      </w:r>
      <w:r w:rsidRPr="004324E8">
        <w:t xml:space="preserve">. London: National Institute for Health and Care Excellence. Available at: </w:t>
      </w:r>
      <w:hyperlink r:id="rId20" w:history="1">
        <w:r w:rsidRPr="004324E8">
          <w:rPr>
            <w:rStyle w:val="Hyperlink"/>
          </w:rPr>
          <w:t>https://www.nice.org.uk/guidance/ng21</w:t>
        </w:r>
      </w:hyperlink>
      <w:r w:rsidRPr="004324E8">
        <w:t xml:space="preserve"> (Accessed: 7 July 2026).</w:t>
      </w:r>
    </w:p>
    <w:p w14:paraId="111C2328" w14:textId="77777777" w:rsidR="00C23D2D" w:rsidRDefault="00C23D2D" w:rsidP="00C23D2D">
      <w:pPr>
        <w:spacing w:before="60" w:after="60"/>
        <w:rPr>
          <w:lang w:val="en-US"/>
        </w:rPr>
      </w:pPr>
      <w:r w:rsidRPr="00562796">
        <w:rPr>
          <w:lang w:val="en-US"/>
        </w:rPr>
        <w:t>National Institute for Health and Care Excellence [NICE] (20</w:t>
      </w:r>
      <w:r>
        <w:rPr>
          <w:lang w:val="en-US"/>
        </w:rPr>
        <w:t>25</w:t>
      </w:r>
      <w:r w:rsidRPr="00562796">
        <w:rPr>
          <w:lang w:val="en-US"/>
        </w:rPr>
        <w:t>)</w:t>
      </w:r>
      <w:r>
        <w:rPr>
          <w:lang w:val="en-US"/>
        </w:rPr>
        <w:t xml:space="preserve"> </w:t>
      </w:r>
      <w:r w:rsidRPr="00562796">
        <w:rPr>
          <w:i/>
          <w:iCs/>
          <w:lang w:val="en-US"/>
        </w:rPr>
        <w:t xml:space="preserve">Falls: assessment and prevention in older people and in people </w:t>
      </w:r>
      <w:proofErr w:type="gramStart"/>
      <w:r w:rsidRPr="00562796">
        <w:rPr>
          <w:i/>
          <w:iCs/>
          <w:lang w:val="en-US"/>
        </w:rPr>
        <w:t>50</w:t>
      </w:r>
      <w:proofErr w:type="gramEnd"/>
      <w:r w:rsidRPr="00562796">
        <w:rPr>
          <w:i/>
          <w:iCs/>
          <w:lang w:val="en-US"/>
        </w:rPr>
        <w:t xml:space="preserve"> and over at higher risk - NICE guideline [NG249].</w:t>
      </w:r>
      <w:r>
        <w:rPr>
          <w:lang w:val="en-US"/>
        </w:rPr>
        <w:t xml:space="preserve"> Available at: </w:t>
      </w:r>
      <w:hyperlink r:id="rId21" w:history="1">
        <w:r w:rsidRPr="0054229C">
          <w:rPr>
            <w:rStyle w:val="Hyperlink"/>
            <w:lang w:val="en-US"/>
          </w:rPr>
          <w:t>https://www.nice.org.uk/guidance/ng249</w:t>
        </w:r>
      </w:hyperlink>
      <w:r>
        <w:rPr>
          <w:lang w:val="en-US"/>
        </w:rPr>
        <w:t xml:space="preserve"> (Accessed: 2 July 2026).</w:t>
      </w:r>
    </w:p>
    <w:p w14:paraId="7F7D7D16" w14:textId="77777777" w:rsidR="00C23D2D" w:rsidRDefault="00C23D2D" w:rsidP="00C23D2D">
      <w:pPr>
        <w:spacing w:before="60" w:after="60"/>
      </w:pPr>
      <w:r w:rsidRPr="00194A43">
        <w:t xml:space="preserve">Nursing and Midwifery Council </w:t>
      </w:r>
      <w:r>
        <w:t>[</w:t>
      </w:r>
      <w:r w:rsidRPr="00194A43">
        <w:t>NMC</w:t>
      </w:r>
      <w:r>
        <w:t>]</w:t>
      </w:r>
      <w:r w:rsidRPr="00194A43">
        <w:t xml:space="preserve"> (2018) </w:t>
      </w:r>
      <w:r w:rsidRPr="00194A43">
        <w:rPr>
          <w:i/>
          <w:iCs/>
        </w:rPr>
        <w:t>The code: professional standards of practice and behaviour for nurses, midwives and nursing associates</w:t>
      </w:r>
      <w:r w:rsidRPr="00194A43">
        <w:t xml:space="preserve">. London: NMC. Available at: </w:t>
      </w:r>
      <w:hyperlink r:id="rId22" w:history="1">
        <w:r w:rsidRPr="00194A43">
          <w:rPr>
            <w:rStyle w:val="Hyperlink"/>
          </w:rPr>
          <w:t>https://www.nmc.org.uk/standards/code</w:t>
        </w:r>
      </w:hyperlink>
      <w:r w:rsidRPr="00194A43">
        <w:t xml:space="preserve"> (Accessed: 7 July 2026).</w:t>
      </w:r>
    </w:p>
    <w:p w14:paraId="0C34A0BE" w14:textId="77777777" w:rsidR="00C23D2D" w:rsidRDefault="00C23D2D" w:rsidP="00C23D2D">
      <w:pPr>
        <w:spacing w:before="60" w:after="60"/>
      </w:pPr>
      <w:r w:rsidRPr="008C032B">
        <w:t xml:space="preserve">Owen, </w:t>
      </w:r>
      <w:r>
        <w:t xml:space="preserve">T., </w:t>
      </w:r>
      <w:r w:rsidRPr="008C032B">
        <w:t>Kennedy</w:t>
      </w:r>
      <w:r>
        <w:t xml:space="preserve">, J. and </w:t>
      </w:r>
      <w:r w:rsidRPr="008C032B">
        <w:t>Nieman</w:t>
      </w:r>
      <w:r>
        <w:t xml:space="preserve">, S. (2026) </w:t>
      </w:r>
      <w:r w:rsidRPr="00581523">
        <w:rPr>
          <w:i/>
          <w:iCs/>
        </w:rPr>
        <w:t xml:space="preserve">Improved Outcomes Through Partnership Working: A Vision </w:t>
      </w:r>
      <w:r>
        <w:rPr>
          <w:i/>
          <w:iCs/>
        </w:rPr>
        <w:t>f</w:t>
      </w:r>
      <w:r w:rsidRPr="00581523">
        <w:rPr>
          <w:i/>
          <w:iCs/>
        </w:rPr>
        <w:t>or Social Care.</w:t>
      </w:r>
      <w:r>
        <w:t xml:space="preserve"> London: </w:t>
      </w:r>
      <w:r w:rsidRPr="00661D87">
        <w:t>Rayne Foundation</w:t>
      </w:r>
      <w:r>
        <w:t xml:space="preserve">. Available at: </w:t>
      </w:r>
      <w:hyperlink r:id="rId23" w:history="1">
        <w:r w:rsidRPr="00374E9A">
          <w:rPr>
            <w:rStyle w:val="Hyperlink"/>
          </w:rPr>
          <w:t>https://myhomelife.org.uk/wp-content/uploads/2026/02/MHLE-Partnership-Working-Report_2026.pdf</w:t>
        </w:r>
      </w:hyperlink>
      <w:r>
        <w:t xml:space="preserve"> (Accessed: 2 July 2026).</w:t>
      </w:r>
    </w:p>
    <w:p w14:paraId="5A07544A" w14:textId="77777777" w:rsidR="00C23D2D" w:rsidRPr="008726C2" w:rsidRDefault="00C23D2D" w:rsidP="00C23D2D">
      <w:pPr>
        <w:spacing w:before="60" w:after="60"/>
      </w:pPr>
      <w:r w:rsidRPr="008726C2">
        <w:t xml:space="preserve">Perron, M.E. </w:t>
      </w:r>
      <w:r w:rsidRPr="008726C2">
        <w:rPr>
          <w:i/>
          <w:iCs/>
        </w:rPr>
        <w:t>et al.</w:t>
      </w:r>
      <w:r w:rsidRPr="008726C2">
        <w:t xml:space="preserve"> (2024) ‘Shared decision-making with patients with complex care needs: a scoping review’, </w:t>
      </w:r>
      <w:r w:rsidRPr="008726C2">
        <w:rPr>
          <w:i/>
          <w:iCs/>
        </w:rPr>
        <w:t>BMC Primary Care</w:t>
      </w:r>
      <w:r w:rsidRPr="008726C2">
        <w:t>, 25(390). Available at: </w:t>
      </w:r>
      <w:hyperlink r:id="rId24" w:history="1">
        <w:r w:rsidRPr="008726C2">
          <w:rPr>
            <w:rStyle w:val="Hyperlink"/>
          </w:rPr>
          <w:t>https://bmcprimcare.biomedcentral.com/articles/10.1186/s12875-024-02633-9</w:t>
        </w:r>
      </w:hyperlink>
      <w:r w:rsidRPr="008726C2">
        <w:t>.</w:t>
      </w:r>
    </w:p>
    <w:p w14:paraId="66398EB8" w14:textId="77777777" w:rsidR="00C23D2D" w:rsidRDefault="00C23D2D" w:rsidP="00C23D2D">
      <w:pPr>
        <w:spacing w:before="60" w:after="60"/>
      </w:pPr>
      <w:r w:rsidRPr="002F18BC">
        <w:lastRenderedPageBreak/>
        <w:t xml:space="preserve">Robson, G. </w:t>
      </w:r>
      <w:r w:rsidRPr="002F18BC">
        <w:rPr>
          <w:i/>
          <w:iCs/>
        </w:rPr>
        <w:t>et al.</w:t>
      </w:r>
      <w:r w:rsidRPr="002F18BC">
        <w:t> </w:t>
      </w:r>
      <w:r>
        <w:t>(2019) ‘</w:t>
      </w:r>
      <w:r w:rsidRPr="002F18BC">
        <w:t>Global health ethics: critical reflections on the contours of an emerging field, 1977–2015</w:t>
      </w:r>
      <w:r>
        <w:t>’,</w:t>
      </w:r>
      <w:r w:rsidRPr="002F18BC">
        <w:t> </w:t>
      </w:r>
      <w:r w:rsidRPr="002F18BC">
        <w:rPr>
          <w:i/>
          <w:iCs/>
        </w:rPr>
        <w:t>BMC Med</w:t>
      </w:r>
      <w:r>
        <w:rPr>
          <w:i/>
          <w:iCs/>
        </w:rPr>
        <w:t>ical</w:t>
      </w:r>
      <w:r w:rsidRPr="002F18BC">
        <w:rPr>
          <w:i/>
          <w:iCs/>
        </w:rPr>
        <w:t xml:space="preserve"> Ethics</w:t>
      </w:r>
      <w:r>
        <w:rPr>
          <w:i/>
          <w:iCs/>
        </w:rPr>
        <w:t>,</w:t>
      </w:r>
      <w:r w:rsidRPr="002F18BC">
        <w:t> </w:t>
      </w:r>
      <w:r w:rsidRPr="00B54BA8">
        <w:t>20,</w:t>
      </w:r>
      <w:r w:rsidRPr="002F18BC">
        <w:t xml:space="preserve"> 53. </w:t>
      </w:r>
      <w:hyperlink r:id="rId25" w:history="1">
        <w:r w:rsidRPr="0054229C">
          <w:rPr>
            <w:rStyle w:val="Hyperlink"/>
          </w:rPr>
          <w:t>https://doi.org/10.1186/s12910-019-0391-9</w:t>
        </w:r>
      </w:hyperlink>
    </w:p>
    <w:p w14:paraId="49252201" w14:textId="77777777" w:rsidR="00C23D2D" w:rsidRDefault="00C23D2D" w:rsidP="00C23D2D">
      <w:pPr>
        <w:spacing w:before="60" w:after="60"/>
        <w:rPr>
          <w:lang w:val="en-US"/>
        </w:rPr>
      </w:pPr>
      <w:r w:rsidRPr="00BC262A">
        <w:rPr>
          <w:lang w:val="en-US"/>
        </w:rPr>
        <w:t>Rosen, M.A.</w:t>
      </w:r>
      <w:r>
        <w:rPr>
          <w:lang w:val="en-US"/>
        </w:rPr>
        <w:t xml:space="preserve"> </w:t>
      </w:r>
      <w:r w:rsidRPr="00BC262A">
        <w:rPr>
          <w:i/>
          <w:iCs/>
          <w:lang w:val="en-US"/>
        </w:rPr>
        <w:t>et al.</w:t>
      </w:r>
      <w:r w:rsidRPr="00BC262A">
        <w:rPr>
          <w:lang w:val="en-US"/>
        </w:rPr>
        <w:t xml:space="preserve"> (2018)</w:t>
      </w:r>
      <w:r>
        <w:rPr>
          <w:lang w:val="en-US"/>
        </w:rPr>
        <w:t xml:space="preserve"> ‘</w:t>
      </w:r>
      <w:r w:rsidRPr="00BC262A">
        <w:rPr>
          <w:lang w:val="en-US"/>
        </w:rPr>
        <w:t>Teamwork in Healthcare: Key Discoveries Enabling Safer, High-Quality Care</w:t>
      </w:r>
      <w:r>
        <w:rPr>
          <w:lang w:val="en-US"/>
        </w:rPr>
        <w:t xml:space="preserve">’, </w:t>
      </w:r>
      <w:r w:rsidRPr="00BC262A">
        <w:rPr>
          <w:i/>
          <w:iCs/>
          <w:lang w:val="en-US"/>
        </w:rPr>
        <w:t>The American Psychologist</w:t>
      </w:r>
      <w:r w:rsidRPr="00BC262A">
        <w:rPr>
          <w:lang w:val="en-US"/>
        </w:rPr>
        <w:t xml:space="preserve">, </w:t>
      </w:r>
      <w:r w:rsidRPr="00BC262A">
        <w:rPr>
          <w:i/>
          <w:iCs/>
          <w:lang w:val="en-US"/>
        </w:rPr>
        <w:t>73</w:t>
      </w:r>
      <w:r w:rsidRPr="00BC262A">
        <w:rPr>
          <w:lang w:val="en-US"/>
        </w:rPr>
        <w:t xml:space="preserve">(4), 433. </w:t>
      </w:r>
      <w:hyperlink r:id="rId26" w:history="1">
        <w:r w:rsidRPr="0054229C">
          <w:rPr>
            <w:rStyle w:val="Hyperlink"/>
            <w:lang w:val="en-US"/>
          </w:rPr>
          <w:t>https://doi.org/10.1037/amp0000298</w:t>
        </w:r>
      </w:hyperlink>
    </w:p>
    <w:p w14:paraId="30964F30" w14:textId="77777777" w:rsidR="00C23D2D" w:rsidRDefault="00C23D2D" w:rsidP="00C23D2D">
      <w:pPr>
        <w:spacing w:before="60" w:after="60"/>
        <w:rPr>
          <w:lang w:val="en-US"/>
        </w:rPr>
      </w:pPr>
      <w:r w:rsidRPr="00793106">
        <w:rPr>
          <w:lang w:val="en-US"/>
        </w:rPr>
        <w:t>Santana, M.J.</w:t>
      </w:r>
      <w:r>
        <w:rPr>
          <w:lang w:val="en-US"/>
        </w:rPr>
        <w:t xml:space="preserve"> </w:t>
      </w:r>
      <w:r w:rsidRPr="00793106">
        <w:rPr>
          <w:i/>
          <w:iCs/>
          <w:lang w:val="en-US"/>
        </w:rPr>
        <w:t>et al.</w:t>
      </w:r>
      <w:r w:rsidRPr="00793106">
        <w:rPr>
          <w:lang w:val="en-US"/>
        </w:rPr>
        <w:t xml:space="preserve"> (201</w:t>
      </w:r>
      <w:r>
        <w:rPr>
          <w:lang w:val="en-US"/>
        </w:rPr>
        <w:t>8</w:t>
      </w:r>
      <w:r w:rsidRPr="00793106">
        <w:rPr>
          <w:lang w:val="en-US"/>
        </w:rPr>
        <w:t>)</w:t>
      </w:r>
      <w:r>
        <w:rPr>
          <w:lang w:val="en-US"/>
        </w:rPr>
        <w:t xml:space="preserve"> ‘</w:t>
      </w:r>
      <w:r w:rsidRPr="00793106">
        <w:rPr>
          <w:lang w:val="en-US"/>
        </w:rPr>
        <w:t>How to practice person</w:t>
      </w:r>
      <w:r w:rsidRPr="00793106">
        <w:rPr>
          <w:rFonts w:ascii="Cambria Math" w:hAnsi="Cambria Math" w:cs="Cambria Math"/>
          <w:lang w:val="en-US"/>
        </w:rPr>
        <w:t>‐</w:t>
      </w:r>
      <w:proofErr w:type="spellStart"/>
      <w:r w:rsidRPr="00793106">
        <w:rPr>
          <w:lang w:val="en-US"/>
        </w:rPr>
        <w:t>centred</w:t>
      </w:r>
      <w:proofErr w:type="spellEnd"/>
      <w:r w:rsidRPr="00793106">
        <w:rPr>
          <w:lang w:val="en-US"/>
        </w:rPr>
        <w:t xml:space="preserve"> care: A conceptual framework. </w:t>
      </w:r>
      <w:r w:rsidRPr="00793106">
        <w:rPr>
          <w:i/>
          <w:iCs/>
          <w:lang w:val="en-US"/>
        </w:rPr>
        <w:t>Health Expectations</w:t>
      </w:r>
      <w:r w:rsidRPr="00793106">
        <w:rPr>
          <w:lang w:val="en-US"/>
        </w:rPr>
        <w:t xml:space="preserve">, </w:t>
      </w:r>
      <w:r w:rsidRPr="00793106">
        <w:rPr>
          <w:i/>
          <w:iCs/>
          <w:lang w:val="en-US"/>
        </w:rPr>
        <w:t>21</w:t>
      </w:r>
      <w:r w:rsidRPr="00793106">
        <w:rPr>
          <w:lang w:val="en-US"/>
        </w:rPr>
        <w:t xml:space="preserve">(2), 429. </w:t>
      </w:r>
      <w:hyperlink r:id="rId27" w:history="1">
        <w:r w:rsidRPr="0054229C">
          <w:rPr>
            <w:rStyle w:val="Hyperlink"/>
            <w:lang w:val="en-US"/>
          </w:rPr>
          <w:t>https://doi.org/10.1111/hex.12640</w:t>
        </w:r>
      </w:hyperlink>
    </w:p>
    <w:p w14:paraId="1168C194" w14:textId="77777777" w:rsidR="00C23D2D" w:rsidRDefault="00C23D2D" w:rsidP="00C23D2D">
      <w:pPr>
        <w:spacing w:before="60" w:after="60"/>
      </w:pPr>
      <w:proofErr w:type="spellStart"/>
      <w:r w:rsidRPr="00752865">
        <w:t>Sharkiya</w:t>
      </w:r>
      <w:proofErr w:type="spellEnd"/>
      <w:r w:rsidRPr="00752865">
        <w:t>, S.H. (2023) ‘Quality communication can improve patient-centred health outcomes among older patients: a rapid review’, </w:t>
      </w:r>
      <w:r w:rsidRPr="00752865">
        <w:rPr>
          <w:i/>
          <w:iCs/>
        </w:rPr>
        <w:t>BMC Health Service Research,</w:t>
      </w:r>
      <w:r w:rsidRPr="00752865">
        <w:t> 23(1), p. 886.</w:t>
      </w:r>
    </w:p>
    <w:p w14:paraId="7AD6F5C5" w14:textId="77777777" w:rsidR="00C23D2D" w:rsidRDefault="00C23D2D" w:rsidP="00C23D2D">
      <w:pPr>
        <w:spacing w:before="60" w:after="60"/>
        <w:rPr>
          <w:lang w:val="en-US"/>
        </w:rPr>
      </w:pPr>
      <w:r>
        <w:rPr>
          <w:lang w:val="en-US"/>
        </w:rPr>
        <w:t xml:space="preserve">Social Care Institute for Excellence [SCIE] (2020) </w:t>
      </w:r>
      <w:proofErr w:type="spellStart"/>
      <w:r w:rsidRPr="00542F9A">
        <w:rPr>
          <w:i/>
          <w:iCs/>
          <w:lang w:val="en-US"/>
        </w:rPr>
        <w:t>Reablement</w:t>
      </w:r>
      <w:proofErr w:type="spellEnd"/>
      <w:r w:rsidRPr="00542F9A">
        <w:rPr>
          <w:i/>
          <w:iCs/>
          <w:lang w:val="en-US"/>
        </w:rPr>
        <w:t>: a guide for carers and family</w:t>
      </w:r>
      <w:r>
        <w:rPr>
          <w:lang w:val="en-US"/>
        </w:rPr>
        <w:t xml:space="preserve">. Available at: </w:t>
      </w:r>
      <w:hyperlink r:id="rId28" w:history="1">
        <w:r w:rsidRPr="0054229C">
          <w:rPr>
            <w:rStyle w:val="Hyperlink"/>
            <w:lang w:val="en-US"/>
          </w:rPr>
          <w:t>https://www.scie.org.uk/integrated-care/intermediate-care-reablement/reablement-guide/</w:t>
        </w:r>
      </w:hyperlink>
      <w:r>
        <w:rPr>
          <w:lang w:val="en-US"/>
        </w:rPr>
        <w:t xml:space="preserve"> (Accessed: 2 July 2026).</w:t>
      </w:r>
    </w:p>
    <w:p w14:paraId="239F90D0" w14:textId="77777777" w:rsidR="00C23D2D" w:rsidRDefault="00C23D2D" w:rsidP="00C23D2D">
      <w:pPr>
        <w:spacing w:before="60" w:after="60"/>
        <w:rPr>
          <w:lang w:val="en-US"/>
        </w:rPr>
      </w:pPr>
      <w:r w:rsidRPr="00BA00F9">
        <w:rPr>
          <w:lang w:val="en-US"/>
        </w:rPr>
        <w:t>Varkey, B. (2020)</w:t>
      </w:r>
      <w:r>
        <w:rPr>
          <w:lang w:val="en-US"/>
        </w:rPr>
        <w:t xml:space="preserve"> ‘</w:t>
      </w:r>
      <w:r w:rsidRPr="00BA00F9">
        <w:rPr>
          <w:lang w:val="en-US"/>
        </w:rPr>
        <w:t>Principles of Clinical Ethics and Their Application to Practice</w:t>
      </w:r>
      <w:r>
        <w:rPr>
          <w:lang w:val="en-US"/>
        </w:rPr>
        <w:t>’,</w:t>
      </w:r>
      <w:r w:rsidRPr="00BA00F9">
        <w:rPr>
          <w:lang w:val="en-US"/>
        </w:rPr>
        <w:t xml:space="preserve"> </w:t>
      </w:r>
      <w:r w:rsidRPr="00BA00F9">
        <w:rPr>
          <w:i/>
          <w:iCs/>
          <w:lang w:val="en-US"/>
        </w:rPr>
        <w:t>Medical Principles and Practice</w:t>
      </w:r>
      <w:r w:rsidRPr="00BA00F9">
        <w:rPr>
          <w:lang w:val="en-US"/>
        </w:rPr>
        <w:t xml:space="preserve">, </w:t>
      </w:r>
      <w:r w:rsidRPr="00BA00F9">
        <w:rPr>
          <w:i/>
          <w:iCs/>
          <w:lang w:val="en-US"/>
        </w:rPr>
        <w:t>30</w:t>
      </w:r>
      <w:r w:rsidRPr="00BA00F9">
        <w:rPr>
          <w:lang w:val="en-US"/>
        </w:rPr>
        <w:t xml:space="preserve">(1), 17. </w:t>
      </w:r>
      <w:hyperlink r:id="rId29" w:history="1">
        <w:r w:rsidRPr="0054229C">
          <w:rPr>
            <w:rStyle w:val="Hyperlink"/>
            <w:lang w:val="en-US"/>
          </w:rPr>
          <w:t>https://doi.org/10.1159/000509119</w:t>
        </w:r>
      </w:hyperlink>
    </w:p>
    <w:p w14:paraId="3B8333FC" w14:textId="77777777" w:rsidR="00C23D2D" w:rsidRPr="00542F9A" w:rsidRDefault="00C23D2D" w:rsidP="00C23D2D">
      <w:pPr>
        <w:spacing w:before="60" w:after="60"/>
        <w:rPr>
          <w:lang w:val="en-US"/>
        </w:rPr>
      </w:pPr>
    </w:p>
    <w:p w14:paraId="1F23A105" w14:textId="77777777" w:rsidR="005D095C" w:rsidRDefault="005D095C"/>
    <w:sectPr w:rsidR="005D095C" w:rsidSect="00C23D2D">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78B34" w14:textId="77777777" w:rsidR="00203A49" w:rsidRDefault="00203A49">
      <w:pPr>
        <w:spacing w:before="0" w:after="0" w:line="240" w:lineRule="auto"/>
      </w:pPr>
      <w:r>
        <w:separator/>
      </w:r>
    </w:p>
  </w:endnote>
  <w:endnote w:type="continuationSeparator" w:id="0">
    <w:p w14:paraId="1B26DE54" w14:textId="77777777" w:rsidR="00203A49" w:rsidRDefault="00203A4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cs="Arial"/>
        <w:noProof/>
      </w:rPr>
    </w:sdtEndPr>
    <w:sdtContent>
      <w:p w14:paraId="1367A42E" w14:textId="77777777" w:rsidR="00C23D2D" w:rsidRPr="00C03A91" w:rsidRDefault="00C23D2D">
        <w:pPr>
          <w:pStyle w:val="Footer"/>
          <w:jc w:val="center"/>
          <w:rPr>
            <w:rFonts w:cs="Arial"/>
          </w:rPr>
        </w:pPr>
        <w:r w:rsidRPr="00C03A91">
          <w:rPr>
            <w:rFonts w:cs="Arial"/>
          </w:rPr>
          <w:fldChar w:fldCharType="begin"/>
        </w:r>
        <w:r w:rsidRPr="00C03A91">
          <w:rPr>
            <w:rFonts w:cs="Arial"/>
          </w:rPr>
          <w:instrText xml:space="preserve"> PAGE   \* MERGEFORMAT </w:instrText>
        </w:r>
        <w:r w:rsidRPr="00C03A91">
          <w:rPr>
            <w:rFonts w:cs="Arial"/>
          </w:rPr>
          <w:fldChar w:fldCharType="separate"/>
        </w:r>
        <w:r w:rsidRPr="00C03A91">
          <w:rPr>
            <w:rFonts w:cs="Arial"/>
            <w:noProof/>
          </w:rPr>
          <w:t>2</w:t>
        </w:r>
        <w:r w:rsidRPr="00C03A91">
          <w:rPr>
            <w:rFonts w:cs="Arial"/>
            <w:noProof/>
          </w:rPr>
          <w:fldChar w:fldCharType="end"/>
        </w:r>
      </w:p>
    </w:sdtContent>
  </w:sdt>
  <w:p w14:paraId="0A124238" w14:textId="77777777" w:rsidR="00C23D2D" w:rsidRDefault="00C23D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93484" w14:textId="77777777" w:rsidR="00203A49" w:rsidRDefault="00203A49">
      <w:pPr>
        <w:spacing w:before="0" w:after="0" w:line="240" w:lineRule="auto"/>
      </w:pPr>
      <w:r>
        <w:separator/>
      </w:r>
    </w:p>
  </w:footnote>
  <w:footnote w:type="continuationSeparator" w:id="0">
    <w:p w14:paraId="669F64DD" w14:textId="77777777" w:rsidR="00203A49" w:rsidRDefault="00203A49">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D2D"/>
    <w:rsid w:val="000E5C5A"/>
    <w:rsid w:val="00203A49"/>
    <w:rsid w:val="00315C87"/>
    <w:rsid w:val="004573F6"/>
    <w:rsid w:val="005D095C"/>
    <w:rsid w:val="005F7DB3"/>
    <w:rsid w:val="0069340B"/>
    <w:rsid w:val="00971B9F"/>
    <w:rsid w:val="00AD0441"/>
    <w:rsid w:val="00C036A9"/>
    <w:rsid w:val="00C23D2D"/>
    <w:rsid w:val="00C851BF"/>
    <w:rsid w:val="00CD4ED9"/>
    <w:rsid w:val="00D02749"/>
    <w:rsid w:val="00F77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9052E4"/>
  <w15:chartTrackingRefBased/>
  <w15:docId w15:val="{6459EA72-E273-4A8E-AC79-4C6535458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D2D"/>
    <w:pPr>
      <w:spacing w:before="100" w:beforeAutospacing="1" w:after="100" w:afterAutospacing="1" w:line="360" w:lineRule="auto"/>
    </w:pPr>
    <w:rPr>
      <w:rFonts w:ascii="Arial" w:hAnsi="Arial"/>
      <w:kern w:val="0"/>
      <w:sz w:val="22"/>
      <w:szCs w:val="22"/>
      <w14:ligatures w14:val="none"/>
    </w:rPr>
  </w:style>
  <w:style w:type="paragraph" w:styleId="Heading1">
    <w:name w:val="heading 1"/>
    <w:basedOn w:val="Normal"/>
    <w:next w:val="Normal"/>
    <w:link w:val="Heading1Char"/>
    <w:uiPriority w:val="9"/>
    <w:qFormat/>
    <w:rsid w:val="00C23D2D"/>
    <w:pPr>
      <w:keepNext/>
      <w:keepLines/>
      <w:spacing w:before="360" w:beforeAutospacing="0" w:after="80" w:afterAutospacing="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C23D2D"/>
    <w:pPr>
      <w:keepNext/>
      <w:keepLines/>
      <w:spacing w:before="160" w:beforeAutospacing="0" w:after="80" w:afterAutospacing="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C23D2D"/>
    <w:pPr>
      <w:keepNext/>
      <w:keepLines/>
      <w:spacing w:before="160" w:beforeAutospacing="0" w:after="80" w:afterAutospacing="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C23D2D"/>
    <w:pPr>
      <w:keepNext/>
      <w:keepLines/>
      <w:spacing w:before="80" w:beforeAutospacing="0" w:after="40" w:afterAutospacing="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C23D2D"/>
    <w:pPr>
      <w:keepNext/>
      <w:keepLines/>
      <w:spacing w:before="80" w:beforeAutospacing="0" w:after="40" w:afterAutospacing="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C23D2D"/>
    <w:pPr>
      <w:keepNext/>
      <w:keepLines/>
      <w:spacing w:before="40" w:beforeAutospacing="0" w:after="0" w:afterAutospacing="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C23D2D"/>
    <w:pPr>
      <w:keepNext/>
      <w:keepLines/>
      <w:spacing w:before="40" w:beforeAutospacing="0" w:after="0" w:afterAutospacing="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C23D2D"/>
    <w:pPr>
      <w:keepNext/>
      <w:keepLines/>
      <w:spacing w:before="0" w:beforeAutospacing="0" w:after="0" w:afterAutospacing="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C23D2D"/>
    <w:pPr>
      <w:keepNext/>
      <w:keepLines/>
      <w:spacing w:before="0" w:beforeAutospacing="0" w:after="0" w:afterAutospacing="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3D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3D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3D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3D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3D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3D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3D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3D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3D2D"/>
    <w:rPr>
      <w:rFonts w:eastAsiaTheme="majorEastAsia" w:cstheme="majorBidi"/>
      <w:color w:val="272727" w:themeColor="text1" w:themeTint="D8"/>
    </w:rPr>
  </w:style>
  <w:style w:type="paragraph" w:styleId="Title">
    <w:name w:val="Title"/>
    <w:basedOn w:val="Normal"/>
    <w:next w:val="Normal"/>
    <w:link w:val="TitleChar"/>
    <w:uiPriority w:val="10"/>
    <w:qFormat/>
    <w:rsid w:val="00C23D2D"/>
    <w:pPr>
      <w:spacing w:before="0" w:beforeAutospacing="0" w:after="80" w:afterAutospacing="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C23D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3D2D"/>
    <w:pPr>
      <w:numPr>
        <w:ilvl w:val="1"/>
      </w:numPr>
      <w:spacing w:before="0" w:beforeAutospacing="0" w:after="160" w:afterAutospacing="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C23D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3D2D"/>
    <w:pPr>
      <w:spacing w:before="160" w:beforeAutospacing="0" w:after="160" w:afterAutospacing="0" w:line="278" w:lineRule="auto"/>
      <w:jc w:val="center"/>
    </w:pPr>
    <w:rPr>
      <w:rFonts w:asciiTheme="minorHAnsi" w:hAnsi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C23D2D"/>
    <w:rPr>
      <w:i/>
      <w:iCs/>
      <w:color w:val="404040" w:themeColor="text1" w:themeTint="BF"/>
    </w:rPr>
  </w:style>
  <w:style w:type="paragraph" w:styleId="ListParagraph">
    <w:name w:val="List Paragraph"/>
    <w:basedOn w:val="Normal"/>
    <w:uiPriority w:val="34"/>
    <w:qFormat/>
    <w:rsid w:val="00C23D2D"/>
    <w:pPr>
      <w:spacing w:before="0" w:beforeAutospacing="0" w:after="160" w:afterAutospacing="0" w:line="278" w:lineRule="auto"/>
      <w:ind w:left="720"/>
      <w:contextualSpacing/>
    </w:pPr>
    <w:rPr>
      <w:rFonts w:asciiTheme="minorHAnsi" w:hAnsiTheme="minorHAnsi"/>
      <w:kern w:val="2"/>
      <w:sz w:val="24"/>
      <w:szCs w:val="24"/>
      <w14:ligatures w14:val="standardContextual"/>
    </w:rPr>
  </w:style>
  <w:style w:type="character" w:styleId="IntenseEmphasis">
    <w:name w:val="Intense Emphasis"/>
    <w:basedOn w:val="DefaultParagraphFont"/>
    <w:uiPriority w:val="21"/>
    <w:qFormat/>
    <w:rsid w:val="00C23D2D"/>
    <w:rPr>
      <w:i/>
      <w:iCs/>
      <w:color w:val="0F4761" w:themeColor="accent1" w:themeShade="BF"/>
    </w:rPr>
  </w:style>
  <w:style w:type="paragraph" w:styleId="IntenseQuote">
    <w:name w:val="Intense Quote"/>
    <w:basedOn w:val="Normal"/>
    <w:next w:val="Normal"/>
    <w:link w:val="IntenseQuoteChar"/>
    <w:uiPriority w:val="30"/>
    <w:qFormat/>
    <w:rsid w:val="00C23D2D"/>
    <w:pPr>
      <w:pBdr>
        <w:top w:val="single" w:sz="4" w:space="10" w:color="0F4761" w:themeColor="accent1" w:themeShade="BF"/>
        <w:bottom w:val="single" w:sz="4" w:space="10" w:color="0F4761" w:themeColor="accent1" w:themeShade="BF"/>
      </w:pBdr>
      <w:spacing w:before="360" w:beforeAutospacing="0" w:after="360" w:afterAutospacing="0" w:line="278" w:lineRule="auto"/>
      <w:ind w:left="864" w:right="864"/>
      <w:jc w:val="center"/>
    </w:pPr>
    <w:rPr>
      <w:rFonts w:asciiTheme="minorHAnsi" w:hAnsiTheme="minorHAns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C23D2D"/>
    <w:rPr>
      <w:i/>
      <w:iCs/>
      <w:color w:val="0F4761" w:themeColor="accent1" w:themeShade="BF"/>
    </w:rPr>
  </w:style>
  <w:style w:type="character" w:styleId="IntenseReference">
    <w:name w:val="Intense Reference"/>
    <w:basedOn w:val="DefaultParagraphFont"/>
    <w:uiPriority w:val="32"/>
    <w:qFormat/>
    <w:rsid w:val="00C23D2D"/>
    <w:rPr>
      <w:b/>
      <w:bCs/>
      <w:smallCaps/>
      <w:color w:val="0F4761" w:themeColor="accent1" w:themeShade="BF"/>
      <w:spacing w:val="5"/>
    </w:rPr>
  </w:style>
  <w:style w:type="character" w:styleId="Hyperlink">
    <w:name w:val="Hyperlink"/>
    <w:basedOn w:val="DefaultParagraphFont"/>
    <w:uiPriority w:val="99"/>
    <w:unhideWhenUsed/>
    <w:rsid w:val="00C23D2D"/>
    <w:rPr>
      <w:color w:val="467886" w:themeColor="hyperlink"/>
      <w:u w:val="single"/>
    </w:rPr>
  </w:style>
  <w:style w:type="paragraph" w:styleId="Footer">
    <w:name w:val="footer"/>
    <w:basedOn w:val="Normal"/>
    <w:link w:val="FooterChar"/>
    <w:uiPriority w:val="99"/>
    <w:unhideWhenUsed/>
    <w:rsid w:val="00C23D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D2D"/>
    <w:rPr>
      <w:rFonts w:ascii="Arial" w:hAnsi="Arial"/>
      <w:kern w:val="0"/>
      <w:sz w:val="22"/>
      <w:szCs w:val="22"/>
      <w14:ligatures w14:val="none"/>
    </w:rPr>
  </w:style>
  <w:style w:type="paragraph" w:styleId="TOC1">
    <w:name w:val="toc 1"/>
    <w:basedOn w:val="Normal"/>
    <w:next w:val="Normal"/>
    <w:autoRedefine/>
    <w:uiPriority w:val="39"/>
    <w:unhideWhenUsed/>
    <w:rsid w:val="00C23D2D"/>
  </w:style>
  <w:style w:type="paragraph" w:styleId="Header">
    <w:name w:val="header"/>
    <w:basedOn w:val="Normal"/>
    <w:link w:val="HeaderChar"/>
    <w:uiPriority w:val="99"/>
    <w:unhideWhenUsed/>
    <w:rsid w:val="00AD044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D0441"/>
    <w:rPr>
      <w:rFonts w:ascii="Arial" w:hAnsi="Arial"/>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legislation.gov.uk/ukpga/2022/31/contents" TargetMode="External"/><Relationship Id="rId18" Type="http://schemas.openxmlformats.org/officeDocument/2006/relationships/hyperlink" Target="https://doi10.1186/s12875-023-02194-3" TargetMode="External"/><Relationship Id="rId26" Type="http://schemas.openxmlformats.org/officeDocument/2006/relationships/hyperlink" Target="https://doi.org/10.1037/amp0000298" TargetMode="External"/><Relationship Id="rId3" Type="http://schemas.openxmlformats.org/officeDocument/2006/relationships/settings" Target="settings.xml"/><Relationship Id="rId21" Type="http://schemas.openxmlformats.org/officeDocument/2006/relationships/hyperlink" Target="https://www.nice.org.uk/guidance/ng249" TargetMode="External"/><Relationship Id="rId7" Type="http://schemas.openxmlformats.org/officeDocument/2006/relationships/image" Target="media/image1.png"/><Relationship Id="rId12" Type="http://schemas.openxmlformats.org/officeDocument/2006/relationships/hyperlink" Target="https://www.kingsfund.org.uk/insight-and-analysis/reports/better-services-people-long-term-conditions" TargetMode="External"/><Relationship Id="rId17" Type="http://schemas.openxmlformats.org/officeDocument/2006/relationships/hyperlink" Target="https://doi.org/10.1111/hex.13271" TargetMode="External"/><Relationship Id="rId25" Type="http://schemas.openxmlformats.org/officeDocument/2006/relationships/hyperlink" Target="https://doi.org/10.1186/s12910-019-0391-9" TargetMode="External"/><Relationship Id="rId2" Type="http://schemas.openxmlformats.org/officeDocument/2006/relationships/styles" Target="styles.xml"/><Relationship Id="rId16" Type="http://schemas.openxmlformats.org/officeDocument/2006/relationships/hyperlink" Target="http://www.health.org.uk/sites/health/files/PersonCentredCareMadeSimple.pdf" TargetMode="External"/><Relationship Id="rId20" Type="http://schemas.openxmlformats.org/officeDocument/2006/relationships/hyperlink" Target="https://www.nice.org.uk/guidance/ng21" TargetMode="External"/><Relationship Id="rId29" Type="http://schemas.openxmlformats.org/officeDocument/2006/relationships/hyperlink" Target="https://doi.org/10.1159/000509119"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7861/futurehosp.3-2-114" TargetMode="External"/><Relationship Id="rId24" Type="http://schemas.openxmlformats.org/officeDocument/2006/relationships/hyperlink" Target="https://bmcprimcare.biomedcentral.com/articles/10.1186/s12875-024-02633-9"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killsforhealth.org.uk/app/uploads/2021/01/Person-Centred-Approaches-Framework.pdf" TargetMode="External"/><Relationship Id="rId23" Type="http://schemas.openxmlformats.org/officeDocument/2006/relationships/hyperlink" Target="https://myhomelife.org.uk/wp-content/uploads/2026/02/MHLE-Partnership-Working-Report_2026.pdf" TargetMode="External"/><Relationship Id="rId28" Type="http://schemas.openxmlformats.org/officeDocument/2006/relationships/hyperlink" Target="https://www.scie.org.uk/integrated-care/intermediate-care-reablement/reablement-guide/" TargetMode="External"/><Relationship Id="rId10" Type="http://schemas.openxmlformats.org/officeDocument/2006/relationships/hyperlink" Target="https://doi.org/10.1186/s12877-020-01958-1" TargetMode="External"/><Relationship Id="rId19" Type="http://schemas.openxmlformats.org/officeDocument/2006/relationships/hyperlink" Target="https://doi.org/10.3390/encyclopedia5010029"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egislation.gov.uk/ukpga/2014/23/contents" TargetMode="External"/><Relationship Id="rId14" Type="http://schemas.openxmlformats.org/officeDocument/2006/relationships/hyperlink" Target="https://www.hcpc-uk.org" TargetMode="External"/><Relationship Id="rId22" Type="http://schemas.openxmlformats.org/officeDocument/2006/relationships/hyperlink" Target="https://www.nmc.org.uk/standards/code" TargetMode="External"/><Relationship Id="rId27" Type="http://schemas.openxmlformats.org/officeDocument/2006/relationships/hyperlink" Target="https://doi.org/10.1111/hex.12640"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51F76-A834-40F9-B6BD-D23173478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3266</Words>
  <Characters>18620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 Uzoma Egbeonu (2438118)</dc:creator>
  <cp:keywords/>
  <dc:description/>
  <cp:lastModifiedBy>Francis Uzoma Egbeonu (2438118)</cp:lastModifiedBy>
  <cp:revision>9</cp:revision>
  <dcterms:created xsi:type="dcterms:W3CDTF">2026-07-20T08:25:00Z</dcterms:created>
  <dcterms:modified xsi:type="dcterms:W3CDTF">2026-07-25T13:35:00Z</dcterms:modified>
</cp:coreProperties>
</file>