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D05B1"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Module:</w:t>
      </w:r>
    </w:p>
    <w:p w14:paraId="66006104" w14:textId="740F3002" w:rsidR="00E46FE9" w:rsidRPr="008E6FEB" w:rsidRDefault="000543E2"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sz w:val="40"/>
          <w:szCs w:val="40"/>
        </w:rPr>
      </w:pPr>
      <w:r w:rsidRPr="008E6FEB">
        <w:rPr>
          <w:rFonts w:ascii="Times New Roman" w:eastAsia="Times New Roman" w:hAnsi="Times New Roman" w:cs="Times New Roman"/>
          <w:color w:val="000000" w:themeColor="text1"/>
          <w:kern w:val="36"/>
          <w:sz w:val="40"/>
          <w:szCs w:val="40"/>
        </w:rPr>
        <w:t>Islamic Law in the Contemporary World</w:t>
      </w:r>
      <w:r w:rsidR="00E46FE9" w:rsidRPr="008E6FEB">
        <w:rPr>
          <w:rFonts w:ascii="Times New Roman" w:eastAsia="Times New Roman" w:hAnsi="Times New Roman" w:cs="Times New Roman"/>
          <w:color w:val="000000" w:themeColor="text1"/>
          <w:kern w:val="36"/>
          <w:sz w:val="40"/>
          <w:szCs w:val="40"/>
        </w:rPr>
        <w:t xml:space="preserve"> (TRDL 7</w:t>
      </w:r>
      <w:r w:rsidRPr="008E6FEB">
        <w:rPr>
          <w:rFonts w:ascii="Times New Roman" w:eastAsia="Times New Roman" w:hAnsi="Times New Roman" w:cs="Times New Roman"/>
          <w:color w:val="000000" w:themeColor="text1"/>
          <w:kern w:val="36"/>
          <w:sz w:val="40"/>
          <w:szCs w:val="40"/>
        </w:rPr>
        <w:t>064</w:t>
      </w:r>
      <w:r w:rsidR="00E46FE9" w:rsidRPr="008E6FEB">
        <w:rPr>
          <w:rFonts w:ascii="Times New Roman" w:eastAsia="Times New Roman" w:hAnsi="Times New Roman" w:cs="Times New Roman"/>
          <w:color w:val="000000" w:themeColor="text1"/>
          <w:kern w:val="36"/>
          <w:sz w:val="40"/>
          <w:szCs w:val="40"/>
        </w:rPr>
        <w:t>)</w:t>
      </w:r>
    </w:p>
    <w:p w14:paraId="3796D14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894DB2E" w14:textId="375734D3" w:rsidR="005F3EF4" w:rsidRDefault="005F3EF4" w:rsidP="005F3EF4">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Assignment </w:t>
      </w:r>
      <w:r>
        <w:rPr>
          <w:rFonts w:ascii="Times New Roman" w:eastAsia="Times New Roman" w:hAnsi="Times New Roman" w:cs="Times New Roman"/>
          <w:color w:val="000000" w:themeColor="text1"/>
          <w:kern w:val="36"/>
        </w:rPr>
        <w:t xml:space="preserve">Two (Encyclopaedia) </w:t>
      </w:r>
      <w:r w:rsidR="003E65D4">
        <w:rPr>
          <w:rFonts w:ascii="Times New Roman" w:eastAsia="Times New Roman" w:hAnsi="Times New Roman" w:cs="Times New Roman"/>
          <w:color w:val="000000" w:themeColor="text1"/>
          <w:kern w:val="36"/>
        </w:rPr>
        <w:t>–</w:t>
      </w:r>
      <w:r>
        <w:rPr>
          <w:rFonts w:ascii="Times New Roman" w:eastAsia="Times New Roman" w:hAnsi="Times New Roman" w:cs="Times New Roman"/>
          <w:color w:val="000000" w:themeColor="text1"/>
          <w:kern w:val="36"/>
        </w:rPr>
        <w:t xml:space="preserve"> Entry</w:t>
      </w:r>
      <w:r w:rsidR="003E65D4">
        <w:rPr>
          <w:rFonts w:ascii="Times New Roman" w:eastAsia="Times New Roman" w:hAnsi="Times New Roman" w:cs="Times New Roman"/>
          <w:color w:val="000000" w:themeColor="text1"/>
          <w:kern w:val="36"/>
        </w:rPr>
        <w:t xml:space="preserve"> Five</w:t>
      </w:r>
      <w:bookmarkStart w:id="0" w:name="_GoBack"/>
      <w:bookmarkEnd w:id="0"/>
      <w:r>
        <w:rPr>
          <w:rFonts w:ascii="Times New Roman" w:eastAsia="Times New Roman" w:hAnsi="Times New Roman" w:cs="Times New Roman"/>
          <w:color w:val="000000" w:themeColor="text1"/>
          <w:kern w:val="36"/>
        </w:rPr>
        <w:t>:</w:t>
      </w:r>
    </w:p>
    <w:p w14:paraId="61A95531" w14:textId="77777777" w:rsidR="005F3EF4" w:rsidRDefault="005F3EF4" w:rsidP="005F3EF4">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38361EB4" w14:textId="564849F3" w:rsidR="005F3EF4" w:rsidRPr="008E6FEB" w:rsidRDefault="005F3EF4" w:rsidP="005F3EF4">
      <w:pPr>
        <w:shd w:val="clear" w:color="auto" w:fill="FFFFFF"/>
        <w:spacing w:after="100" w:afterAutospacing="1"/>
        <w:jc w:val="center"/>
        <w:outlineLvl w:val="0"/>
        <w:rPr>
          <w:rFonts w:ascii="Times New Roman" w:eastAsia="Times New Roman" w:hAnsi="Times New Roman" w:cs="Times New Roman"/>
          <w:color w:val="000000" w:themeColor="text1"/>
          <w:kern w:val="36"/>
        </w:rPr>
      </w:pPr>
      <w:r>
        <w:rPr>
          <w:rFonts w:ascii="Times New Roman" w:hAnsi="Times New Roman" w:cs="Times New Roman"/>
          <w:i/>
          <w:sz w:val="28"/>
          <w:szCs w:val="28"/>
        </w:rPr>
        <w:t xml:space="preserve">Proofs of Shari’ah: </w:t>
      </w:r>
      <w:r>
        <w:rPr>
          <w:rFonts w:ascii="Times New Roman" w:hAnsi="Times New Roman" w:cs="Times New Roman"/>
          <w:i/>
          <w:sz w:val="28"/>
          <w:szCs w:val="28"/>
        </w:rPr>
        <w:t>“Sunnah / Hadith”</w:t>
      </w:r>
      <w:r>
        <w:rPr>
          <w:rFonts w:ascii="Times New Roman" w:hAnsi="Times New Roman" w:cs="Times New Roman"/>
          <w:i/>
          <w:sz w:val="28"/>
          <w:szCs w:val="28"/>
        </w:rPr>
        <w:t xml:space="preserve"> </w:t>
      </w:r>
    </w:p>
    <w:p w14:paraId="6F687387"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1524FEBA"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474CE2A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B9F627A" w14:textId="3C67FF5E"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Tutor:</w:t>
      </w:r>
    </w:p>
    <w:p w14:paraId="5C91C54D" w14:textId="056EDD25"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Prof </w:t>
      </w:r>
      <w:r w:rsidR="000543E2" w:rsidRPr="008E6FEB">
        <w:rPr>
          <w:rFonts w:ascii="Times New Roman" w:eastAsia="Times New Roman" w:hAnsi="Times New Roman" w:cs="Times New Roman"/>
          <w:color w:val="000000" w:themeColor="text1"/>
          <w:kern w:val="36"/>
        </w:rPr>
        <w:t>Gary Bunt</w:t>
      </w:r>
    </w:p>
    <w:p w14:paraId="5F4AF2DD"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953E498"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02759308"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73965E6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AAFFCEB"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7C86A500"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474E4D7" w14:textId="2381FF79" w:rsidR="00E46FE9" w:rsidRPr="008E6FEB" w:rsidRDefault="000543E2" w:rsidP="00E46FE9">
      <w:pPr>
        <w:shd w:val="clear" w:color="auto" w:fill="FFFFFF"/>
        <w:spacing w:after="100" w:afterAutospacing="1"/>
        <w:jc w:val="center"/>
        <w:outlineLvl w:val="0"/>
        <w:rPr>
          <w:rFonts w:ascii="Times New Roman" w:eastAsia="Times New Roman" w:hAnsi="Times New Roman" w:cs="Times New Roman"/>
          <w:i/>
          <w:color w:val="000000" w:themeColor="text1"/>
          <w:kern w:val="36"/>
        </w:rPr>
      </w:pPr>
      <w:r w:rsidRPr="008E6FEB">
        <w:rPr>
          <w:rFonts w:ascii="Times New Roman" w:eastAsia="Times New Roman" w:hAnsi="Times New Roman" w:cs="Times New Roman"/>
          <w:i/>
          <w:color w:val="000000" w:themeColor="text1"/>
          <w:kern w:val="36"/>
        </w:rPr>
        <w:t>Submitt</w:t>
      </w:r>
      <w:r w:rsidR="00E46FE9" w:rsidRPr="008E6FEB">
        <w:rPr>
          <w:rFonts w:ascii="Times New Roman" w:eastAsia="Times New Roman" w:hAnsi="Times New Roman" w:cs="Times New Roman"/>
          <w:i/>
          <w:color w:val="000000" w:themeColor="text1"/>
          <w:kern w:val="36"/>
        </w:rPr>
        <w:t>ed by:</w:t>
      </w:r>
    </w:p>
    <w:p w14:paraId="237BDF0E"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b/>
          <w:color w:val="000000" w:themeColor="text1"/>
          <w:kern w:val="36"/>
          <w:sz w:val="32"/>
          <w:szCs w:val="32"/>
        </w:rPr>
      </w:pPr>
      <w:r w:rsidRPr="008E6FEB">
        <w:rPr>
          <w:rFonts w:ascii="Times New Roman" w:eastAsia="Times New Roman" w:hAnsi="Times New Roman" w:cs="Times New Roman"/>
          <w:b/>
          <w:color w:val="000000" w:themeColor="text1"/>
          <w:kern w:val="36"/>
          <w:sz w:val="32"/>
          <w:szCs w:val="32"/>
        </w:rPr>
        <w:t>Mohammed Adebayo (1603804)</w:t>
      </w:r>
    </w:p>
    <w:p w14:paraId="6228D27B"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University of Wales Trinity Saint David </w:t>
      </w:r>
    </w:p>
    <w:p w14:paraId="531FB3F1"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Lampeter Campus</w:t>
      </w:r>
    </w:p>
    <w:p w14:paraId="0246F6AD" w14:textId="4A03F8E6" w:rsidR="00E46FE9" w:rsidRPr="008E6FEB" w:rsidRDefault="002246FB"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Pr>
          <w:rFonts w:ascii="Times New Roman" w:eastAsia="Times New Roman" w:hAnsi="Times New Roman" w:cs="Times New Roman"/>
          <w:color w:val="000000" w:themeColor="text1"/>
          <w:kern w:val="36"/>
        </w:rPr>
        <w:t>May</w:t>
      </w:r>
      <w:r w:rsidR="00E46FE9" w:rsidRPr="008E6FEB">
        <w:rPr>
          <w:rFonts w:ascii="Times New Roman" w:eastAsia="Times New Roman" w:hAnsi="Times New Roman" w:cs="Times New Roman"/>
          <w:color w:val="000000" w:themeColor="text1"/>
          <w:kern w:val="36"/>
        </w:rPr>
        <w:t xml:space="preserve"> 2019</w:t>
      </w:r>
    </w:p>
    <w:p w14:paraId="0F5868E4" w14:textId="4D51EAD0" w:rsidR="00E46FE9" w:rsidRPr="008E6FEB" w:rsidRDefault="00E46FE9">
      <w:pPr>
        <w:rPr>
          <w:rFonts w:ascii="Times New Roman" w:hAnsi="Times New Roman" w:cs="Times New Roman"/>
        </w:rPr>
      </w:pPr>
    </w:p>
    <w:p w14:paraId="5AAA08C0" w14:textId="481E89C3" w:rsidR="000543E2" w:rsidRPr="008E6FEB" w:rsidRDefault="000543E2">
      <w:pPr>
        <w:rPr>
          <w:rFonts w:ascii="Times New Roman" w:hAnsi="Times New Roman" w:cs="Times New Roman"/>
        </w:rPr>
      </w:pPr>
    </w:p>
    <w:p w14:paraId="5697D9C7" w14:textId="1A8A7C44" w:rsidR="000543E2" w:rsidRPr="008E6FEB" w:rsidRDefault="000543E2">
      <w:pPr>
        <w:rPr>
          <w:rFonts w:ascii="Times New Roman" w:hAnsi="Times New Roman" w:cs="Times New Roman"/>
        </w:rPr>
      </w:pPr>
    </w:p>
    <w:p w14:paraId="4DCDEF6E" w14:textId="706727AC" w:rsidR="000543E2" w:rsidRPr="008E6FEB" w:rsidRDefault="000543E2">
      <w:pPr>
        <w:rPr>
          <w:rFonts w:ascii="Times New Roman" w:hAnsi="Times New Roman" w:cs="Times New Roman"/>
        </w:rPr>
      </w:pPr>
    </w:p>
    <w:p w14:paraId="4069F416" w14:textId="3BC5BA8C" w:rsidR="000543E2" w:rsidRPr="008E6FEB" w:rsidRDefault="000543E2">
      <w:pPr>
        <w:rPr>
          <w:rFonts w:ascii="Times New Roman" w:hAnsi="Times New Roman" w:cs="Times New Roman"/>
        </w:rPr>
      </w:pPr>
    </w:p>
    <w:p w14:paraId="71966E6F" w14:textId="63B73602" w:rsidR="00B20C4A" w:rsidRPr="009A3458" w:rsidRDefault="00C4676B" w:rsidP="009A3458">
      <w:pPr>
        <w:spacing w:line="480" w:lineRule="auto"/>
        <w:jc w:val="both"/>
        <w:rPr>
          <w:rFonts w:ascii="Times New Roman" w:eastAsia="Times New Roman" w:hAnsi="Times New Roman" w:cs="Times New Roman"/>
          <w:b/>
          <w:sz w:val="28"/>
          <w:szCs w:val="28"/>
        </w:rPr>
      </w:pPr>
      <w:r w:rsidRPr="009A3458">
        <w:rPr>
          <w:rFonts w:ascii="Times New Roman" w:eastAsia="Times New Roman" w:hAnsi="Times New Roman" w:cs="Times New Roman"/>
          <w:b/>
          <w:sz w:val="28"/>
          <w:szCs w:val="28"/>
        </w:rPr>
        <w:lastRenderedPageBreak/>
        <w:t>Sunnah</w:t>
      </w:r>
    </w:p>
    <w:p w14:paraId="069FD8CD" w14:textId="27BEBCBA" w:rsidR="00C4676B" w:rsidRDefault="00C4676B" w:rsidP="009A3458">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Sunnah literally means a clear path and </w:t>
      </w:r>
      <w:r w:rsidR="00E127A9">
        <w:rPr>
          <w:rFonts w:ascii="Times New Roman" w:eastAsia="Times New Roman" w:hAnsi="Times New Roman" w:cs="Times New Roman"/>
        </w:rPr>
        <w:t xml:space="preserve">it has </w:t>
      </w:r>
      <w:r>
        <w:rPr>
          <w:rFonts w:ascii="Times New Roman" w:eastAsia="Times New Roman" w:hAnsi="Times New Roman" w:cs="Times New Roman"/>
        </w:rPr>
        <w:t xml:space="preserve">also been defined as the normative practice or a defined code of conduct. It may mean good example or bad one, it could </w:t>
      </w:r>
      <w:r w:rsidR="00E127A9">
        <w:rPr>
          <w:rFonts w:ascii="Times New Roman" w:eastAsia="Times New Roman" w:hAnsi="Times New Roman" w:cs="Times New Roman"/>
        </w:rPr>
        <w:t xml:space="preserve">be </w:t>
      </w:r>
      <w:r>
        <w:rPr>
          <w:rFonts w:ascii="Times New Roman" w:eastAsia="Times New Roman" w:hAnsi="Times New Roman" w:cs="Times New Roman"/>
        </w:rPr>
        <w:t>a set-up of an individual, group of people or an entire community. In the pre-</w:t>
      </w:r>
      <w:r w:rsidR="00CA7071">
        <w:rPr>
          <w:rFonts w:ascii="Times New Roman" w:eastAsia="Times New Roman" w:hAnsi="Times New Roman" w:cs="Times New Roman"/>
        </w:rPr>
        <w:t>I</w:t>
      </w:r>
      <w:r>
        <w:rPr>
          <w:rFonts w:ascii="Times New Roman" w:eastAsia="Times New Roman" w:hAnsi="Times New Roman" w:cs="Times New Roman"/>
        </w:rPr>
        <w:t>slamic era, the Arabia use the word Sunnah to mean a continuous practice of what is been inherited from their forefathers and have been adopted as their way of life. The Arabia has considered these Sunnah as the way of their life and refer to it as the identification of their</w:t>
      </w:r>
      <w:r w:rsidR="00CA7071">
        <w:rPr>
          <w:rFonts w:ascii="Times New Roman" w:eastAsia="Times New Roman" w:hAnsi="Times New Roman" w:cs="Times New Roman"/>
        </w:rPr>
        <w:t xml:space="preserve"> tribe and pride. Bid’ah is the opposite of Sunnah, Bid’ah is an innovation, an act which is not permissible in Shari’ah due to its lack of precedent and its attachment to the past era before the advent of Islam. The word Sunnah and its plural word Sunan </w:t>
      </w:r>
      <w:r w:rsidR="00CF1248">
        <w:rPr>
          <w:rFonts w:ascii="Times New Roman" w:eastAsia="Times New Roman" w:hAnsi="Times New Roman" w:cs="Times New Roman"/>
        </w:rPr>
        <w:t>was</w:t>
      </w:r>
      <w:r w:rsidR="00CA7071">
        <w:rPr>
          <w:rFonts w:ascii="Times New Roman" w:eastAsia="Times New Roman" w:hAnsi="Times New Roman" w:cs="Times New Roman"/>
        </w:rPr>
        <w:t xml:space="preserve"> mentioned in the Qur’an precisely sixteen times. In other words, Sunnah ha</w:t>
      </w:r>
      <w:r w:rsidR="009A3458">
        <w:rPr>
          <w:rFonts w:ascii="Times New Roman" w:eastAsia="Times New Roman" w:hAnsi="Times New Roman" w:cs="Times New Roman"/>
        </w:rPr>
        <w:t>s</w:t>
      </w:r>
      <w:r w:rsidR="00CA7071">
        <w:rPr>
          <w:rFonts w:ascii="Times New Roman" w:eastAsia="Times New Roman" w:hAnsi="Times New Roman" w:cs="Times New Roman"/>
        </w:rPr>
        <w:t xml:space="preserve"> been mentioned </w:t>
      </w:r>
      <w:r w:rsidR="009A3458">
        <w:rPr>
          <w:rFonts w:ascii="Times New Roman" w:eastAsia="Times New Roman" w:hAnsi="Times New Roman" w:cs="Times New Roman"/>
        </w:rPr>
        <w:t xml:space="preserve">in the Qur’an </w:t>
      </w:r>
      <w:r w:rsidR="00CA7071">
        <w:rPr>
          <w:rFonts w:ascii="Times New Roman" w:eastAsia="Times New Roman" w:hAnsi="Times New Roman" w:cs="Times New Roman"/>
        </w:rPr>
        <w:t>to refer to a de</w:t>
      </w:r>
      <w:r w:rsidR="00491CF7">
        <w:rPr>
          <w:rFonts w:ascii="Times New Roman" w:eastAsia="Times New Roman" w:hAnsi="Times New Roman" w:cs="Times New Roman"/>
        </w:rPr>
        <w:t>fin</w:t>
      </w:r>
      <w:r w:rsidR="00CA7071">
        <w:rPr>
          <w:rFonts w:ascii="Times New Roman" w:eastAsia="Times New Roman" w:hAnsi="Times New Roman" w:cs="Times New Roman"/>
        </w:rPr>
        <w:t>ed practice and course of conduct</w:t>
      </w:r>
      <w:r w:rsidR="00491CF7">
        <w:rPr>
          <w:rFonts w:ascii="Times New Roman" w:eastAsia="Times New Roman" w:hAnsi="Times New Roman" w:cs="Times New Roman"/>
        </w:rPr>
        <w:t>. The scholars of Hadith have described Sunnah as narrations from the holy prophet Muhammad (Peace Be Upon Him), his actions, his sayings and all of his tacit approvals and all reports of his physical character. However, the scholars of jurisprudence have excluded the word physical character from the definition of Sunnah</w:t>
      </w:r>
      <w:r w:rsidR="00FB614C">
        <w:rPr>
          <w:rFonts w:ascii="Times New Roman" w:eastAsia="Times New Roman" w:hAnsi="Times New Roman" w:cs="Times New Roman"/>
        </w:rPr>
        <w:t>. The prophetic Sunnah was not actually mentioned in the Qur’an but the word ‘uswa hasanah’ distinctive conduct appears in surat al Ahzab (33:21) referring to the exceptional conduct of the holy prophet is the only nearest verse related to the ‘Sunnah al Nabi’ prophetic Sunnah.</w:t>
      </w:r>
    </w:p>
    <w:p w14:paraId="1A4D1F0F" w14:textId="1BAD3ED8" w:rsidR="00FB614C" w:rsidRDefault="00FB614C" w:rsidP="009A3458">
      <w:pPr>
        <w:spacing w:line="480" w:lineRule="auto"/>
        <w:jc w:val="both"/>
        <w:rPr>
          <w:rFonts w:ascii="Times New Roman" w:eastAsia="Times New Roman" w:hAnsi="Times New Roman" w:cs="Times New Roman"/>
        </w:rPr>
      </w:pPr>
    </w:p>
    <w:p w14:paraId="6050A761" w14:textId="19A72527" w:rsidR="00FB614C" w:rsidRPr="00FB614C" w:rsidRDefault="00FB614C" w:rsidP="009A3458">
      <w:pPr>
        <w:spacing w:line="480" w:lineRule="auto"/>
        <w:jc w:val="both"/>
        <w:rPr>
          <w:rFonts w:ascii="Times New Roman" w:eastAsia="Times New Roman" w:hAnsi="Times New Roman" w:cs="Times New Roman"/>
          <w:b/>
          <w:sz w:val="28"/>
          <w:szCs w:val="28"/>
        </w:rPr>
      </w:pPr>
      <w:r w:rsidRPr="00FB614C">
        <w:rPr>
          <w:rFonts w:ascii="Times New Roman" w:eastAsia="Times New Roman" w:hAnsi="Times New Roman" w:cs="Times New Roman"/>
          <w:b/>
          <w:sz w:val="28"/>
          <w:szCs w:val="28"/>
        </w:rPr>
        <w:t>Proof of Sunnah – ‘Hujjiyyah As-Sunnah’</w:t>
      </w:r>
    </w:p>
    <w:p w14:paraId="3899192A" w14:textId="6C4737C0" w:rsidR="003B45E2" w:rsidRDefault="00FB614C" w:rsidP="009A3458">
      <w:pPr>
        <w:spacing w:line="480" w:lineRule="auto"/>
        <w:jc w:val="both"/>
        <w:rPr>
          <w:rFonts w:ascii="Times New Roman" w:eastAsia="Times New Roman" w:hAnsi="Times New Roman" w:cs="Times New Roman"/>
        </w:rPr>
      </w:pPr>
      <w:r>
        <w:rPr>
          <w:rFonts w:ascii="Times New Roman" w:eastAsia="Times New Roman" w:hAnsi="Times New Roman" w:cs="Times New Roman"/>
        </w:rPr>
        <w:t xml:space="preserve">It is a unanimous agreement of all Islamic scholars that Sunnah is the second primary source of Shari’ah and its rulings and injunctions regarding forbidden and permissible are of the same stand as of Qur’an. </w:t>
      </w:r>
      <w:r w:rsidR="003B45E2">
        <w:rPr>
          <w:rFonts w:ascii="Times New Roman" w:eastAsia="Times New Roman" w:hAnsi="Times New Roman" w:cs="Times New Roman"/>
        </w:rPr>
        <w:t>The Sunnah of the holy prophet is also a proof just like Qur’an on legal issues. Sunnah is a testification to the rulings of the Qur’an and has come to enjoin Muslims in compliance with it. The utterances of the holy prophet according to the Qur’an are divined and inspired, Allah says:</w:t>
      </w:r>
    </w:p>
    <w:p w14:paraId="38BE9C1C" w14:textId="0188AD7E" w:rsidR="003B45E2" w:rsidRDefault="003B45E2" w:rsidP="009A3458">
      <w:pPr>
        <w:shd w:val="clear" w:color="auto" w:fill="FFFFFF"/>
        <w:spacing w:before="75" w:after="375" w:line="480" w:lineRule="auto"/>
        <w:jc w:val="both"/>
        <w:outlineLvl w:val="1"/>
        <w:rPr>
          <w:rFonts w:ascii="Times New Roman" w:hAnsi="Times New Roman" w:cs="Times New Roman"/>
          <w:bCs/>
          <w:color w:val="000000" w:themeColor="text1"/>
        </w:rPr>
      </w:pPr>
      <w:r>
        <w:rPr>
          <w:rFonts w:ascii="Times New Roman" w:eastAsia="Times New Roman" w:hAnsi="Times New Roman" w:cs="Times New Roman"/>
          <w:color w:val="000000" w:themeColor="text1"/>
        </w:rPr>
        <w:t>“</w:t>
      </w:r>
      <w:r w:rsidRPr="003B45E2">
        <w:rPr>
          <w:rFonts w:ascii="Times New Roman" w:eastAsia="Times New Roman" w:hAnsi="Times New Roman" w:cs="Times New Roman"/>
          <w:color w:val="000000" w:themeColor="text1"/>
        </w:rPr>
        <w:t>Nor does he speak from [his own] inclination.</w:t>
      </w:r>
      <w:r w:rsidRPr="003B45E2">
        <w:rPr>
          <w:rFonts w:ascii="Times New Roman" w:eastAsia="Times New Roman" w:hAnsi="Times New Roman" w:cs="Times New Roman"/>
          <w:color w:val="000000" w:themeColor="text1"/>
        </w:rPr>
        <w:t xml:space="preserve"> </w:t>
      </w:r>
      <w:r w:rsidRPr="003B45E2">
        <w:rPr>
          <w:rFonts w:ascii="Times New Roman" w:hAnsi="Times New Roman" w:cs="Times New Roman"/>
          <w:bCs/>
          <w:color w:val="000000" w:themeColor="text1"/>
        </w:rPr>
        <w:t>It is not but a revelation revealed</w:t>
      </w:r>
      <w:r>
        <w:rPr>
          <w:rFonts w:ascii="Times New Roman" w:hAnsi="Times New Roman" w:cs="Times New Roman"/>
          <w:bCs/>
          <w:color w:val="000000" w:themeColor="text1"/>
        </w:rPr>
        <w:t>” (Q53:4-5)</w:t>
      </w:r>
    </w:p>
    <w:p w14:paraId="737467E1" w14:textId="4A81517E" w:rsidR="003B45E2" w:rsidRDefault="003B45E2" w:rsidP="009A3458">
      <w:pPr>
        <w:shd w:val="clear" w:color="auto" w:fill="FFFFFF"/>
        <w:spacing w:before="75" w:after="375" w:line="480" w:lineRule="auto"/>
        <w:jc w:val="both"/>
        <w:outlineLvl w:val="1"/>
        <w:rPr>
          <w:rFonts w:ascii="Times New Roman" w:hAnsi="Times New Roman" w:cs="Times New Roman"/>
          <w:bCs/>
          <w:color w:val="000000" w:themeColor="text1"/>
        </w:rPr>
      </w:pPr>
      <w:r>
        <w:rPr>
          <w:rFonts w:ascii="Times New Roman" w:hAnsi="Times New Roman" w:cs="Times New Roman"/>
          <w:bCs/>
          <w:color w:val="000000" w:themeColor="text1"/>
        </w:rPr>
        <w:t>It is mentioned several times in the Qur’an where Allah enjoins Muslims to obey the prophet and submit to his judgement</w:t>
      </w:r>
      <w:r w:rsidR="009A3458">
        <w:rPr>
          <w:rFonts w:ascii="Times New Roman" w:hAnsi="Times New Roman" w:cs="Times New Roman"/>
          <w:bCs/>
          <w:color w:val="000000" w:themeColor="text1"/>
        </w:rPr>
        <w:t xml:space="preserve"> and instructions without argument. The following verses are explicit of this discussion:</w:t>
      </w:r>
    </w:p>
    <w:p w14:paraId="23DBB568" w14:textId="121B3C5F" w:rsidR="009A3458" w:rsidRPr="009A3458" w:rsidRDefault="009A3458" w:rsidP="009A3458">
      <w:pPr>
        <w:pStyle w:val="Heading2"/>
        <w:shd w:val="clear" w:color="auto" w:fill="FFFFFF"/>
        <w:spacing w:before="75" w:beforeAutospacing="0" w:after="375" w:afterAutospacing="0" w:line="480" w:lineRule="auto"/>
        <w:jc w:val="both"/>
        <w:rPr>
          <w:b w:val="0"/>
          <w:bCs w:val="0"/>
          <w:color w:val="000000" w:themeColor="text1"/>
          <w:sz w:val="24"/>
          <w:szCs w:val="24"/>
        </w:rPr>
      </w:pPr>
      <w:r w:rsidRPr="009A3458">
        <w:rPr>
          <w:bCs w:val="0"/>
          <w:color w:val="000000" w:themeColor="text1"/>
          <w:sz w:val="24"/>
          <w:szCs w:val="24"/>
        </w:rPr>
        <w:t>“…</w:t>
      </w:r>
      <w:r w:rsidRPr="009A3458">
        <w:rPr>
          <w:b w:val="0"/>
          <w:bCs w:val="0"/>
          <w:color w:val="000000" w:themeColor="text1"/>
          <w:sz w:val="24"/>
          <w:szCs w:val="24"/>
        </w:rPr>
        <w:t xml:space="preserve">And whatever the Messenger has given you - take; and what he has forbidden you - refrain from. And fear </w:t>
      </w:r>
      <w:r w:rsidRPr="009A3458">
        <w:rPr>
          <w:b w:val="0"/>
          <w:bCs w:val="0"/>
          <w:color w:val="000000" w:themeColor="text1"/>
          <w:sz w:val="24"/>
          <w:szCs w:val="24"/>
        </w:rPr>
        <w:t>Allah;</w:t>
      </w:r>
      <w:r w:rsidRPr="009A3458">
        <w:rPr>
          <w:b w:val="0"/>
          <w:bCs w:val="0"/>
          <w:color w:val="000000" w:themeColor="text1"/>
          <w:sz w:val="24"/>
          <w:szCs w:val="24"/>
        </w:rPr>
        <w:t xml:space="preserve"> indeed, Allah is severe in penalty</w:t>
      </w:r>
      <w:r w:rsidRPr="009A3458">
        <w:rPr>
          <w:b w:val="0"/>
          <w:bCs w:val="0"/>
          <w:color w:val="000000" w:themeColor="text1"/>
          <w:sz w:val="24"/>
          <w:szCs w:val="24"/>
        </w:rPr>
        <w:t>…” (Q59:7)</w:t>
      </w:r>
    </w:p>
    <w:p w14:paraId="3B20FECB" w14:textId="1DBA5DB7" w:rsidR="009A3458" w:rsidRDefault="009A3458" w:rsidP="009A3458">
      <w:pPr>
        <w:pStyle w:val="Heading2"/>
        <w:shd w:val="clear" w:color="auto" w:fill="FFFFFF"/>
        <w:spacing w:before="75" w:beforeAutospacing="0" w:after="375" w:afterAutospacing="0" w:line="480" w:lineRule="auto"/>
        <w:jc w:val="both"/>
        <w:rPr>
          <w:b w:val="0"/>
          <w:bCs w:val="0"/>
          <w:color w:val="000000" w:themeColor="text1"/>
          <w:sz w:val="24"/>
          <w:szCs w:val="24"/>
        </w:rPr>
      </w:pPr>
      <w:r w:rsidRPr="009A3458">
        <w:rPr>
          <w:b w:val="0"/>
          <w:bCs w:val="0"/>
          <w:color w:val="000000" w:themeColor="text1"/>
          <w:sz w:val="24"/>
          <w:szCs w:val="24"/>
        </w:rPr>
        <w:t>“</w:t>
      </w:r>
      <w:proofErr w:type="spellStart"/>
      <w:r w:rsidRPr="009A3458">
        <w:rPr>
          <w:b w:val="0"/>
          <w:bCs w:val="0"/>
          <w:color w:val="000000" w:themeColor="text1"/>
          <w:sz w:val="24"/>
          <w:szCs w:val="24"/>
        </w:rPr>
        <w:t>O</w:t>
      </w:r>
      <w:proofErr w:type="spellEnd"/>
      <w:r w:rsidRPr="009A3458">
        <w:rPr>
          <w:b w:val="0"/>
          <w:bCs w:val="0"/>
          <w:color w:val="000000" w:themeColor="text1"/>
          <w:sz w:val="24"/>
          <w:szCs w:val="24"/>
        </w:rPr>
        <w:t xml:space="preserve"> you who have believed, obey Allah and obey the Messenger and those in authority among you. And if you disagree over anything, refer it to Allah and the Messenger, if you should believe in Allah and the Last Day. That is the best [way] and best in result</w:t>
      </w:r>
      <w:r w:rsidRPr="009A3458">
        <w:rPr>
          <w:b w:val="0"/>
          <w:bCs w:val="0"/>
          <w:color w:val="000000" w:themeColor="text1"/>
          <w:sz w:val="24"/>
          <w:szCs w:val="24"/>
        </w:rPr>
        <w:t>”</w:t>
      </w:r>
      <w:r w:rsidR="00CF1248">
        <w:rPr>
          <w:b w:val="0"/>
          <w:bCs w:val="0"/>
          <w:color w:val="000000" w:themeColor="text1"/>
          <w:sz w:val="24"/>
          <w:szCs w:val="24"/>
        </w:rPr>
        <w:t xml:space="preserve"> (Q4:58).</w:t>
      </w:r>
    </w:p>
    <w:p w14:paraId="65283BE8" w14:textId="3E717E0F" w:rsidR="00E127A9" w:rsidRDefault="00E127A9" w:rsidP="009A3458">
      <w:pPr>
        <w:pStyle w:val="Heading2"/>
        <w:shd w:val="clear" w:color="auto" w:fill="FFFFFF"/>
        <w:spacing w:before="75" w:beforeAutospacing="0" w:after="375" w:afterAutospacing="0" w:line="480" w:lineRule="auto"/>
        <w:jc w:val="both"/>
        <w:rPr>
          <w:b w:val="0"/>
          <w:bCs w:val="0"/>
          <w:color w:val="000000" w:themeColor="text1"/>
          <w:sz w:val="24"/>
          <w:szCs w:val="24"/>
        </w:rPr>
      </w:pPr>
      <w:r>
        <w:rPr>
          <w:b w:val="0"/>
          <w:bCs w:val="0"/>
          <w:color w:val="000000" w:themeColor="text1"/>
          <w:sz w:val="24"/>
          <w:szCs w:val="24"/>
        </w:rPr>
        <w:t>Referring cases to Allah means referring to Qur’an and referring to the messenger means referring it to the Sunnah of the Prophet.</w:t>
      </w:r>
    </w:p>
    <w:p w14:paraId="6BCD0469" w14:textId="603E9116" w:rsidR="00E127A9" w:rsidRPr="00E127A9" w:rsidRDefault="00E127A9" w:rsidP="00E127A9">
      <w:pPr>
        <w:spacing w:line="480" w:lineRule="auto"/>
        <w:rPr>
          <w:rFonts w:ascii="Times New Roman" w:eastAsia="Times New Roman" w:hAnsi="Times New Roman" w:cs="Times New Roman"/>
        </w:rPr>
      </w:pPr>
      <w:r w:rsidRPr="00E127A9">
        <w:rPr>
          <w:rFonts w:ascii="Times New Roman" w:eastAsia="Times New Roman" w:hAnsi="Times New Roman" w:cs="Times New Roman"/>
        </w:rPr>
        <w:t>'Whenever God and His Messenger have decided a matter' it is not for a faithful man or woman to follow another course of his or her own choice' (</w:t>
      </w:r>
      <w:r w:rsidR="00CF1248">
        <w:rPr>
          <w:rFonts w:ascii="Times New Roman" w:eastAsia="Times New Roman" w:hAnsi="Times New Roman" w:cs="Times New Roman"/>
        </w:rPr>
        <w:t>Q</w:t>
      </w:r>
      <w:r w:rsidRPr="00E127A9">
        <w:rPr>
          <w:rFonts w:ascii="Times New Roman" w:eastAsia="Times New Roman" w:hAnsi="Times New Roman" w:cs="Times New Roman"/>
        </w:rPr>
        <w:t>33:36).</w:t>
      </w:r>
    </w:p>
    <w:p w14:paraId="683516DB" w14:textId="71D2381E" w:rsidR="003B45E2" w:rsidRDefault="003B45E2" w:rsidP="009A3458">
      <w:pPr>
        <w:spacing w:line="480" w:lineRule="auto"/>
        <w:jc w:val="both"/>
        <w:rPr>
          <w:rFonts w:ascii="Times New Roman" w:eastAsia="Times New Roman" w:hAnsi="Times New Roman" w:cs="Times New Roman"/>
        </w:rPr>
      </w:pPr>
    </w:p>
    <w:p w14:paraId="5F9275E2" w14:textId="77777777" w:rsidR="00E127A9" w:rsidRDefault="00E127A9" w:rsidP="00E127A9">
      <w:pPr>
        <w:shd w:val="clear" w:color="auto" w:fill="FFFFFF"/>
        <w:spacing w:before="75" w:after="375" w:line="480" w:lineRule="auto"/>
        <w:jc w:val="both"/>
        <w:outlineLvl w:val="1"/>
        <w:rPr>
          <w:rFonts w:ascii="Times New Roman" w:eastAsia="Times New Roman" w:hAnsi="Times New Roman" w:cs="Times New Roman"/>
          <w:b/>
          <w:color w:val="000000" w:themeColor="text1"/>
          <w:sz w:val="28"/>
          <w:szCs w:val="28"/>
        </w:rPr>
      </w:pPr>
      <w:r w:rsidRPr="009A3458">
        <w:rPr>
          <w:rFonts w:ascii="Times New Roman" w:eastAsia="Times New Roman" w:hAnsi="Times New Roman" w:cs="Times New Roman"/>
          <w:b/>
          <w:color w:val="000000" w:themeColor="text1"/>
          <w:sz w:val="28"/>
          <w:szCs w:val="28"/>
        </w:rPr>
        <w:t>Reference:</w:t>
      </w:r>
    </w:p>
    <w:p w14:paraId="10C15857" w14:textId="77777777" w:rsidR="00E127A9" w:rsidRPr="00E127A9" w:rsidRDefault="00E127A9" w:rsidP="00E127A9">
      <w:pPr>
        <w:shd w:val="clear" w:color="auto" w:fill="FFFFFF"/>
        <w:spacing w:before="75" w:after="375" w:line="480" w:lineRule="auto"/>
        <w:jc w:val="both"/>
        <w:outlineLvl w:val="1"/>
        <w:rPr>
          <w:rFonts w:ascii="Times New Roman" w:eastAsia="Times New Roman" w:hAnsi="Times New Roman" w:cs="Times New Roman"/>
          <w:b/>
          <w:color w:val="000000" w:themeColor="text1"/>
          <w:sz w:val="28"/>
          <w:szCs w:val="28"/>
        </w:rPr>
      </w:pPr>
      <w:r w:rsidRPr="001E5399">
        <w:rPr>
          <w:rFonts w:ascii="Times New Roman" w:hAnsi="Times New Roman" w:cs="Times New Roman"/>
          <w:bCs/>
        </w:rPr>
        <w:t xml:space="preserve">Kamali, M. (1991). </w:t>
      </w:r>
      <w:r w:rsidRPr="001E5399">
        <w:rPr>
          <w:rFonts w:ascii="Times New Roman" w:hAnsi="Times New Roman" w:cs="Times New Roman"/>
          <w:bCs/>
          <w:i/>
          <w:iCs/>
        </w:rPr>
        <w:t xml:space="preserve">Principles of Islamic Jurisprudence. </w:t>
      </w:r>
      <w:r w:rsidRPr="001E5399">
        <w:rPr>
          <w:rFonts w:ascii="Times New Roman" w:hAnsi="Times New Roman" w:cs="Times New Roman"/>
          <w:bCs/>
        </w:rPr>
        <w:t>Islamic Text Society, Cambridge</w:t>
      </w:r>
    </w:p>
    <w:p w14:paraId="28BFC26C" w14:textId="77777777" w:rsidR="00E127A9" w:rsidRPr="00B20C4A" w:rsidRDefault="00E127A9" w:rsidP="009A3458">
      <w:pPr>
        <w:spacing w:line="480" w:lineRule="auto"/>
        <w:jc w:val="both"/>
        <w:rPr>
          <w:rFonts w:ascii="Times New Roman" w:eastAsia="Times New Roman" w:hAnsi="Times New Roman" w:cs="Times New Roman"/>
        </w:rPr>
      </w:pPr>
    </w:p>
    <w:sectPr w:rsidR="00E127A9" w:rsidRPr="00B20C4A" w:rsidSect="001F68FD">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C58163" w14:textId="77777777" w:rsidR="003201F5" w:rsidRDefault="003201F5" w:rsidP="00B20C4A">
      <w:r>
        <w:separator/>
      </w:r>
    </w:p>
  </w:endnote>
  <w:endnote w:type="continuationSeparator" w:id="0">
    <w:p w14:paraId="32129801" w14:textId="77777777" w:rsidR="003201F5" w:rsidRDefault="003201F5" w:rsidP="00B20C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8662593"/>
      <w:docPartObj>
        <w:docPartGallery w:val="Page Numbers (Bottom of Page)"/>
        <w:docPartUnique/>
      </w:docPartObj>
    </w:sdtPr>
    <w:sdtEndPr>
      <w:rPr>
        <w:rStyle w:val="PageNumber"/>
      </w:rPr>
    </w:sdtEndPr>
    <w:sdtContent>
      <w:p w14:paraId="23B160A2" w14:textId="12FBA9D3" w:rsidR="00B20C4A" w:rsidRDefault="00B20C4A" w:rsidP="00BB2D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530345" w14:textId="77777777" w:rsidR="00B20C4A" w:rsidRDefault="00B20C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158747"/>
      <w:docPartObj>
        <w:docPartGallery w:val="Page Numbers (Bottom of Page)"/>
        <w:docPartUnique/>
      </w:docPartObj>
    </w:sdtPr>
    <w:sdtEndPr>
      <w:rPr>
        <w:rStyle w:val="PageNumber"/>
      </w:rPr>
    </w:sdtEndPr>
    <w:sdtContent>
      <w:p w14:paraId="55F55437" w14:textId="6E7A39A6" w:rsidR="00B20C4A" w:rsidRDefault="00B20C4A" w:rsidP="00BB2D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3D83C7" w14:textId="77777777" w:rsidR="00B20C4A" w:rsidRDefault="00B20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23C951" w14:textId="77777777" w:rsidR="003201F5" w:rsidRDefault="003201F5" w:rsidP="00B20C4A">
      <w:r>
        <w:separator/>
      </w:r>
    </w:p>
  </w:footnote>
  <w:footnote w:type="continuationSeparator" w:id="0">
    <w:p w14:paraId="0CC35606" w14:textId="77777777" w:rsidR="003201F5" w:rsidRDefault="003201F5" w:rsidP="00B20C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4A900F" w14:textId="601F1B80" w:rsidR="00B20C4A" w:rsidRDefault="00B20C4A">
    <w:pPr>
      <w:pStyle w:val="Header"/>
    </w:pPr>
    <w:r>
      <w:t>TRDL7064</w:t>
    </w:r>
    <w:r>
      <w:ptab w:relativeTo="margin" w:alignment="center" w:leader="none"/>
    </w:r>
    <w:r>
      <w:t>Islamic Law in the Contemporary World</w:t>
    </w:r>
    <w:r>
      <w:ptab w:relativeTo="margin" w:alignment="right" w:leader="none"/>
    </w:r>
    <w:r>
      <w:t>1603804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700BB"/>
    <w:multiLevelType w:val="hybridMultilevel"/>
    <w:tmpl w:val="A1E2D3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FE9"/>
    <w:rsid w:val="000010EC"/>
    <w:rsid w:val="000543E2"/>
    <w:rsid w:val="000613CD"/>
    <w:rsid w:val="000A494A"/>
    <w:rsid w:val="000B6799"/>
    <w:rsid w:val="0013162F"/>
    <w:rsid w:val="00167AA4"/>
    <w:rsid w:val="001C0644"/>
    <w:rsid w:val="001F68FD"/>
    <w:rsid w:val="002246FB"/>
    <w:rsid w:val="00227AD4"/>
    <w:rsid w:val="002301FC"/>
    <w:rsid w:val="002873B7"/>
    <w:rsid w:val="002A480D"/>
    <w:rsid w:val="002E3576"/>
    <w:rsid w:val="003201F5"/>
    <w:rsid w:val="00323457"/>
    <w:rsid w:val="003432DD"/>
    <w:rsid w:val="00385E61"/>
    <w:rsid w:val="003B45E2"/>
    <w:rsid w:val="003C5D0E"/>
    <w:rsid w:val="003E65D4"/>
    <w:rsid w:val="00400174"/>
    <w:rsid w:val="00491CF7"/>
    <w:rsid w:val="0049542A"/>
    <w:rsid w:val="004955D7"/>
    <w:rsid w:val="004A59D4"/>
    <w:rsid w:val="004E0B4F"/>
    <w:rsid w:val="00597FB1"/>
    <w:rsid w:val="005C4E79"/>
    <w:rsid w:val="005F3EF4"/>
    <w:rsid w:val="00604C0A"/>
    <w:rsid w:val="0061258A"/>
    <w:rsid w:val="00653E6C"/>
    <w:rsid w:val="00692F46"/>
    <w:rsid w:val="006A6460"/>
    <w:rsid w:val="00707D1B"/>
    <w:rsid w:val="0071262C"/>
    <w:rsid w:val="007342C9"/>
    <w:rsid w:val="00736FE5"/>
    <w:rsid w:val="007402FE"/>
    <w:rsid w:val="00764BA3"/>
    <w:rsid w:val="0077797F"/>
    <w:rsid w:val="007D6AA3"/>
    <w:rsid w:val="008C4040"/>
    <w:rsid w:val="008E6FEB"/>
    <w:rsid w:val="00940A20"/>
    <w:rsid w:val="00973722"/>
    <w:rsid w:val="00992496"/>
    <w:rsid w:val="009A3458"/>
    <w:rsid w:val="009B372B"/>
    <w:rsid w:val="009B5591"/>
    <w:rsid w:val="009C625F"/>
    <w:rsid w:val="00A272B3"/>
    <w:rsid w:val="00A74863"/>
    <w:rsid w:val="00B20C4A"/>
    <w:rsid w:val="00B4030C"/>
    <w:rsid w:val="00B7387D"/>
    <w:rsid w:val="00B83B73"/>
    <w:rsid w:val="00BA463B"/>
    <w:rsid w:val="00BC02B6"/>
    <w:rsid w:val="00BD11E9"/>
    <w:rsid w:val="00C10240"/>
    <w:rsid w:val="00C12497"/>
    <w:rsid w:val="00C16764"/>
    <w:rsid w:val="00C4676B"/>
    <w:rsid w:val="00C7157F"/>
    <w:rsid w:val="00CA7071"/>
    <w:rsid w:val="00CB7AFE"/>
    <w:rsid w:val="00CF1248"/>
    <w:rsid w:val="00D37EA9"/>
    <w:rsid w:val="00DB3DAA"/>
    <w:rsid w:val="00DC6C9A"/>
    <w:rsid w:val="00DD476A"/>
    <w:rsid w:val="00DF1338"/>
    <w:rsid w:val="00E05411"/>
    <w:rsid w:val="00E127A9"/>
    <w:rsid w:val="00E35B2E"/>
    <w:rsid w:val="00E46FE9"/>
    <w:rsid w:val="00E92E6E"/>
    <w:rsid w:val="00EA4342"/>
    <w:rsid w:val="00F24017"/>
    <w:rsid w:val="00F55A6C"/>
    <w:rsid w:val="00FB614C"/>
    <w:rsid w:val="00FF3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69ABCC"/>
  <w15:chartTrackingRefBased/>
  <w15:docId w15:val="{B9827C51-3182-5A47-BBB7-F6572C8AB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FE9"/>
  </w:style>
  <w:style w:type="paragraph" w:styleId="Heading2">
    <w:name w:val="heading 2"/>
    <w:basedOn w:val="Normal"/>
    <w:link w:val="Heading2Char"/>
    <w:uiPriority w:val="9"/>
    <w:qFormat/>
    <w:rsid w:val="003B45E2"/>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644"/>
    <w:pPr>
      <w:ind w:left="720"/>
      <w:contextualSpacing/>
    </w:pPr>
  </w:style>
  <w:style w:type="paragraph" w:styleId="Header">
    <w:name w:val="header"/>
    <w:basedOn w:val="Normal"/>
    <w:link w:val="HeaderChar"/>
    <w:uiPriority w:val="99"/>
    <w:unhideWhenUsed/>
    <w:rsid w:val="00B20C4A"/>
    <w:pPr>
      <w:tabs>
        <w:tab w:val="center" w:pos="4680"/>
        <w:tab w:val="right" w:pos="9360"/>
      </w:tabs>
    </w:pPr>
  </w:style>
  <w:style w:type="character" w:customStyle="1" w:styleId="HeaderChar">
    <w:name w:val="Header Char"/>
    <w:basedOn w:val="DefaultParagraphFont"/>
    <w:link w:val="Header"/>
    <w:uiPriority w:val="99"/>
    <w:rsid w:val="00B20C4A"/>
  </w:style>
  <w:style w:type="paragraph" w:styleId="Footer">
    <w:name w:val="footer"/>
    <w:basedOn w:val="Normal"/>
    <w:link w:val="FooterChar"/>
    <w:uiPriority w:val="99"/>
    <w:unhideWhenUsed/>
    <w:rsid w:val="00B20C4A"/>
    <w:pPr>
      <w:tabs>
        <w:tab w:val="center" w:pos="4680"/>
        <w:tab w:val="right" w:pos="9360"/>
      </w:tabs>
    </w:pPr>
  </w:style>
  <w:style w:type="character" w:customStyle="1" w:styleId="FooterChar">
    <w:name w:val="Footer Char"/>
    <w:basedOn w:val="DefaultParagraphFont"/>
    <w:link w:val="Footer"/>
    <w:uiPriority w:val="99"/>
    <w:rsid w:val="00B20C4A"/>
  </w:style>
  <w:style w:type="character" w:styleId="PageNumber">
    <w:name w:val="page number"/>
    <w:basedOn w:val="DefaultParagraphFont"/>
    <w:uiPriority w:val="99"/>
    <w:semiHidden/>
    <w:unhideWhenUsed/>
    <w:rsid w:val="00B20C4A"/>
  </w:style>
  <w:style w:type="character" w:customStyle="1" w:styleId="Heading2Char">
    <w:name w:val="Heading 2 Char"/>
    <w:basedOn w:val="DefaultParagraphFont"/>
    <w:link w:val="Heading2"/>
    <w:uiPriority w:val="9"/>
    <w:rsid w:val="003B45E2"/>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235914">
      <w:bodyDiv w:val="1"/>
      <w:marLeft w:val="0"/>
      <w:marRight w:val="0"/>
      <w:marTop w:val="0"/>
      <w:marBottom w:val="0"/>
      <w:divBdr>
        <w:top w:val="none" w:sz="0" w:space="0" w:color="auto"/>
        <w:left w:val="none" w:sz="0" w:space="0" w:color="auto"/>
        <w:bottom w:val="none" w:sz="0" w:space="0" w:color="auto"/>
        <w:right w:val="none" w:sz="0" w:space="0" w:color="auto"/>
      </w:divBdr>
    </w:div>
    <w:div w:id="405297536">
      <w:bodyDiv w:val="1"/>
      <w:marLeft w:val="0"/>
      <w:marRight w:val="0"/>
      <w:marTop w:val="0"/>
      <w:marBottom w:val="0"/>
      <w:divBdr>
        <w:top w:val="none" w:sz="0" w:space="0" w:color="auto"/>
        <w:left w:val="none" w:sz="0" w:space="0" w:color="auto"/>
        <w:bottom w:val="none" w:sz="0" w:space="0" w:color="auto"/>
        <w:right w:val="none" w:sz="0" w:space="0" w:color="auto"/>
      </w:divBdr>
    </w:div>
    <w:div w:id="431049430">
      <w:bodyDiv w:val="1"/>
      <w:marLeft w:val="0"/>
      <w:marRight w:val="0"/>
      <w:marTop w:val="0"/>
      <w:marBottom w:val="0"/>
      <w:divBdr>
        <w:top w:val="none" w:sz="0" w:space="0" w:color="auto"/>
        <w:left w:val="none" w:sz="0" w:space="0" w:color="auto"/>
        <w:bottom w:val="none" w:sz="0" w:space="0" w:color="auto"/>
        <w:right w:val="none" w:sz="0" w:space="0" w:color="auto"/>
      </w:divBdr>
    </w:div>
    <w:div w:id="496964576">
      <w:bodyDiv w:val="1"/>
      <w:marLeft w:val="0"/>
      <w:marRight w:val="0"/>
      <w:marTop w:val="0"/>
      <w:marBottom w:val="0"/>
      <w:divBdr>
        <w:top w:val="none" w:sz="0" w:space="0" w:color="auto"/>
        <w:left w:val="none" w:sz="0" w:space="0" w:color="auto"/>
        <w:bottom w:val="none" w:sz="0" w:space="0" w:color="auto"/>
        <w:right w:val="none" w:sz="0" w:space="0" w:color="auto"/>
      </w:divBdr>
    </w:div>
    <w:div w:id="543326099">
      <w:bodyDiv w:val="1"/>
      <w:marLeft w:val="0"/>
      <w:marRight w:val="0"/>
      <w:marTop w:val="0"/>
      <w:marBottom w:val="0"/>
      <w:divBdr>
        <w:top w:val="none" w:sz="0" w:space="0" w:color="auto"/>
        <w:left w:val="none" w:sz="0" w:space="0" w:color="auto"/>
        <w:bottom w:val="none" w:sz="0" w:space="0" w:color="auto"/>
        <w:right w:val="none" w:sz="0" w:space="0" w:color="auto"/>
      </w:divBdr>
    </w:div>
    <w:div w:id="711424597">
      <w:bodyDiv w:val="1"/>
      <w:marLeft w:val="0"/>
      <w:marRight w:val="0"/>
      <w:marTop w:val="0"/>
      <w:marBottom w:val="0"/>
      <w:divBdr>
        <w:top w:val="none" w:sz="0" w:space="0" w:color="auto"/>
        <w:left w:val="none" w:sz="0" w:space="0" w:color="auto"/>
        <w:bottom w:val="none" w:sz="0" w:space="0" w:color="auto"/>
        <w:right w:val="none" w:sz="0" w:space="0" w:color="auto"/>
      </w:divBdr>
    </w:div>
    <w:div w:id="1049887927">
      <w:bodyDiv w:val="1"/>
      <w:marLeft w:val="0"/>
      <w:marRight w:val="0"/>
      <w:marTop w:val="0"/>
      <w:marBottom w:val="0"/>
      <w:divBdr>
        <w:top w:val="none" w:sz="0" w:space="0" w:color="auto"/>
        <w:left w:val="none" w:sz="0" w:space="0" w:color="auto"/>
        <w:bottom w:val="none" w:sz="0" w:space="0" w:color="auto"/>
        <w:right w:val="none" w:sz="0" w:space="0" w:color="auto"/>
      </w:divBdr>
    </w:div>
    <w:div w:id="1186752912">
      <w:bodyDiv w:val="1"/>
      <w:marLeft w:val="0"/>
      <w:marRight w:val="0"/>
      <w:marTop w:val="0"/>
      <w:marBottom w:val="0"/>
      <w:divBdr>
        <w:top w:val="none" w:sz="0" w:space="0" w:color="auto"/>
        <w:left w:val="none" w:sz="0" w:space="0" w:color="auto"/>
        <w:bottom w:val="none" w:sz="0" w:space="0" w:color="auto"/>
        <w:right w:val="none" w:sz="0" w:space="0" w:color="auto"/>
      </w:divBdr>
    </w:div>
    <w:div w:id="1208955403">
      <w:bodyDiv w:val="1"/>
      <w:marLeft w:val="0"/>
      <w:marRight w:val="0"/>
      <w:marTop w:val="0"/>
      <w:marBottom w:val="0"/>
      <w:divBdr>
        <w:top w:val="none" w:sz="0" w:space="0" w:color="auto"/>
        <w:left w:val="none" w:sz="0" w:space="0" w:color="auto"/>
        <w:bottom w:val="none" w:sz="0" w:space="0" w:color="auto"/>
        <w:right w:val="none" w:sz="0" w:space="0" w:color="auto"/>
      </w:divBdr>
    </w:div>
    <w:div w:id="1230530750">
      <w:bodyDiv w:val="1"/>
      <w:marLeft w:val="0"/>
      <w:marRight w:val="0"/>
      <w:marTop w:val="0"/>
      <w:marBottom w:val="0"/>
      <w:divBdr>
        <w:top w:val="none" w:sz="0" w:space="0" w:color="auto"/>
        <w:left w:val="none" w:sz="0" w:space="0" w:color="auto"/>
        <w:bottom w:val="none" w:sz="0" w:space="0" w:color="auto"/>
        <w:right w:val="none" w:sz="0" w:space="0" w:color="auto"/>
      </w:divBdr>
    </w:div>
    <w:div w:id="1378511890">
      <w:bodyDiv w:val="1"/>
      <w:marLeft w:val="0"/>
      <w:marRight w:val="0"/>
      <w:marTop w:val="0"/>
      <w:marBottom w:val="0"/>
      <w:divBdr>
        <w:top w:val="none" w:sz="0" w:space="0" w:color="auto"/>
        <w:left w:val="none" w:sz="0" w:space="0" w:color="auto"/>
        <w:bottom w:val="none" w:sz="0" w:space="0" w:color="auto"/>
        <w:right w:val="none" w:sz="0" w:space="0" w:color="auto"/>
      </w:divBdr>
    </w:div>
    <w:div w:id="2125953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3</Pages>
  <Words>520</Words>
  <Characters>2967</Characters>
  <Application>Microsoft Office Word</Application>
  <DocSecurity>0</DocSecurity>
  <Lines>24</Lines>
  <Paragraphs>6</Paragraphs>
  <ScaleCrop>false</ScaleCrop>
  <HeadingPairs>
    <vt:vector size="4" baseType="variant">
      <vt:variant>
        <vt:lpstr>Title</vt:lpstr>
      </vt:variant>
      <vt:variant>
        <vt:i4>1</vt:i4>
      </vt:variant>
      <vt:variant>
        <vt:lpstr>Headings</vt:lpstr>
      </vt:variant>
      <vt:variant>
        <vt:i4>29</vt:i4>
      </vt:variant>
    </vt:vector>
  </HeadingPairs>
  <TitlesOfParts>
    <vt:vector size="30" baseType="lpstr">
      <vt:lpstr/>
      <vt:lpstr>Module:</vt:lpstr>
      <vt:lpstr>Islamic Law in the Contemporary World (TRDL 7064)</vt:lpstr>
      <vt:lpstr/>
      <vt:lpstr>Assignment Two (Encyclopaedia) - Entry Four:</vt:lpstr>
      <vt:lpstr/>
      <vt:lpstr>Proofs of Shari’ah: “Sunnah / Hadith” </vt:lpstr>
      <vt:lpstr/>
      <vt:lpstr/>
      <vt:lpstr/>
      <vt:lpstr>Tutor:</vt:lpstr>
      <vt:lpstr>Prof Gary Bunt</vt:lpstr>
      <vt:lpstr/>
      <vt:lpstr/>
      <vt:lpstr/>
      <vt:lpstr/>
      <vt:lpstr/>
      <vt:lpstr/>
      <vt:lpstr>Submitted by:</vt:lpstr>
      <vt:lpstr>Mohammed Adebayo (1603804)</vt:lpstr>
      <vt:lpstr>University of Wales Trinity Saint David </vt:lpstr>
      <vt:lpstr>Lampeter Campus</vt:lpstr>
      <vt:lpstr>May 2019</vt:lpstr>
      <vt:lpstr>    “Nor does he speak from [his own] inclination. It is not but a revelation reveal</vt:lpstr>
      <vt:lpstr>    It is mentioned several times in the Qur’an where Allah enjoins Muslims to obey </vt:lpstr>
      <vt:lpstr>    “…And whatever the Messenger has given you - take; and what he has forbidden you</vt:lpstr>
      <vt:lpstr>    “O you who have believed, obey Allah and obey the Messenger and those in authori</vt:lpstr>
      <vt:lpstr>    Referring cases to Allah means referring to Qur’an and referring to the messenge</vt:lpstr>
      <vt:lpstr>    Reference:</vt:lpstr>
      <vt:lpstr>    Kamali, M. (1991). Principles of Islamic Jurisprudence. Islamic Text Society, Ca</vt:lpstr>
    </vt:vector>
  </TitlesOfParts>
  <Company/>
  <LinksUpToDate>false</LinksUpToDate>
  <CharactersWithSpaces>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2019-05-07T15:14:00Z</dcterms:created>
  <dcterms:modified xsi:type="dcterms:W3CDTF">2019-05-24T16:13:00Z</dcterms:modified>
</cp:coreProperties>
</file>