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8F8AA" w14:textId="77777777" w:rsidR="00C60412" w:rsidRDefault="00C60412">
      <w:pPr>
        <w:jc w:val="center"/>
        <w:rPr>
          <w:b/>
          <w:sz w:val="40"/>
          <w:szCs w:val="40"/>
        </w:rPr>
      </w:pPr>
    </w:p>
    <w:p w14:paraId="15EA7ADB" w14:textId="77777777" w:rsidR="00C60412" w:rsidRDefault="00C60412">
      <w:pPr>
        <w:jc w:val="center"/>
        <w:rPr>
          <w:b/>
          <w:sz w:val="40"/>
          <w:szCs w:val="40"/>
        </w:rPr>
      </w:pPr>
    </w:p>
    <w:p w14:paraId="12F197EA" w14:textId="77777777" w:rsidR="00C60412" w:rsidRDefault="00C60412">
      <w:pPr>
        <w:jc w:val="center"/>
        <w:rPr>
          <w:b/>
          <w:sz w:val="40"/>
          <w:szCs w:val="40"/>
        </w:rPr>
      </w:pPr>
    </w:p>
    <w:p w14:paraId="763DDAEB" w14:textId="77777777" w:rsidR="00C60412" w:rsidRDefault="00C60412">
      <w:pPr>
        <w:jc w:val="center"/>
        <w:rPr>
          <w:b/>
          <w:sz w:val="40"/>
          <w:szCs w:val="40"/>
        </w:rPr>
      </w:pPr>
    </w:p>
    <w:p w14:paraId="46288E0E" w14:textId="77777777" w:rsidR="00C60412" w:rsidRDefault="00C60412">
      <w:pPr>
        <w:jc w:val="center"/>
        <w:rPr>
          <w:b/>
          <w:sz w:val="40"/>
          <w:szCs w:val="40"/>
        </w:rPr>
      </w:pPr>
    </w:p>
    <w:p w14:paraId="63F921BC" w14:textId="40D296BE" w:rsidR="00BF54A5" w:rsidRDefault="00BF54A5" w:rsidP="00BF54A5">
      <w:pPr>
        <w:spacing w:line="240" w:lineRule="auto"/>
        <w:jc w:val="center"/>
        <w:rPr>
          <w:b/>
          <w:i/>
          <w:sz w:val="52"/>
          <w:szCs w:val="52"/>
        </w:rPr>
      </w:pPr>
      <w:r w:rsidRPr="00BD27BB">
        <w:rPr>
          <w:b/>
          <w:sz w:val="52"/>
          <w:szCs w:val="52"/>
        </w:rPr>
        <w:t xml:space="preserve">International </w:t>
      </w:r>
      <w:r>
        <w:rPr>
          <w:b/>
          <w:sz w:val="52"/>
          <w:szCs w:val="52"/>
        </w:rPr>
        <w:t>Bussines Communication</w:t>
      </w:r>
    </w:p>
    <w:p w14:paraId="6790095A" w14:textId="77777777" w:rsidR="00BF54A5" w:rsidRPr="00BD27BB" w:rsidRDefault="00BF54A5" w:rsidP="00BF54A5">
      <w:pPr>
        <w:spacing w:line="240" w:lineRule="auto"/>
        <w:jc w:val="center"/>
        <w:rPr>
          <w:b/>
          <w:i/>
          <w:sz w:val="52"/>
          <w:szCs w:val="52"/>
        </w:rPr>
      </w:pPr>
    </w:p>
    <w:p w14:paraId="1BC3BCA8" w14:textId="651ECCAF" w:rsidR="00BF54A5" w:rsidRPr="00BD27BB" w:rsidRDefault="00BF54A5" w:rsidP="00BF54A5">
      <w:pPr>
        <w:spacing w:line="240" w:lineRule="auto"/>
        <w:jc w:val="center"/>
        <w:rPr>
          <w:b/>
          <w:i/>
          <w:sz w:val="40"/>
          <w:szCs w:val="40"/>
        </w:rPr>
      </w:pPr>
      <w:r w:rsidRPr="00BD27BB">
        <w:rPr>
          <w:b/>
          <w:i/>
          <w:sz w:val="40"/>
          <w:szCs w:val="40"/>
        </w:rPr>
        <w:t>Module Code: LCBB600</w:t>
      </w:r>
      <w:r>
        <w:rPr>
          <w:b/>
          <w:i/>
          <w:sz w:val="40"/>
          <w:szCs w:val="40"/>
        </w:rPr>
        <w:t>1</w:t>
      </w:r>
    </w:p>
    <w:p w14:paraId="3F292F48" w14:textId="77777777" w:rsidR="00BF54A5" w:rsidRPr="00BD27BB" w:rsidRDefault="00BF54A5" w:rsidP="00BF54A5">
      <w:pPr>
        <w:spacing w:line="240" w:lineRule="auto"/>
        <w:jc w:val="center"/>
        <w:rPr>
          <w:b/>
          <w:i/>
          <w:sz w:val="32"/>
          <w:szCs w:val="32"/>
        </w:rPr>
      </w:pPr>
    </w:p>
    <w:p w14:paraId="2A07A41D" w14:textId="77777777" w:rsidR="00BF54A5" w:rsidRDefault="00BF54A5" w:rsidP="00BF54A5">
      <w:pPr>
        <w:spacing w:line="240" w:lineRule="auto"/>
        <w:jc w:val="center"/>
        <w:rPr>
          <w:b/>
          <w:i/>
          <w:sz w:val="32"/>
          <w:szCs w:val="32"/>
        </w:rPr>
      </w:pPr>
      <w:r w:rsidRPr="00BD27BB">
        <w:rPr>
          <w:b/>
          <w:i/>
          <w:sz w:val="32"/>
          <w:szCs w:val="32"/>
        </w:rPr>
        <w:t>Student name: Cristina Madalina Carare</w:t>
      </w:r>
    </w:p>
    <w:p w14:paraId="022FC6E7" w14:textId="77777777" w:rsidR="00BF54A5" w:rsidRDefault="00BF54A5" w:rsidP="00BF54A5">
      <w:pPr>
        <w:spacing w:line="240" w:lineRule="auto"/>
        <w:jc w:val="center"/>
        <w:rPr>
          <w:b/>
          <w:i/>
          <w:sz w:val="32"/>
          <w:szCs w:val="32"/>
        </w:rPr>
      </w:pPr>
      <w:r w:rsidRPr="00BD27BB">
        <w:rPr>
          <w:b/>
          <w:i/>
          <w:sz w:val="32"/>
          <w:szCs w:val="32"/>
        </w:rPr>
        <w:t>Student ID: 2246441</w:t>
      </w:r>
    </w:p>
    <w:p w14:paraId="7DEE41A3" w14:textId="77777777" w:rsidR="00BF54A5" w:rsidRPr="00BD27BB" w:rsidRDefault="00BF54A5" w:rsidP="00BF54A5">
      <w:pPr>
        <w:spacing w:line="240" w:lineRule="auto"/>
        <w:jc w:val="center"/>
        <w:rPr>
          <w:b/>
          <w:i/>
          <w:sz w:val="32"/>
          <w:szCs w:val="32"/>
        </w:rPr>
      </w:pPr>
    </w:p>
    <w:p w14:paraId="3859137D" w14:textId="03CA194D" w:rsidR="00BF54A5" w:rsidRPr="00BD27BB" w:rsidRDefault="00BF54A5" w:rsidP="00BF54A5">
      <w:pPr>
        <w:spacing w:line="240" w:lineRule="auto"/>
        <w:jc w:val="center"/>
        <w:rPr>
          <w:b/>
          <w:bCs/>
          <w:i/>
          <w:sz w:val="32"/>
          <w:szCs w:val="32"/>
        </w:rPr>
      </w:pPr>
      <w:r w:rsidRPr="00BD27BB">
        <w:rPr>
          <w:b/>
          <w:bCs/>
          <w:i/>
          <w:sz w:val="32"/>
          <w:szCs w:val="32"/>
        </w:rPr>
        <w:t xml:space="preserve">Component </w:t>
      </w:r>
      <w:r>
        <w:rPr>
          <w:b/>
          <w:bCs/>
          <w:i/>
          <w:sz w:val="32"/>
          <w:szCs w:val="32"/>
        </w:rPr>
        <w:t>1</w:t>
      </w:r>
      <w:r w:rsidRPr="00BD27BB">
        <w:rPr>
          <w:b/>
          <w:bCs/>
          <w:i/>
          <w:sz w:val="32"/>
          <w:szCs w:val="32"/>
        </w:rPr>
        <w:t xml:space="preserve">: </w:t>
      </w:r>
      <w:r w:rsidRPr="00BF54A5">
        <w:rPr>
          <w:b/>
          <w:i/>
          <w:iCs/>
          <w:sz w:val="32"/>
          <w:szCs w:val="32"/>
        </w:rPr>
        <w:t>Individual Essay</w:t>
      </w:r>
    </w:p>
    <w:p w14:paraId="4C4D63F9" w14:textId="28CE3DA6" w:rsidR="00BF54A5" w:rsidRPr="00BD27BB" w:rsidRDefault="00BF54A5" w:rsidP="00BF54A5">
      <w:pPr>
        <w:spacing w:line="240" w:lineRule="auto"/>
        <w:jc w:val="center"/>
        <w:rPr>
          <w:b/>
          <w:i/>
          <w:sz w:val="32"/>
          <w:szCs w:val="32"/>
        </w:rPr>
      </w:pPr>
      <w:r w:rsidRPr="00BD27BB">
        <w:rPr>
          <w:b/>
          <w:i/>
          <w:sz w:val="32"/>
          <w:szCs w:val="32"/>
        </w:rPr>
        <w:t>Module Le</w:t>
      </w:r>
      <w:r>
        <w:rPr>
          <w:b/>
          <w:i/>
          <w:sz w:val="32"/>
          <w:szCs w:val="32"/>
        </w:rPr>
        <w:t>cturer</w:t>
      </w:r>
      <w:r w:rsidRPr="00BD27BB">
        <w:rPr>
          <w:b/>
          <w:i/>
          <w:sz w:val="32"/>
          <w:szCs w:val="32"/>
        </w:rPr>
        <w:t xml:space="preserve">: </w:t>
      </w:r>
      <w:r w:rsidRPr="00BF54A5">
        <w:rPr>
          <w:b/>
          <w:bCs/>
          <w:i/>
          <w:sz w:val="32"/>
          <w:szCs w:val="32"/>
        </w:rPr>
        <w:t>Dr Samson Oladejo</w:t>
      </w:r>
    </w:p>
    <w:p w14:paraId="1A04289F" w14:textId="2C971B9A" w:rsidR="00C60412" w:rsidRDefault="00C60412">
      <w:pPr>
        <w:rPr>
          <w:b/>
        </w:rPr>
      </w:pPr>
      <w:r>
        <w:rPr>
          <w:b/>
        </w:rPr>
        <w:br w:type="page"/>
      </w:r>
    </w:p>
    <w:sdt>
      <w:sdtPr>
        <w:rPr>
          <w:rFonts w:ascii="Times New Roman" w:eastAsia="Times New Roman" w:hAnsi="Times New Roman" w:cs="Times New Roman"/>
          <w:color w:val="auto"/>
          <w:sz w:val="24"/>
          <w:szCs w:val="24"/>
          <w:lang w:val=""/>
        </w:rPr>
        <w:id w:val="-281651612"/>
        <w:docPartObj>
          <w:docPartGallery w:val="Table of Contents"/>
          <w:docPartUnique/>
        </w:docPartObj>
      </w:sdtPr>
      <w:sdtEndPr>
        <w:rPr>
          <w:b/>
          <w:bCs/>
          <w:noProof/>
        </w:rPr>
      </w:sdtEndPr>
      <w:sdtContent>
        <w:p w14:paraId="1994AC12" w14:textId="19094154" w:rsidR="00C60412" w:rsidRPr="006E4DE5" w:rsidRDefault="00C60412" w:rsidP="006E4DE5">
          <w:pPr>
            <w:pStyle w:val="TOCHeading"/>
            <w:jc w:val="center"/>
            <w:rPr>
              <w:rFonts w:ascii="Times New Roman" w:hAnsi="Times New Roman" w:cs="Times New Roman"/>
              <w:b/>
              <w:bCs/>
              <w:color w:val="000000" w:themeColor="text1"/>
              <w:sz w:val="28"/>
              <w:szCs w:val="28"/>
            </w:rPr>
          </w:pPr>
          <w:r w:rsidRPr="006E4DE5">
            <w:rPr>
              <w:rFonts w:ascii="Times New Roman" w:hAnsi="Times New Roman" w:cs="Times New Roman"/>
              <w:b/>
              <w:bCs/>
              <w:color w:val="000000" w:themeColor="text1"/>
              <w:sz w:val="28"/>
              <w:szCs w:val="28"/>
            </w:rPr>
            <w:t>Table of Contents</w:t>
          </w:r>
        </w:p>
        <w:p w14:paraId="0905014E" w14:textId="463074E6" w:rsidR="00BF54A5" w:rsidRDefault="00C60412">
          <w:pPr>
            <w:pStyle w:val="TOC1"/>
            <w:tabs>
              <w:tab w:val="right" w:leader="dot" w:pos="9019"/>
            </w:tabs>
            <w:rPr>
              <w:rFonts w:asciiTheme="minorHAnsi" w:eastAsiaTheme="minorEastAsia" w:hAnsiTheme="minorHAnsi" w:cstheme="minorBidi"/>
              <w:noProof/>
              <w:kern w:val="2"/>
              <w:lang w:val="en-GB" w:eastAsia="en-GB"/>
              <w14:ligatures w14:val="standardContextual"/>
            </w:rPr>
          </w:pPr>
          <w:r>
            <w:fldChar w:fldCharType="begin"/>
          </w:r>
          <w:r>
            <w:instrText xml:space="preserve"> TOC \o "1-3" \h \z \u </w:instrText>
          </w:r>
          <w:r>
            <w:fldChar w:fldCharType="separate"/>
          </w:r>
          <w:hyperlink w:anchor="_Toc201509894" w:history="1">
            <w:r w:rsidR="00BF54A5" w:rsidRPr="00726B9E">
              <w:rPr>
                <w:rStyle w:val="Hyperlink"/>
                <w:noProof/>
              </w:rPr>
              <w:t>Background or introduction about the market/region, and the businesses</w:t>
            </w:r>
            <w:r w:rsidR="00BF54A5">
              <w:rPr>
                <w:noProof/>
                <w:webHidden/>
              </w:rPr>
              <w:tab/>
            </w:r>
            <w:r w:rsidR="00BF54A5">
              <w:rPr>
                <w:noProof/>
                <w:webHidden/>
              </w:rPr>
              <w:fldChar w:fldCharType="begin"/>
            </w:r>
            <w:r w:rsidR="00BF54A5">
              <w:rPr>
                <w:noProof/>
                <w:webHidden/>
              </w:rPr>
              <w:instrText xml:space="preserve"> PAGEREF _Toc201509894 \h </w:instrText>
            </w:r>
            <w:r w:rsidR="00BF54A5">
              <w:rPr>
                <w:noProof/>
                <w:webHidden/>
              </w:rPr>
            </w:r>
            <w:r w:rsidR="00BF54A5">
              <w:rPr>
                <w:noProof/>
                <w:webHidden/>
              </w:rPr>
              <w:fldChar w:fldCharType="separate"/>
            </w:r>
            <w:r w:rsidR="00BF54A5">
              <w:rPr>
                <w:noProof/>
                <w:webHidden/>
              </w:rPr>
              <w:t>3</w:t>
            </w:r>
            <w:r w:rsidR="00BF54A5">
              <w:rPr>
                <w:noProof/>
                <w:webHidden/>
              </w:rPr>
              <w:fldChar w:fldCharType="end"/>
            </w:r>
          </w:hyperlink>
        </w:p>
        <w:p w14:paraId="200FD532" w14:textId="71D2F4E6" w:rsidR="00BF54A5" w:rsidRDefault="00BF54A5">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201509895" w:history="1">
            <w:r w:rsidRPr="00726B9E">
              <w:rPr>
                <w:rStyle w:val="Hyperlink"/>
                <w:noProof/>
              </w:rPr>
              <w:t>Introduction</w:t>
            </w:r>
            <w:r>
              <w:rPr>
                <w:noProof/>
                <w:webHidden/>
              </w:rPr>
              <w:tab/>
            </w:r>
            <w:r>
              <w:rPr>
                <w:noProof/>
                <w:webHidden/>
              </w:rPr>
              <w:fldChar w:fldCharType="begin"/>
            </w:r>
            <w:r>
              <w:rPr>
                <w:noProof/>
                <w:webHidden/>
              </w:rPr>
              <w:instrText xml:space="preserve"> PAGEREF _Toc201509895 \h </w:instrText>
            </w:r>
            <w:r>
              <w:rPr>
                <w:noProof/>
                <w:webHidden/>
              </w:rPr>
            </w:r>
            <w:r>
              <w:rPr>
                <w:noProof/>
                <w:webHidden/>
              </w:rPr>
              <w:fldChar w:fldCharType="separate"/>
            </w:r>
            <w:r>
              <w:rPr>
                <w:noProof/>
                <w:webHidden/>
              </w:rPr>
              <w:t>3</w:t>
            </w:r>
            <w:r>
              <w:rPr>
                <w:noProof/>
                <w:webHidden/>
              </w:rPr>
              <w:fldChar w:fldCharType="end"/>
            </w:r>
          </w:hyperlink>
        </w:p>
        <w:p w14:paraId="1A729A0F" w14:textId="2FFD1178" w:rsidR="00BF54A5" w:rsidRDefault="00BF54A5">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201509896" w:history="1">
            <w:r w:rsidRPr="00726B9E">
              <w:rPr>
                <w:rStyle w:val="Hyperlink"/>
                <w:noProof/>
              </w:rPr>
              <w:t>Background of the Companies and Market Context</w:t>
            </w:r>
            <w:r>
              <w:rPr>
                <w:noProof/>
                <w:webHidden/>
              </w:rPr>
              <w:tab/>
            </w:r>
            <w:r>
              <w:rPr>
                <w:noProof/>
                <w:webHidden/>
              </w:rPr>
              <w:fldChar w:fldCharType="begin"/>
            </w:r>
            <w:r>
              <w:rPr>
                <w:noProof/>
                <w:webHidden/>
              </w:rPr>
              <w:instrText xml:space="preserve"> PAGEREF _Toc201509896 \h </w:instrText>
            </w:r>
            <w:r>
              <w:rPr>
                <w:noProof/>
                <w:webHidden/>
              </w:rPr>
            </w:r>
            <w:r>
              <w:rPr>
                <w:noProof/>
                <w:webHidden/>
              </w:rPr>
              <w:fldChar w:fldCharType="separate"/>
            </w:r>
            <w:r>
              <w:rPr>
                <w:noProof/>
                <w:webHidden/>
              </w:rPr>
              <w:t>3</w:t>
            </w:r>
            <w:r>
              <w:rPr>
                <w:noProof/>
                <w:webHidden/>
              </w:rPr>
              <w:fldChar w:fldCharType="end"/>
            </w:r>
          </w:hyperlink>
        </w:p>
        <w:p w14:paraId="398D0273" w14:textId="38D56907" w:rsidR="00BF54A5" w:rsidRDefault="00BF54A5">
          <w:pPr>
            <w:pStyle w:val="TOC1"/>
            <w:tabs>
              <w:tab w:val="right" w:leader="dot" w:pos="9019"/>
            </w:tabs>
            <w:rPr>
              <w:rFonts w:asciiTheme="minorHAnsi" w:eastAsiaTheme="minorEastAsia" w:hAnsiTheme="minorHAnsi" w:cstheme="minorBidi"/>
              <w:noProof/>
              <w:kern w:val="2"/>
              <w:lang w:val="en-GB" w:eastAsia="en-GB"/>
              <w14:ligatures w14:val="standardContextual"/>
            </w:rPr>
          </w:pPr>
          <w:hyperlink w:anchor="_Toc201509897" w:history="1">
            <w:r w:rsidRPr="00726B9E">
              <w:rPr>
                <w:rStyle w:val="Hyperlink"/>
                <w:noProof/>
              </w:rPr>
              <w:t>Main Body</w:t>
            </w:r>
            <w:r>
              <w:rPr>
                <w:noProof/>
                <w:webHidden/>
              </w:rPr>
              <w:tab/>
            </w:r>
            <w:r>
              <w:rPr>
                <w:noProof/>
                <w:webHidden/>
              </w:rPr>
              <w:fldChar w:fldCharType="begin"/>
            </w:r>
            <w:r>
              <w:rPr>
                <w:noProof/>
                <w:webHidden/>
              </w:rPr>
              <w:instrText xml:space="preserve"> PAGEREF _Toc201509897 \h </w:instrText>
            </w:r>
            <w:r>
              <w:rPr>
                <w:noProof/>
                <w:webHidden/>
              </w:rPr>
            </w:r>
            <w:r>
              <w:rPr>
                <w:noProof/>
                <w:webHidden/>
              </w:rPr>
              <w:fldChar w:fldCharType="separate"/>
            </w:r>
            <w:r>
              <w:rPr>
                <w:noProof/>
                <w:webHidden/>
              </w:rPr>
              <w:t>4</w:t>
            </w:r>
            <w:r>
              <w:rPr>
                <w:noProof/>
                <w:webHidden/>
              </w:rPr>
              <w:fldChar w:fldCharType="end"/>
            </w:r>
          </w:hyperlink>
        </w:p>
        <w:p w14:paraId="71A3B6D0" w14:textId="01278565" w:rsidR="00BF54A5" w:rsidRDefault="00BF54A5">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201509898" w:history="1">
            <w:r w:rsidRPr="00726B9E">
              <w:rPr>
                <w:rStyle w:val="Hyperlink"/>
                <w:noProof/>
              </w:rPr>
              <w:t>Theoretical Framework</w:t>
            </w:r>
            <w:r>
              <w:rPr>
                <w:noProof/>
                <w:webHidden/>
              </w:rPr>
              <w:tab/>
            </w:r>
            <w:r>
              <w:rPr>
                <w:noProof/>
                <w:webHidden/>
              </w:rPr>
              <w:fldChar w:fldCharType="begin"/>
            </w:r>
            <w:r>
              <w:rPr>
                <w:noProof/>
                <w:webHidden/>
              </w:rPr>
              <w:instrText xml:space="preserve"> PAGEREF _Toc201509898 \h </w:instrText>
            </w:r>
            <w:r>
              <w:rPr>
                <w:noProof/>
                <w:webHidden/>
              </w:rPr>
            </w:r>
            <w:r>
              <w:rPr>
                <w:noProof/>
                <w:webHidden/>
              </w:rPr>
              <w:fldChar w:fldCharType="separate"/>
            </w:r>
            <w:r>
              <w:rPr>
                <w:noProof/>
                <w:webHidden/>
              </w:rPr>
              <w:t>4</w:t>
            </w:r>
            <w:r>
              <w:rPr>
                <w:noProof/>
                <w:webHidden/>
              </w:rPr>
              <w:fldChar w:fldCharType="end"/>
            </w:r>
          </w:hyperlink>
        </w:p>
        <w:p w14:paraId="30A93CE1" w14:textId="6523FA31" w:rsidR="00BF54A5" w:rsidRDefault="00BF54A5">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201509899" w:history="1">
            <w:r w:rsidRPr="00726B9E">
              <w:rPr>
                <w:rStyle w:val="Hyperlink"/>
                <w:noProof/>
              </w:rPr>
              <w:t>Communication Style Differences Between the UK and Japan</w:t>
            </w:r>
            <w:r>
              <w:rPr>
                <w:noProof/>
                <w:webHidden/>
              </w:rPr>
              <w:tab/>
            </w:r>
            <w:r>
              <w:rPr>
                <w:noProof/>
                <w:webHidden/>
              </w:rPr>
              <w:fldChar w:fldCharType="begin"/>
            </w:r>
            <w:r>
              <w:rPr>
                <w:noProof/>
                <w:webHidden/>
              </w:rPr>
              <w:instrText xml:space="preserve"> PAGEREF _Toc201509899 \h </w:instrText>
            </w:r>
            <w:r>
              <w:rPr>
                <w:noProof/>
                <w:webHidden/>
              </w:rPr>
            </w:r>
            <w:r>
              <w:rPr>
                <w:noProof/>
                <w:webHidden/>
              </w:rPr>
              <w:fldChar w:fldCharType="separate"/>
            </w:r>
            <w:r>
              <w:rPr>
                <w:noProof/>
                <w:webHidden/>
              </w:rPr>
              <w:t>7</w:t>
            </w:r>
            <w:r>
              <w:rPr>
                <w:noProof/>
                <w:webHidden/>
              </w:rPr>
              <w:fldChar w:fldCharType="end"/>
            </w:r>
          </w:hyperlink>
        </w:p>
        <w:p w14:paraId="67914C31" w14:textId="708C90FF" w:rsidR="00BF54A5" w:rsidRDefault="00BF54A5">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201509900" w:history="1">
            <w:r w:rsidRPr="00726B9E">
              <w:rPr>
                <w:rStyle w:val="Hyperlink"/>
                <w:noProof/>
              </w:rPr>
              <w:t>Implications for Teamwork and Project Success</w:t>
            </w:r>
            <w:r>
              <w:rPr>
                <w:noProof/>
                <w:webHidden/>
              </w:rPr>
              <w:tab/>
            </w:r>
            <w:r>
              <w:rPr>
                <w:noProof/>
                <w:webHidden/>
              </w:rPr>
              <w:fldChar w:fldCharType="begin"/>
            </w:r>
            <w:r>
              <w:rPr>
                <w:noProof/>
                <w:webHidden/>
              </w:rPr>
              <w:instrText xml:space="preserve"> PAGEREF _Toc201509900 \h </w:instrText>
            </w:r>
            <w:r>
              <w:rPr>
                <w:noProof/>
                <w:webHidden/>
              </w:rPr>
            </w:r>
            <w:r>
              <w:rPr>
                <w:noProof/>
                <w:webHidden/>
              </w:rPr>
              <w:fldChar w:fldCharType="separate"/>
            </w:r>
            <w:r>
              <w:rPr>
                <w:noProof/>
                <w:webHidden/>
              </w:rPr>
              <w:t>10</w:t>
            </w:r>
            <w:r>
              <w:rPr>
                <w:noProof/>
                <w:webHidden/>
              </w:rPr>
              <w:fldChar w:fldCharType="end"/>
            </w:r>
          </w:hyperlink>
        </w:p>
        <w:p w14:paraId="4C24E671" w14:textId="296AAF72" w:rsidR="00BF54A5" w:rsidRDefault="00BF54A5">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201509901" w:history="1">
            <w:r w:rsidRPr="00726B9E">
              <w:rPr>
                <w:rStyle w:val="Hyperlink"/>
                <w:noProof/>
              </w:rPr>
              <w:t>Recommendations for Managing Communication Challenges</w:t>
            </w:r>
            <w:r>
              <w:rPr>
                <w:noProof/>
                <w:webHidden/>
              </w:rPr>
              <w:tab/>
            </w:r>
            <w:r>
              <w:rPr>
                <w:noProof/>
                <w:webHidden/>
              </w:rPr>
              <w:fldChar w:fldCharType="begin"/>
            </w:r>
            <w:r>
              <w:rPr>
                <w:noProof/>
                <w:webHidden/>
              </w:rPr>
              <w:instrText xml:space="preserve"> PAGEREF _Toc201509901 \h </w:instrText>
            </w:r>
            <w:r>
              <w:rPr>
                <w:noProof/>
                <w:webHidden/>
              </w:rPr>
            </w:r>
            <w:r>
              <w:rPr>
                <w:noProof/>
                <w:webHidden/>
              </w:rPr>
              <w:fldChar w:fldCharType="separate"/>
            </w:r>
            <w:r>
              <w:rPr>
                <w:noProof/>
                <w:webHidden/>
              </w:rPr>
              <w:t>10</w:t>
            </w:r>
            <w:r>
              <w:rPr>
                <w:noProof/>
                <w:webHidden/>
              </w:rPr>
              <w:fldChar w:fldCharType="end"/>
            </w:r>
          </w:hyperlink>
        </w:p>
        <w:p w14:paraId="3EA95372" w14:textId="3D5E80B2" w:rsidR="00BF54A5" w:rsidRDefault="00BF54A5">
          <w:pPr>
            <w:pStyle w:val="TOC1"/>
            <w:tabs>
              <w:tab w:val="right" w:leader="dot" w:pos="9019"/>
            </w:tabs>
            <w:rPr>
              <w:rFonts w:asciiTheme="minorHAnsi" w:eastAsiaTheme="minorEastAsia" w:hAnsiTheme="minorHAnsi" w:cstheme="minorBidi"/>
              <w:noProof/>
              <w:kern w:val="2"/>
              <w:lang w:val="en-GB" w:eastAsia="en-GB"/>
              <w14:ligatures w14:val="standardContextual"/>
            </w:rPr>
          </w:pPr>
          <w:hyperlink w:anchor="_Toc201509902" w:history="1">
            <w:r w:rsidRPr="00726B9E">
              <w:rPr>
                <w:rStyle w:val="Hyperlink"/>
                <w:noProof/>
              </w:rPr>
              <w:t>Conclusion</w:t>
            </w:r>
            <w:r>
              <w:rPr>
                <w:noProof/>
                <w:webHidden/>
              </w:rPr>
              <w:tab/>
            </w:r>
            <w:r>
              <w:rPr>
                <w:noProof/>
                <w:webHidden/>
              </w:rPr>
              <w:fldChar w:fldCharType="begin"/>
            </w:r>
            <w:r>
              <w:rPr>
                <w:noProof/>
                <w:webHidden/>
              </w:rPr>
              <w:instrText xml:space="preserve"> PAGEREF _Toc201509902 \h </w:instrText>
            </w:r>
            <w:r>
              <w:rPr>
                <w:noProof/>
                <w:webHidden/>
              </w:rPr>
            </w:r>
            <w:r>
              <w:rPr>
                <w:noProof/>
                <w:webHidden/>
              </w:rPr>
              <w:fldChar w:fldCharType="separate"/>
            </w:r>
            <w:r>
              <w:rPr>
                <w:noProof/>
                <w:webHidden/>
              </w:rPr>
              <w:t>11</w:t>
            </w:r>
            <w:r>
              <w:rPr>
                <w:noProof/>
                <w:webHidden/>
              </w:rPr>
              <w:fldChar w:fldCharType="end"/>
            </w:r>
          </w:hyperlink>
        </w:p>
        <w:p w14:paraId="00F30074" w14:textId="46D0BA0A" w:rsidR="00BF54A5" w:rsidRDefault="00BF54A5">
          <w:pPr>
            <w:pStyle w:val="TOC1"/>
            <w:tabs>
              <w:tab w:val="right" w:leader="dot" w:pos="9019"/>
            </w:tabs>
            <w:rPr>
              <w:rFonts w:asciiTheme="minorHAnsi" w:eastAsiaTheme="minorEastAsia" w:hAnsiTheme="minorHAnsi" w:cstheme="minorBidi"/>
              <w:noProof/>
              <w:kern w:val="2"/>
              <w:lang w:val="en-GB" w:eastAsia="en-GB"/>
              <w14:ligatures w14:val="standardContextual"/>
            </w:rPr>
          </w:pPr>
          <w:hyperlink w:anchor="_Toc201509903" w:history="1">
            <w:r w:rsidRPr="00726B9E">
              <w:rPr>
                <w:rStyle w:val="Hyperlink"/>
                <w:noProof/>
              </w:rPr>
              <w:t>Reference list</w:t>
            </w:r>
            <w:r>
              <w:rPr>
                <w:noProof/>
                <w:webHidden/>
              </w:rPr>
              <w:tab/>
            </w:r>
            <w:r>
              <w:rPr>
                <w:noProof/>
                <w:webHidden/>
              </w:rPr>
              <w:fldChar w:fldCharType="begin"/>
            </w:r>
            <w:r>
              <w:rPr>
                <w:noProof/>
                <w:webHidden/>
              </w:rPr>
              <w:instrText xml:space="preserve"> PAGEREF _Toc201509903 \h </w:instrText>
            </w:r>
            <w:r>
              <w:rPr>
                <w:noProof/>
                <w:webHidden/>
              </w:rPr>
            </w:r>
            <w:r>
              <w:rPr>
                <w:noProof/>
                <w:webHidden/>
              </w:rPr>
              <w:fldChar w:fldCharType="separate"/>
            </w:r>
            <w:r>
              <w:rPr>
                <w:noProof/>
                <w:webHidden/>
              </w:rPr>
              <w:t>12</w:t>
            </w:r>
            <w:r>
              <w:rPr>
                <w:noProof/>
                <w:webHidden/>
              </w:rPr>
              <w:fldChar w:fldCharType="end"/>
            </w:r>
          </w:hyperlink>
        </w:p>
        <w:p w14:paraId="056512EC" w14:textId="0A8E4952" w:rsidR="00BF54A5" w:rsidRDefault="00BF54A5">
          <w:pPr>
            <w:pStyle w:val="TOC1"/>
            <w:tabs>
              <w:tab w:val="right" w:leader="dot" w:pos="9019"/>
            </w:tabs>
            <w:rPr>
              <w:rFonts w:asciiTheme="minorHAnsi" w:eastAsiaTheme="minorEastAsia" w:hAnsiTheme="minorHAnsi" w:cstheme="minorBidi"/>
              <w:noProof/>
              <w:kern w:val="2"/>
              <w:lang w:val="en-GB" w:eastAsia="en-GB"/>
              <w14:ligatures w14:val="standardContextual"/>
            </w:rPr>
          </w:pPr>
          <w:hyperlink w:anchor="_Toc201509904" w:history="1">
            <w:r w:rsidRPr="00726B9E">
              <w:rPr>
                <w:rStyle w:val="Hyperlink"/>
                <w:noProof/>
              </w:rPr>
              <w:t>Appendix</w:t>
            </w:r>
            <w:r>
              <w:rPr>
                <w:noProof/>
                <w:webHidden/>
              </w:rPr>
              <w:tab/>
            </w:r>
            <w:r>
              <w:rPr>
                <w:noProof/>
                <w:webHidden/>
              </w:rPr>
              <w:fldChar w:fldCharType="begin"/>
            </w:r>
            <w:r>
              <w:rPr>
                <w:noProof/>
                <w:webHidden/>
              </w:rPr>
              <w:instrText xml:space="preserve"> PAGEREF _Toc201509904 \h </w:instrText>
            </w:r>
            <w:r>
              <w:rPr>
                <w:noProof/>
                <w:webHidden/>
              </w:rPr>
            </w:r>
            <w:r>
              <w:rPr>
                <w:noProof/>
                <w:webHidden/>
              </w:rPr>
              <w:fldChar w:fldCharType="separate"/>
            </w:r>
            <w:r>
              <w:rPr>
                <w:noProof/>
                <w:webHidden/>
              </w:rPr>
              <w:t>15</w:t>
            </w:r>
            <w:r>
              <w:rPr>
                <w:noProof/>
                <w:webHidden/>
              </w:rPr>
              <w:fldChar w:fldCharType="end"/>
            </w:r>
          </w:hyperlink>
        </w:p>
        <w:p w14:paraId="7799FF4F" w14:textId="1193A4BB" w:rsidR="00C60412" w:rsidRDefault="00C60412">
          <w:r>
            <w:rPr>
              <w:b/>
              <w:bCs/>
              <w:noProof/>
            </w:rPr>
            <w:fldChar w:fldCharType="end"/>
          </w:r>
        </w:p>
      </w:sdtContent>
    </w:sdt>
    <w:p w14:paraId="3C0AB37E" w14:textId="40A3A578" w:rsidR="00C60412" w:rsidRDefault="00C60412">
      <w:pPr>
        <w:rPr>
          <w:b/>
        </w:rPr>
      </w:pPr>
      <w:r>
        <w:rPr>
          <w:b/>
        </w:rPr>
        <w:br w:type="page"/>
      </w:r>
    </w:p>
    <w:p w14:paraId="11A8EE9F" w14:textId="77777777" w:rsidR="0058267E" w:rsidRDefault="00000000">
      <w:pPr>
        <w:pStyle w:val="Heading1"/>
      </w:pPr>
      <w:bookmarkStart w:id="0" w:name="_9fit2nr8rqsi" w:colFirst="0" w:colLast="0"/>
      <w:bookmarkStart w:id="1" w:name="_Toc201509894"/>
      <w:bookmarkEnd w:id="0"/>
      <w:r>
        <w:lastRenderedPageBreak/>
        <w:t>Background or introduction about the market/region, and the businesses</w:t>
      </w:r>
      <w:bookmarkEnd w:id="1"/>
    </w:p>
    <w:p w14:paraId="18D7137E" w14:textId="77777777" w:rsidR="0058267E" w:rsidRDefault="00000000">
      <w:pPr>
        <w:pStyle w:val="Heading2"/>
      </w:pPr>
      <w:bookmarkStart w:id="2" w:name="_asdid8q1ds43" w:colFirst="0" w:colLast="0"/>
      <w:bookmarkStart w:id="3" w:name="_Toc201509895"/>
      <w:bookmarkEnd w:id="2"/>
      <w:r>
        <w:t>Introduction</w:t>
      </w:r>
      <w:bookmarkEnd w:id="3"/>
      <w:r>
        <w:t xml:space="preserve"> </w:t>
      </w:r>
    </w:p>
    <w:p w14:paraId="0E13986D" w14:textId="77777777" w:rsidR="0058267E" w:rsidRDefault="00000000">
      <w:r>
        <w:t>In today's growing globalised business environment, multinational collaborations are crucial for innovation and market growth. The pharmaceutical sector, in particular, relies on cross-border partnerships to accelerate drug discovery and development. This essay examines the communication style variations between United Kingdom and Japanese teams in the context of GlaxoSmithKline's (GSK) partnership with Takeda Pharmaceutical. The primary concern is that cultural differences can lead to miscommunication and misunderstandings in joint initiatives. By applying Hofstede's model and Hall's high- and low-context communication theory, the essay affords insights into coping with these challenges for effective collaboration between UK and Japanese teams.</w:t>
      </w:r>
    </w:p>
    <w:p w14:paraId="54F68CF7" w14:textId="77777777" w:rsidR="00BF54A5" w:rsidRDefault="00BF54A5"/>
    <w:p w14:paraId="20CB444C" w14:textId="118AC470" w:rsidR="0058267E" w:rsidRDefault="00000000">
      <w:pPr>
        <w:pStyle w:val="Heading2"/>
      </w:pPr>
      <w:bookmarkStart w:id="4" w:name="_z74ve4t4qeo4" w:colFirst="0" w:colLast="0"/>
      <w:bookmarkStart w:id="5" w:name="_Toc201509896"/>
      <w:bookmarkEnd w:id="4"/>
      <w:r>
        <w:t>Background of the Companies and Market Context</w:t>
      </w:r>
      <w:bookmarkEnd w:id="5"/>
      <w:r>
        <w:t xml:space="preserve"> </w:t>
      </w:r>
    </w:p>
    <w:p w14:paraId="3107E204" w14:textId="77777777" w:rsidR="0058267E" w:rsidRDefault="00000000">
      <w:r>
        <w:t>GSK is a UK-based multinational pharmaceutical and biotechnology company with a robust international footprint. It was founded in London and it is renowned for its dedication to research and development (R&amp;D), generating vaccines, speciality drug treatments, and customer healthcare merchandise (GSK, 2025). The company values open communication, innovation, and teamwork for working in a fantastically low-context culture wherein clarity, directness, and efficiency in communication are prioritised.</w:t>
      </w:r>
    </w:p>
    <w:p w14:paraId="16767518" w14:textId="77777777" w:rsidR="0058267E" w:rsidRDefault="00000000">
      <w:r>
        <w:t>Takeda Pharmaceutical was established in 1781 and situated in Tokyo.  Takeda is Japan's biggest pharmaceutical business. With operations spanning over 80 international locations, Takeda focuses on oncology, gastroenterology, neuroscience, and uncommon illnesses (Takeda Pharmaceuticals, 2025). Takeda's corporate culture is deeply rooted in Japanese traditions that value harmony, admiration for hierarchy, and institutional consensus. Its high-context communication style relies on implicit information, non-verbal cues, and relationship-building.</w:t>
      </w:r>
    </w:p>
    <w:p w14:paraId="5976D1B0" w14:textId="77777777" w:rsidR="0058267E" w:rsidRDefault="00000000">
      <w:r>
        <w:t xml:space="preserve">The partnership between GSK and Takeda represents a strategic alliance to co-develop and market revolutionary remedies, especially in oncology and rare diseases. This collaboration enables each firm to leverage complementary strengths (GSK's understanding of global market access and Takeda's deep understanding of the Asian healthcare panorama). However, such partnerships also give challenges beyond technical and regulatory aspects, in particular in </w:t>
      </w:r>
      <w:r>
        <w:lastRenderedPageBreak/>
        <w:t xml:space="preserve">coping with communication between culturally different teams. The variations in communication styles and expectancies can affect decision-making, project timelines, and the long-term success of drug development programmes. </w:t>
      </w:r>
    </w:p>
    <w:p w14:paraId="1708A43F" w14:textId="77777777" w:rsidR="00BF54A5" w:rsidRDefault="00BF54A5"/>
    <w:p w14:paraId="3E574114" w14:textId="77777777" w:rsidR="0058267E" w:rsidRDefault="00000000">
      <w:pPr>
        <w:pStyle w:val="Heading1"/>
      </w:pPr>
      <w:bookmarkStart w:id="6" w:name="_zd7uke65vbzm" w:colFirst="0" w:colLast="0"/>
      <w:bookmarkStart w:id="7" w:name="_Toc201509897"/>
      <w:bookmarkEnd w:id="6"/>
      <w:r>
        <w:t>Main Body</w:t>
      </w:r>
      <w:bookmarkEnd w:id="7"/>
    </w:p>
    <w:p w14:paraId="34686493" w14:textId="77777777" w:rsidR="0058267E" w:rsidRDefault="00000000">
      <w:pPr>
        <w:pStyle w:val="Heading2"/>
      </w:pPr>
      <w:bookmarkStart w:id="8" w:name="_k55zzwxbbvfh" w:colFirst="0" w:colLast="0"/>
      <w:bookmarkStart w:id="9" w:name="_Toc201509898"/>
      <w:bookmarkEnd w:id="8"/>
      <w:r>
        <w:t>Theoretical Framework</w:t>
      </w:r>
      <w:bookmarkEnd w:id="9"/>
      <w:r>
        <w:t xml:space="preserve"> </w:t>
      </w:r>
    </w:p>
    <w:p w14:paraId="23E719BF" w14:textId="77777777" w:rsidR="0058267E" w:rsidRDefault="00000000">
      <w:pPr>
        <w:rPr>
          <w:b/>
        </w:rPr>
      </w:pPr>
      <w:r>
        <w:rPr>
          <w:b/>
        </w:rPr>
        <w:t>Hofstede’s cultural dimensions theory</w:t>
      </w:r>
    </w:p>
    <w:p w14:paraId="73D36CA8" w14:textId="77777777" w:rsidR="0058267E" w:rsidRDefault="00000000">
      <w:r>
        <w:t>This theory was developed by Geert Hofstede and this identifies key dimensions that differentiate national cultures and impact workplace behaviour (Żemojtel-Piotrowska and Piotrowski, 2023).</w:t>
      </w:r>
    </w:p>
    <w:p w14:paraId="10FC52AF" w14:textId="77777777" w:rsidR="0058267E" w:rsidRDefault="00000000">
      <w:r>
        <w:rPr>
          <w:b/>
          <w:i/>
        </w:rPr>
        <w:t xml:space="preserve">Individualism vs. Collectivism: </w:t>
      </w:r>
      <w:r>
        <w:t xml:space="preserve">The UK rankings noticeably on individualism reflect a culture that values personal autonomy, individual achievement, and direct self-expression (Fevre </w:t>
      </w:r>
      <w:r>
        <w:rPr>
          <w:i/>
        </w:rPr>
        <w:t>et al.,</w:t>
      </w:r>
      <w:r>
        <w:t xml:space="preserve"> 2020). Communication tends to be expressed and self-oriented, with individuals endorsed to share evaluations openly. In comparison, Japan exhibits collectivism, wherein group harmony, loyalty, and consensus are prioritised over personal expression. </w:t>
      </w:r>
    </w:p>
    <w:p w14:paraId="3AFCBB8C" w14:textId="77777777" w:rsidR="0058267E" w:rsidRDefault="00000000">
      <w:r>
        <w:rPr>
          <w:b/>
          <w:i/>
        </w:rPr>
        <w:t>Power distance:</w:t>
      </w:r>
      <w:r>
        <w:t xml:space="preserve"> Japan has a reasonably better power distance than the UK. Western workplaces regularly replicate hierarchical structures where authority is reputable, and subordinates are much less likely to challenge senior figures overtly. This impacts communication. Japanese employees may additionally defer to senior participants in discussions and keep away from brazenly disagreeing. The United Kingdom has a lower power distance that promotes a more egalitarian technique. This encourages speaking throughout levels (Daniels and Greguras, 2014).</w:t>
      </w:r>
    </w:p>
    <w:p w14:paraId="0CB3B7A3" w14:textId="77777777" w:rsidR="0058267E" w:rsidRDefault="00000000">
      <w:pPr>
        <w:rPr>
          <w:rFonts w:ascii="Arial" w:eastAsia="Arial" w:hAnsi="Arial" w:cs="Arial"/>
          <w:color w:val="222222"/>
          <w:sz w:val="20"/>
          <w:szCs w:val="20"/>
          <w:highlight w:val="white"/>
        </w:rPr>
      </w:pPr>
      <w:r>
        <w:rPr>
          <w:b/>
          <w:i/>
        </w:rPr>
        <w:t>Uncertainty avoidance:</w:t>
      </w:r>
      <w:r>
        <w:t xml:space="preserve"> Japan ranks high on uncertainty avoidance (Yi, 2021). Japanese teams choose dependent processes, clear expectations, and chance-averse behaviour. This translates into formal and carefully deliberate communication. The UK is low. This suggests more comfort with ambiguity and flexible communication patterns (Lin and Lou, 2024). These differences can bring about frustration for UK teams perceiving Jap caution as slow or overly bureaucratic. Japanese groups may view UK flexibility as careless.</w:t>
      </w:r>
    </w:p>
    <w:p w14:paraId="6598B085" w14:textId="77777777" w:rsidR="0058267E" w:rsidRDefault="00000000">
      <w:r>
        <w:rPr>
          <w:b/>
          <w:i/>
        </w:rPr>
        <w:t>Masculinity vs. Femininity:</w:t>
      </w:r>
      <w:r>
        <w:t xml:space="preserve"> Japan and the United Kingdom lean in the direction of masculinity, but Japan's ratings indicate a strong focus on success, competition and achievement. But, this manifests differently in communication. Japanese culture emphasises </w:t>
      </w:r>
      <w:r>
        <w:lastRenderedPageBreak/>
        <w:t>concord along with competitiveness, while UK culture has a tendency to favour assertiveness and frank dialogue in professional settings.</w:t>
      </w:r>
    </w:p>
    <w:p w14:paraId="12206E02" w14:textId="77777777" w:rsidR="00BF54A5" w:rsidRDefault="00BF54A5"/>
    <w:p w14:paraId="2DB8C305" w14:textId="77777777" w:rsidR="0058267E" w:rsidRDefault="00000000">
      <w:pPr>
        <w:rPr>
          <w:b/>
        </w:rPr>
      </w:pPr>
      <w:r>
        <w:rPr>
          <w:b/>
        </w:rPr>
        <w:t>Hall’s high-context and low-context communication theory</w:t>
      </w:r>
    </w:p>
    <w:p w14:paraId="241E7574" w14:textId="77777777" w:rsidR="0058267E" w:rsidRDefault="00000000">
      <w:pPr>
        <w:rPr>
          <w:rFonts w:ascii="Arial" w:eastAsia="Arial" w:hAnsi="Arial" w:cs="Arial"/>
          <w:color w:val="222222"/>
          <w:sz w:val="20"/>
          <w:szCs w:val="20"/>
          <w:highlight w:val="white"/>
        </w:rPr>
      </w:pPr>
      <w:r>
        <w:t xml:space="preserve">Edward T. Hall proposed that cultures fluctuate in how a lot they depend upon contextual cues in communication (Broeder, 2021). </w:t>
      </w:r>
      <w:r>
        <w:rPr>
          <w:b/>
          <w:i/>
        </w:rPr>
        <w:t>High-context cultures</w:t>
      </w:r>
      <w:r>
        <w:t xml:space="preserve"> (e.g. Japan) rely closely on implicit messages, shared understandings, non-verbal cues, and long-term relationships (Suhonen, 2021). In such cultures, a great deal of the meaning is derived from context as opposed to the words themselves. Silence pauses, and oblique expressions are regularly used deliberately to deliver subtle meanings. </w:t>
      </w:r>
      <w:r>
        <w:rPr>
          <w:b/>
          <w:i/>
        </w:rPr>
        <w:t>Low-context cultures</w:t>
      </w:r>
      <w:r>
        <w:t xml:space="preserve"> (e.g. the UK) favour explicit, direct, and clear communication. That lies within the phrases used instead of the context. There may be more emphasis on verbal precision and transparency. This divergence that UK teams may also anticipate sincere solutions and can misread Jap indirectness or silences as indecision or lack of understanding. Conversely, eastern teams may additionally find UK directness to be blunt or insensitive, doubtlessly undermining relationships.</w:t>
      </w:r>
    </w:p>
    <w:tbl>
      <w:tblPr>
        <w:tblStyle w:val="Table1"/>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825"/>
        <w:gridCol w:w="2292"/>
        <w:gridCol w:w="2222"/>
        <w:gridCol w:w="2687"/>
      </w:tblGrid>
      <w:tr w:rsidR="0058267E" w14:paraId="7C065A8B" w14:textId="77777777">
        <w:trPr>
          <w:trHeight w:val="1070"/>
        </w:trPr>
        <w:tc>
          <w:tcPr>
            <w:tcW w:w="18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8CA66D" w14:textId="77777777" w:rsidR="0058267E" w:rsidRDefault="00000000">
            <w:pPr>
              <w:jc w:val="center"/>
            </w:pPr>
            <w:r>
              <w:rPr>
                <w:b/>
              </w:rPr>
              <w:t>Cultural Dimension / Theory</w:t>
            </w:r>
          </w:p>
        </w:tc>
        <w:tc>
          <w:tcPr>
            <w:tcW w:w="229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D981C9" w14:textId="77777777" w:rsidR="0058267E" w:rsidRDefault="00000000">
            <w:pPr>
              <w:jc w:val="center"/>
            </w:pPr>
            <w:r>
              <w:rPr>
                <w:b/>
              </w:rPr>
              <w:t>United Kingdom (UK)</w:t>
            </w:r>
          </w:p>
        </w:tc>
        <w:tc>
          <w:tcPr>
            <w:tcW w:w="2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54BBDB" w14:textId="77777777" w:rsidR="0058267E" w:rsidRDefault="00000000">
            <w:pPr>
              <w:jc w:val="center"/>
            </w:pPr>
            <w:r>
              <w:rPr>
                <w:b/>
              </w:rPr>
              <w:t>Japan</w:t>
            </w:r>
          </w:p>
        </w:tc>
        <w:tc>
          <w:tcPr>
            <w:tcW w:w="268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B7B779" w14:textId="77777777" w:rsidR="0058267E" w:rsidRDefault="00000000">
            <w:pPr>
              <w:jc w:val="center"/>
            </w:pPr>
            <w:r>
              <w:rPr>
                <w:b/>
              </w:rPr>
              <w:t>Implication for Communication</w:t>
            </w:r>
          </w:p>
        </w:tc>
      </w:tr>
      <w:tr w:rsidR="0058267E" w14:paraId="43B7E4ED" w14:textId="77777777">
        <w:trPr>
          <w:trHeight w:val="1355"/>
        </w:trPr>
        <w:tc>
          <w:tcPr>
            <w:tcW w:w="18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CC928A" w14:textId="77777777" w:rsidR="0058267E" w:rsidRDefault="00000000">
            <w:r>
              <w:rPr>
                <w:b/>
              </w:rPr>
              <w:t>Individualism vs Collectivism (Hofstede)</w:t>
            </w:r>
          </w:p>
        </w:tc>
        <w:tc>
          <w:tcPr>
            <w:tcW w:w="229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1E7E57" w14:textId="77777777" w:rsidR="0058267E" w:rsidRDefault="00000000">
            <w:pPr>
              <w:numPr>
                <w:ilvl w:val="0"/>
                <w:numId w:val="10"/>
              </w:numPr>
              <w:spacing w:after="0"/>
            </w:pPr>
            <w:r>
              <w:t>High individualism</w:t>
            </w:r>
          </w:p>
          <w:p w14:paraId="6DE1B103" w14:textId="77777777" w:rsidR="0058267E" w:rsidRDefault="00000000">
            <w:pPr>
              <w:numPr>
                <w:ilvl w:val="0"/>
                <w:numId w:val="10"/>
              </w:numPr>
              <w:spacing w:before="0"/>
            </w:pPr>
            <w:r>
              <w:t>values personal opinions and direct self-expression.</w:t>
            </w:r>
          </w:p>
        </w:tc>
        <w:tc>
          <w:tcPr>
            <w:tcW w:w="2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509F07" w14:textId="77777777" w:rsidR="0058267E" w:rsidRDefault="00000000">
            <w:pPr>
              <w:numPr>
                <w:ilvl w:val="0"/>
                <w:numId w:val="1"/>
              </w:numPr>
              <w:spacing w:after="0"/>
            </w:pPr>
            <w:r>
              <w:t>Collectivist</w:t>
            </w:r>
          </w:p>
          <w:p w14:paraId="5DF18869" w14:textId="77777777" w:rsidR="0058267E" w:rsidRDefault="00000000">
            <w:pPr>
              <w:numPr>
                <w:ilvl w:val="0"/>
                <w:numId w:val="1"/>
              </w:numPr>
              <w:spacing w:before="0"/>
            </w:pPr>
            <w:r>
              <w:t>s value group harmony, loyalty, and consensus.</w:t>
            </w:r>
          </w:p>
        </w:tc>
        <w:tc>
          <w:tcPr>
            <w:tcW w:w="268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0B1F2E" w14:textId="77777777" w:rsidR="0058267E" w:rsidRDefault="00000000">
            <w:r>
              <w:t>UK directness may be seen as rude; Japanese indirectness may seem evasive to UK teams.</w:t>
            </w:r>
          </w:p>
        </w:tc>
      </w:tr>
      <w:tr w:rsidR="0058267E" w14:paraId="033AB760" w14:textId="77777777">
        <w:trPr>
          <w:trHeight w:val="1640"/>
        </w:trPr>
        <w:tc>
          <w:tcPr>
            <w:tcW w:w="18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D6414D" w14:textId="77777777" w:rsidR="0058267E" w:rsidRDefault="00000000">
            <w:r>
              <w:rPr>
                <w:b/>
              </w:rPr>
              <w:t>Power Distance (Hofstede)</w:t>
            </w:r>
          </w:p>
        </w:tc>
        <w:tc>
          <w:tcPr>
            <w:tcW w:w="229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93DB59" w14:textId="77777777" w:rsidR="0058267E" w:rsidRDefault="00000000">
            <w:pPr>
              <w:numPr>
                <w:ilvl w:val="0"/>
                <w:numId w:val="5"/>
              </w:numPr>
              <w:spacing w:after="0"/>
            </w:pPr>
            <w:r>
              <w:t xml:space="preserve">Low power distance </w:t>
            </w:r>
          </w:p>
          <w:p w14:paraId="6152BDE6" w14:textId="77777777" w:rsidR="0058267E" w:rsidRDefault="00000000">
            <w:pPr>
              <w:numPr>
                <w:ilvl w:val="0"/>
                <w:numId w:val="5"/>
              </w:numPr>
              <w:spacing w:before="0"/>
            </w:pPr>
            <w:r>
              <w:t xml:space="preserve">relatively flat hierarchies; </w:t>
            </w:r>
            <w:r>
              <w:lastRenderedPageBreak/>
              <w:t>junior staff can speak openly.</w:t>
            </w:r>
          </w:p>
        </w:tc>
        <w:tc>
          <w:tcPr>
            <w:tcW w:w="2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4BFA52" w14:textId="77777777" w:rsidR="0058267E" w:rsidRDefault="00000000">
            <w:pPr>
              <w:numPr>
                <w:ilvl w:val="0"/>
                <w:numId w:val="3"/>
              </w:numPr>
              <w:spacing w:after="0"/>
            </w:pPr>
            <w:r>
              <w:lastRenderedPageBreak/>
              <w:t>Higher power distance</w:t>
            </w:r>
          </w:p>
          <w:p w14:paraId="03CEE67F" w14:textId="77777777" w:rsidR="0058267E" w:rsidRDefault="00000000">
            <w:pPr>
              <w:numPr>
                <w:ilvl w:val="0"/>
                <w:numId w:val="3"/>
              </w:numPr>
              <w:spacing w:before="0"/>
            </w:pPr>
            <w:r>
              <w:lastRenderedPageBreak/>
              <w:t>respect for authority; deference to seniority.</w:t>
            </w:r>
          </w:p>
        </w:tc>
        <w:tc>
          <w:tcPr>
            <w:tcW w:w="268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6D4D49" w14:textId="77777777" w:rsidR="0058267E" w:rsidRDefault="00000000">
            <w:r>
              <w:lastRenderedPageBreak/>
              <w:t xml:space="preserve">The UK expects open discussion; Japanese teams may avoid challenging seniors, </w:t>
            </w:r>
            <w:r>
              <w:lastRenderedPageBreak/>
              <w:t>causing frustration over slow decisions.</w:t>
            </w:r>
          </w:p>
        </w:tc>
      </w:tr>
      <w:tr w:rsidR="0058267E" w14:paraId="3321D8ED" w14:textId="77777777">
        <w:trPr>
          <w:trHeight w:val="1355"/>
        </w:trPr>
        <w:tc>
          <w:tcPr>
            <w:tcW w:w="18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9986C8" w14:textId="77777777" w:rsidR="0058267E" w:rsidRDefault="00000000">
            <w:r>
              <w:rPr>
                <w:b/>
              </w:rPr>
              <w:lastRenderedPageBreak/>
              <w:t>Uncertainty Avoidance (Hofstede)</w:t>
            </w:r>
          </w:p>
        </w:tc>
        <w:tc>
          <w:tcPr>
            <w:tcW w:w="229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D4AD9A" w14:textId="77777777" w:rsidR="0058267E" w:rsidRDefault="00000000">
            <w:pPr>
              <w:numPr>
                <w:ilvl w:val="0"/>
                <w:numId w:val="4"/>
              </w:numPr>
              <w:spacing w:after="0"/>
            </w:pPr>
            <w:r>
              <w:t>Low</w:t>
            </w:r>
          </w:p>
          <w:p w14:paraId="1414E2F6" w14:textId="77777777" w:rsidR="0058267E" w:rsidRDefault="00000000">
            <w:pPr>
              <w:numPr>
                <w:ilvl w:val="0"/>
                <w:numId w:val="4"/>
              </w:numPr>
              <w:spacing w:before="0"/>
            </w:pPr>
            <w:r>
              <w:t>comfortable with ambiguity, flexible, and open to change.</w:t>
            </w:r>
          </w:p>
        </w:tc>
        <w:tc>
          <w:tcPr>
            <w:tcW w:w="2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53AE12" w14:textId="77777777" w:rsidR="0058267E" w:rsidRDefault="00000000">
            <w:pPr>
              <w:numPr>
                <w:ilvl w:val="0"/>
                <w:numId w:val="2"/>
              </w:numPr>
              <w:spacing w:after="0"/>
            </w:pPr>
            <w:r>
              <w:t>High</w:t>
            </w:r>
          </w:p>
          <w:p w14:paraId="25498C95" w14:textId="77777777" w:rsidR="0058267E" w:rsidRDefault="00000000">
            <w:pPr>
              <w:numPr>
                <w:ilvl w:val="0"/>
                <w:numId w:val="2"/>
              </w:numPr>
              <w:spacing w:before="0"/>
            </w:pPr>
            <w:r>
              <w:t>prefers structure, clarity, detailed planning, and risk aversion.</w:t>
            </w:r>
          </w:p>
        </w:tc>
        <w:tc>
          <w:tcPr>
            <w:tcW w:w="268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A2F1C5" w14:textId="77777777" w:rsidR="0058267E" w:rsidRDefault="00000000">
            <w:r>
              <w:t>UK flexibility may feel reckless to Japanese teams; Japanese caution may seem slow to UK teams.</w:t>
            </w:r>
          </w:p>
        </w:tc>
      </w:tr>
      <w:tr w:rsidR="0058267E" w14:paraId="23C109EF" w14:textId="77777777">
        <w:trPr>
          <w:trHeight w:val="1640"/>
        </w:trPr>
        <w:tc>
          <w:tcPr>
            <w:tcW w:w="18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8BC514" w14:textId="77777777" w:rsidR="0058267E" w:rsidRDefault="00000000">
            <w:r>
              <w:rPr>
                <w:b/>
              </w:rPr>
              <w:t>Masculinity (Hofstede)</w:t>
            </w:r>
          </w:p>
        </w:tc>
        <w:tc>
          <w:tcPr>
            <w:tcW w:w="229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1466F4" w14:textId="77777777" w:rsidR="0058267E" w:rsidRDefault="00000000">
            <w:pPr>
              <w:numPr>
                <w:ilvl w:val="0"/>
                <w:numId w:val="6"/>
              </w:numPr>
              <w:spacing w:after="0"/>
            </w:pPr>
            <w:r>
              <w:t>Moderately masculine</w:t>
            </w:r>
          </w:p>
          <w:p w14:paraId="36BEA4EA" w14:textId="77777777" w:rsidR="0058267E" w:rsidRDefault="00000000">
            <w:pPr>
              <w:numPr>
                <w:ilvl w:val="0"/>
                <w:numId w:val="6"/>
              </w:numPr>
              <w:spacing w:before="0"/>
            </w:pPr>
            <w:r>
              <w:t>values achievement, assertiveness, and competitive spirit.</w:t>
            </w:r>
          </w:p>
        </w:tc>
        <w:tc>
          <w:tcPr>
            <w:tcW w:w="2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C96BAA" w14:textId="77777777" w:rsidR="0058267E" w:rsidRDefault="00000000">
            <w:pPr>
              <w:numPr>
                <w:ilvl w:val="0"/>
                <w:numId w:val="7"/>
              </w:numPr>
              <w:spacing w:after="0"/>
            </w:pPr>
            <w:r>
              <w:t>Highly masculine</w:t>
            </w:r>
          </w:p>
          <w:p w14:paraId="2C343D9D" w14:textId="77777777" w:rsidR="0058267E" w:rsidRDefault="00000000">
            <w:pPr>
              <w:numPr>
                <w:ilvl w:val="0"/>
                <w:numId w:val="7"/>
              </w:numPr>
              <w:spacing w:before="0"/>
            </w:pPr>
            <w:r>
              <w:t>success-driven, competitive, but balanced with harmony.</w:t>
            </w:r>
          </w:p>
        </w:tc>
        <w:tc>
          <w:tcPr>
            <w:tcW w:w="268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2C763E" w14:textId="77777777" w:rsidR="0058267E" w:rsidRDefault="00000000">
            <w:r>
              <w:t>UK assertiveness may clash with Japan’s preference for indirect expression even in competitive settings.</w:t>
            </w:r>
          </w:p>
        </w:tc>
      </w:tr>
      <w:tr w:rsidR="0058267E" w14:paraId="7AC2055C" w14:textId="77777777">
        <w:trPr>
          <w:trHeight w:val="1640"/>
        </w:trPr>
        <w:tc>
          <w:tcPr>
            <w:tcW w:w="18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A6CE65" w14:textId="77777777" w:rsidR="0058267E" w:rsidRDefault="00000000">
            <w:r>
              <w:rPr>
                <w:b/>
              </w:rPr>
              <w:t>Context (Hall)</w:t>
            </w:r>
          </w:p>
        </w:tc>
        <w:tc>
          <w:tcPr>
            <w:tcW w:w="229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48D7D9" w14:textId="77777777" w:rsidR="0058267E" w:rsidRDefault="00000000">
            <w:pPr>
              <w:numPr>
                <w:ilvl w:val="0"/>
                <w:numId w:val="8"/>
              </w:numPr>
              <w:spacing w:after="0"/>
            </w:pPr>
            <w:r>
              <w:t>Low-context</w:t>
            </w:r>
          </w:p>
          <w:p w14:paraId="6E8D93E5" w14:textId="77777777" w:rsidR="0058267E" w:rsidRDefault="00000000">
            <w:pPr>
              <w:numPr>
                <w:ilvl w:val="0"/>
                <w:numId w:val="8"/>
              </w:numPr>
              <w:spacing w:before="0"/>
            </w:pPr>
            <w:r>
              <w:t>relies on explicit verbal communication, and clear and direct messages.</w:t>
            </w:r>
          </w:p>
        </w:tc>
        <w:tc>
          <w:tcPr>
            <w:tcW w:w="2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6F9FF8" w14:textId="77777777" w:rsidR="0058267E" w:rsidRDefault="00000000">
            <w:pPr>
              <w:numPr>
                <w:ilvl w:val="0"/>
                <w:numId w:val="9"/>
              </w:numPr>
              <w:spacing w:after="0"/>
            </w:pPr>
            <w:r>
              <w:t>High-context</w:t>
            </w:r>
          </w:p>
          <w:p w14:paraId="7D58B698" w14:textId="77777777" w:rsidR="0058267E" w:rsidRDefault="00000000">
            <w:pPr>
              <w:numPr>
                <w:ilvl w:val="0"/>
                <w:numId w:val="9"/>
              </w:numPr>
              <w:spacing w:before="0"/>
            </w:pPr>
            <w:r>
              <w:t>relies on non-verbal cues, implied meanings, and relationship context.</w:t>
            </w:r>
          </w:p>
        </w:tc>
        <w:tc>
          <w:tcPr>
            <w:tcW w:w="268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61ECB0" w14:textId="77777777" w:rsidR="0058267E" w:rsidRDefault="00000000">
            <w:r>
              <w:t>The UK expects clarity; Japanese teams expect sensitivity to unspoken cues and relationship dynamics.</w:t>
            </w:r>
          </w:p>
        </w:tc>
      </w:tr>
      <w:tr w:rsidR="0058267E" w14:paraId="63838659" w14:textId="77777777">
        <w:trPr>
          <w:trHeight w:val="1640"/>
        </w:trPr>
        <w:tc>
          <w:tcPr>
            <w:tcW w:w="18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548A12" w14:textId="77777777" w:rsidR="0058267E" w:rsidRDefault="00000000">
            <w:r>
              <w:rPr>
                <w:b/>
              </w:rPr>
              <w:lastRenderedPageBreak/>
              <w:t>Attitude to Silence / Non-verbal cues</w:t>
            </w:r>
          </w:p>
        </w:tc>
        <w:tc>
          <w:tcPr>
            <w:tcW w:w="229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417A87" w14:textId="77777777" w:rsidR="0058267E" w:rsidRDefault="00000000">
            <w:r>
              <w:t>Silence is often uncomfortable or interpreted negatively.</w:t>
            </w:r>
          </w:p>
        </w:tc>
        <w:tc>
          <w:tcPr>
            <w:tcW w:w="2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066A67" w14:textId="77777777" w:rsidR="0058267E" w:rsidRDefault="00000000">
            <w:r>
              <w:t>Silence is meaningful and reflects thoughtfulness, respect, or disagreement.</w:t>
            </w:r>
          </w:p>
        </w:tc>
        <w:tc>
          <w:tcPr>
            <w:tcW w:w="268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2CE614" w14:textId="77777777" w:rsidR="0058267E" w:rsidRDefault="00000000">
            <w:r>
              <w:t>UK teams may misread silence as indecision; Japanese teams may feel UK teams rush or ignore important subtleties.</w:t>
            </w:r>
          </w:p>
        </w:tc>
      </w:tr>
    </w:tbl>
    <w:p w14:paraId="47C5F28D" w14:textId="77777777" w:rsidR="0058267E" w:rsidRDefault="00000000">
      <w:pPr>
        <w:jc w:val="center"/>
        <w:rPr>
          <w:b/>
        </w:rPr>
      </w:pPr>
      <w:r>
        <w:rPr>
          <w:b/>
        </w:rPr>
        <w:t>Table 1: Integration of theories in this study</w:t>
      </w:r>
    </w:p>
    <w:p w14:paraId="0FF6EC7C" w14:textId="77777777" w:rsidR="0058267E" w:rsidRDefault="00000000">
      <w:pPr>
        <w:jc w:val="center"/>
      </w:pPr>
      <w:r>
        <w:t>(Source: Researcher)</w:t>
      </w:r>
    </w:p>
    <w:p w14:paraId="6A15E459" w14:textId="77777777" w:rsidR="00BF54A5" w:rsidRDefault="00BF54A5">
      <w:pPr>
        <w:jc w:val="center"/>
      </w:pPr>
    </w:p>
    <w:p w14:paraId="0EDAFBAF" w14:textId="77777777" w:rsidR="0058267E" w:rsidRDefault="00000000">
      <w:pPr>
        <w:pStyle w:val="Heading2"/>
      </w:pPr>
      <w:bookmarkStart w:id="10" w:name="_1028w1vrp3uh" w:colFirst="0" w:colLast="0"/>
      <w:bookmarkStart w:id="11" w:name="_Toc201509899"/>
      <w:bookmarkEnd w:id="10"/>
      <w:r>
        <w:t>Communication Style Differences Between the UK and Japan</w:t>
      </w:r>
      <w:bookmarkEnd w:id="11"/>
      <w:r>
        <w:t xml:space="preserve"> </w:t>
      </w:r>
    </w:p>
    <w:p w14:paraId="01F6299E" w14:textId="77777777" w:rsidR="0058267E" w:rsidRDefault="00000000">
      <w:r>
        <w:t>Cross-cultural communication is a critical element in the success of international business collaborations (Ishchuk and Ishchuk, 2023). Within the context of the GSK and Takeda Pharmaceutical partnership, understanding and managing differences in communication patterns among UK and Japanese groups is critical to avoid misunderstandings, foster belief, and achieve project goals. These differences are influenced by cultural dimensions which include individualism, power distance, and communication context, as theorised by Hofstede and Hall.</w:t>
      </w:r>
    </w:p>
    <w:p w14:paraId="6A0F3D10" w14:textId="77777777" w:rsidR="00BF54A5" w:rsidRDefault="00BF54A5"/>
    <w:p w14:paraId="5BA738FC" w14:textId="77777777" w:rsidR="0058267E" w:rsidRDefault="00000000">
      <w:r>
        <w:rPr>
          <w:b/>
          <w:i/>
        </w:rPr>
        <w:t xml:space="preserve">Direct vs indirect communication: </w:t>
      </w:r>
      <w:r>
        <w:t>One of the biggest differences between UK and Asian communication styles allows their goals for directness or indirectness in expression. British business culture is characterised by particularly direct communication. While UK specialists frequently use politeness strategies (e.g. hedging or softening criticism), the core message has a tendency to be clean, express, and targeted on data or opinions. Clarity is valued because it facilitates efficiency, reduces ambiguity, and aligns with individualistic cultural norms (van der Westerlaken, 2025). In contrast, the Japanese communication style is fairly indirect and is structured by collectivist values and a goal to maintain group harmony (wa). Asian specialists are frequently explicit reviews subtly that rely on the listener to interpret the actual meaning via tone, context, or non-verbal signals. Disagreement is not often stated overtly, as this will disrupt harmony (Jones-Fosu, 2024).</w:t>
      </w:r>
    </w:p>
    <w:p w14:paraId="39420A4B" w14:textId="77777777" w:rsidR="0058267E" w:rsidRDefault="00000000">
      <w:r>
        <w:lastRenderedPageBreak/>
        <w:t>In GSK-Takeda conferences, UK teams would possibly anticipate straightforward answers to questions, while Japanese colleagues can also respond with ambiguity or evasive language to avoid confrontation. For instance, a Jap team member would possibly say "We can recall it" or "That can be hard" in preference to without delay rejecting a suggestion. UK colleagues may want to interpret this as indecision or loss of commitment, when in fact it signals respectful confrontation or a need for consensus in Japanese teams before responding definitively.</w:t>
      </w:r>
    </w:p>
    <w:p w14:paraId="218651B7" w14:textId="77777777" w:rsidR="00BF54A5" w:rsidRDefault="00BF54A5"/>
    <w:p w14:paraId="3591BB8F" w14:textId="77777777" w:rsidR="0058267E" w:rsidRDefault="00000000">
      <w:r>
        <w:rPr>
          <w:b/>
          <w:i/>
        </w:rPr>
        <w:t xml:space="preserve">High-context vs low-context cultures: </w:t>
      </w:r>
      <w:r>
        <w:t>This comparison in directness is strengthened by the wider distinction between high-context and low-context communication cultures, as described by Hall. The UK's communication relies heavily on phrases themselves. The meaning is conveyed explicitly, with little dependence on shared heritage understanding or unstated cues. Written communication, particular contracts, and verbal clarity are regular functions of British business practice. By evaluation, Japan exemplifies a high-context culture where a great deal of communication is implicit. Messages are embedded in the context of the relationship between speakers, their status, the setting, and non-verbal behaviour (Darics, 2012). An Asian professional might anticipate their UK counterpart to "read the air" (kuuki wo yomu) which is a concept that refers to sensing the temper and unstated expectancies of the group.</w:t>
      </w:r>
    </w:p>
    <w:p w14:paraId="32D52E66" w14:textId="77777777" w:rsidR="0058267E" w:rsidRDefault="00000000">
      <w:r>
        <w:t>This mismatch can cause frustration in joint GSK-Takeda projects. British groups can also misinterpret the Japanese reliance on shared understanding as a loss of transparency, while Eastern teams may also locate British bluntness as disrespectful or insensitive. For instance, in negotiations or collaborative discussions, UK managers might recognise getting directly to the factor, whilst Japanese managers prefer to build rapport first and deal with matters subtly. Misalignment can lead to anxiety in these expectancies that erode trust and slow development.</w:t>
      </w:r>
    </w:p>
    <w:p w14:paraId="5A702FDA" w14:textId="77777777" w:rsidR="00BF54A5" w:rsidRDefault="00BF54A5"/>
    <w:p w14:paraId="3761C38A" w14:textId="77777777" w:rsidR="0058267E" w:rsidRDefault="00000000">
      <w:r>
        <w:rPr>
          <w:b/>
          <w:i/>
        </w:rPr>
        <w:t xml:space="preserve">Power distance and hierarchy: </w:t>
      </w:r>
      <w:r>
        <w:t xml:space="preserve">Another important source of communication distinction is the varying attitudes closer to hierarchy and authority, according to Hofstede's power distance dimension (Koc, 2013). The UK normally displays low power distance. Even though British businesses admire professional titles and experience, workplace hierarchies have a tendency to be flatter, and it is not unusual for the junior workforce to give specific views freely at conferences. British managers are regularly anticipated to be approachable, and decision-making may additionally contain sessions across levels. In contrast, Japan reflects higher power distance, wherein the hierarchy is simply described and respected. Communication styles </w:t>
      </w:r>
      <w:r>
        <w:lastRenderedPageBreak/>
        <w:t xml:space="preserve">observe these hierarchical strains. This means junior eastern employees may additionally hesitate to voice options inside the presence of senior managers or might also defer completely to the maximum number of senior employees in the room. Decisions are commonly made through the technique of nemawashi (Ko </w:t>
      </w:r>
      <w:r>
        <w:rPr>
          <w:i/>
        </w:rPr>
        <w:t>et al.,</w:t>
      </w:r>
      <w:r>
        <w:t xml:space="preserve"> 2022). This is an informal consensus-constructing that is before formal approval by senior leaders.</w:t>
      </w:r>
    </w:p>
    <w:p w14:paraId="3C975FB9" w14:textId="77777777" w:rsidR="0058267E" w:rsidRDefault="00000000">
      <w:r>
        <w:t>In joint projects, this may create a disconnect. UK teams may also count on open discussion from all members during meetings and may interpret Eastern silence or deference as a lack of initiative or engagement. In the meantime, eastern group participants may additionally discover the British styles of encouraging open debate across ranks as difficult or even inappropriate. This could lead to perceived insubordination or soreness amongst Jap staff, especially in institution settings that include senior figures. Moreover, the British preference for task-orientated leadership (Aprianto, 2022). This can clash with Japanese expectations of relational and hierarchical sensitivity. If British managers press for quick decisions without sufficient nemawashi, Japanese counterparts may additionally feel uncomfortable or maybe offended. This can result in diffused resistance or project delays.</w:t>
      </w:r>
    </w:p>
    <w:p w14:paraId="164006D7" w14:textId="77777777" w:rsidR="0058267E" w:rsidRDefault="00000000">
      <w:r>
        <w:t>Attitudes toward silence and non-verbal communication: Attitudes toward silence and the use of non-verbal communication complicate UK-Japan communication dynamics. In the UK, silence at conferences is often visible as problematic or uncomfortable (King and Aono, 2017). British professionals may additionally view extended pauses as a signal of disengagement, confusion, or confrontation that needs to be addressed. As a result, British groups might also rush to fill the silence with similar clarification or questioning that is probably overwhelming their Japanese counterparts. In Jap communication, silence holds a far more effective and useful function. Silence can sign appreciation, reflection, or settlement that allows area for consideration of complex issues. It could be used strategically to convey a conflict of words or hesitation without verbal disagreement. For instance, a Jap team can also reply to a proposal with silence in preference to verbal rejection that trusts that the UK accomplice will interpret the pause as a sign to reconsider or provide rationalisation. Non-verbal cues consist of facial expressions, tone of voice, posture, and gestures (Djalolovna, 2025). These play a significant function in Japanese business communication. Jap people may convey important messages through subtle changes in tone or body language in preference to words. Moreover, the UK team can also pay less attention to those cues or fail to interpret them correctly. This will cause neglected indicators such as failing to observe soreness or dissent till it manifests in greater resistance or delays.</w:t>
      </w:r>
    </w:p>
    <w:p w14:paraId="31531649" w14:textId="77777777" w:rsidR="0058267E" w:rsidRDefault="00000000">
      <w:pPr>
        <w:pStyle w:val="Heading2"/>
      </w:pPr>
      <w:bookmarkStart w:id="12" w:name="_idgbg6b9m802" w:colFirst="0" w:colLast="0"/>
      <w:bookmarkStart w:id="13" w:name="_Toc201509900"/>
      <w:bookmarkEnd w:id="12"/>
      <w:r>
        <w:lastRenderedPageBreak/>
        <w:t>Implications for Teamwork and Project Success</w:t>
      </w:r>
      <w:bookmarkEnd w:id="13"/>
      <w:r>
        <w:t xml:space="preserve"> </w:t>
      </w:r>
    </w:p>
    <w:p w14:paraId="5B8AC07D" w14:textId="77777777" w:rsidR="0058267E" w:rsidRDefault="00000000">
      <w:r>
        <w:t xml:space="preserve">The communication variations between UK and Jap teams within the GSK-Takeda partnership have direct implications for teamwork, collaboration, and general project achievement. First of all, misalignment in communication patterns leads to </w:t>
      </w:r>
      <w:r>
        <w:rPr>
          <w:b/>
          <w:i/>
        </w:rPr>
        <w:t>delayed decision-making</w:t>
      </w:r>
      <w:r>
        <w:t xml:space="preserve"> (Jafari Songhori and Nasiry, 2020). The UK team's expectation for direct responses may additionally clash with the Japanese team's preference for indirectness and consensus which can inflict perceived indecision and frustration. Projects require brief resolutions such as scientific trial changes or regulatory submissions that might also go through delays if these differences are not mentioned and controlled. Secondly, </w:t>
      </w:r>
      <w:r>
        <w:rPr>
          <w:b/>
          <w:i/>
        </w:rPr>
        <w:t>trust and relationship-building</w:t>
      </w:r>
      <w:r>
        <w:t xml:space="preserve"> may be compromised. UK professionals who value transparency may interpret Jap's indirect communication or silence as evasive or uncooperative, whilst Japanese colleagues might discover British directness insensitive or overly competitive. This can cause misunderstandings, reduced morale, and reluctance to proportion data overtly which might be unfavourable in collaborative studies and development environments.</w:t>
      </w:r>
    </w:p>
    <w:p w14:paraId="750770AC" w14:textId="77777777" w:rsidR="0058267E" w:rsidRDefault="00000000">
      <w:r>
        <w:t xml:space="preserve">Thirdly, </w:t>
      </w:r>
      <w:r>
        <w:rPr>
          <w:b/>
          <w:i/>
        </w:rPr>
        <w:t>hierarchical expectancies</w:t>
      </w:r>
      <w:r>
        <w:t xml:space="preserve"> affect team dynamics (Sarin and O'Connor, 2009). Jap participants might also hesitate to percentage ideas or suggestions in conferences with UK colleagues' presents which is mainly if senior managers are worried. These limit possibilities for innovation and problem-solving that depend on contributions from all levels. Fourthly, variations in attitudes closer to </w:t>
      </w:r>
      <w:r>
        <w:rPr>
          <w:b/>
          <w:i/>
        </w:rPr>
        <w:t xml:space="preserve">non-verbal cues and silence </w:t>
      </w:r>
      <w:r>
        <w:t>result in missed indicators or incorrect assumptions approximately agreement, disagreement, or engagement (Lemak, 2012). This can lead to decisions being applied primarily based on incomplete knowledge that can create similar inefficiencies or mistakes in project execution.</w:t>
      </w:r>
    </w:p>
    <w:p w14:paraId="397A5A97" w14:textId="77777777" w:rsidR="0058267E" w:rsidRDefault="00000000">
      <w:r>
        <w:t xml:space="preserve">If those problems continue to be unaddressed, the risk is operational inefficiency and also a failure to obtain the strategic goals of the partnership. Effective management of communication variations is consequently important to project achievement and long-term collaboration (Martínez-Peláez </w:t>
      </w:r>
      <w:r>
        <w:rPr>
          <w:i/>
        </w:rPr>
        <w:t>et al.,</w:t>
      </w:r>
      <w:r>
        <w:t xml:space="preserve"> 2023).</w:t>
      </w:r>
    </w:p>
    <w:p w14:paraId="2619D508" w14:textId="77777777" w:rsidR="00BF54A5" w:rsidRDefault="00BF54A5"/>
    <w:p w14:paraId="25F2201C" w14:textId="77777777" w:rsidR="0058267E" w:rsidRDefault="00000000">
      <w:pPr>
        <w:pStyle w:val="Heading2"/>
        <w:spacing w:before="240" w:after="240"/>
        <w:jc w:val="left"/>
      </w:pPr>
      <w:bookmarkStart w:id="14" w:name="_2vngo6g6r73u" w:colFirst="0" w:colLast="0"/>
      <w:bookmarkStart w:id="15" w:name="_Toc201509901"/>
      <w:bookmarkEnd w:id="14"/>
      <w:r>
        <w:t>Recommendations for Managing Communication Challenges</w:t>
      </w:r>
      <w:bookmarkEnd w:id="15"/>
      <w:r>
        <w:t xml:space="preserve"> </w:t>
      </w:r>
    </w:p>
    <w:p w14:paraId="54C69010" w14:textId="77777777" w:rsidR="0058267E" w:rsidRDefault="00000000">
      <w:r>
        <w:t xml:space="preserve">GSK and Takeda should invest in </w:t>
      </w:r>
      <w:r>
        <w:rPr>
          <w:b/>
          <w:i/>
        </w:rPr>
        <w:t>cross-cultural communication training</w:t>
      </w:r>
      <w:r>
        <w:t xml:space="preserve"> for UK and Japanese team participants. Training builds awareness of various communication norms and assists employees in interpreting behaviours in the appropriate cultural context (Bahrain </w:t>
      </w:r>
      <w:r>
        <w:rPr>
          <w:i/>
        </w:rPr>
        <w:t>et al.,</w:t>
      </w:r>
      <w:r>
        <w:t xml:space="preserve"> 2023). </w:t>
      </w:r>
      <w:r>
        <w:rPr>
          <w:b/>
          <w:i/>
        </w:rPr>
        <w:lastRenderedPageBreak/>
        <w:t>Shared communication protocols</w:t>
      </w:r>
      <w:r>
        <w:rPr>
          <w:b/>
        </w:rPr>
        <w:t xml:space="preserve"> </w:t>
      </w:r>
      <w:r>
        <w:t xml:space="preserve">are crucial. For instance, the usage of written summaries after meetings guarantees clarity and decreases ambiguity. Pre-circulating agendas and dialogue points can deliver Japanese groups time for internal consensus-building (nemawashi) earlier than joint meetings. The partnership has to additionally hire </w:t>
      </w:r>
      <w:r>
        <w:rPr>
          <w:b/>
          <w:i/>
        </w:rPr>
        <w:t xml:space="preserve">bilingual project coordinators or cultural mediators </w:t>
      </w:r>
      <w:r>
        <w:t xml:space="preserve">who can bridge communication gaps and provide real-time rationalisation while misunderstandings arise. Encouraging </w:t>
      </w:r>
      <w:r>
        <w:rPr>
          <w:b/>
          <w:i/>
        </w:rPr>
        <w:t>informal relationship-building activities</w:t>
      </w:r>
      <w:r>
        <w:t xml:space="preserve"> such as virtual coffee chats or exchange visits can beef up trust and promote openness in communication. Eventually, each company must create a </w:t>
      </w:r>
      <w:r>
        <w:rPr>
          <w:b/>
          <w:i/>
        </w:rPr>
        <w:t>hybrid communication method</w:t>
      </w:r>
      <w:r>
        <w:t xml:space="preserve"> that balances British directness with Japanese sensitivity to context and harmony. Flexibility and cultural empathy are key to fostering powerful teamwork and project achievement (Berkane, 2025).</w:t>
      </w:r>
    </w:p>
    <w:p w14:paraId="6BBD73C1" w14:textId="77777777" w:rsidR="00BF54A5" w:rsidRDefault="00BF54A5"/>
    <w:p w14:paraId="60919100" w14:textId="77777777" w:rsidR="0058267E" w:rsidRDefault="00000000">
      <w:pPr>
        <w:pStyle w:val="Heading1"/>
      </w:pPr>
      <w:bookmarkStart w:id="16" w:name="_20emuh3xqmz6" w:colFirst="0" w:colLast="0"/>
      <w:bookmarkStart w:id="17" w:name="_Toc201509902"/>
      <w:bookmarkEnd w:id="16"/>
      <w:r>
        <w:t>Conclusion</w:t>
      </w:r>
      <w:bookmarkEnd w:id="17"/>
      <w:r>
        <w:t xml:space="preserve"> </w:t>
      </w:r>
    </w:p>
    <w:p w14:paraId="4B748903" w14:textId="77777777" w:rsidR="0058267E" w:rsidRDefault="00000000">
      <w:r>
        <w:t>This essay has explored how cultural variations between UK and Jap teams, in particular in directness, context dependence, attitudes in the direction of hierarchy, and non-verbal conversation, can impact cross-border collaboration. Hofstede's and Hall's frameworks highlighted how these variations can create challenges in teamwork, decision-making, and project transport in partnerships between GSK and Takeda. To achieve a successful collaboration, it is crucial that each company put in force techniques to control communication differences such as cultural training, clean protocols, and cultural mediation. In the long run, recognising and adapting to those cultural dynamics is key to ensuring mutual success in global business ventures.</w:t>
      </w:r>
    </w:p>
    <w:p w14:paraId="50B91407" w14:textId="77777777" w:rsidR="0058267E" w:rsidRDefault="0058267E"/>
    <w:p w14:paraId="67422582" w14:textId="77777777" w:rsidR="0058267E" w:rsidRDefault="0058267E"/>
    <w:p w14:paraId="6FA5EBAD" w14:textId="77777777" w:rsidR="0058267E" w:rsidRDefault="00000000">
      <w:r>
        <w:br w:type="page"/>
      </w:r>
    </w:p>
    <w:p w14:paraId="6678E4CD" w14:textId="3FA51FE4" w:rsidR="00C93C1E" w:rsidRPr="00C93C1E" w:rsidRDefault="00000000" w:rsidP="00C93C1E">
      <w:pPr>
        <w:pStyle w:val="Heading1"/>
        <w:spacing w:before="240" w:after="240" w:line="273" w:lineRule="auto"/>
        <w:rPr>
          <w:u w:val="single"/>
        </w:rPr>
      </w:pPr>
      <w:bookmarkStart w:id="18" w:name="_kf4gb8od0x5n" w:colFirst="0" w:colLast="0"/>
      <w:bookmarkStart w:id="19" w:name="_Toc201509903"/>
      <w:bookmarkEnd w:id="18"/>
      <w:r>
        <w:lastRenderedPageBreak/>
        <w:t>Reference list</w:t>
      </w:r>
      <w:bookmarkEnd w:id="19"/>
      <w:r>
        <w:t xml:space="preserve"> </w:t>
      </w:r>
    </w:p>
    <w:p w14:paraId="46EE828F" w14:textId="77777777" w:rsidR="00C93C1E" w:rsidRDefault="00C93C1E">
      <w:r>
        <w:t xml:space="preserve">Aprianto, Y. (2022) ‘The relationship between communication apprehension and leadership styles in a job recruitment process’, </w:t>
      </w:r>
      <w:r>
        <w:rPr>
          <w:i/>
        </w:rPr>
        <w:t>International Journal of Communication and Society</w:t>
      </w:r>
      <w:r>
        <w:t xml:space="preserve">, 4(1), pp.115-124. </w:t>
      </w:r>
      <w:hyperlink r:id="rId8">
        <w:r>
          <w:rPr>
            <w:color w:val="1155CC"/>
            <w:u w:val="single"/>
          </w:rPr>
          <w:t>https://pubs2.ascee.org/index.php/ijcs/article/download/240/209</w:t>
        </w:r>
      </w:hyperlink>
      <w:r>
        <w:t xml:space="preserve"> </w:t>
      </w:r>
    </w:p>
    <w:p w14:paraId="47138BFA" w14:textId="77777777" w:rsidR="00C93C1E" w:rsidRDefault="00C93C1E">
      <w:r>
        <w:t xml:space="preserve">Bahrain, N.K., Sakrani, S.R. and Maidin, A. (2023) ‘Communication barriers in work environment: understanding impact and challenges’, </w:t>
      </w:r>
      <w:r>
        <w:rPr>
          <w:i/>
        </w:rPr>
        <w:t>International Journal of Academic Research in Business and Social Sciences</w:t>
      </w:r>
      <w:r>
        <w:t xml:space="preserve">, 13(11), pp.1489-1503. </w:t>
      </w:r>
      <w:hyperlink r:id="rId9">
        <w:r>
          <w:rPr>
            <w:color w:val="1155CC"/>
            <w:u w:val="single"/>
          </w:rPr>
          <w:t>https://kwpublications.com/papers_submitted/7564/communication-barriers-in-work-environment-understanding-impact-and-challenges.pdf</w:t>
        </w:r>
      </w:hyperlink>
      <w:r>
        <w:t xml:space="preserve"> </w:t>
      </w:r>
    </w:p>
    <w:p w14:paraId="53EDE277" w14:textId="77777777" w:rsidR="00C93C1E" w:rsidRDefault="00C93C1E">
      <w:r>
        <w:t xml:space="preserve">Berkane, R. (2025) ‘Fostering Cultural Competence: Teaching Intercultural Understanding through Project-based Learning’, </w:t>
      </w:r>
      <w:r>
        <w:rPr>
          <w:i/>
        </w:rPr>
        <w:t>European Journal of Education and Pedagogy</w:t>
      </w:r>
      <w:r>
        <w:t xml:space="preserve">, 6(1), pp.39-44. </w:t>
      </w:r>
      <w:hyperlink r:id="rId10">
        <w:r>
          <w:rPr>
            <w:color w:val="1155CC"/>
            <w:u w:val="single"/>
          </w:rPr>
          <w:t>https://www.ej-edu.org/index.php/ejedu/article/download/906/853</w:t>
        </w:r>
      </w:hyperlink>
      <w:r>
        <w:t xml:space="preserve"> </w:t>
      </w:r>
    </w:p>
    <w:p w14:paraId="6815D79A" w14:textId="77777777" w:rsidR="00C93C1E" w:rsidRDefault="00C93C1E">
      <w:r>
        <w:t xml:space="preserve">Broeder, P. (2021) ‘Informed communication in high context and low context cultures’. </w:t>
      </w:r>
      <w:r>
        <w:rPr>
          <w:i/>
        </w:rPr>
        <w:t>Journal of Education, Innovation and Communication,</w:t>
      </w:r>
      <w:r>
        <w:t xml:space="preserve"> 3(1), pp.13-24. </w:t>
      </w:r>
      <w:hyperlink r:id="rId11">
        <w:r>
          <w:rPr>
            <w:color w:val="1155CC"/>
            <w:u w:val="single"/>
          </w:rPr>
          <w:t>https://open-publishing.org/journals/index.php/jeicom/article/download/1008/862</w:t>
        </w:r>
      </w:hyperlink>
      <w:r>
        <w:t xml:space="preserve"> </w:t>
      </w:r>
    </w:p>
    <w:p w14:paraId="28FD3020" w14:textId="77777777" w:rsidR="00C93C1E" w:rsidRDefault="00C93C1E">
      <w:r>
        <w:t xml:space="preserve">Daniels, M.A. and Greguras, G.J. (2014) ‘Exploring the nature of power distance: Implications for micro-and macro-level theories, processes, and outcomes’, </w:t>
      </w:r>
      <w:r>
        <w:rPr>
          <w:i/>
        </w:rPr>
        <w:t>Journal of management,</w:t>
      </w:r>
      <w:r>
        <w:t xml:space="preserve"> 40(5), pp.1202-1229. </w:t>
      </w:r>
      <w:hyperlink r:id="rId12">
        <w:r>
          <w:rPr>
            <w:color w:val="1155CC"/>
            <w:u w:val="single"/>
          </w:rPr>
          <w:t>https://www.researchgate.net/profile/Michael-Daniels-2/publication/275441641_Exploring_the_Nature_of_Power_Distance/links/559d94c608aeb45d1715d112/Exploring-the-Nature-of-Power-Distance.pdf</w:t>
        </w:r>
      </w:hyperlink>
      <w:r>
        <w:t xml:space="preserve"> </w:t>
      </w:r>
    </w:p>
    <w:p w14:paraId="142BF4CC" w14:textId="77777777" w:rsidR="00C93C1E" w:rsidRDefault="00C93C1E">
      <w:r>
        <w:t xml:space="preserve">Darics, E. (2012) ‘Instant messaging in work-based virtual teams: the analysis of non-verbal communication used for the contextualisation of transactional and relational communicative goals’. Available at: </w:t>
      </w:r>
      <w:hyperlink r:id="rId13">
        <w:r>
          <w:rPr>
            <w:color w:val="1155CC"/>
            <w:u w:val="single"/>
          </w:rPr>
          <w:t>http://pstorage-loughborough-53465.s3.amazonaws.com/16935362/Thesis2013Darics.pdf</w:t>
        </w:r>
      </w:hyperlink>
      <w:r>
        <w:t xml:space="preserve"> (Accessed: 20 June 2025).</w:t>
      </w:r>
    </w:p>
    <w:p w14:paraId="755B0049" w14:textId="77777777" w:rsidR="00C93C1E" w:rsidRDefault="00C93C1E">
      <w:r>
        <w:t xml:space="preserve">Djalolovna, M.S. (2025) ‘THE ROLE OF NON-VERBAL COMMUNICATION IN SPOKEN LANGUAGE’, </w:t>
      </w:r>
      <w:r>
        <w:rPr>
          <w:i/>
        </w:rPr>
        <w:t>Web of Discoveries: Journal of Analysis and Inventions</w:t>
      </w:r>
      <w:r>
        <w:t xml:space="preserve">, 3(1), pp.4-8. </w:t>
      </w:r>
      <w:hyperlink r:id="rId14">
        <w:r>
          <w:rPr>
            <w:color w:val="1155CC"/>
            <w:u w:val="single"/>
          </w:rPr>
          <w:t>https://webofjournals.com/index.php/3/article/download/2856/2818</w:t>
        </w:r>
      </w:hyperlink>
      <w:r>
        <w:t xml:space="preserve"> </w:t>
      </w:r>
    </w:p>
    <w:p w14:paraId="3F26E9FB" w14:textId="77777777" w:rsidR="00C93C1E" w:rsidRDefault="00C93C1E">
      <w:r>
        <w:t xml:space="preserve">Fevre, R., Guimarães, I. and Zhao, W. (2020) ‘Parents, individualism and education: three paradigms and four countries’, </w:t>
      </w:r>
      <w:r>
        <w:rPr>
          <w:i/>
        </w:rPr>
        <w:t>Review of education</w:t>
      </w:r>
      <w:r>
        <w:t xml:space="preserve">, 8(3), pp.693-726. </w:t>
      </w:r>
      <w:hyperlink r:id="rId15">
        <w:r>
          <w:rPr>
            <w:color w:val="1155CC"/>
            <w:u w:val="single"/>
          </w:rPr>
          <w:t>https://bera-journals.onlinelibrary.wiley.com/doi/pdfdirect/10.1002/rev3.3204</w:t>
        </w:r>
      </w:hyperlink>
      <w:r>
        <w:t xml:space="preserve"> </w:t>
      </w:r>
    </w:p>
    <w:p w14:paraId="52EB0698" w14:textId="77777777" w:rsidR="00C93C1E" w:rsidRDefault="00C93C1E">
      <w:r>
        <w:t xml:space="preserve">GSK (2025) </w:t>
      </w:r>
      <w:r>
        <w:rPr>
          <w:i/>
        </w:rPr>
        <w:t>Home.</w:t>
      </w:r>
      <w:r>
        <w:t xml:space="preserve"> Available at: </w:t>
      </w:r>
      <w:hyperlink r:id="rId16">
        <w:r>
          <w:rPr>
            <w:color w:val="1155CC"/>
            <w:u w:val="single"/>
          </w:rPr>
          <w:t>Home | GSK</w:t>
        </w:r>
      </w:hyperlink>
      <w:r>
        <w:t xml:space="preserve"> (Accessed: 20 June 2025).</w:t>
      </w:r>
    </w:p>
    <w:p w14:paraId="1D68C8D7" w14:textId="77777777" w:rsidR="00C93C1E" w:rsidRDefault="00C93C1E">
      <w:r>
        <w:lastRenderedPageBreak/>
        <w:t xml:space="preserve">Ishchuk, A.A. and Ishchuk, O.M. (2023) ‘Cross-cultural business communication: a linguistic and cognitive perspective’, </w:t>
      </w:r>
      <w:r>
        <w:rPr>
          <w:i/>
        </w:rPr>
        <w:t>Scientific Journal of National Pedagogical Dragomanov University. Series 9.</w:t>
      </w:r>
      <w:r>
        <w:t xml:space="preserve"> Current Trends in Language Development, (26), pp.32-41. </w:t>
      </w:r>
      <w:hyperlink r:id="rId17">
        <w:r>
          <w:rPr>
            <w:color w:val="1155CC"/>
            <w:u w:val="single"/>
          </w:rPr>
          <w:t>https://sjnpu.com.ua/index.php/journal/article/download/338/288</w:t>
        </w:r>
      </w:hyperlink>
      <w:r>
        <w:t xml:space="preserve"> </w:t>
      </w:r>
    </w:p>
    <w:p w14:paraId="57EDAEDB" w14:textId="77777777" w:rsidR="00C93C1E" w:rsidRDefault="00C93C1E">
      <w:r>
        <w:t xml:space="preserve">Jafari Songhori, M. and Nasiry, J. (2020) ‘Organizational structure, subsystem interaction pattern, and misalignments in complex NPD projects’, </w:t>
      </w:r>
      <w:r>
        <w:rPr>
          <w:i/>
        </w:rPr>
        <w:t xml:space="preserve">Production and operations management, </w:t>
      </w:r>
      <w:r>
        <w:t xml:space="preserve">29(1), pp.214-231. </w:t>
      </w:r>
      <w:hyperlink r:id="rId18">
        <w:r>
          <w:rPr>
            <w:color w:val="1155CC"/>
            <w:u w:val="single"/>
          </w:rPr>
          <w:t>https://ris.utwente.nl/ws/files/161395642/Songhori_et_al_2019_Production_and_Operations_Management.pdf</w:t>
        </w:r>
      </w:hyperlink>
      <w:r>
        <w:t xml:space="preserve"> </w:t>
      </w:r>
    </w:p>
    <w:p w14:paraId="5459DDBA" w14:textId="77777777" w:rsidR="00C93C1E" w:rsidRDefault="00C93C1E">
      <w:r>
        <w:t xml:space="preserve">Jones-Fosu, J. (2024) </w:t>
      </w:r>
      <w:r>
        <w:rPr>
          <w:i/>
        </w:rPr>
        <w:t>I Respectfully Disagree: How to Have Difficult Conversations in a Divided World</w:t>
      </w:r>
      <w:r>
        <w:t xml:space="preserve">. Berrett-Koehler Publishers. </w:t>
      </w:r>
      <w:hyperlink r:id="rId19" w:anchor="v=onepage&amp;q&amp;f=false">
        <w:r>
          <w:rPr>
            <w:color w:val="1155CC"/>
            <w:u w:val="single"/>
          </w:rPr>
          <w:t>I Respectfully Disagree: How to Have Difficult Conversations in a Divided World - Justin Jones-Fosu - Google Books</w:t>
        </w:r>
      </w:hyperlink>
      <w:r>
        <w:t xml:space="preserve"> </w:t>
      </w:r>
    </w:p>
    <w:p w14:paraId="169BFE11" w14:textId="77777777" w:rsidR="00C93C1E" w:rsidRDefault="00C93C1E">
      <w:r>
        <w:t xml:space="preserve">King, J. and Aono, A. (2017) ‘Talk, silence and anxiety during one-to-one tutorials: A cross-cultural comparative study of Japan and UK undergraduates’ tolerance of silence’, </w:t>
      </w:r>
      <w:r>
        <w:rPr>
          <w:i/>
        </w:rPr>
        <w:t>Asia Pacific Education Review,</w:t>
      </w:r>
      <w:r>
        <w:t xml:space="preserve"> 18, pp.489-499. </w:t>
      </w:r>
      <w:hyperlink r:id="rId20">
        <w:r>
          <w:rPr>
            <w:color w:val="1155CC"/>
            <w:u w:val="single"/>
          </w:rPr>
          <w:t>https://link.springer.com/content/pdf/10.1007/s12564-017-9503-8.pdf</w:t>
        </w:r>
      </w:hyperlink>
      <w:r>
        <w:t xml:space="preserve"> </w:t>
      </w:r>
    </w:p>
    <w:p w14:paraId="796E8F50" w14:textId="77777777" w:rsidR="00C93C1E" w:rsidRDefault="00C93C1E">
      <w:r>
        <w:t xml:space="preserve">Ko, N., Kohda, Y. and Uchihira, N. (2022) ‘Applying Nudges to Nemawashi: Consensus-Building Without Losing Diversity’, </w:t>
      </w:r>
      <w:r>
        <w:rPr>
          <w:i/>
        </w:rPr>
        <w:t>The Human Side of Service Engineering</w:t>
      </w:r>
      <w:r>
        <w:t xml:space="preserve">, 62, p.100. </w:t>
      </w:r>
      <w:hyperlink r:id="rId21">
        <w:r>
          <w:rPr>
            <w:color w:val="1155CC"/>
            <w:u w:val="single"/>
          </w:rPr>
          <w:t>https://books.google.com/books?hl=en&amp;lr=&amp;id=peCVEAAAQBAJ&amp;oi=fnd&amp;pg=PA100&amp;dq=Decisions+are+commonly+made+through+a+technique+of+nemawashi&amp;ots=8mn8ssi8Su&amp;sig=bQhDOHHUTr4sxcFSFZrzc0AA4Ks</w:t>
        </w:r>
      </w:hyperlink>
      <w:r>
        <w:t xml:space="preserve"> </w:t>
      </w:r>
    </w:p>
    <w:p w14:paraId="217CF8A9" w14:textId="77777777" w:rsidR="00C93C1E" w:rsidRDefault="00C93C1E">
      <w:r>
        <w:t xml:space="preserve">Koc, E. (2013) ‘Power distance and its implications for upward communication and empowerment: Crisis management and recovery in hospitality services’, </w:t>
      </w:r>
      <w:r>
        <w:rPr>
          <w:i/>
        </w:rPr>
        <w:t>The International Journal of Human Resource Management</w:t>
      </w:r>
      <w:r>
        <w:t xml:space="preserve">, 24(19), pp.3681-3696. </w:t>
      </w:r>
      <w:hyperlink r:id="rId22">
        <w:r>
          <w:rPr>
            <w:color w:val="1155CC"/>
            <w:u w:val="single"/>
          </w:rPr>
          <w:t>https://dspace.balikesir.edu.tr/xmlui/bitstream/handle/20.500.12462/9124/erdogan-koc.2.pdf?sequence=2</w:t>
        </w:r>
      </w:hyperlink>
      <w:r>
        <w:t xml:space="preserve"> </w:t>
      </w:r>
    </w:p>
    <w:p w14:paraId="525C23F7" w14:textId="77777777" w:rsidR="00C93C1E" w:rsidRDefault="00C93C1E">
      <w:r>
        <w:t xml:space="preserve">Lemak, A. (2012) ‘Silence, intercultural conversation, and miscommunication’. Available at: </w:t>
      </w:r>
      <w:hyperlink r:id="rId23">
        <w:r>
          <w:rPr>
            <w:color w:val="1155CC"/>
            <w:u w:val="single"/>
          </w:rPr>
          <w:t>https://utoronto.scholaris.ca/bitstreams/72ea3295-32bc-4e34-bc72-230949a7e95b/download</w:t>
        </w:r>
      </w:hyperlink>
      <w:r>
        <w:t xml:space="preserve"> (Accessed: 20 June 2025).</w:t>
      </w:r>
    </w:p>
    <w:p w14:paraId="33DC99E4" w14:textId="77777777" w:rsidR="00C93C1E" w:rsidRDefault="00C93C1E">
      <w:r>
        <w:t xml:space="preserve">Lin, H. and Lou, L. (2024) ‘A Study on Cross-Cultural Business Communication Based on Hofstede’s Cultural Dimensions Theory’, </w:t>
      </w:r>
      <w:r>
        <w:rPr>
          <w:i/>
        </w:rPr>
        <w:t>Open Journal of Social Sciences,</w:t>
      </w:r>
      <w:r>
        <w:t xml:space="preserve"> 12(9), pp.352-368. </w:t>
      </w:r>
      <w:hyperlink r:id="rId24">
        <w:r>
          <w:rPr>
            <w:color w:val="1155CC"/>
            <w:u w:val="single"/>
          </w:rPr>
          <w:t>https://www.scirp.org/journal/paperinformation?paperid=136150</w:t>
        </w:r>
      </w:hyperlink>
      <w:r>
        <w:t xml:space="preserve"> </w:t>
      </w:r>
    </w:p>
    <w:p w14:paraId="31088D88" w14:textId="77777777" w:rsidR="00C93C1E" w:rsidRDefault="00C93C1E">
      <w:r>
        <w:lastRenderedPageBreak/>
        <w:t xml:space="preserve">Martínez-Peláez, R., Ochoa-Brust, A., Rivera, S., Félix, V.G., Ostos, R., Brito, H., Félix, R.A. and Mena, L.J. (2023) ‘Role of digital transformation for achieving sustainability: mediated role of stakeholders, key capabilities, and technology’, </w:t>
      </w:r>
      <w:r>
        <w:rPr>
          <w:i/>
        </w:rPr>
        <w:t>Sustainability</w:t>
      </w:r>
      <w:r>
        <w:t xml:space="preserve">, 15(14), p.11221. </w:t>
      </w:r>
      <w:hyperlink r:id="rId25">
        <w:r>
          <w:rPr>
            <w:color w:val="1155CC"/>
            <w:u w:val="single"/>
          </w:rPr>
          <w:t>https://www.mdpi.com/2071-1050/15/14/11221/pdf</w:t>
        </w:r>
      </w:hyperlink>
      <w:r>
        <w:t xml:space="preserve"> </w:t>
      </w:r>
    </w:p>
    <w:p w14:paraId="302A5BBF" w14:textId="77777777" w:rsidR="00C93C1E" w:rsidRDefault="00C93C1E">
      <w:r>
        <w:t xml:space="preserve">Sarin, S. and O'Connor, G.C. (2009) ‘First among equals: The effect of team leader characteristics on the internal dynamics of cross‐functional product development teams’, </w:t>
      </w:r>
      <w:r>
        <w:rPr>
          <w:i/>
        </w:rPr>
        <w:t>Journal of product innovation management,</w:t>
      </w:r>
      <w:r>
        <w:t xml:space="preserve"> 26(2), pp.188-205. </w:t>
      </w:r>
      <w:hyperlink r:id="rId26">
        <w:r>
          <w:rPr>
            <w:color w:val="1155CC"/>
            <w:u w:val="single"/>
          </w:rPr>
          <w:t>https://scholarworks.boisestate.edu/cgi/viewcontent.cgi?article=1000&amp;context=marketing_facpubs</w:t>
        </w:r>
      </w:hyperlink>
      <w:r>
        <w:t xml:space="preserve"> </w:t>
      </w:r>
    </w:p>
    <w:p w14:paraId="640E70D9" w14:textId="77777777" w:rsidR="00C93C1E" w:rsidRDefault="00C93C1E">
      <w:r>
        <w:t xml:space="preserve">Suhonen, A. (2021) ‘Cultural differences between Finland and Japan in communication style’. Available at: </w:t>
      </w:r>
      <w:hyperlink r:id="rId27">
        <w:r>
          <w:rPr>
            <w:color w:val="1155CC"/>
            <w:u w:val="single"/>
          </w:rPr>
          <w:t>https://www.theseus.fi/bitstream/handle/10024/503203/Suhonen%20_Ayaka.pdf?sequence=2</w:t>
        </w:r>
      </w:hyperlink>
      <w:r>
        <w:t xml:space="preserve"> (Accessed: 20 June 2025).</w:t>
      </w:r>
    </w:p>
    <w:p w14:paraId="190C1318" w14:textId="77777777" w:rsidR="00C93C1E" w:rsidRDefault="00C93C1E">
      <w:r>
        <w:t xml:space="preserve">Takeda Pharmaceuticals (2025) </w:t>
      </w:r>
      <w:r>
        <w:rPr>
          <w:i/>
        </w:rPr>
        <w:t>Global Homepage</w:t>
      </w:r>
      <w:r>
        <w:t xml:space="preserve">. Available at: </w:t>
      </w:r>
      <w:hyperlink r:id="rId28">
        <w:r>
          <w:rPr>
            <w:color w:val="1155CC"/>
            <w:u w:val="single"/>
          </w:rPr>
          <w:t>Takeda Pharmaceuticals: Global Homepage</w:t>
        </w:r>
      </w:hyperlink>
      <w:r>
        <w:t xml:space="preserve"> (Accessed: 20 June 2025).</w:t>
      </w:r>
    </w:p>
    <w:p w14:paraId="7F454686" w14:textId="77777777" w:rsidR="00C93C1E" w:rsidRDefault="00C93C1E">
      <w:r>
        <w:t xml:space="preserve">van der Westerlaken, J.F.J. (2025) ‘Cultural Influences on Decision-Making in SMEs: A Cross-Sectional Study of Chinese and Western Firms’. Available at: </w:t>
      </w:r>
      <w:hyperlink r:id="rId29">
        <w:r>
          <w:rPr>
            <w:color w:val="1155CC"/>
            <w:u w:val="single"/>
          </w:rPr>
          <w:t>show.cgi</w:t>
        </w:r>
      </w:hyperlink>
      <w:r>
        <w:t xml:space="preserve"> (Accessed: 20 June 2025).</w:t>
      </w:r>
    </w:p>
    <w:p w14:paraId="1FAF7579" w14:textId="77777777" w:rsidR="00C93C1E" w:rsidRDefault="00C93C1E">
      <w:r>
        <w:t xml:space="preserve">Yi, J.S. (2021) ‘Revisiting Hofstede’s uncertainty-avoidance dimension: A cross-cultural comparison of organizational employees in four countries’, </w:t>
      </w:r>
      <w:r>
        <w:rPr>
          <w:i/>
        </w:rPr>
        <w:t xml:space="preserve">Journal of Intercultural Communication, </w:t>
      </w:r>
      <w:r>
        <w:t xml:space="preserve">21(1), pp.46-61. </w:t>
      </w:r>
      <w:hyperlink r:id="rId30">
        <w:r>
          <w:rPr>
            <w:color w:val="1155CC"/>
            <w:u w:val="single"/>
          </w:rPr>
          <w:t>https://www.immi.se/index.php/intercultural/article/download/5/7</w:t>
        </w:r>
      </w:hyperlink>
    </w:p>
    <w:p w14:paraId="293A60ED" w14:textId="77777777" w:rsidR="00C93C1E" w:rsidRDefault="00C93C1E">
      <w:r>
        <w:t xml:space="preserve">Żemojtel-Piotrowska, M. and Piotrowski, J. (2023) ‘Hofstede’s cultural dimensions theory’, In </w:t>
      </w:r>
      <w:r>
        <w:rPr>
          <w:i/>
        </w:rPr>
        <w:t>Encyclopedia of sexual psychology and behavior</w:t>
      </w:r>
      <w:r>
        <w:t xml:space="preserve"> (pp. 1-4). Cham: Springer International Publishing. </w:t>
      </w:r>
      <w:hyperlink r:id="rId31">
        <w:r>
          <w:rPr>
            <w:color w:val="1155CC"/>
            <w:u w:val="single"/>
          </w:rPr>
          <w:t>https://www.researchgate.net/profile/Magdalena-Zemojtel-Piotrowska/publication/371822907_Hofstede%27s_Cultural_Dimensions_Theory/links/65ba71e434bbff5ba7db3ff0/Hofstedes-Cultural-Dimensions-Theory.pdf</w:t>
        </w:r>
      </w:hyperlink>
      <w:r>
        <w:t xml:space="preserve"> </w:t>
      </w:r>
    </w:p>
    <w:p w14:paraId="6120F228" w14:textId="47F6C152" w:rsidR="00D80655" w:rsidRDefault="00D80655">
      <w:r>
        <w:br w:type="page"/>
      </w:r>
    </w:p>
    <w:p w14:paraId="606349FE" w14:textId="50C6AF33" w:rsidR="00D80655" w:rsidRDefault="00D80655" w:rsidP="00D80655">
      <w:pPr>
        <w:pStyle w:val="Heading1"/>
      </w:pPr>
      <w:bookmarkStart w:id="20" w:name="_Toc201509904"/>
      <w:r>
        <w:lastRenderedPageBreak/>
        <w:t>Appendix</w:t>
      </w:r>
      <w:bookmarkEnd w:id="20"/>
      <w:r>
        <w:t xml:space="preserve"> </w:t>
      </w:r>
    </w:p>
    <w:p w14:paraId="6A89F180" w14:textId="77777777" w:rsidR="00D80655" w:rsidRDefault="00D80655" w:rsidP="00D80655">
      <w:pPr>
        <w:rPr>
          <w:b/>
        </w:rPr>
      </w:pPr>
      <w:r>
        <w:rPr>
          <w:b/>
        </w:rPr>
        <w:t>Hofstede’s cultural dimensions theory</w:t>
      </w:r>
    </w:p>
    <w:p w14:paraId="04335041" w14:textId="31B6CCE7" w:rsidR="00D80655" w:rsidRDefault="00D80655" w:rsidP="00FD26B2">
      <w:pPr>
        <w:jc w:val="center"/>
        <w:rPr>
          <w:b/>
        </w:rPr>
      </w:pPr>
      <w:r>
        <w:rPr>
          <w:noProof/>
        </w:rPr>
        <w:drawing>
          <wp:inline distT="0" distB="0" distL="0" distR="0" wp14:anchorId="54AA9356" wp14:editId="7852185C">
            <wp:extent cx="4710498" cy="2590800"/>
            <wp:effectExtent l="0" t="0" r="0" b="0"/>
            <wp:docPr id="672559086" name="Picture 1" descr="Hofstede’s Cultural Dimensions: Explanation, Limitation, and Examp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fstede’s Cultural Dimensions: Explanation, Limitation, and Examples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13834" cy="2592635"/>
                    </a:xfrm>
                    <a:prstGeom prst="rect">
                      <a:avLst/>
                    </a:prstGeom>
                    <a:noFill/>
                    <a:ln>
                      <a:noFill/>
                    </a:ln>
                  </pic:spPr>
                </pic:pic>
              </a:graphicData>
            </a:graphic>
          </wp:inline>
        </w:drawing>
      </w:r>
    </w:p>
    <w:p w14:paraId="19803F98" w14:textId="77777777" w:rsidR="00FD26B2" w:rsidRDefault="00FD26B2" w:rsidP="00FD26B2">
      <w:pPr>
        <w:rPr>
          <w:b/>
        </w:rPr>
      </w:pPr>
      <w:r>
        <w:rPr>
          <w:b/>
        </w:rPr>
        <w:t>Hall’s high-context and low-context communication theory</w:t>
      </w:r>
    </w:p>
    <w:p w14:paraId="08FAD313" w14:textId="7A4B9E73" w:rsidR="00FD26B2" w:rsidRDefault="00FD26B2" w:rsidP="00FD26B2">
      <w:pPr>
        <w:jc w:val="center"/>
        <w:rPr>
          <w:b/>
        </w:rPr>
      </w:pPr>
      <w:r>
        <w:rPr>
          <w:noProof/>
        </w:rPr>
        <w:drawing>
          <wp:inline distT="0" distB="0" distL="0" distR="0" wp14:anchorId="6B78C682" wp14:editId="13516691">
            <wp:extent cx="3587115" cy="2685668"/>
            <wp:effectExtent l="0" t="0" r="0" b="635"/>
            <wp:docPr id="1460495553" name="Picture 3" descr="Why Japan Has High Context Culture Kosoado Jap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hy Japan Has High Context Culture Kosoado Japan"/>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593075" cy="2690130"/>
                    </a:xfrm>
                    <a:prstGeom prst="rect">
                      <a:avLst/>
                    </a:prstGeom>
                    <a:noFill/>
                    <a:ln>
                      <a:noFill/>
                    </a:ln>
                  </pic:spPr>
                </pic:pic>
              </a:graphicData>
            </a:graphic>
          </wp:inline>
        </w:drawing>
      </w:r>
    </w:p>
    <w:p w14:paraId="4C099550" w14:textId="77777777" w:rsidR="00D80655" w:rsidRDefault="00D80655" w:rsidP="00D80655">
      <w:pPr>
        <w:rPr>
          <w:b/>
        </w:rPr>
      </w:pPr>
    </w:p>
    <w:p w14:paraId="65C5A64E" w14:textId="77777777" w:rsidR="00D80655" w:rsidRPr="00D80655" w:rsidRDefault="00D80655" w:rsidP="00D80655"/>
    <w:p w14:paraId="70A90320" w14:textId="77777777" w:rsidR="0058267E" w:rsidRDefault="0058267E"/>
    <w:p w14:paraId="1EE9E693" w14:textId="77777777" w:rsidR="0058267E" w:rsidRDefault="0058267E"/>
    <w:p w14:paraId="0E3F6A4D" w14:textId="77777777" w:rsidR="0058267E" w:rsidRDefault="0058267E"/>
    <w:p w14:paraId="538E3994" w14:textId="77777777" w:rsidR="0058267E" w:rsidRDefault="0058267E"/>
    <w:sectPr w:rsidR="0058267E">
      <w:footerReference w:type="default" r:id="rId3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373F1" w14:textId="77777777" w:rsidR="002469B3" w:rsidRDefault="002469B3" w:rsidP="00C60412">
      <w:pPr>
        <w:spacing w:before="0" w:after="0" w:line="240" w:lineRule="auto"/>
      </w:pPr>
      <w:r>
        <w:separator/>
      </w:r>
    </w:p>
  </w:endnote>
  <w:endnote w:type="continuationSeparator" w:id="0">
    <w:p w14:paraId="7A6CB1CC" w14:textId="77777777" w:rsidR="002469B3" w:rsidRDefault="002469B3" w:rsidP="00C6041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6105197"/>
      <w:docPartObj>
        <w:docPartGallery w:val="Page Numbers (Bottom of Page)"/>
        <w:docPartUnique/>
      </w:docPartObj>
    </w:sdtPr>
    <w:sdtEndPr>
      <w:rPr>
        <w:noProof/>
      </w:rPr>
    </w:sdtEndPr>
    <w:sdtContent>
      <w:p w14:paraId="00D503F8" w14:textId="62405343" w:rsidR="00C60412" w:rsidRDefault="00C604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2020D7" w14:textId="77777777" w:rsidR="00C60412" w:rsidRDefault="00C604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F0DE6" w14:textId="77777777" w:rsidR="002469B3" w:rsidRDefault="002469B3" w:rsidP="00C60412">
      <w:pPr>
        <w:spacing w:before="0" w:after="0" w:line="240" w:lineRule="auto"/>
      </w:pPr>
      <w:r>
        <w:separator/>
      </w:r>
    </w:p>
  </w:footnote>
  <w:footnote w:type="continuationSeparator" w:id="0">
    <w:p w14:paraId="4FDBEE79" w14:textId="77777777" w:rsidR="002469B3" w:rsidRDefault="002469B3" w:rsidP="00C6041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B2356"/>
    <w:multiLevelType w:val="hybridMultilevel"/>
    <w:tmpl w:val="00000000"/>
    <w:lvl w:ilvl="0" w:tplc="3D66E5B4">
      <w:start w:val="1"/>
      <w:numFmt w:val="bullet"/>
      <w:lvlText w:val="●"/>
      <w:lvlJc w:val="left"/>
      <w:pPr>
        <w:ind w:left="720" w:hanging="360"/>
      </w:pPr>
      <w:rPr>
        <w:u w:val="none"/>
      </w:rPr>
    </w:lvl>
    <w:lvl w:ilvl="1" w:tplc="CEDC763E">
      <w:start w:val="1"/>
      <w:numFmt w:val="bullet"/>
      <w:lvlText w:val="○"/>
      <w:lvlJc w:val="left"/>
      <w:pPr>
        <w:ind w:left="1440" w:hanging="360"/>
      </w:pPr>
      <w:rPr>
        <w:u w:val="none"/>
      </w:rPr>
    </w:lvl>
    <w:lvl w:ilvl="2" w:tplc="C1042D9A">
      <w:start w:val="1"/>
      <w:numFmt w:val="bullet"/>
      <w:lvlText w:val="■"/>
      <w:lvlJc w:val="left"/>
      <w:pPr>
        <w:ind w:left="2160" w:hanging="360"/>
      </w:pPr>
      <w:rPr>
        <w:u w:val="none"/>
      </w:rPr>
    </w:lvl>
    <w:lvl w:ilvl="3" w:tplc="F6A0F574">
      <w:start w:val="1"/>
      <w:numFmt w:val="bullet"/>
      <w:lvlText w:val="●"/>
      <w:lvlJc w:val="left"/>
      <w:pPr>
        <w:ind w:left="2880" w:hanging="360"/>
      </w:pPr>
      <w:rPr>
        <w:u w:val="none"/>
      </w:rPr>
    </w:lvl>
    <w:lvl w:ilvl="4" w:tplc="09D8003C">
      <w:start w:val="1"/>
      <w:numFmt w:val="bullet"/>
      <w:lvlText w:val="○"/>
      <w:lvlJc w:val="left"/>
      <w:pPr>
        <w:ind w:left="3600" w:hanging="360"/>
      </w:pPr>
      <w:rPr>
        <w:u w:val="none"/>
      </w:rPr>
    </w:lvl>
    <w:lvl w:ilvl="5" w:tplc="582C06FC">
      <w:start w:val="1"/>
      <w:numFmt w:val="bullet"/>
      <w:lvlText w:val="■"/>
      <w:lvlJc w:val="left"/>
      <w:pPr>
        <w:ind w:left="4320" w:hanging="360"/>
      </w:pPr>
      <w:rPr>
        <w:u w:val="none"/>
      </w:rPr>
    </w:lvl>
    <w:lvl w:ilvl="6" w:tplc="72F47466">
      <w:start w:val="1"/>
      <w:numFmt w:val="bullet"/>
      <w:lvlText w:val="●"/>
      <w:lvlJc w:val="left"/>
      <w:pPr>
        <w:ind w:left="5040" w:hanging="360"/>
      </w:pPr>
      <w:rPr>
        <w:u w:val="none"/>
      </w:rPr>
    </w:lvl>
    <w:lvl w:ilvl="7" w:tplc="D0F4A0A0">
      <w:start w:val="1"/>
      <w:numFmt w:val="bullet"/>
      <w:lvlText w:val="○"/>
      <w:lvlJc w:val="left"/>
      <w:pPr>
        <w:ind w:left="5760" w:hanging="360"/>
      </w:pPr>
      <w:rPr>
        <w:u w:val="none"/>
      </w:rPr>
    </w:lvl>
    <w:lvl w:ilvl="8" w:tplc="B3484C0E">
      <w:start w:val="1"/>
      <w:numFmt w:val="bullet"/>
      <w:lvlText w:val="■"/>
      <w:lvlJc w:val="left"/>
      <w:pPr>
        <w:ind w:left="6480" w:hanging="360"/>
      </w:pPr>
      <w:rPr>
        <w:u w:val="none"/>
      </w:rPr>
    </w:lvl>
  </w:abstractNum>
  <w:abstractNum w:abstractNumId="1" w15:restartNumberingAfterBreak="0">
    <w:nsid w:val="13651146"/>
    <w:multiLevelType w:val="hybridMultilevel"/>
    <w:tmpl w:val="00000000"/>
    <w:lvl w:ilvl="0" w:tplc="826C0906">
      <w:start w:val="1"/>
      <w:numFmt w:val="bullet"/>
      <w:lvlText w:val="●"/>
      <w:lvlJc w:val="left"/>
      <w:pPr>
        <w:ind w:left="720" w:hanging="360"/>
      </w:pPr>
      <w:rPr>
        <w:u w:val="none"/>
      </w:rPr>
    </w:lvl>
    <w:lvl w:ilvl="1" w:tplc="6BAC4442">
      <w:start w:val="1"/>
      <w:numFmt w:val="bullet"/>
      <w:lvlText w:val="○"/>
      <w:lvlJc w:val="left"/>
      <w:pPr>
        <w:ind w:left="1440" w:hanging="360"/>
      </w:pPr>
      <w:rPr>
        <w:u w:val="none"/>
      </w:rPr>
    </w:lvl>
    <w:lvl w:ilvl="2" w:tplc="F8FC98D8">
      <w:start w:val="1"/>
      <w:numFmt w:val="bullet"/>
      <w:lvlText w:val="■"/>
      <w:lvlJc w:val="left"/>
      <w:pPr>
        <w:ind w:left="2160" w:hanging="360"/>
      </w:pPr>
      <w:rPr>
        <w:u w:val="none"/>
      </w:rPr>
    </w:lvl>
    <w:lvl w:ilvl="3" w:tplc="1B9C77E4">
      <w:start w:val="1"/>
      <w:numFmt w:val="bullet"/>
      <w:lvlText w:val="●"/>
      <w:lvlJc w:val="left"/>
      <w:pPr>
        <w:ind w:left="2880" w:hanging="360"/>
      </w:pPr>
      <w:rPr>
        <w:u w:val="none"/>
      </w:rPr>
    </w:lvl>
    <w:lvl w:ilvl="4" w:tplc="C6F06330">
      <w:start w:val="1"/>
      <w:numFmt w:val="bullet"/>
      <w:lvlText w:val="○"/>
      <w:lvlJc w:val="left"/>
      <w:pPr>
        <w:ind w:left="3600" w:hanging="360"/>
      </w:pPr>
      <w:rPr>
        <w:u w:val="none"/>
      </w:rPr>
    </w:lvl>
    <w:lvl w:ilvl="5" w:tplc="7C8C9B28">
      <w:start w:val="1"/>
      <w:numFmt w:val="bullet"/>
      <w:lvlText w:val="■"/>
      <w:lvlJc w:val="left"/>
      <w:pPr>
        <w:ind w:left="4320" w:hanging="360"/>
      </w:pPr>
      <w:rPr>
        <w:u w:val="none"/>
      </w:rPr>
    </w:lvl>
    <w:lvl w:ilvl="6" w:tplc="B90227F4">
      <w:start w:val="1"/>
      <w:numFmt w:val="bullet"/>
      <w:lvlText w:val="●"/>
      <w:lvlJc w:val="left"/>
      <w:pPr>
        <w:ind w:left="5040" w:hanging="360"/>
      </w:pPr>
      <w:rPr>
        <w:u w:val="none"/>
      </w:rPr>
    </w:lvl>
    <w:lvl w:ilvl="7" w:tplc="1F0C5768">
      <w:start w:val="1"/>
      <w:numFmt w:val="bullet"/>
      <w:lvlText w:val="○"/>
      <w:lvlJc w:val="left"/>
      <w:pPr>
        <w:ind w:left="5760" w:hanging="360"/>
      </w:pPr>
      <w:rPr>
        <w:u w:val="none"/>
      </w:rPr>
    </w:lvl>
    <w:lvl w:ilvl="8" w:tplc="8682B8B6">
      <w:start w:val="1"/>
      <w:numFmt w:val="bullet"/>
      <w:lvlText w:val="■"/>
      <w:lvlJc w:val="left"/>
      <w:pPr>
        <w:ind w:left="6480" w:hanging="360"/>
      </w:pPr>
      <w:rPr>
        <w:u w:val="none"/>
      </w:rPr>
    </w:lvl>
  </w:abstractNum>
  <w:abstractNum w:abstractNumId="2" w15:restartNumberingAfterBreak="0">
    <w:nsid w:val="25812755"/>
    <w:multiLevelType w:val="hybridMultilevel"/>
    <w:tmpl w:val="00000000"/>
    <w:lvl w:ilvl="0" w:tplc="85547D2A">
      <w:start w:val="1"/>
      <w:numFmt w:val="bullet"/>
      <w:lvlText w:val="●"/>
      <w:lvlJc w:val="left"/>
      <w:pPr>
        <w:ind w:left="720" w:hanging="360"/>
      </w:pPr>
      <w:rPr>
        <w:u w:val="none"/>
      </w:rPr>
    </w:lvl>
    <w:lvl w:ilvl="1" w:tplc="1930AAAE">
      <w:start w:val="1"/>
      <w:numFmt w:val="bullet"/>
      <w:lvlText w:val="○"/>
      <w:lvlJc w:val="left"/>
      <w:pPr>
        <w:ind w:left="1440" w:hanging="360"/>
      </w:pPr>
      <w:rPr>
        <w:u w:val="none"/>
      </w:rPr>
    </w:lvl>
    <w:lvl w:ilvl="2" w:tplc="84D2E784">
      <w:start w:val="1"/>
      <w:numFmt w:val="bullet"/>
      <w:lvlText w:val="■"/>
      <w:lvlJc w:val="left"/>
      <w:pPr>
        <w:ind w:left="2160" w:hanging="360"/>
      </w:pPr>
      <w:rPr>
        <w:u w:val="none"/>
      </w:rPr>
    </w:lvl>
    <w:lvl w:ilvl="3" w:tplc="37E49424">
      <w:start w:val="1"/>
      <w:numFmt w:val="bullet"/>
      <w:lvlText w:val="●"/>
      <w:lvlJc w:val="left"/>
      <w:pPr>
        <w:ind w:left="2880" w:hanging="360"/>
      </w:pPr>
      <w:rPr>
        <w:u w:val="none"/>
      </w:rPr>
    </w:lvl>
    <w:lvl w:ilvl="4" w:tplc="CECE6308">
      <w:start w:val="1"/>
      <w:numFmt w:val="bullet"/>
      <w:lvlText w:val="○"/>
      <w:lvlJc w:val="left"/>
      <w:pPr>
        <w:ind w:left="3600" w:hanging="360"/>
      </w:pPr>
      <w:rPr>
        <w:u w:val="none"/>
      </w:rPr>
    </w:lvl>
    <w:lvl w:ilvl="5" w:tplc="8786C6D8">
      <w:start w:val="1"/>
      <w:numFmt w:val="bullet"/>
      <w:lvlText w:val="■"/>
      <w:lvlJc w:val="left"/>
      <w:pPr>
        <w:ind w:left="4320" w:hanging="360"/>
      </w:pPr>
      <w:rPr>
        <w:u w:val="none"/>
      </w:rPr>
    </w:lvl>
    <w:lvl w:ilvl="6" w:tplc="EAE8557C">
      <w:start w:val="1"/>
      <w:numFmt w:val="bullet"/>
      <w:lvlText w:val="●"/>
      <w:lvlJc w:val="left"/>
      <w:pPr>
        <w:ind w:left="5040" w:hanging="360"/>
      </w:pPr>
      <w:rPr>
        <w:u w:val="none"/>
      </w:rPr>
    </w:lvl>
    <w:lvl w:ilvl="7" w:tplc="FDECCD26">
      <w:start w:val="1"/>
      <w:numFmt w:val="bullet"/>
      <w:lvlText w:val="○"/>
      <w:lvlJc w:val="left"/>
      <w:pPr>
        <w:ind w:left="5760" w:hanging="360"/>
      </w:pPr>
      <w:rPr>
        <w:u w:val="none"/>
      </w:rPr>
    </w:lvl>
    <w:lvl w:ilvl="8" w:tplc="D8D27796">
      <w:start w:val="1"/>
      <w:numFmt w:val="bullet"/>
      <w:lvlText w:val="■"/>
      <w:lvlJc w:val="left"/>
      <w:pPr>
        <w:ind w:left="6480" w:hanging="360"/>
      </w:pPr>
      <w:rPr>
        <w:u w:val="none"/>
      </w:rPr>
    </w:lvl>
  </w:abstractNum>
  <w:abstractNum w:abstractNumId="3" w15:restartNumberingAfterBreak="0">
    <w:nsid w:val="2A24BA2D"/>
    <w:multiLevelType w:val="hybridMultilevel"/>
    <w:tmpl w:val="00000000"/>
    <w:lvl w:ilvl="0" w:tplc="728001E2">
      <w:start w:val="1"/>
      <w:numFmt w:val="bullet"/>
      <w:lvlText w:val="●"/>
      <w:lvlJc w:val="left"/>
      <w:pPr>
        <w:ind w:left="720" w:hanging="360"/>
      </w:pPr>
      <w:rPr>
        <w:u w:val="none"/>
      </w:rPr>
    </w:lvl>
    <w:lvl w:ilvl="1" w:tplc="950EE31A">
      <w:start w:val="1"/>
      <w:numFmt w:val="bullet"/>
      <w:lvlText w:val="○"/>
      <w:lvlJc w:val="left"/>
      <w:pPr>
        <w:ind w:left="1440" w:hanging="360"/>
      </w:pPr>
      <w:rPr>
        <w:u w:val="none"/>
      </w:rPr>
    </w:lvl>
    <w:lvl w:ilvl="2" w:tplc="13D42BB4">
      <w:start w:val="1"/>
      <w:numFmt w:val="bullet"/>
      <w:lvlText w:val="■"/>
      <w:lvlJc w:val="left"/>
      <w:pPr>
        <w:ind w:left="2160" w:hanging="360"/>
      </w:pPr>
      <w:rPr>
        <w:u w:val="none"/>
      </w:rPr>
    </w:lvl>
    <w:lvl w:ilvl="3" w:tplc="1FF686D0">
      <w:start w:val="1"/>
      <w:numFmt w:val="bullet"/>
      <w:lvlText w:val="●"/>
      <w:lvlJc w:val="left"/>
      <w:pPr>
        <w:ind w:left="2880" w:hanging="360"/>
      </w:pPr>
      <w:rPr>
        <w:u w:val="none"/>
      </w:rPr>
    </w:lvl>
    <w:lvl w:ilvl="4" w:tplc="8084E6C6">
      <w:start w:val="1"/>
      <w:numFmt w:val="bullet"/>
      <w:lvlText w:val="○"/>
      <w:lvlJc w:val="left"/>
      <w:pPr>
        <w:ind w:left="3600" w:hanging="360"/>
      </w:pPr>
      <w:rPr>
        <w:u w:val="none"/>
      </w:rPr>
    </w:lvl>
    <w:lvl w:ilvl="5" w:tplc="ED0EB970">
      <w:start w:val="1"/>
      <w:numFmt w:val="bullet"/>
      <w:lvlText w:val="■"/>
      <w:lvlJc w:val="left"/>
      <w:pPr>
        <w:ind w:left="4320" w:hanging="360"/>
      </w:pPr>
      <w:rPr>
        <w:u w:val="none"/>
      </w:rPr>
    </w:lvl>
    <w:lvl w:ilvl="6" w:tplc="71BEFEB8">
      <w:start w:val="1"/>
      <w:numFmt w:val="bullet"/>
      <w:lvlText w:val="●"/>
      <w:lvlJc w:val="left"/>
      <w:pPr>
        <w:ind w:left="5040" w:hanging="360"/>
      </w:pPr>
      <w:rPr>
        <w:u w:val="none"/>
      </w:rPr>
    </w:lvl>
    <w:lvl w:ilvl="7" w:tplc="7FDC8F72">
      <w:start w:val="1"/>
      <w:numFmt w:val="bullet"/>
      <w:lvlText w:val="○"/>
      <w:lvlJc w:val="left"/>
      <w:pPr>
        <w:ind w:left="5760" w:hanging="360"/>
      </w:pPr>
      <w:rPr>
        <w:u w:val="none"/>
      </w:rPr>
    </w:lvl>
    <w:lvl w:ilvl="8" w:tplc="70468D06">
      <w:start w:val="1"/>
      <w:numFmt w:val="bullet"/>
      <w:lvlText w:val="■"/>
      <w:lvlJc w:val="left"/>
      <w:pPr>
        <w:ind w:left="6480" w:hanging="360"/>
      </w:pPr>
      <w:rPr>
        <w:u w:val="none"/>
      </w:rPr>
    </w:lvl>
  </w:abstractNum>
  <w:abstractNum w:abstractNumId="4" w15:restartNumberingAfterBreak="0">
    <w:nsid w:val="31844E53"/>
    <w:multiLevelType w:val="hybridMultilevel"/>
    <w:tmpl w:val="00000000"/>
    <w:lvl w:ilvl="0" w:tplc="F9BC3B96">
      <w:start w:val="1"/>
      <w:numFmt w:val="bullet"/>
      <w:lvlText w:val="●"/>
      <w:lvlJc w:val="left"/>
      <w:pPr>
        <w:ind w:left="720" w:hanging="360"/>
      </w:pPr>
      <w:rPr>
        <w:u w:val="none"/>
      </w:rPr>
    </w:lvl>
    <w:lvl w:ilvl="1" w:tplc="37AE804E">
      <w:start w:val="1"/>
      <w:numFmt w:val="bullet"/>
      <w:lvlText w:val="○"/>
      <w:lvlJc w:val="left"/>
      <w:pPr>
        <w:ind w:left="1440" w:hanging="360"/>
      </w:pPr>
      <w:rPr>
        <w:u w:val="none"/>
      </w:rPr>
    </w:lvl>
    <w:lvl w:ilvl="2" w:tplc="B4A83ED2">
      <w:start w:val="1"/>
      <w:numFmt w:val="bullet"/>
      <w:lvlText w:val="■"/>
      <w:lvlJc w:val="left"/>
      <w:pPr>
        <w:ind w:left="2160" w:hanging="360"/>
      </w:pPr>
      <w:rPr>
        <w:u w:val="none"/>
      </w:rPr>
    </w:lvl>
    <w:lvl w:ilvl="3" w:tplc="8182DB68">
      <w:start w:val="1"/>
      <w:numFmt w:val="bullet"/>
      <w:lvlText w:val="●"/>
      <w:lvlJc w:val="left"/>
      <w:pPr>
        <w:ind w:left="2880" w:hanging="360"/>
      </w:pPr>
      <w:rPr>
        <w:u w:val="none"/>
      </w:rPr>
    </w:lvl>
    <w:lvl w:ilvl="4" w:tplc="ADAAE55C">
      <w:start w:val="1"/>
      <w:numFmt w:val="bullet"/>
      <w:lvlText w:val="○"/>
      <w:lvlJc w:val="left"/>
      <w:pPr>
        <w:ind w:left="3600" w:hanging="360"/>
      </w:pPr>
      <w:rPr>
        <w:u w:val="none"/>
      </w:rPr>
    </w:lvl>
    <w:lvl w:ilvl="5" w:tplc="87AAEA44">
      <w:start w:val="1"/>
      <w:numFmt w:val="bullet"/>
      <w:lvlText w:val="■"/>
      <w:lvlJc w:val="left"/>
      <w:pPr>
        <w:ind w:left="4320" w:hanging="360"/>
      </w:pPr>
      <w:rPr>
        <w:u w:val="none"/>
      </w:rPr>
    </w:lvl>
    <w:lvl w:ilvl="6" w:tplc="C2864B6A">
      <w:start w:val="1"/>
      <w:numFmt w:val="bullet"/>
      <w:lvlText w:val="●"/>
      <w:lvlJc w:val="left"/>
      <w:pPr>
        <w:ind w:left="5040" w:hanging="360"/>
      </w:pPr>
      <w:rPr>
        <w:u w:val="none"/>
      </w:rPr>
    </w:lvl>
    <w:lvl w:ilvl="7" w:tplc="74BA7D38">
      <w:start w:val="1"/>
      <w:numFmt w:val="bullet"/>
      <w:lvlText w:val="○"/>
      <w:lvlJc w:val="left"/>
      <w:pPr>
        <w:ind w:left="5760" w:hanging="360"/>
      </w:pPr>
      <w:rPr>
        <w:u w:val="none"/>
      </w:rPr>
    </w:lvl>
    <w:lvl w:ilvl="8" w:tplc="4B14B16C">
      <w:start w:val="1"/>
      <w:numFmt w:val="bullet"/>
      <w:lvlText w:val="■"/>
      <w:lvlJc w:val="left"/>
      <w:pPr>
        <w:ind w:left="6480" w:hanging="360"/>
      </w:pPr>
      <w:rPr>
        <w:u w:val="none"/>
      </w:rPr>
    </w:lvl>
  </w:abstractNum>
  <w:abstractNum w:abstractNumId="5" w15:restartNumberingAfterBreak="0">
    <w:nsid w:val="3A01988B"/>
    <w:multiLevelType w:val="hybridMultilevel"/>
    <w:tmpl w:val="00000000"/>
    <w:lvl w:ilvl="0" w:tplc="5C1AD036">
      <w:start w:val="1"/>
      <w:numFmt w:val="bullet"/>
      <w:lvlText w:val="●"/>
      <w:lvlJc w:val="left"/>
      <w:pPr>
        <w:ind w:left="720" w:hanging="360"/>
      </w:pPr>
      <w:rPr>
        <w:u w:val="none"/>
      </w:rPr>
    </w:lvl>
    <w:lvl w:ilvl="1" w:tplc="61C2AEA0">
      <w:start w:val="1"/>
      <w:numFmt w:val="bullet"/>
      <w:lvlText w:val="○"/>
      <w:lvlJc w:val="left"/>
      <w:pPr>
        <w:ind w:left="1440" w:hanging="360"/>
      </w:pPr>
      <w:rPr>
        <w:u w:val="none"/>
      </w:rPr>
    </w:lvl>
    <w:lvl w:ilvl="2" w:tplc="BDE0DADA">
      <w:start w:val="1"/>
      <w:numFmt w:val="bullet"/>
      <w:lvlText w:val="■"/>
      <w:lvlJc w:val="left"/>
      <w:pPr>
        <w:ind w:left="2160" w:hanging="360"/>
      </w:pPr>
      <w:rPr>
        <w:u w:val="none"/>
      </w:rPr>
    </w:lvl>
    <w:lvl w:ilvl="3" w:tplc="888CCE80">
      <w:start w:val="1"/>
      <w:numFmt w:val="bullet"/>
      <w:lvlText w:val="●"/>
      <w:lvlJc w:val="left"/>
      <w:pPr>
        <w:ind w:left="2880" w:hanging="360"/>
      </w:pPr>
      <w:rPr>
        <w:u w:val="none"/>
      </w:rPr>
    </w:lvl>
    <w:lvl w:ilvl="4" w:tplc="BACA58EA">
      <w:start w:val="1"/>
      <w:numFmt w:val="bullet"/>
      <w:lvlText w:val="○"/>
      <w:lvlJc w:val="left"/>
      <w:pPr>
        <w:ind w:left="3600" w:hanging="360"/>
      </w:pPr>
      <w:rPr>
        <w:u w:val="none"/>
      </w:rPr>
    </w:lvl>
    <w:lvl w:ilvl="5" w:tplc="84E82C5C">
      <w:start w:val="1"/>
      <w:numFmt w:val="bullet"/>
      <w:lvlText w:val="■"/>
      <w:lvlJc w:val="left"/>
      <w:pPr>
        <w:ind w:left="4320" w:hanging="360"/>
      </w:pPr>
      <w:rPr>
        <w:u w:val="none"/>
      </w:rPr>
    </w:lvl>
    <w:lvl w:ilvl="6" w:tplc="4C30282A">
      <w:start w:val="1"/>
      <w:numFmt w:val="bullet"/>
      <w:lvlText w:val="●"/>
      <w:lvlJc w:val="left"/>
      <w:pPr>
        <w:ind w:left="5040" w:hanging="360"/>
      </w:pPr>
      <w:rPr>
        <w:u w:val="none"/>
      </w:rPr>
    </w:lvl>
    <w:lvl w:ilvl="7" w:tplc="30A820D4">
      <w:start w:val="1"/>
      <w:numFmt w:val="bullet"/>
      <w:lvlText w:val="○"/>
      <w:lvlJc w:val="left"/>
      <w:pPr>
        <w:ind w:left="5760" w:hanging="360"/>
      </w:pPr>
      <w:rPr>
        <w:u w:val="none"/>
      </w:rPr>
    </w:lvl>
    <w:lvl w:ilvl="8" w:tplc="C0366DFE">
      <w:start w:val="1"/>
      <w:numFmt w:val="bullet"/>
      <w:lvlText w:val="■"/>
      <w:lvlJc w:val="left"/>
      <w:pPr>
        <w:ind w:left="6480" w:hanging="360"/>
      </w:pPr>
      <w:rPr>
        <w:u w:val="none"/>
      </w:rPr>
    </w:lvl>
  </w:abstractNum>
  <w:abstractNum w:abstractNumId="6" w15:restartNumberingAfterBreak="0">
    <w:nsid w:val="3C7751FB"/>
    <w:multiLevelType w:val="hybridMultilevel"/>
    <w:tmpl w:val="00000000"/>
    <w:lvl w:ilvl="0" w:tplc="6E4242B2">
      <w:start w:val="1"/>
      <w:numFmt w:val="bullet"/>
      <w:lvlText w:val="●"/>
      <w:lvlJc w:val="left"/>
      <w:pPr>
        <w:ind w:left="720" w:hanging="360"/>
      </w:pPr>
      <w:rPr>
        <w:u w:val="none"/>
      </w:rPr>
    </w:lvl>
    <w:lvl w:ilvl="1" w:tplc="06BCB28A">
      <w:start w:val="1"/>
      <w:numFmt w:val="bullet"/>
      <w:lvlText w:val="○"/>
      <w:lvlJc w:val="left"/>
      <w:pPr>
        <w:ind w:left="1440" w:hanging="360"/>
      </w:pPr>
      <w:rPr>
        <w:u w:val="none"/>
      </w:rPr>
    </w:lvl>
    <w:lvl w:ilvl="2" w:tplc="D5084A2C">
      <w:start w:val="1"/>
      <w:numFmt w:val="bullet"/>
      <w:lvlText w:val="■"/>
      <w:lvlJc w:val="left"/>
      <w:pPr>
        <w:ind w:left="2160" w:hanging="360"/>
      </w:pPr>
      <w:rPr>
        <w:u w:val="none"/>
      </w:rPr>
    </w:lvl>
    <w:lvl w:ilvl="3" w:tplc="E0CEECE4">
      <w:start w:val="1"/>
      <w:numFmt w:val="bullet"/>
      <w:lvlText w:val="●"/>
      <w:lvlJc w:val="left"/>
      <w:pPr>
        <w:ind w:left="2880" w:hanging="360"/>
      </w:pPr>
      <w:rPr>
        <w:u w:val="none"/>
      </w:rPr>
    </w:lvl>
    <w:lvl w:ilvl="4" w:tplc="7B7CDE2E">
      <w:start w:val="1"/>
      <w:numFmt w:val="bullet"/>
      <w:lvlText w:val="○"/>
      <w:lvlJc w:val="left"/>
      <w:pPr>
        <w:ind w:left="3600" w:hanging="360"/>
      </w:pPr>
      <w:rPr>
        <w:u w:val="none"/>
      </w:rPr>
    </w:lvl>
    <w:lvl w:ilvl="5" w:tplc="05362C8A">
      <w:start w:val="1"/>
      <w:numFmt w:val="bullet"/>
      <w:lvlText w:val="■"/>
      <w:lvlJc w:val="left"/>
      <w:pPr>
        <w:ind w:left="4320" w:hanging="360"/>
      </w:pPr>
      <w:rPr>
        <w:u w:val="none"/>
      </w:rPr>
    </w:lvl>
    <w:lvl w:ilvl="6" w:tplc="0D5610AE">
      <w:start w:val="1"/>
      <w:numFmt w:val="bullet"/>
      <w:lvlText w:val="●"/>
      <w:lvlJc w:val="left"/>
      <w:pPr>
        <w:ind w:left="5040" w:hanging="360"/>
      </w:pPr>
      <w:rPr>
        <w:u w:val="none"/>
      </w:rPr>
    </w:lvl>
    <w:lvl w:ilvl="7" w:tplc="2CD65D50">
      <w:start w:val="1"/>
      <w:numFmt w:val="bullet"/>
      <w:lvlText w:val="○"/>
      <w:lvlJc w:val="left"/>
      <w:pPr>
        <w:ind w:left="5760" w:hanging="360"/>
      </w:pPr>
      <w:rPr>
        <w:u w:val="none"/>
      </w:rPr>
    </w:lvl>
    <w:lvl w:ilvl="8" w:tplc="37D0B4FA">
      <w:start w:val="1"/>
      <w:numFmt w:val="bullet"/>
      <w:lvlText w:val="■"/>
      <w:lvlJc w:val="left"/>
      <w:pPr>
        <w:ind w:left="6480" w:hanging="360"/>
      </w:pPr>
      <w:rPr>
        <w:u w:val="none"/>
      </w:rPr>
    </w:lvl>
  </w:abstractNum>
  <w:abstractNum w:abstractNumId="7" w15:restartNumberingAfterBreak="0">
    <w:nsid w:val="41DCE128"/>
    <w:multiLevelType w:val="hybridMultilevel"/>
    <w:tmpl w:val="00000000"/>
    <w:lvl w:ilvl="0" w:tplc="C9D44964">
      <w:start w:val="1"/>
      <w:numFmt w:val="bullet"/>
      <w:lvlText w:val="●"/>
      <w:lvlJc w:val="left"/>
      <w:pPr>
        <w:ind w:left="720" w:hanging="360"/>
      </w:pPr>
      <w:rPr>
        <w:u w:val="none"/>
      </w:rPr>
    </w:lvl>
    <w:lvl w:ilvl="1" w:tplc="03C27F16">
      <w:start w:val="1"/>
      <w:numFmt w:val="bullet"/>
      <w:lvlText w:val="○"/>
      <w:lvlJc w:val="left"/>
      <w:pPr>
        <w:ind w:left="1440" w:hanging="360"/>
      </w:pPr>
      <w:rPr>
        <w:u w:val="none"/>
      </w:rPr>
    </w:lvl>
    <w:lvl w:ilvl="2" w:tplc="D93E98CC">
      <w:start w:val="1"/>
      <w:numFmt w:val="bullet"/>
      <w:lvlText w:val="■"/>
      <w:lvlJc w:val="left"/>
      <w:pPr>
        <w:ind w:left="2160" w:hanging="360"/>
      </w:pPr>
      <w:rPr>
        <w:u w:val="none"/>
      </w:rPr>
    </w:lvl>
    <w:lvl w:ilvl="3" w:tplc="33D4D60E">
      <w:start w:val="1"/>
      <w:numFmt w:val="bullet"/>
      <w:lvlText w:val="●"/>
      <w:lvlJc w:val="left"/>
      <w:pPr>
        <w:ind w:left="2880" w:hanging="360"/>
      </w:pPr>
      <w:rPr>
        <w:u w:val="none"/>
      </w:rPr>
    </w:lvl>
    <w:lvl w:ilvl="4" w:tplc="72B8881C">
      <w:start w:val="1"/>
      <w:numFmt w:val="bullet"/>
      <w:lvlText w:val="○"/>
      <w:lvlJc w:val="left"/>
      <w:pPr>
        <w:ind w:left="3600" w:hanging="360"/>
      </w:pPr>
      <w:rPr>
        <w:u w:val="none"/>
      </w:rPr>
    </w:lvl>
    <w:lvl w:ilvl="5" w:tplc="03124450">
      <w:start w:val="1"/>
      <w:numFmt w:val="bullet"/>
      <w:lvlText w:val="■"/>
      <w:lvlJc w:val="left"/>
      <w:pPr>
        <w:ind w:left="4320" w:hanging="360"/>
      </w:pPr>
      <w:rPr>
        <w:u w:val="none"/>
      </w:rPr>
    </w:lvl>
    <w:lvl w:ilvl="6" w:tplc="22580F4C">
      <w:start w:val="1"/>
      <w:numFmt w:val="bullet"/>
      <w:lvlText w:val="●"/>
      <w:lvlJc w:val="left"/>
      <w:pPr>
        <w:ind w:left="5040" w:hanging="360"/>
      </w:pPr>
      <w:rPr>
        <w:u w:val="none"/>
      </w:rPr>
    </w:lvl>
    <w:lvl w:ilvl="7" w:tplc="267CE7EE">
      <w:start w:val="1"/>
      <w:numFmt w:val="bullet"/>
      <w:lvlText w:val="○"/>
      <w:lvlJc w:val="left"/>
      <w:pPr>
        <w:ind w:left="5760" w:hanging="360"/>
      </w:pPr>
      <w:rPr>
        <w:u w:val="none"/>
      </w:rPr>
    </w:lvl>
    <w:lvl w:ilvl="8" w:tplc="3C4C9B9A">
      <w:start w:val="1"/>
      <w:numFmt w:val="bullet"/>
      <w:lvlText w:val="■"/>
      <w:lvlJc w:val="left"/>
      <w:pPr>
        <w:ind w:left="6480" w:hanging="360"/>
      </w:pPr>
      <w:rPr>
        <w:u w:val="none"/>
      </w:rPr>
    </w:lvl>
  </w:abstractNum>
  <w:abstractNum w:abstractNumId="8" w15:restartNumberingAfterBreak="0">
    <w:nsid w:val="710413D8"/>
    <w:multiLevelType w:val="hybridMultilevel"/>
    <w:tmpl w:val="00000000"/>
    <w:lvl w:ilvl="0" w:tplc="E6643F7C">
      <w:start w:val="1"/>
      <w:numFmt w:val="bullet"/>
      <w:lvlText w:val="●"/>
      <w:lvlJc w:val="left"/>
      <w:pPr>
        <w:ind w:left="720" w:hanging="360"/>
      </w:pPr>
      <w:rPr>
        <w:u w:val="none"/>
      </w:rPr>
    </w:lvl>
    <w:lvl w:ilvl="1" w:tplc="07FA665A">
      <w:start w:val="1"/>
      <w:numFmt w:val="bullet"/>
      <w:lvlText w:val="○"/>
      <w:lvlJc w:val="left"/>
      <w:pPr>
        <w:ind w:left="1440" w:hanging="360"/>
      </w:pPr>
      <w:rPr>
        <w:u w:val="none"/>
      </w:rPr>
    </w:lvl>
    <w:lvl w:ilvl="2" w:tplc="133424E6">
      <w:start w:val="1"/>
      <w:numFmt w:val="bullet"/>
      <w:lvlText w:val="■"/>
      <w:lvlJc w:val="left"/>
      <w:pPr>
        <w:ind w:left="2160" w:hanging="360"/>
      </w:pPr>
      <w:rPr>
        <w:u w:val="none"/>
      </w:rPr>
    </w:lvl>
    <w:lvl w:ilvl="3" w:tplc="D08AFDD2">
      <w:start w:val="1"/>
      <w:numFmt w:val="bullet"/>
      <w:lvlText w:val="●"/>
      <w:lvlJc w:val="left"/>
      <w:pPr>
        <w:ind w:left="2880" w:hanging="360"/>
      </w:pPr>
      <w:rPr>
        <w:u w:val="none"/>
      </w:rPr>
    </w:lvl>
    <w:lvl w:ilvl="4" w:tplc="E3D87FC0">
      <w:start w:val="1"/>
      <w:numFmt w:val="bullet"/>
      <w:lvlText w:val="○"/>
      <w:lvlJc w:val="left"/>
      <w:pPr>
        <w:ind w:left="3600" w:hanging="360"/>
      </w:pPr>
      <w:rPr>
        <w:u w:val="none"/>
      </w:rPr>
    </w:lvl>
    <w:lvl w:ilvl="5" w:tplc="5170B492">
      <w:start w:val="1"/>
      <w:numFmt w:val="bullet"/>
      <w:lvlText w:val="■"/>
      <w:lvlJc w:val="left"/>
      <w:pPr>
        <w:ind w:left="4320" w:hanging="360"/>
      </w:pPr>
      <w:rPr>
        <w:u w:val="none"/>
      </w:rPr>
    </w:lvl>
    <w:lvl w:ilvl="6" w:tplc="E6FC0942">
      <w:start w:val="1"/>
      <w:numFmt w:val="bullet"/>
      <w:lvlText w:val="●"/>
      <w:lvlJc w:val="left"/>
      <w:pPr>
        <w:ind w:left="5040" w:hanging="360"/>
      </w:pPr>
      <w:rPr>
        <w:u w:val="none"/>
      </w:rPr>
    </w:lvl>
    <w:lvl w:ilvl="7" w:tplc="63843848">
      <w:start w:val="1"/>
      <w:numFmt w:val="bullet"/>
      <w:lvlText w:val="○"/>
      <w:lvlJc w:val="left"/>
      <w:pPr>
        <w:ind w:left="5760" w:hanging="360"/>
      </w:pPr>
      <w:rPr>
        <w:u w:val="none"/>
      </w:rPr>
    </w:lvl>
    <w:lvl w:ilvl="8" w:tplc="6A4C7358">
      <w:start w:val="1"/>
      <w:numFmt w:val="bullet"/>
      <w:lvlText w:val="■"/>
      <w:lvlJc w:val="left"/>
      <w:pPr>
        <w:ind w:left="6480" w:hanging="360"/>
      </w:pPr>
      <w:rPr>
        <w:u w:val="none"/>
      </w:rPr>
    </w:lvl>
  </w:abstractNum>
  <w:abstractNum w:abstractNumId="9" w15:restartNumberingAfterBreak="0">
    <w:nsid w:val="71CC30E6"/>
    <w:multiLevelType w:val="hybridMultilevel"/>
    <w:tmpl w:val="00000000"/>
    <w:lvl w:ilvl="0" w:tplc="336ADCF8">
      <w:start w:val="1"/>
      <w:numFmt w:val="bullet"/>
      <w:lvlText w:val="●"/>
      <w:lvlJc w:val="left"/>
      <w:pPr>
        <w:ind w:left="720" w:hanging="360"/>
      </w:pPr>
      <w:rPr>
        <w:u w:val="none"/>
      </w:rPr>
    </w:lvl>
    <w:lvl w:ilvl="1" w:tplc="B3A8CF40">
      <w:start w:val="1"/>
      <w:numFmt w:val="bullet"/>
      <w:lvlText w:val="○"/>
      <w:lvlJc w:val="left"/>
      <w:pPr>
        <w:ind w:left="1440" w:hanging="360"/>
      </w:pPr>
      <w:rPr>
        <w:u w:val="none"/>
      </w:rPr>
    </w:lvl>
    <w:lvl w:ilvl="2" w:tplc="7BB080F2">
      <w:start w:val="1"/>
      <w:numFmt w:val="bullet"/>
      <w:lvlText w:val="■"/>
      <w:lvlJc w:val="left"/>
      <w:pPr>
        <w:ind w:left="2160" w:hanging="360"/>
      </w:pPr>
      <w:rPr>
        <w:u w:val="none"/>
      </w:rPr>
    </w:lvl>
    <w:lvl w:ilvl="3" w:tplc="4E906F56">
      <w:start w:val="1"/>
      <w:numFmt w:val="bullet"/>
      <w:lvlText w:val="●"/>
      <w:lvlJc w:val="left"/>
      <w:pPr>
        <w:ind w:left="2880" w:hanging="360"/>
      </w:pPr>
      <w:rPr>
        <w:u w:val="none"/>
      </w:rPr>
    </w:lvl>
    <w:lvl w:ilvl="4" w:tplc="B860B5D8">
      <w:start w:val="1"/>
      <w:numFmt w:val="bullet"/>
      <w:lvlText w:val="○"/>
      <w:lvlJc w:val="left"/>
      <w:pPr>
        <w:ind w:left="3600" w:hanging="360"/>
      </w:pPr>
      <w:rPr>
        <w:u w:val="none"/>
      </w:rPr>
    </w:lvl>
    <w:lvl w:ilvl="5" w:tplc="B9768A82">
      <w:start w:val="1"/>
      <w:numFmt w:val="bullet"/>
      <w:lvlText w:val="■"/>
      <w:lvlJc w:val="left"/>
      <w:pPr>
        <w:ind w:left="4320" w:hanging="360"/>
      </w:pPr>
      <w:rPr>
        <w:u w:val="none"/>
      </w:rPr>
    </w:lvl>
    <w:lvl w:ilvl="6" w:tplc="16D8C302">
      <w:start w:val="1"/>
      <w:numFmt w:val="bullet"/>
      <w:lvlText w:val="●"/>
      <w:lvlJc w:val="left"/>
      <w:pPr>
        <w:ind w:left="5040" w:hanging="360"/>
      </w:pPr>
      <w:rPr>
        <w:u w:val="none"/>
      </w:rPr>
    </w:lvl>
    <w:lvl w:ilvl="7" w:tplc="D4507F02">
      <w:start w:val="1"/>
      <w:numFmt w:val="bullet"/>
      <w:lvlText w:val="○"/>
      <w:lvlJc w:val="left"/>
      <w:pPr>
        <w:ind w:left="5760" w:hanging="360"/>
      </w:pPr>
      <w:rPr>
        <w:u w:val="none"/>
      </w:rPr>
    </w:lvl>
    <w:lvl w:ilvl="8" w:tplc="DCD689F4">
      <w:start w:val="1"/>
      <w:numFmt w:val="bullet"/>
      <w:lvlText w:val="■"/>
      <w:lvlJc w:val="left"/>
      <w:pPr>
        <w:ind w:left="6480" w:hanging="360"/>
      </w:pPr>
      <w:rPr>
        <w:u w:val="none"/>
      </w:rPr>
    </w:lvl>
  </w:abstractNum>
  <w:num w:numId="1" w16cid:durableId="941765144">
    <w:abstractNumId w:val="5"/>
  </w:num>
  <w:num w:numId="2" w16cid:durableId="2107723004">
    <w:abstractNumId w:val="6"/>
  </w:num>
  <w:num w:numId="3" w16cid:durableId="837161125">
    <w:abstractNumId w:val="2"/>
  </w:num>
  <w:num w:numId="4" w16cid:durableId="1940134958">
    <w:abstractNumId w:val="3"/>
  </w:num>
  <w:num w:numId="5" w16cid:durableId="1539052672">
    <w:abstractNumId w:val="1"/>
  </w:num>
  <w:num w:numId="6" w16cid:durableId="569115378">
    <w:abstractNumId w:val="9"/>
  </w:num>
  <w:num w:numId="7" w16cid:durableId="1635521128">
    <w:abstractNumId w:val="7"/>
  </w:num>
  <w:num w:numId="8" w16cid:durableId="261492169">
    <w:abstractNumId w:val="0"/>
  </w:num>
  <w:num w:numId="9" w16cid:durableId="705448291">
    <w:abstractNumId w:val="8"/>
  </w:num>
  <w:num w:numId="10" w16cid:durableId="9182943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67E"/>
    <w:rsid w:val="002469B3"/>
    <w:rsid w:val="004D5C03"/>
    <w:rsid w:val="00511608"/>
    <w:rsid w:val="0058267E"/>
    <w:rsid w:val="006E4DE5"/>
    <w:rsid w:val="009657FA"/>
    <w:rsid w:val="00BF54A5"/>
    <w:rsid w:val="00C60412"/>
    <w:rsid w:val="00C93C1E"/>
    <w:rsid w:val="00D5775D"/>
    <w:rsid w:val="00D80655"/>
    <w:rsid w:val="00FD26B2"/>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6CBC2"/>
  <w15:docId w15:val="{C4F4147C-4ECB-4C9B-8ABF-4A57CD5B8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table" w:customStyle="1" w:styleId="Table1">
    <w:name w:val="Table1"/>
    <w:basedOn w:val="TableNormal0"/>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C6041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60412"/>
    <w:pPr>
      <w:spacing w:after="100"/>
    </w:pPr>
  </w:style>
  <w:style w:type="paragraph" w:styleId="TOC2">
    <w:name w:val="toc 2"/>
    <w:basedOn w:val="Normal"/>
    <w:next w:val="Normal"/>
    <w:autoRedefine/>
    <w:uiPriority w:val="39"/>
    <w:unhideWhenUsed/>
    <w:rsid w:val="00C60412"/>
    <w:pPr>
      <w:spacing w:after="100"/>
      <w:ind w:left="240"/>
    </w:pPr>
  </w:style>
  <w:style w:type="character" w:styleId="Hyperlink">
    <w:name w:val="Hyperlink"/>
    <w:basedOn w:val="DefaultParagraphFont"/>
    <w:uiPriority w:val="99"/>
    <w:unhideWhenUsed/>
    <w:rsid w:val="00C60412"/>
    <w:rPr>
      <w:color w:val="0000FF" w:themeColor="hyperlink"/>
      <w:u w:val="single"/>
    </w:rPr>
  </w:style>
  <w:style w:type="paragraph" w:styleId="Header">
    <w:name w:val="header"/>
    <w:basedOn w:val="Normal"/>
    <w:link w:val="HeaderChar"/>
    <w:uiPriority w:val="99"/>
    <w:unhideWhenUsed/>
    <w:rsid w:val="00C6041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60412"/>
  </w:style>
  <w:style w:type="paragraph" w:styleId="Footer">
    <w:name w:val="footer"/>
    <w:basedOn w:val="Normal"/>
    <w:link w:val="FooterChar"/>
    <w:uiPriority w:val="99"/>
    <w:unhideWhenUsed/>
    <w:rsid w:val="00C6041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604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pstorage-loughborough-53465.s3.amazonaws.com/16935362/Thesis2013Darics.pdf" TargetMode="External"/><Relationship Id="rId18" Type="http://schemas.openxmlformats.org/officeDocument/2006/relationships/hyperlink" Target="https://ris.utwente.nl/ws/files/161395642/Songhori_et_al_2019_Production_and_Operations_Management.pdf" TargetMode="External"/><Relationship Id="rId26" Type="http://schemas.openxmlformats.org/officeDocument/2006/relationships/hyperlink" Target="https://scholarworks.boisestate.edu/cgi/viewcontent.cgi?article=1000&amp;context=marketing_facpubs" TargetMode="External"/><Relationship Id="rId3" Type="http://schemas.openxmlformats.org/officeDocument/2006/relationships/styles" Target="styles.xml"/><Relationship Id="rId21" Type="http://schemas.openxmlformats.org/officeDocument/2006/relationships/hyperlink" Target="https://books.google.com/books?hl=en&amp;lr=&amp;id=peCVEAAAQBAJ&amp;oi=fnd&amp;pg=PA100&amp;dq=Decisions+are+commonly+made+through+a+technique+of+nemawashi&amp;ots=8mn8ssi8Su&amp;sig=bQhDOHHUTr4sxcFSFZrzc0AA4Ks"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researchgate.net/profile/Michael-Daniels-2/publication/275441641_Exploring_the_Nature_of_Power_Distance/links/559d94c608aeb45d1715d112/Exploring-the-Nature-of-Power-Distance.pdf" TargetMode="External"/><Relationship Id="rId17" Type="http://schemas.openxmlformats.org/officeDocument/2006/relationships/hyperlink" Target="https://sjnpu.com.ua/index.php/journal/article/download/338/288" TargetMode="External"/><Relationship Id="rId25" Type="http://schemas.openxmlformats.org/officeDocument/2006/relationships/hyperlink" Target="https://www.mdpi.com/2071-1050/15/14/11221/pdf" TargetMode="External"/><Relationship Id="rId33"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www.gsk.com/en-gb/" TargetMode="External"/><Relationship Id="rId20" Type="http://schemas.openxmlformats.org/officeDocument/2006/relationships/hyperlink" Target="https://link.springer.com/content/pdf/10.1007/s12564-017-9503-8.pdf" TargetMode="External"/><Relationship Id="rId29" Type="http://schemas.openxmlformats.org/officeDocument/2006/relationships/hyperlink" Target="https://arno.uvt.nl/show.cgi?fid=18255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pen-publishing.org/journals/index.php/jeicom/article/download/1008/862" TargetMode="External"/><Relationship Id="rId24" Type="http://schemas.openxmlformats.org/officeDocument/2006/relationships/hyperlink" Target="https://www.scirp.org/journal/paperinformation?paperid=136150" TargetMode="External"/><Relationship Id="rId32"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https://bera-journals.onlinelibrary.wiley.com/doi/pdfdirect/10.1002/rev3.3204" TargetMode="External"/><Relationship Id="rId23" Type="http://schemas.openxmlformats.org/officeDocument/2006/relationships/hyperlink" Target="https://utoronto.scholaris.ca/bitstreams/72ea3295-32bc-4e34-bc72-230949a7e95b/download" TargetMode="External"/><Relationship Id="rId28" Type="http://schemas.openxmlformats.org/officeDocument/2006/relationships/hyperlink" Target="https://www.takeda.com/" TargetMode="External"/><Relationship Id="rId36" Type="http://schemas.openxmlformats.org/officeDocument/2006/relationships/theme" Target="theme/theme1.xml"/><Relationship Id="rId10" Type="http://schemas.openxmlformats.org/officeDocument/2006/relationships/hyperlink" Target="https://www.ej-edu.org/index.php/ejedu/article/download/906/853" TargetMode="External"/><Relationship Id="rId19" Type="http://schemas.openxmlformats.org/officeDocument/2006/relationships/hyperlink" Target="https://books.google.co.in/books?hl=en&amp;lr=&amp;id=bKHUEAAAQBAJ&amp;oi=fnd&amp;pg=PT9&amp;dq=Disagreement+is+not+often+stated+overtly,+as+this+will+cause+a+lack+of+face+(mentsu)+or+disrupt+harmony&amp;ots=t8bBZpfXDI&amp;sig=xliUWoxA-p8-GE2BYn8BqZQruw8&amp;redir_esc=y" TargetMode="External"/><Relationship Id="rId31" Type="http://schemas.openxmlformats.org/officeDocument/2006/relationships/hyperlink" Target="https://www.researchgate.net/profile/Magdalena-Zemojtel-Piotrowska/publication/371822907_Hofstede%27s_Cultural_Dimensions_Theory/links/65ba71e434bbff5ba7db3ff0/Hofstedes-Cultural-Dimensions-Theory.pdf" TargetMode="External"/><Relationship Id="rId4" Type="http://schemas.openxmlformats.org/officeDocument/2006/relationships/settings" Target="settings.xml"/><Relationship Id="rId9" Type="http://schemas.openxmlformats.org/officeDocument/2006/relationships/hyperlink" Target="https://kwpublications.com/papers_submitted/7564/communication-barriers-in-work-environment-understanding-impact-and-challenges.pdf" TargetMode="External"/><Relationship Id="rId14" Type="http://schemas.openxmlformats.org/officeDocument/2006/relationships/hyperlink" Target="https://webofjournals.com/index.php/3/article/download/2856/2818" TargetMode="External"/><Relationship Id="rId22" Type="http://schemas.openxmlformats.org/officeDocument/2006/relationships/hyperlink" Target="https://dspace.balikesir.edu.tr/xmlui/bitstream/handle/20.500.12462/9124/erdogan-koc.2.pdf?sequence=2" TargetMode="External"/><Relationship Id="rId27" Type="http://schemas.openxmlformats.org/officeDocument/2006/relationships/hyperlink" Target="https://www.theseus.fi/bitstream/handle/10024/503203/Suhonen%20_Ayaka.pdf?sequence=2" TargetMode="External"/><Relationship Id="rId30" Type="http://schemas.openxmlformats.org/officeDocument/2006/relationships/hyperlink" Target="https://www.immi.se/index.php/intercultural/article/download/5/7" TargetMode="External"/><Relationship Id="rId35" Type="http://schemas.openxmlformats.org/officeDocument/2006/relationships/fontTable" Target="fontTable.xml"/><Relationship Id="rId8" Type="http://schemas.openxmlformats.org/officeDocument/2006/relationships/hyperlink" Target="https://pubs2.ascee.org/index.php/ijcs/article/download/240/2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17CA1-B24A-4C71-BA01-8FA504370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4442</Words>
  <Characters>25324</Characters>
  <Application>Microsoft Office Word</Application>
  <DocSecurity>0</DocSecurity>
  <Lines>211</Lines>
  <Paragraphs>59</Paragraphs>
  <ScaleCrop>false</ScaleCrop>
  <Company/>
  <LinksUpToDate>false</LinksUpToDate>
  <CharactersWithSpaces>29707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 Carare</dc:creator>
  <cp:lastModifiedBy>Alin Carare (2246440)</cp:lastModifiedBy>
  <cp:revision>2</cp:revision>
  <dcterms:created xsi:type="dcterms:W3CDTF">2025-06-22T17:38:00Z</dcterms:created>
  <dcterms:modified xsi:type="dcterms:W3CDTF">2025-06-22T17:38:00Z</dcterms:modified>
</cp:coreProperties>
</file>