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38B96" w14:textId="1C0611CA" w:rsidR="000B5E8A" w:rsidRDefault="005071F8">
      <w:pPr>
        <w:rPr>
          <w:rFonts w:ascii="Arial" w:hAnsi="Arial" w:cs="Arial"/>
          <w:sz w:val="40"/>
          <w:szCs w:val="40"/>
        </w:rPr>
      </w:pPr>
      <w:r w:rsidRPr="005071F8">
        <w:rPr>
          <w:rFonts w:ascii="Arial" w:hAnsi="Arial" w:cs="Arial"/>
          <w:b/>
          <w:bCs/>
          <w:sz w:val="40"/>
          <w:szCs w:val="40"/>
        </w:rPr>
        <w:t>UNIVERSITY OF WALES TRINITY SAINT DAVID</w:t>
      </w:r>
    </w:p>
    <w:p w14:paraId="2FE52D77" w14:textId="060DFD79" w:rsidR="005071F8" w:rsidRDefault="005071F8">
      <w:pPr>
        <w:rPr>
          <w:rFonts w:ascii="Arial" w:hAnsi="Arial" w:cs="Arial"/>
          <w:sz w:val="40"/>
          <w:szCs w:val="40"/>
        </w:rPr>
      </w:pPr>
    </w:p>
    <w:p w14:paraId="61C1AE82" w14:textId="5E50A57A" w:rsidR="005071F8" w:rsidRDefault="005071F8">
      <w:pPr>
        <w:rPr>
          <w:rFonts w:ascii="Arial" w:hAnsi="Arial" w:cs="Arial"/>
          <w:sz w:val="40"/>
          <w:szCs w:val="40"/>
        </w:rPr>
      </w:pPr>
    </w:p>
    <w:p w14:paraId="56E91F39" w14:textId="66D5A68D" w:rsidR="005071F8" w:rsidRDefault="005071F8">
      <w:pPr>
        <w:rPr>
          <w:rFonts w:ascii="Arial" w:hAnsi="Arial" w:cs="Arial"/>
          <w:sz w:val="40"/>
          <w:szCs w:val="40"/>
        </w:rPr>
      </w:pPr>
    </w:p>
    <w:p w14:paraId="2D635307" w14:textId="77777777" w:rsidR="00B24B3E" w:rsidRDefault="00B24B3E">
      <w:pPr>
        <w:rPr>
          <w:rFonts w:ascii="Arial" w:hAnsi="Arial" w:cs="Arial"/>
          <w:sz w:val="40"/>
          <w:szCs w:val="40"/>
        </w:rPr>
      </w:pPr>
    </w:p>
    <w:p w14:paraId="18D97577" w14:textId="15F8D62B" w:rsidR="005071F8" w:rsidRDefault="005071F8">
      <w:pPr>
        <w:rPr>
          <w:rFonts w:ascii="Arial" w:hAnsi="Arial" w:cs="Arial"/>
          <w:sz w:val="40"/>
          <w:szCs w:val="40"/>
        </w:rPr>
      </w:pPr>
      <w:r>
        <w:rPr>
          <w:rFonts w:ascii="Arial" w:hAnsi="Arial" w:cs="Arial"/>
          <w:sz w:val="40"/>
          <w:szCs w:val="40"/>
        </w:rPr>
        <w:t>STUDENT NAME: MARIUS STEFAN ANDREI</w:t>
      </w:r>
    </w:p>
    <w:p w14:paraId="063CE486" w14:textId="13C1C3CA" w:rsidR="005071F8" w:rsidRDefault="005071F8">
      <w:pPr>
        <w:rPr>
          <w:rFonts w:ascii="Arial" w:hAnsi="Arial" w:cs="Arial"/>
          <w:sz w:val="40"/>
          <w:szCs w:val="40"/>
        </w:rPr>
      </w:pPr>
      <w:r>
        <w:rPr>
          <w:rFonts w:ascii="Arial" w:hAnsi="Arial" w:cs="Arial"/>
          <w:sz w:val="40"/>
          <w:szCs w:val="40"/>
        </w:rPr>
        <w:t xml:space="preserve">STUDENT NUMBER: </w:t>
      </w:r>
      <w:r w:rsidR="00AD40CA">
        <w:rPr>
          <w:rFonts w:ascii="Arial" w:hAnsi="Arial" w:cs="Arial"/>
          <w:sz w:val="40"/>
          <w:szCs w:val="40"/>
        </w:rPr>
        <w:t>1815330</w:t>
      </w:r>
    </w:p>
    <w:p w14:paraId="0B80CA18" w14:textId="77777777" w:rsidR="00B24B3E" w:rsidRDefault="00B24B3E">
      <w:pPr>
        <w:rPr>
          <w:rFonts w:ascii="Arial" w:hAnsi="Arial" w:cs="Arial"/>
          <w:sz w:val="40"/>
          <w:szCs w:val="40"/>
        </w:rPr>
      </w:pPr>
    </w:p>
    <w:p w14:paraId="3539EF55" w14:textId="2C09EC7A" w:rsidR="005071F8" w:rsidRDefault="00B24B3E">
      <w:pPr>
        <w:rPr>
          <w:rFonts w:ascii="Arial" w:hAnsi="Arial" w:cs="Arial"/>
          <w:sz w:val="40"/>
          <w:szCs w:val="40"/>
        </w:rPr>
      </w:pPr>
      <w:r>
        <w:rPr>
          <w:rFonts w:ascii="Arial" w:hAnsi="Arial" w:cs="Arial"/>
          <w:sz w:val="40"/>
          <w:szCs w:val="40"/>
        </w:rPr>
        <w:t>ASSIGNMENT TITLE: GATSBY GRANGE</w:t>
      </w:r>
    </w:p>
    <w:p w14:paraId="33F5D532" w14:textId="77777777" w:rsidR="005071F8" w:rsidRDefault="005071F8">
      <w:pPr>
        <w:rPr>
          <w:rFonts w:ascii="Arial" w:hAnsi="Arial" w:cs="Arial"/>
          <w:sz w:val="40"/>
          <w:szCs w:val="40"/>
        </w:rPr>
      </w:pPr>
    </w:p>
    <w:p w14:paraId="208ACAD0" w14:textId="56750B48" w:rsidR="005071F8" w:rsidRDefault="005071F8">
      <w:pPr>
        <w:rPr>
          <w:rFonts w:ascii="Arial" w:hAnsi="Arial" w:cs="Arial"/>
          <w:sz w:val="40"/>
          <w:szCs w:val="40"/>
        </w:rPr>
      </w:pPr>
      <w:r>
        <w:rPr>
          <w:rFonts w:ascii="Arial" w:hAnsi="Arial" w:cs="Arial"/>
          <w:sz w:val="40"/>
          <w:szCs w:val="40"/>
        </w:rPr>
        <w:t>LECTURER NAME: DAVID JENKINS</w:t>
      </w:r>
    </w:p>
    <w:p w14:paraId="633EBDE5" w14:textId="7907D3E1" w:rsidR="00B24B3E" w:rsidRDefault="00B24B3E">
      <w:pPr>
        <w:rPr>
          <w:rFonts w:ascii="Arial" w:hAnsi="Arial" w:cs="Arial"/>
          <w:sz w:val="40"/>
          <w:szCs w:val="40"/>
        </w:rPr>
      </w:pPr>
    </w:p>
    <w:p w14:paraId="3C5848D6" w14:textId="21EF1B60" w:rsidR="00B24B3E" w:rsidRDefault="00B24B3E">
      <w:pPr>
        <w:rPr>
          <w:rFonts w:ascii="Arial" w:hAnsi="Arial" w:cs="Arial"/>
          <w:sz w:val="40"/>
          <w:szCs w:val="40"/>
        </w:rPr>
      </w:pPr>
    </w:p>
    <w:p w14:paraId="6CF9FF59" w14:textId="4DC5F27E" w:rsidR="00B24B3E" w:rsidRDefault="00B24B3E">
      <w:pPr>
        <w:rPr>
          <w:rFonts w:ascii="Arial" w:hAnsi="Arial" w:cs="Arial"/>
          <w:sz w:val="40"/>
          <w:szCs w:val="40"/>
        </w:rPr>
      </w:pPr>
    </w:p>
    <w:p w14:paraId="3DF49AAC" w14:textId="6BDE9C96" w:rsidR="00B24B3E" w:rsidRDefault="00B24B3E">
      <w:pPr>
        <w:rPr>
          <w:rFonts w:ascii="Arial" w:hAnsi="Arial" w:cs="Arial"/>
          <w:sz w:val="40"/>
          <w:szCs w:val="40"/>
        </w:rPr>
      </w:pPr>
    </w:p>
    <w:p w14:paraId="562A1A1B" w14:textId="28386224" w:rsidR="00B24B3E" w:rsidRDefault="00B24B3E">
      <w:pPr>
        <w:rPr>
          <w:rFonts w:ascii="Arial" w:hAnsi="Arial" w:cs="Arial"/>
          <w:sz w:val="40"/>
          <w:szCs w:val="40"/>
        </w:rPr>
      </w:pPr>
    </w:p>
    <w:p w14:paraId="1619BAE0" w14:textId="7422D4E6" w:rsidR="00B24B3E" w:rsidRDefault="00B24B3E">
      <w:pPr>
        <w:rPr>
          <w:rFonts w:ascii="Arial" w:hAnsi="Arial" w:cs="Arial"/>
          <w:sz w:val="40"/>
          <w:szCs w:val="40"/>
        </w:rPr>
      </w:pPr>
    </w:p>
    <w:p w14:paraId="774E7E3A" w14:textId="194D6EE2" w:rsidR="00B24B3E" w:rsidRDefault="00B24B3E">
      <w:pPr>
        <w:rPr>
          <w:rFonts w:ascii="Arial" w:hAnsi="Arial" w:cs="Arial"/>
          <w:sz w:val="40"/>
          <w:szCs w:val="40"/>
        </w:rPr>
      </w:pPr>
    </w:p>
    <w:p w14:paraId="4AA398A9" w14:textId="01246CF5" w:rsidR="00B24B3E" w:rsidRDefault="00B24B3E">
      <w:pPr>
        <w:rPr>
          <w:rFonts w:ascii="Arial" w:hAnsi="Arial" w:cs="Arial"/>
          <w:sz w:val="40"/>
          <w:szCs w:val="40"/>
        </w:rPr>
      </w:pPr>
    </w:p>
    <w:p w14:paraId="6D749325" w14:textId="2C3DEFB9" w:rsidR="00B24B3E" w:rsidRDefault="00B24B3E">
      <w:pPr>
        <w:rPr>
          <w:rFonts w:ascii="Arial" w:hAnsi="Arial" w:cs="Arial"/>
          <w:sz w:val="40"/>
          <w:szCs w:val="40"/>
        </w:rPr>
      </w:pPr>
    </w:p>
    <w:p w14:paraId="5F226632" w14:textId="45B76BC6" w:rsidR="00B24B3E" w:rsidRDefault="00B24B3E">
      <w:pPr>
        <w:rPr>
          <w:rFonts w:ascii="Arial" w:hAnsi="Arial" w:cs="Arial"/>
          <w:sz w:val="40"/>
          <w:szCs w:val="40"/>
        </w:rPr>
      </w:pPr>
    </w:p>
    <w:p w14:paraId="049E6018" w14:textId="6A577CD8" w:rsidR="00324291" w:rsidRDefault="00324291" w:rsidP="00324291">
      <w:pPr>
        <w:jc w:val="center"/>
        <w:rPr>
          <w:rFonts w:ascii="Arial" w:hAnsi="Arial" w:cs="Arial"/>
          <w:sz w:val="40"/>
          <w:szCs w:val="40"/>
        </w:rPr>
      </w:pPr>
      <w:r w:rsidRPr="00324291">
        <w:rPr>
          <w:rFonts w:ascii="Arial" w:hAnsi="Arial" w:cs="Arial"/>
          <w:sz w:val="40"/>
          <w:szCs w:val="40"/>
        </w:rPr>
        <w:lastRenderedPageBreak/>
        <w:t>Contents</w:t>
      </w:r>
    </w:p>
    <w:p w14:paraId="395D4967" w14:textId="4AD5D394" w:rsidR="00324291" w:rsidRDefault="00324291" w:rsidP="00324291">
      <w:pPr>
        <w:jc w:val="center"/>
        <w:rPr>
          <w:rFonts w:ascii="Arial" w:hAnsi="Arial" w:cs="Arial"/>
          <w:sz w:val="40"/>
          <w:szCs w:val="40"/>
        </w:rPr>
      </w:pPr>
    </w:p>
    <w:p w14:paraId="0822A278" w14:textId="33BF96EF" w:rsidR="00324291" w:rsidRDefault="00324291" w:rsidP="00324291">
      <w:pPr>
        <w:jc w:val="center"/>
        <w:rPr>
          <w:rFonts w:ascii="Arial" w:hAnsi="Arial" w:cs="Arial"/>
          <w:sz w:val="40"/>
          <w:szCs w:val="40"/>
        </w:rPr>
      </w:pPr>
    </w:p>
    <w:p w14:paraId="580E1149" w14:textId="77777777" w:rsidR="00324291" w:rsidRPr="00324291" w:rsidRDefault="00324291" w:rsidP="00324291">
      <w:pPr>
        <w:jc w:val="center"/>
        <w:rPr>
          <w:rFonts w:ascii="Arial" w:hAnsi="Arial" w:cs="Arial"/>
          <w:sz w:val="40"/>
          <w:szCs w:val="40"/>
        </w:rPr>
      </w:pPr>
    </w:p>
    <w:p w14:paraId="09B7BDDF" w14:textId="0A0E8099" w:rsidR="00324291" w:rsidRPr="00324291" w:rsidRDefault="00324291" w:rsidP="00324291">
      <w:pPr>
        <w:rPr>
          <w:rFonts w:ascii="Arial" w:hAnsi="Arial" w:cs="Arial"/>
          <w:sz w:val="28"/>
          <w:szCs w:val="28"/>
        </w:rPr>
      </w:pPr>
      <w:r w:rsidRPr="00324291">
        <w:rPr>
          <w:rFonts w:ascii="Arial" w:hAnsi="Arial" w:cs="Arial"/>
          <w:sz w:val="28"/>
          <w:szCs w:val="28"/>
        </w:rPr>
        <w:t>INTRODUCTION</w:t>
      </w:r>
      <w:r>
        <w:rPr>
          <w:rFonts w:ascii="Arial" w:hAnsi="Arial" w:cs="Arial"/>
          <w:sz w:val="28"/>
          <w:szCs w:val="28"/>
        </w:rPr>
        <w:t>……………………………………………………………</w:t>
      </w:r>
      <w:r w:rsidRPr="00324291">
        <w:rPr>
          <w:rFonts w:ascii="Arial" w:hAnsi="Arial" w:cs="Arial"/>
          <w:sz w:val="28"/>
          <w:szCs w:val="28"/>
        </w:rPr>
        <w:tab/>
        <w:t>3</w:t>
      </w:r>
    </w:p>
    <w:p w14:paraId="68FBD652" w14:textId="423BF65F" w:rsidR="00324291" w:rsidRPr="00324291" w:rsidRDefault="00324291" w:rsidP="00324291">
      <w:pPr>
        <w:pStyle w:val="ListParagraph"/>
        <w:numPr>
          <w:ilvl w:val="0"/>
          <w:numId w:val="1"/>
        </w:numPr>
        <w:rPr>
          <w:rFonts w:ascii="Arial" w:hAnsi="Arial" w:cs="Arial"/>
          <w:sz w:val="28"/>
          <w:szCs w:val="28"/>
        </w:rPr>
      </w:pPr>
      <w:r w:rsidRPr="00324291">
        <w:rPr>
          <w:rFonts w:ascii="Arial" w:hAnsi="Arial" w:cs="Arial"/>
          <w:sz w:val="28"/>
          <w:szCs w:val="28"/>
        </w:rPr>
        <w:t>Calculation of suitable ratios for the year 2018-19</w:t>
      </w:r>
      <w:r>
        <w:rPr>
          <w:rFonts w:ascii="Arial" w:hAnsi="Arial" w:cs="Arial"/>
          <w:sz w:val="28"/>
          <w:szCs w:val="28"/>
        </w:rPr>
        <w:t>……………….</w:t>
      </w:r>
      <w:r w:rsidRPr="00324291">
        <w:rPr>
          <w:rFonts w:ascii="Arial" w:hAnsi="Arial" w:cs="Arial"/>
          <w:sz w:val="28"/>
          <w:szCs w:val="28"/>
        </w:rPr>
        <w:tab/>
        <w:t>3</w:t>
      </w:r>
    </w:p>
    <w:p w14:paraId="2059FE7A" w14:textId="1E1D038B" w:rsidR="00324291" w:rsidRPr="00324291" w:rsidRDefault="00324291" w:rsidP="00324291">
      <w:pPr>
        <w:pStyle w:val="ListParagraph"/>
        <w:numPr>
          <w:ilvl w:val="0"/>
          <w:numId w:val="1"/>
        </w:numPr>
        <w:rPr>
          <w:rFonts w:ascii="Arial" w:hAnsi="Arial" w:cs="Arial"/>
          <w:sz w:val="28"/>
          <w:szCs w:val="28"/>
        </w:rPr>
      </w:pPr>
      <w:r w:rsidRPr="00324291">
        <w:rPr>
          <w:rFonts w:ascii="Arial" w:hAnsi="Arial" w:cs="Arial"/>
          <w:sz w:val="28"/>
          <w:szCs w:val="28"/>
        </w:rPr>
        <w:t>Ratio fluctuation useful for Hotel Management</w:t>
      </w:r>
      <w:r w:rsidRPr="00324291">
        <w:rPr>
          <w:rFonts w:ascii="Arial" w:hAnsi="Arial" w:cs="Arial"/>
          <w:sz w:val="28"/>
          <w:szCs w:val="28"/>
        </w:rPr>
        <w:tab/>
      </w:r>
      <w:r>
        <w:rPr>
          <w:rFonts w:ascii="Arial" w:hAnsi="Arial" w:cs="Arial"/>
          <w:sz w:val="28"/>
          <w:szCs w:val="28"/>
        </w:rPr>
        <w:t>……………………</w:t>
      </w:r>
      <w:r w:rsidRPr="00324291">
        <w:rPr>
          <w:rFonts w:ascii="Arial" w:hAnsi="Arial" w:cs="Arial"/>
          <w:sz w:val="28"/>
          <w:szCs w:val="28"/>
        </w:rPr>
        <w:t>8</w:t>
      </w:r>
    </w:p>
    <w:p w14:paraId="37845D5F" w14:textId="594D2B50" w:rsidR="00324291" w:rsidRPr="00324291" w:rsidRDefault="00324291" w:rsidP="00324291">
      <w:pPr>
        <w:pStyle w:val="ListParagraph"/>
        <w:numPr>
          <w:ilvl w:val="0"/>
          <w:numId w:val="1"/>
        </w:numPr>
        <w:rPr>
          <w:rFonts w:ascii="Arial" w:hAnsi="Arial" w:cs="Arial"/>
          <w:sz w:val="28"/>
          <w:szCs w:val="28"/>
        </w:rPr>
      </w:pPr>
      <w:r w:rsidRPr="00324291">
        <w:rPr>
          <w:rFonts w:ascii="Arial" w:hAnsi="Arial" w:cs="Arial"/>
          <w:sz w:val="28"/>
          <w:szCs w:val="28"/>
        </w:rPr>
        <w:t>Benefits and limitations of ratios analysis that help to make decision</w:t>
      </w:r>
      <w:r>
        <w:rPr>
          <w:rFonts w:ascii="Arial" w:hAnsi="Arial" w:cs="Arial"/>
          <w:sz w:val="28"/>
          <w:szCs w:val="28"/>
        </w:rPr>
        <w:t>……………………………………………………………</w:t>
      </w:r>
      <w:proofErr w:type="gramStart"/>
      <w:r>
        <w:rPr>
          <w:rFonts w:ascii="Arial" w:hAnsi="Arial" w:cs="Arial"/>
          <w:sz w:val="28"/>
          <w:szCs w:val="28"/>
        </w:rPr>
        <w:t>…..</w:t>
      </w:r>
      <w:proofErr w:type="gramEnd"/>
      <w:r w:rsidRPr="00324291">
        <w:rPr>
          <w:rFonts w:ascii="Arial" w:hAnsi="Arial" w:cs="Arial"/>
          <w:sz w:val="28"/>
          <w:szCs w:val="28"/>
        </w:rPr>
        <w:tab/>
      </w:r>
      <w:r w:rsidR="003269E8">
        <w:rPr>
          <w:rFonts w:ascii="Arial" w:hAnsi="Arial" w:cs="Arial"/>
          <w:sz w:val="28"/>
          <w:szCs w:val="28"/>
        </w:rPr>
        <w:t>8</w:t>
      </w:r>
    </w:p>
    <w:p w14:paraId="29AC09D0" w14:textId="270FC0CF" w:rsidR="00324291" w:rsidRPr="00324291" w:rsidRDefault="00324291" w:rsidP="00324291">
      <w:pPr>
        <w:rPr>
          <w:rFonts w:ascii="Arial" w:hAnsi="Arial" w:cs="Arial"/>
          <w:sz w:val="28"/>
          <w:szCs w:val="28"/>
        </w:rPr>
      </w:pPr>
    </w:p>
    <w:p w14:paraId="48012F47" w14:textId="37C62B3C" w:rsidR="00324291" w:rsidRPr="00324291" w:rsidRDefault="00324291" w:rsidP="00324291">
      <w:pPr>
        <w:rPr>
          <w:rFonts w:ascii="Arial" w:hAnsi="Arial" w:cs="Arial"/>
          <w:sz w:val="28"/>
          <w:szCs w:val="28"/>
        </w:rPr>
      </w:pPr>
      <w:r w:rsidRPr="00324291">
        <w:rPr>
          <w:rFonts w:ascii="Arial" w:hAnsi="Arial" w:cs="Arial"/>
          <w:sz w:val="28"/>
          <w:szCs w:val="28"/>
        </w:rPr>
        <w:t>CONCLUSION</w:t>
      </w:r>
      <w:r>
        <w:rPr>
          <w:rFonts w:ascii="Arial" w:hAnsi="Arial" w:cs="Arial"/>
          <w:sz w:val="28"/>
          <w:szCs w:val="28"/>
        </w:rPr>
        <w:t>………………………………………………………………</w:t>
      </w:r>
      <w:r w:rsidRPr="00324291">
        <w:rPr>
          <w:rFonts w:ascii="Arial" w:hAnsi="Arial" w:cs="Arial"/>
          <w:sz w:val="28"/>
          <w:szCs w:val="28"/>
        </w:rPr>
        <w:tab/>
        <w:t>1</w:t>
      </w:r>
      <w:r w:rsidR="003269E8">
        <w:rPr>
          <w:rFonts w:ascii="Arial" w:hAnsi="Arial" w:cs="Arial"/>
          <w:sz w:val="28"/>
          <w:szCs w:val="28"/>
        </w:rPr>
        <w:t>0</w:t>
      </w:r>
    </w:p>
    <w:p w14:paraId="707F91E7" w14:textId="3333EF44" w:rsidR="00324291" w:rsidRPr="00324291" w:rsidRDefault="00324291" w:rsidP="00324291">
      <w:pPr>
        <w:rPr>
          <w:rFonts w:ascii="Arial" w:hAnsi="Arial" w:cs="Arial"/>
          <w:sz w:val="28"/>
          <w:szCs w:val="28"/>
        </w:rPr>
      </w:pPr>
      <w:r w:rsidRPr="00324291">
        <w:rPr>
          <w:rFonts w:ascii="Arial" w:hAnsi="Arial" w:cs="Arial"/>
          <w:sz w:val="28"/>
          <w:szCs w:val="28"/>
        </w:rPr>
        <w:t>REFERENCES</w:t>
      </w:r>
      <w:r>
        <w:rPr>
          <w:rFonts w:ascii="Arial" w:hAnsi="Arial" w:cs="Arial"/>
          <w:sz w:val="28"/>
          <w:szCs w:val="28"/>
        </w:rPr>
        <w:t>………………………………………………………………</w:t>
      </w:r>
      <w:r w:rsidRPr="00324291">
        <w:rPr>
          <w:rFonts w:ascii="Arial" w:hAnsi="Arial" w:cs="Arial"/>
          <w:sz w:val="28"/>
          <w:szCs w:val="28"/>
        </w:rPr>
        <w:tab/>
        <w:t>1</w:t>
      </w:r>
      <w:r w:rsidR="003269E8">
        <w:rPr>
          <w:rFonts w:ascii="Arial" w:hAnsi="Arial" w:cs="Arial"/>
          <w:sz w:val="28"/>
          <w:szCs w:val="28"/>
        </w:rPr>
        <w:t>1</w:t>
      </w:r>
    </w:p>
    <w:p w14:paraId="690D4653" w14:textId="64574BCC" w:rsidR="00324291" w:rsidRDefault="00324291" w:rsidP="00324291">
      <w:pPr>
        <w:rPr>
          <w:rFonts w:ascii="Arial" w:hAnsi="Arial" w:cs="Arial"/>
          <w:sz w:val="40"/>
          <w:szCs w:val="40"/>
        </w:rPr>
      </w:pPr>
    </w:p>
    <w:p w14:paraId="0403B6CB" w14:textId="1D882985" w:rsidR="00324291" w:rsidRDefault="00324291" w:rsidP="00324291">
      <w:pPr>
        <w:rPr>
          <w:rFonts w:ascii="Arial" w:hAnsi="Arial" w:cs="Arial"/>
          <w:sz w:val="40"/>
          <w:szCs w:val="40"/>
        </w:rPr>
      </w:pPr>
    </w:p>
    <w:p w14:paraId="0BAD8765" w14:textId="1B2FEA63" w:rsidR="00324291" w:rsidRDefault="00324291" w:rsidP="00324291">
      <w:pPr>
        <w:rPr>
          <w:rFonts w:ascii="Arial" w:hAnsi="Arial" w:cs="Arial"/>
          <w:sz w:val="40"/>
          <w:szCs w:val="40"/>
        </w:rPr>
      </w:pPr>
    </w:p>
    <w:p w14:paraId="183F9063" w14:textId="5992F730" w:rsidR="00324291" w:rsidRDefault="00324291" w:rsidP="00324291">
      <w:pPr>
        <w:rPr>
          <w:rFonts w:ascii="Arial" w:hAnsi="Arial" w:cs="Arial"/>
          <w:sz w:val="40"/>
          <w:szCs w:val="40"/>
        </w:rPr>
      </w:pPr>
    </w:p>
    <w:p w14:paraId="7621C261" w14:textId="082AEA32" w:rsidR="00324291" w:rsidRDefault="00324291" w:rsidP="00324291">
      <w:pPr>
        <w:rPr>
          <w:rFonts w:ascii="Arial" w:hAnsi="Arial" w:cs="Arial"/>
          <w:sz w:val="40"/>
          <w:szCs w:val="40"/>
        </w:rPr>
      </w:pPr>
    </w:p>
    <w:p w14:paraId="71672374" w14:textId="1CC80830" w:rsidR="00324291" w:rsidRDefault="00324291" w:rsidP="00324291">
      <w:pPr>
        <w:rPr>
          <w:rFonts w:ascii="Arial" w:hAnsi="Arial" w:cs="Arial"/>
          <w:sz w:val="40"/>
          <w:szCs w:val="40"/>
        </w:rPr>
      </w:pPr>
    </w:p>
    <w:p w14:paraId="40EED468" w14:textId="255771C0" w:rsidR="00324291" w:rsidRDefault="00324291" w:rsidP="00324291">
      <w:pPr>
        <w:rPr>
          <w:rFonts w:ascii="Arial" w:hAnsi="Arial" w:cs="Arial"/>
          <w:sz w:val="40"/>
          <w:szCs w:val="40"/>
        </w:rPr>
      </w:pPr>
    </w:p>
    <w:p w14:paraId="26B38FAB" w14:textId="77777777" w:rsidR="00324291" w:rsidRPr="00324291" w:rsidRDefault="00324291" w:rsidP="00324291">
      <w:pPr>
        <w:rPr>
          <w:rFonts w:ascii="Arial" w:hAnsi="Arial" w:cs="Arial"/>
          <w:sz w:val="40"/>
          <w:szCs w:val="40"/>
        </w:rPr>
      </w:pPr>
    </w:p>
    <w:p w14:paraId="3D4FBE49" w14:textId="4D19E169" w:rsidR="00324291" w:rsidRDefault="00324291" w:rsidP="00324291">
      <w:pPr>
        <w:rPr>
          <w:rFonts w:ascii="Arial" w:hAnsi="Arial" w:cs="Arial"/>
          <w:sz w:val="40"/>
          <w:szCs w:val="40"/>
        </w:rPr>
      </w:pPr>
      <w:r w:rsidRPr="00324291">
        <w:rPr>
          <w:rFonts w:ascii="Arial" w:hAnsi="Arial" w:cs="Arial"/>
          <w:sz w:val="40"/>
          <w:szCs w:val="40"/>
        </w:rPr>
        <w:t xml:space="preserve"> </w:t>
      </w:r>
    </w:p>
    <w:p w14:paraId="74E95621" w14:textId="369A19CA" w:rsidR="00324291" w:rsidRDefault="00324291" w:rsidP="00324291">
      <w:pPr>
        <w:rPr>
          <w:rFonts w:ascii="Arial" w:hAnsi="Arial" w:cs="Arial"/>
          <w:sz w:val="40"/>
          <w:szCs w:val="40"/>
        </w:rPr>
      </w:pPr>
    </w:p>
    <w:p w14:paraId="50DC2024" w14:textId="27C9E30A" w:rsidR="00324291" w:rsidRDefault="00324291" w:rsidP="00324291">
      <w:pPr>
        <w:rPr>
          <w:rFonts w:ascii="Arial" w:hAnsi="Arial" w:cs="Arial"/>
          <w:sz w:val="40"/>
          <w:szCs w:val="40"/>
        </w:rPr>
      </w:pPr>
    </w:p>
    <w:p w14:paraId="0717C7EF" w14:textId="77777777" w:rsidR="00324291" w:rsidRPr="00324291" w:rsidRDefault="00324291" w:rsidP="00324291">
      <w:pPr>
        <w:rPr>
          <w:rFonts w:ascii="Arial" w:hAnsi="Arial" w:cs="Arial"/>
          <w:sz w:val="40"/>
          <w:szCs w:val="40"/>
        </w:rPr>
      </w:pPr>
    </w:p>
    <w:p w14:paraId="3743D215" w14:textId="365DD25F" w:rsidR="00324291" w:rsidRPr="00324291" w:rsidRDefault="00324291" w:rsidP="00324291">
      <w:pPr>
        <w:jc w:val="center"/>
        <w:rPr>
          <w:rFonts w:ascii="Arial" w:hAnsi="Arial" w:cs="Arial"/>
          <w:sz w:val="32"/>
          <w:szCs w:val="32"/>
        </w:rPr>
      </w:pPr>
      <w:r w:rsidRPr="00324291">
        <w:rPr>
          <w:rFonts w:ascii="Arial" w:hAnsi="Arial" w:cs="Arial"/>
          <w:sz w:val="32"/>
          <w:szCs w:val="32"/>
        </w:rPr>
        <w:lastRenderedPageBreak/>
        <w:t>INTRODUCTION</w:t>
      </w:r>
    </w:p>
    <w:p w14:paraId="485C6958" w14:textId="1C421EDA" w:rsidR="00324291" w:rsidRDefault="00324291" w:rsidP="00324291">
      <w:pPr>
        <w:jc w:val="center"/>
        <w:rPr>
          <w:rFonts w:ascii="Arial" w:hAnsi="Arial" w:cs="Arial"/>
          <w:sz w:val="40"/>
          <w:szCs w:val="40"/>
        </w:rPr>
      </w:pPr>
    </w:p>
    <w:p w14:paraId="2FA6486B" w14:textId="77777777" w:rsidR="00324291" w:rsidRPr="00324291" w:rsidRDefault="00324291" w:rsidP="00324291">
      <w:pPr>
        <w:jc w:val="center"/>
        <w:rPr>
          <w:rFonts w:ascii="Arial" w:hAnsi="Arial" w:cs="Arial"/>
          <w:sz w:val="40"/>
          <w:szCs w:val="40"/>
        </w:rPr>
      </w:pPr>
    </w:p>
    <w:p w14:paraId="3FDF481F" w14:textId="77777777" w:rsidR="00324291" w:rsidRPr="00324291" w:rsidRDefault="00324291" w:rsidP="00324291">
      <w:pPr>
        <w:rPr>
          <w:rFonts w:ascii="Arial" w:hAnsi="Arial" w:cs="Arial"/>
        </w:rPr>
      </w:pPr>
      <w:r w:rsidRPr="00324291">
        <w:rPr>
          <w:rFonts w:ascii="Arial" w:hAnsi="Arial" w:cs="Arial"/>
        </w:rPr>
        <w:t>Financial statements are accounts compiled for financial results and status at a certain moment of time by internal manager of firm. A collection of reports usually contains a balance sheet, income statements, equity report as well as cash flow statements. To certain decision-makers, annual results are the primary measure of economic knowledge about company for a respective year. Therefore, the quality, transparency and importance of facts in these financial records are too heavily emphasized by financial reporting.</w:t>
      </w:r>
    </w:p>
    <w:p w14:paraId="3CF76210" w14:textId="6DAF73D7" w:rsidR="00324291" w:rsidRPr="00324291" w:rsidRDefault="00324291" w:rsidP="00324291">
      <w:pPr>
        <w:rPr>
          <w:rFonts w:ascii="Arial" w:hAnsi="Arial" w:cs="Arial"/>
        </w:rPr>
      </w:pPr>
      <w:r w:rsidRPr="00324291">
        <w:rPr>
          <w:rFonts w:ascii="Arial" w:hAnsi="Arial" w:cs="Arial"/>
        </w:rPr>
        <w:t>In this report, analysis of financial statement is performed with the support of various rations for Ga</w:t>
      </w:r>
      <w:r w:rsidR="00CF76EA">
        <w:rPr>
          <w:rFonts w:ascii="Arial" w:hAnsi="Arial" w:cs="Arial"/>
        </w:rPr>
        <w:t>ts</w:t>
      </w:r>
      <w:r w:rsidRPr="00324291">
        <w:rPr>
          <w:rFonts w:ascii="Arial" w:hAnsi="Arial" w:cs="Arial"/>
        </w:rPr>
        <w:t xml:space="preserve">by grange which is a small chain of Boutique. In addition, importance of ratio for hotel and benefits and limitation of using ratio is also elaborated. </w:t>
      </w:r>
    </w:p>
    <w:p w14:paraId="7979C75E" w14:textId="4CB68B34" w:rsidR="00324291" w:rsidRPr="00CF76EA" w:rsidRDefault="00324291" w:rsidP="00CF76EA">
      <w:pPr>
        <w:pStyle w:val="ListParagraph"/>
        <w:numPr>
          <w:ilvl w:val="0"/>
          <w:numId w:val="2"/>
        </w:numPr>
        <w:rPr>
          <w:rFonts w:ascii="Arial" w:hAnsi="Arial" w:cs="Arial"/>
        </w:rPr>
      </w:pPr>
      <w:r w:rsidRPr="00CF76EA">
        <w:rPr>
          <w:rFonts w:ascii="Arial" w:hAnsi="Arial" w:cs="Arial"/>
        </w:rPr>
        <w:t xml:space="preserve">Calculation of suitable ratios for the year 2018-19. </w:t>
      </w:r>
    </w:p>
    <w:p w14:paraId="4FE24CE5"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Profitability ratio: This ratio is recognised as a type of ratio that businesses are using to calculate the profit margin of various crucial activities and operations. Profit proportions are indeed the money metrics used when calculating and evaluating the capacity of Gatsby Grange to generate a profit over sales by accountants and financial specialists. Output, financial tools, payroll expenses and the interest of creditors over a specified period of time. They prove that the hotel utilizes its advantages to gain customers' income and opportunities. It involves a host of percentages, several of which are also calculated: </w:t>
      </w:r>
    </w:p>
    <w:p w14:paraId="37ACCED3" w14:textId="77777777" w:rsidR="00324291" w:rsidRPr="00324291" w:rsidRDefault="00324291" w:rsidP="00324291">
      <w:pPr>
        <w:rPr>
          <w:rFonts w:ascii="Arial" w:hAnsi="Arial" w:cs="Arial"/>
        </w:rPr>
      </w:pPr>
      <w:r w:rsidRPr="00324291">
        <w:rPr>
          <w:rFonts w:ascii="Arial" w:hAnsi="Arial" w:cs="Arial"/>
        </w:rPr>
        <w:t>Gross profit ratio: Gross profit / net sales * 100</w:t>
      </w:r>
    </w:p>
    <w:p w14:paraId="71BBAF92" w14:textId="055EC361" w:rsidR="00324291" w:rsidRPr="00324291" w:rsidRDefault="00324291" w:rsidP="00324291">
      <w:pPr>
        <w:rPr>
          <w:rFonts w:ascii="Arial" w:hAnsi="Arial" w:cs="Arial"/>
        </w:rPr>
      </w:pPr>
      <w:r w:rsidRPr="00324291">
        <w:rPr>
          <w:noProof/>
        </w:rPr>
        <w:drawing>
          <wp:inline distT="0" distB="0" distL="0" distR="0" wp14:anchorId="17F960E9" wp14:editId="4CBC6741">
            <wp:extent cx="5731510" cy="1186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186815"/>
                    </a:xfrm>
                    <a:prstGeom prst="rect">
                      <a:avLst/>
                    </a:prstGeom>
                    <a:noFill/>
                    <a:ln>
                      <a:noFill/>
                    </a:ln>
                  </pic:spPr>
                </pic:pic>
              </a:graphicData>
            </a:graphic>
          </wp:inline>
        </w:drawing>
      </w:r>
    </w:p>
    <w:p w14:paraId="7DDD2C00" w14:textId="0B99A628" w:rsidR="00324291" w:rsidRDefault="00324291" w:rsidP="00324291">
      <w:pPr>
        <w:rPr>
          <w:rFonts w:ascii="Arial" w:hAnsi="Arial" w:cs="Arial"/>
        </w:rPr>
      </w:pPr>
      <w:r w:rsidRPr="00442547">
        <w:rPr>
          <w:noProof/>
          <w:color w:val="000000" w:themeColor="text1"/>
          <w:lang w:val="en-IN" w:eastAsia="en-IN"/>
        </w:rPr>
        <w:drawing>
          <wp:inline distT="0" distB="0" distL="0" distR="0" wp14:anchorId="2088166A" wp14:editId="1FD097BB">
            <wp:extent cx="3870960" cy="1569720"/>
            <wp:effectExtent l="0" t="0" r="15240" b="1143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1193E1" w14:textId="77777777" w:rsidR="00324291" w:rsidRDefault="00324291" w:rsidP="00324291">
      <w:pPr>
        <w:rPr>
          <w:rFonts w:ascii="Arial" w:hAnsi="Arial" w:cs="Arial"/>
        </w:rPr>
      </w:pPr>
    </w:p>
    <w:p w14:paraId="484B585E" w14:textId="28EDE86C" w:rsidR="00324291" w:rsidRPr="00324291" w:rsidRDefault="00324291" w:rsidP="00324291">
      <w:pPr>
        <w:rPr>
          <w:rFonts w:ascii="Arial" w:hAnsi="Arial" w:cs="Arial"/>
        </w:rPr>
      </w:pPr>
      <w:r w:rsidRPr="00324291">
        <w:rPr>
          <w:rFonts w:ascii="Arial" w:hAnsi="Arial" w:cs="Arial"/>
        </w:rPr>
        <w:t>Results: The figure indicates that the profit margin of the business dropped in contrast to 2018 in 2019. This is due to the lower gross profit growth. The business should however concentrate on reducing sales costs.</w:t>
      </w:r>
    </w:p>
    <w:p w14:paraId="0D89F062" w14:textId="77777777" w:rsidR="00324291" w:rsidRPr="00324291" w:rsidRDefault="00324291" w:rsidP="00324291">
      <w:pPr>
        <w:rPr>
          <w:rFonts w:ascii="Arial" w:hAnsi="Arial" w:cs="Arial"/>
        </w:rPr>
      </w:pPr>
      <w:r w:rsidRPr="00324291">
        <w:rPr>
          <w:rFonts w:ascii="Arial" w:hAnsi="Arial" w:cs="Arial"/>
        </w:rPr>
        <w:lastRenderedPageBreak/>
        <w:t>Net profit ratio: Net profit/net sales*100</w:t>
      </w:r>
    </w:p>
    <w:tbl>
      <w:tblPr>
        <w:tblW w:w="4720" w:type="dxa"/>
        <w:tblInd w:w="1410" w:type="dxa"/>
        <w:tblLook w:val="04A0" w:firstRow="1" w:lastRow="0" w:firstColumn="1" w:lastColumn="0" w:noHBand="0" w:noVBand="1"/>
      </w:tblPr>
      <w:tblGrid>
        <w:gridCol w:w="2800"/>
        <w:gridCol w:w="963"/>
        <w:gridCol w:w="963"/>
      </w:tblGrid>
      <w:tr w:rsidR="00324291" w:rsidRPr="00324291" w14:paraId="299C61A3"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D044F" w14:textId="77777777" w:rsidR="00324291" w:rsidRPr="00324291" w:rsidRDefault="00324291" w:rsidP="00324291">
            <w:pPr>
              <w:rPr>
                <w:rFonts w:ascii="Arial" w:hAnsi="Arial" w:cs="Arial"/>
                <w:lang w:val="en-US"/>
              </w:rPr>
            </w:pPr>
            <w:r w:rsidRPr="00324291">
              <w:rPr>
                <w:rFonts w:ascii="Arial" w:hAnsi="Arial" w:cs="Arial"/>
                <w:lang w:val="en-US"/>
              </w:rPr>
              <w:t>All data in ‘000 except net margin </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83B0B97" w14:textId="77777777" w:rsidR="00324291" w:rsidRPr="00324291" w:rsidRDefault="00324291" w:rsidP="00324291">
            <w:pPr>
              <w:rPr>
                <w:rFonts w:ascii="Arial" w:hAnsi="Arial" w:cs="Arial"/>
                <w:lang w:val="en-US"/>
              </w:rPr>
            </w:pPr>
            <w:r w:rsidRPr="00324291">
              <w:rPr>
                <w:rFonts w:ascii="Arial" w:hAnsi="Arial" w:cs="Arial"/>
                <w:lang w:val="en-US"/>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C385EDF" w14:textId="77777777" w:rsidR="00324291" w:rsidRPr="00324291" w:rsidRDefault="00324291" w:rsidP="00324291">
            <w:pPr>
              <w:rPr>
                <w:rFonts w:ascii="Arial" w:hAnsi="Arial" w:cs="Arial"/>
                <w:lang w:val="en-US"/>
              </w:rPr>
            </w:pPr>
            <w:r w:rsidRPr="00324291">
              <w:rPr>
                <w:rFonts w:ascii="Arial" w:hAnsi="Arial" w:cs="Arial"/>
                <w:lang w:val="en-US"/>
              </w:rPr>
              <w:t>2019</w:t>
            </w:r>
          </w:p>
        </w:tc>
      </w:tr>
      <w:tr w:rsidR="00324291" w:rsidRPr="00324291" w14:paraId="1103861B"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5A6EC6" w14:textId="77777777" w:rsidR="00324291" w:rsidRPr="00324291" w:rsidRDefault="00324291" w:rsidP="00324291">
            <w:pPr>
              <w:rPr>
                <w:rFonts w:ascii="Arial" w:hAnsi="Arial" w:cs="Arial"/>
                <w:lang w:val="en-US"/>
              </w:rPr>
            </w:pPr>
            <w:r w:rsidRPr="00324291">
              <w:rPr>
                <w:rFonts w:ascii="Arial" w:hAnsi="Arial" w:cs="Arial"/>
                <w:lang w:val="en-US"/>
              </w:rPr>
              <w:t xml:space="preserve">Net profit </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B58837C" w14:textId="77777777" w:rsidR="00324291" w:rsidRPr="00324291" w:rsidRDefault="00324291" w:rsidP="00324291">
            <w:pPr>
              <w:rPr>
                <w:rFonts w:ascii="Arial" w:hAnsi="Arial" w:cs="Arial"/>
                <w:lang w:val="en-US"/>
              </w:rPr>
            </w:pPr>
            <w:r w:rsidRPr="00324291">
              <w:rPr>
                <w:rFonts w:ascii="Arial" w:hAnsi="Arial" w:cs="Arial"/>
                <w:lang w:val="en-US"/>
              </w:rPr>
              <w:t>4008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DB91912" w14:textId="77777777" w:rsidR="00324291" w:rsidRPr="00324291" w:rsidRDefault="00324291" w:rsidP="00324291">
            <w:pPr>
              <w:rPr>
                <w:rFonts w:ascii="Arial" w:hAnsi="Arial" w:cs="Arial"/>
                <w:lang w:val="en-US"/>
              </w:rPr>
            </w:pPr>
            <w:r w:rsidRPr="00324291">
              <w:rPr>
                <w:rFonts w:ascii="Arial" w:hAnsi="Arial" w:cs="Arial"/>
                <w:lang w:val="en-US"/>
              </w:rPr>
              <w:t>4073</w:t>
            </w:r>
          </w:p>
        </w:tc>
      </w:tr>
      <w:tr w:rsidR="00324291" w:rsidRPr="00324291" w14:paraId="0226DB94"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4F3C86FC" w14:textId="77777777" w:rsidR="00324291" w:rsidRPr="00324291" w:rsidRDefault="00324291" w:rsidP="00324291">
            <w:pPr>
              <w:rPr>
                <w:rFonts w:ascii="Arial" w:hAnsi="Arial" w:cs="Arial"/>
                <w:lang w:val="en-US"/>
              </w:rPr>
            </w:pPr>
            <w:r w:rsidRPr="00324291">
              <w:rPr>
                <w:rFonts w:ascii="Arial" w:hAnsi="Arial" w:cs="Arial"/>
                <w:lang w:val="en-US"/>
              </w:rPr>
              <w:t>Net sales</w:t>
            </w:r>
          </w:p>
        </w:tc>
        <w:tc>
          <w:tcPr>
            <w:tcW w:w="960" w:type="dxa"/>
            <w:tcBorders>
              <w:top w:val="nil"/>
              <w:left w:val="nil"/>
              <w:bottom w:val="single" w:sz="4" w:space="0" w:color="auto"/>
              <w:right w:val="single" w:sz="4" w:space="0" w:color="auto"/>
            </w:tcBorders>
            <w:shd w:val="clear" w:color="auto" w:fill="auto"/>
            <w:noWrap/>
            <w:vAlign w:val="bottom"/>
            <w:hideMark/>
          </w:tcPr>
          <w:p w14:paraId="60134ED5" w14:textId="77777777" w:rsidR="00324291" w:rsidRPr="00324291" w:rsidRDefault="00324291" w:rsidP="00324291">
            <w:pPr>
              <w:rPr>
                <w:rFonts w:ascii="Arial" w:hAnsi="Arial" w:cs="Arial"/>
                <w:lang w:val="en-US"/>
              </w:rPr>
            </w:pPr>
            <w:r w:rsidRPr="00324291">
              <w:rPr>
                <w:rFonts w:ascii="Arial" w:hAnsi="Arial" w:cs="Arial"/>
                <w:lang w:val="en-US"/>
              </w:rPr>
              <w:t>5500</w:t>
            </w:r>
          </w:p>
        </w:tc>
        <w:tc>
          <w:tcPr>
            <w:tcW w:w="960" w:type="dxa"/>
            <w:tcBorders>
              <w:top w:val="nil"/>
              <w:left w:val="nil"/>
              <w:bottom w:val="single" w:sz="4" w:space="0" w:color="auto"/>
              <w:right w:val="single" w:sz="4" w:space="0" w:color="auto"/>
            </w:tcBorders>
            <w:shd w:val="clear" w:color="auto" w:fill="auto"/>
            <w:noWrap/>
            <w:vAlign w:val="bottom"/>
            <w:hideMark/>
          </w:tcPr>
          <w:p w14:paraId="5FC420B0" w14:textId="77777777" w:rsidR="00324291" w:rsidRPr="00324291" w:rsidRDefault="00324291" w:rsidP="00324291">
            <w:pPr>
              <w:rPr>
                <w:rFonts w:ascii="Arial" w:hAnsi="Arial" w:cs="Arial"/>
                <w:lang w:val="en-US"/>
              </w:rPr>
            </w:pPr>
            <w:r w:rsidRPr="00324291">
              <w:rPr>
                <w:rFonts w:ascii="Arial" w:hAnsi="Arial" w:cs="Arial"/>
                <w:lang w:val="en-US"/>
              </w:rPr>
              <w:t>6000</w:t>
            </w:r>
          </w:p>
        </w:tc>
      </w:tr>
      <w:tr w:rsidR="00324291" w:rsidRPr="00324291" w14:paraId="6A91D450"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27C275DD" w14:textId="77777777" w:rsidR="00324291" w:rsidRPr="00324291" w:rsidRDefault="00324291" w:rsidP="00324291">
            <w:pPr>
              <w:rPr>
                <w:rFonts w:ascii="Arial" w:hAnsi="Arial" w:cs="Arial"/>
                <w:lang w:val="en-US"/>
              </w:rPr>
            </w:pPr>
            <w:r w:rsidRPr="00324291">
              <w:rPr>
                <w:rFonts w:ascii="Arial" w:hAnsi="Arial" w:cs="Arial"/>
                <w:lang w:val="en-US"/>
              </w:rPr>
              <w:t>Net profit ratio</w:t>
            </w:r>
          </w:p>
        </w:tc>
        <w:tc>
          <w:tcPr>
            <w:tcW w:w="960" w:type="dxa"/>
            <w:tcBorders>
              <w:top w:val="nil"/>
              <w:left w:val="nil"/>
              <w:bottom w:val="single" w:sz="4" w:space="0" w:color="auto"/>
              <w:right w:val="single" w:sz="4" w:space="0" w:color="auto"/>
            </w:tcBorders>
            <w:shd w:val="clear" w:color="auto" w:fill="auto"/>
            <w:noWrap/>
            <w:vAlign w:val="bottom"/>
            <w:hideMark/>
          </w:tcPr>
          <w:p w14:paraId="6A30627F" w14:textId="77777777" w:rsidR="00324291" w:rsidRPr="00324291" w:rsidRDefault="00324291" w:rsidP="00324291">
            <w:pPr>
              <w:rPr>
                <w:rFonts w:ascii="Arial" w:hAnsi="Arial" w:cs="Arial"/>
                <w:lang w:val="en-US"/>
              </w:rPr>
            </w:pPr>
            <w:r w:rsidRPr="00324291">
              <w:rPr>
                <w:rFonts w:ascii="Arial" w:hAnsi="Arial" w:cs="Arial"/>
                <w:lang w:val="en-US"/>
              </w:rPr>
              <w:t>72.87%</w:t>
            </w:r>
          </w:p>
        </w:tc>
        <w:tc>
          <w:tcPr>
            <w:tcW w:w="960" w:type="dxa"/>
            <w:tcBorders>
              <w:top w:val="nil"/>
              <w:left w:val="nil"/>
              <w:bottom w:val="single" w:sz="4" w:space="0" w:color="auto"/>
              <w:right w:val="single" w:sz="4" w:space="0" w:color="auto"/>
            </w:tcBorders>
            <w:shd w:val="clear" w:color="auto" w:fill="auto"/>
            <w:noWrap/>
            <w:vAlign w:val="bottom"/>
            <w:hideMark/>
          </w:tcPr>
          <w:p w14:paraId="5D3F905B" w14:textId="77777777" w:rsidR="00324291" w:rsidRPr="00324291" w:rsidRDefault="00324291" w:rsidP="00324291">
            <w:pPr>
              <w:rPr>
                <w:rFonts w:ascii="Arial" w:hAnsi="Arial" w:cs="Arial"/>
                <w:lang w:val="en-US"/>
              </w:rPr>
            </w:pPr>
            <w:r w:rsidRPr="00324291">
              <w:rPr>
                <w:rFonts w:ascii="Arial" w:hAnsi="Arial" w:cs="Arial"/>
                <w:lang w:val="en-US"/>
              </w:rPr>
              <w:t>67.88%</w:t>
            </w:r>
          </w:p>
        </w:tc>
      </w:tr>
    </w:tbl>
    <w:p w14:paraId="12B386FD" w14:textId="4888D7B0" w:rsidR="00324291" w:rsidRDefault="00324291" w:rsidP="00324291">
      <w:pPr>
        <w:rPr>
          <w:rFonts w:ascii="Arial" w:hAnsi="Arial" w:cs="Arial"/>
        </w:rPr>
      </w:pPr>
    </w:p>
    <w:p w14:paraId="44C74B69" w14:textId="714C9CEB" w:rsidR="00324291" w:rsidRDefault="00324291" w:rsidP="00324291">
      <w:pPr>
        <w:rPr>
          <w:rFonts w:ascii="Arial" w:hAnsi="Arial" w:cs="Arial"/>
        </w:rPr>
      </w:pPr>
      <w:r w:rsidRPr="00442547">
        <w:rPr>
          <w:noProof/>
          <w:color w:val="000000" w:themeColor="text1"/>
          <w:lang w:val="en-IN" w:eastAsia="en-IN"/>
        </w:rPr>
        <w:drawing>
          <wp:inline distT="0" distB="0" distL="0" distR="0" wp14:anchorId="5E6D3A02" wp14:editId="1F5743CF">
            <wp:extent cx="4566920" cy="1995170"/>
            <wp:effectExtent l="0" t="0" r="24130" b="2413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99A175" w14:textId="56AF2BE0" w:rsidR="00324291" w:rsidRPr="00324291" w:rsidRDefault="00324291" w:rsidP="00324291">
      <w:pPr>
        <w:rPr>
          <w:rFonts w:ascii="Arial" w:hAnsi="Arial" w:cs="Arial"/>
        </w:rPr>
      </w:pPr>
    </w:p>
    <w:p w14:paraId="65D3C6EA" w14:textId="77777777" w:rsidR="00324291" w:rsidRPr="00324291" w:rsidRDefault="00324291" w:rsidP="00324291">
      <w:pPr>
        <w:rPr>
          <w:rFonts w:ascii="Arial" w:hAnsi="Arial" w:cs="Arial"/>
        </w:rPr>
      </w:pPr>
      <w:r w:rsidRPr="00324291">
        <w:rPr>
          <w:rFonts w:ascii="Arial" w:hAnsi="Arial" w:cs="Arial"/>
        </w:rPr>
        <w:t>Results: The net profit has fell in 2019 as opposed to 2018, close to the gross profit margin. As in 2018, it was 72.87%, which compared to 67.88%. It is attributed to reduced net income in 2019 as a consequence of increased spending.</w:t>
      </w:r>
    </w:p>
    <w:p w14:paraId="0882EECE" w14:textId="77777777" w:rsidR="00324291" w:rsidRPr="00324291" w:rsidRDefault="00324291" w:rsidP="00324291">
      <w:pPr>
        <w:rPr>
          <w:rFonts w:ascii="Arial" w:hAnsi="Arial" w:cs="Arial"/>
        </w:rPr>
      </w:pPr>
      <w:r w:rsidRPr="00324291">
        <w:rPr>
          <w:rFonts w:ascii="Arial" w:hAnsi="Arial" w:cs="Arial"/>
        </w:rPr>
        <w:t xml:space="preserve">Return on assets ratio:  Net income / Total assets </w:t>
      </w:r>
    </w:p>
    <w:p w14:paraId="2210089D" w14:textId="4D041E35" w:rsidR="00324291" w:rsidRPr="00324291" w:rsidRDefault="00324291" w:rsidP="00324291">
      <w:pPr>
        <w:rPr>
          <w:rFonts w:ascii="Arial" w:hAnsi="Arial" w:cs="Arial"/>
        </w:rPr>
      </w:pPr>
    </w:p>
    <w:tbl>
      <w:tblPr>
        <w:tblW w:w="4720" w:type="dxa"/>
        <w:tblInd w:w="1530" w:type="dxa"/>
        <w:tblLook w:val="04A0" w:firstRow="1" w:lastRow="0" w:firstColumn="1" w:lastColumn="0" w:noHBand="0" w:noVBand="1"/>
      </w:tblPr>
      <w:tblGrid>
        <w:gridCol w:w="2800"/>
        <w:gridCol w:w="960"/>
        <w:gridCol w:w="960"/>
      </w:tblGrid>
      <w:tr w:rsidR="00324291" w:rsidRPr="00324291" w14:paraId="4F26E95A"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9343A" w14:textId="77777777" w:rsidR="00324291" w:rsidRPr="00324291" w:rsidRDefault="00324291" w:rsidP="00324291">
            <w:pPr>
              <w:rPr>
                <w:rFonts w:ascii="Arial" w:hAnsi="Arial" w:cs="Arial"/>
                <w:lang w:val="en-US"/>
              </w:rPr>
            </w:pPr>
            <w:r w:rsidRPr="00324291">
              <w:rPr>
                <w:rFonts w:ascii="Arial" w:hAnsi="Arial" w:cs="Arial"/>
                <w:lang w:val="en-US"/>
              </w:rPr>
              <w:t>All data in ‘000 except return on assets ratio</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7F54579" w14:textId="77777777" w:rsidR="00324291" w:rsidRPr="00324291" w:rsidRDefault="00324291" w:rsidP="00324291">
            <w:pPr>
              <w:rPr>
                <w:rFonts w:ascii="Arial" w:hAnsi="Arial" w:cs="Arial"/>
                <w:lang w:val="en-US"/>
              </w:rPr>
            </w:pPr>
            <w:r w:rsidRPr="00324291">
              <w:rPr>
                <w:rFonts w:ascii="Arial" w:hAnsi="Arial" w:cs="Arial"/>
                <w:lang w:val="en-US"/>
              </w:rPr>
              <w:t xml:space="preserve">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77719D6" w14:textId="77777777" w:rsidR="00324291" w:rsidRPr="00324291" w:rsidRDefault="00324291" w:rsidP="00324291">
            <w:pPr>
              <w:rPr>
                <w:rFonts w:ascii="Arial" w:hAnsi="Arial" w:cs="Arial"/>
                <w:lang w:val="en-US"/>
              </w:rPr>
            </w:pPr>
            <w:r w:rsidRPr="00324291">
              <w:rPr>
                <w:rFonts w:ascii="Arial" w:hAnsi="Arial" w:cs="Arial"/>
                <w:lang w:val="en-US"/>
              </w:rPr>
              <w:t>2019</w:t>
            </w:r>
          </w:p>
        </w:tc>
      </w:tr>
      <w:tr w:rsidR="00324291" w:rsidRPr="00324291" w14:paraId="3EC2EEF4"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30DE5" w14:textId="77777777" w:rsidR="00324291" w:rsidRPr="00324291" w:rsidRDefault="00324291" w:rsidP="00324291">
            <w:pPr>
              <w:rPr>
                <w:rFonts w:ascii="Arial" w:hAnsi="Arial" w:cs="Arial"/>
                <w:lang w:val="en-US"/>
              </w:rPr>
            </w:pPr>
            <w:r w:rsidRPr="00324291">
              <w:rPr>
                <w:rFonts w:ascii="Arial" w:hAnsi="Arial" w:cs="Arial"/>
                <w:lang w:val="en-US"/>
              </w:rPr>
              <w:t>Net income</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5C8C8C2" w14:textId="77777777" w:rsidR="00324291" w:rsidRPr="00324291" w:rsidRDefault="00324291" w:rsidP="00324291">
            <w:pPr>
              <w:rPr>
                <w:rFonts w:ascii="Arial" w:hAnsi="Arial" w:cs="Arial"/>
                <w:lang w:val="en-US"/>
              </w:rPr>
            </w:pPr>
            <w:r w:rsidRPr="00324291">
              <w:rPr>
                <w:rFonts w:ascii="Arial" w:hAnsi="Arial" w:cs="Arial"/>
                <w:lang w:val="en-US"/>
              </w:rPr>
              <w:t>4008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2CA87A7" w14:textId="77777777" w:rsidR="00324291" w:rsidRPr="00324291" w:rsidRDefault="00324291" w:rsidP="00324291">
            <w:pPr>
              <w:rPr>
                <w:rFonts w:ascii="Arial" w:hAnsi="Arial" w:cs="Arial"/>
                <w:lang w:val="en-US"/>
              </w:rPr>
            </w:pPr>
            <w:r w:rsidRPr="00324291">
              <w:rPr>
                <w:rFonts w:ascii="Arial" w:hAnsi="Arial" w:cs="Arial"/>
                <w:lang w:val="en-US"/>
              </w:rPr>
              <w:t>4073</w:t>
            </w:r>
          </w:p>
        </w:tc>
      </w:tr>
      <w:tr w:rsidR="00324291" w:rsidRPr="00324291" w14:paraId="5C5E94CE"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5755E5F3" w14:textId="77777777" w:rsidR="00324291" w:rsidRPr="00324291" w:rsidRDefault="00324291" w:rsidP="00324291">
            <w:pPr>
              <w:rPr>
                <w:rFonts w:ascii="Arial" w:hAnsi="Arial" w:cs="Arial"/>
                <w:lang w:val="en-US"/>
              </w:rPr>
            </w:pPr>
            <w:r w:rsidRPr="00324291">
              <w:rPr>
                <w:rFonts w:ascii="Arial" w:hAnsi="Arial" w:cs="Arial"/>
                <w:lang w:val="en-US"/>
              </w:rPr>
              <w:t xml:space="preserve">Total assets </w:t>
            </w:r>
          </w:p>
        </w:tc>
        <w:tc>
          <w:tcPr>
            <w:tcW w:w="960" w:type="dxa"/>
            <w:tcBorders>
              <w:top w:val="nil"/>
              <w:left w:val="nil"/>
              <w:bottom w:val="single" w:sz="4" w:space="0" w:color="auto"/>
              <w:right w:val="single" w:sz="4" w:space="0" w:color="auto"/>
            </w:tcBorders>
            <w:shd w:val="clear" w:color="auto" w:fill="auto"/>
            <w:noWrap/>
            <w:vAlign w:val="bottom"/>
            <w:hideMark/>
          </w:tcPr>
          <w:p w14:paraId="156376EB" w14:textId="77777777" w:rsidR="00324291" w:rsidRPr="00324291" w:rsidRDefault="00324291" w:rsidP="00324291">
            <w:pPr>
              <w:rPr>
                <w:rFonts w:ascii="Arial" w:hAnsi="Arial" w:cs="Arial"/>
                <w:lang w:val="en-US"/>
              </w:rPr>
            </w:pPr>
            <w:r w:rsidRPr="00324291">
              <w:rPr>
                <w:rFonts w:ascii="Arial" w:hAnsi="Arial" w:cs="Arial"/>
                <w:lang w:val="en-US"/>
              </w:rPr>
              <w:t>7565</w:t>
            </w:r>
          </w:p>
        </w:tc>
        <w:tc>
          <w:tcPr>
            <w:tcW w:w="960" w:type="dxa"/>
            <w:tcBorders>
              <w:top w:val="nil"/>
              <w:left w:val="nil"/>
              <w:bottom w:val="single" w:sz="4" w:space="0" w:color="auto"/>
              <w:right w:val="single" w:sz="4" w:space="0" w:color="auto"/>
            </w:tcBorders>
            <w:shd w:val="clear" w:color="auto" w:fill="auto"/>
            <w:noWrap/>
            <w:vAlign w:val="bottom"/>
            <w:hideMark/>
          </w:tcPr>
          <w:p w14:paraId="23D5CE78" w14:textId="77777777" w:rsidR="00324291" w:rsidRPr="00324291" w:rsidRDefault="00324291" w:rsidP="00324291">
            <w:pPr>
              <w:rPr>
                <w:rFonts w:ascii="Arial" w:hAnsi="Arial" w:cs="Arial"/>
                <w:lang w:val="en-US"/>
              </w:rPr>
            </w:pPr>
            <w:r w:rsidRPr="00324291">
              <w:rPr>
                <w:rFonts w:ascii="Arial" w:hAnsi="Arial" w:cs="Arial"/>
                <w:lang w:val="en-US"/>
              </w:rPr>
              <w:t>7890</w:t>
            </w:r>
          </w:p>
        </w:tc>
      </w:tr>
      <w:tr w:rsidR="00324291" w:rsidRPr="00324291" w14:paraId="5C39DBE1"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337F7A0E" w14:textId="77777777" w:rsidR="00324291" w:rsidRPr="00324291" w:rsidRDefault="00324291" w:rsidP="00324291">
            <w:pPr>
              <w:rPr>
                <w:rFonts w:ascii="Arial" w:hAnsi="Arial" w:cs="Arial"/>
                <w:lang w:val="en-US"/>
              </w:rPr>
            </w:pPr>
            <w:r w:rsidRPr="00324291">
              <w:rPr>
                <w:rFonts w:ascii="Arial" w:hAnsi="Arial" w:cs="Arial"/>
                <w:lang w:val="en-US"/>
              </w:rPr>
              <w:t>Return on assets ratio</w:t>
            </w:r>
          </w:p>
        </w:tc>
        <w:tc>
          <w:tcPr>
            <w:tcW w:w="960" w:type="dxa"/>
            <w:tcBorders>
              <w:top w:val="nil"/>
              <w:left w:val="nil"/>
              <w:bottom w:val="single" w:sz="4" w:space="0" w:color="auto"/>
              <w:right w:val="single" w:sz="4" w:space="0" w:color="auto"/>
            </w:tcBorders>
            <w:shd w:val="clear" w:color="auto" w:fill="auto"/>
            <w:noWrap/>
            <w:vAlign w:val="bottom"/>
            <w:hideMark/>
          </w:tcPr>
          <w:p w14:paraId="3C7A2F0C" w14:textId="77777777" w:rsidR="00324291" w:rsidRPr="00324291" w:rsidRDefault="00324291" w:rsidP="00324291">
            <w:pPr>
              <w:rPr>
                <w:rFonts w:ascii="Arial" w:hAnsi="Arial" w:cs="Arial"/>
                <w:lang w:val="en-US"/>
              </w:rPr>
            </w:pPr>
            <w:r w:rsidRPr="00324291">
              <w:rPr>
                <w:rFonts w:ascii="Arial" w:hAnsi="Arial" w:cs="Arial"/>
                <w:lang w:val="en-US"/>
              </w:rPr>
              <w:t>0.53</w:t>
            </w:r>
          </w:p>
        </w:tc>
        <w:tc>
          <w:tcPr>
            <w:tcW w:w="960" w:type="dxa"/>
            <w:tcBorders>
              <w:top w:val="nil"/>
              <w:left w:val="nil"/>
              <w:bottom w:val="single" w:sz="4" w:space="0" w:color="auto"/>
              <w:right w:val="single" w:sz="4" w:space="0" w:color="auto"/>
            </w:tcBorders>
            <w:shd w:val="clear" w:color="auto" w:fill="auto"/>
            <w:noWrap/>
            <w:vAlign w:val="bottom"/>
            <w:hideMark/>
          </w:tcPr>
          <w:p w14:paraId="366BAF89" w14:textId="77777777" w:rsidR="00324291" w:rsidRPr="00324291" w:rsidRDefault="00324291" w:rsidP="00324291">
            <w:pPr>
              <w:rPr>
                <w:rFonts w:ascii="Arial" w:hAnsi="Arial" w:cs="Arial"/>
                <w:lang w:val="en-US"/>
              </w:rPr>
            </w:pPr>
            <w:r w:rsidRPr="00324291">
              <w:rPr>
                <w:rFonts w:ascii="Arial" w:hAnsi="Arial" w:cs="Arial"/>
                <w:lang w:val="en-US"/>
              </w:rPr>
              <w:t>0.52</w:t>
            </w:r>
          </w:p>
        </w:tc>
      </w:tr>
    </w:tbl>
    <w:p w14:paraId="35DDC68B" w14:textId="181696F2" w:rsidR="00324291" w:rsidRDefault="00324291" w:rsidP="00324291">
      <w:pPr>
        <w:rPr>
          <w:rFonts w:ascii="Arial" w:hAnsi="Arial" w:cs="Arial"/>
        </w:rPr>
      </w:pPr>
    </w:p>
    <w:p w14:paraId="35A975B1" w14:textId="77777777" w:rsidR="00324291" w:rsidRDefault="00324291" w:rsidP="00324291">
      <w:pPr>
        <w:rPr>
          <w:rFonts w:ascii="Arial" w:hAnsi="Arial" w:cs="Arial"/>
        </w:rPr>
      </w:pPr>
    </w:p>
    <w:p w14:paraId="444772B1" w14:textId="69601362" w:rsidR="00324291" w:rsidRPr="00324291" w:rsidRDefault="00CF76EA" w:rsidP="00324291">
      <w:pPr>
        <w:rPr>
          <w:rFonts w:ascii="Arial" w:hAnsi="Arial" w:cs="Arial"/>
        </w:rPr>
      </w:pPr>
      <w:r w:rsidRPr="00442547">
        <w:rPr>
          <w:noProof/>
          <w:color w:val="000000" w:themeColor="text1"/>
          <w:lang w:val="en-IN" w:eastAsia="en-IN"/>
        </w:rPr>
        <w:drawing>
          <wp:inline distT="0" distB="0" distL="0" distR="0" wp14:anchorId="4B2B97CC" wp14:editId="626B5ABA">
            <wp:extent cx="4566920" cy="1448435"/>
            <wp:effectExtent l="0" t="0" r="24130" b="1841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07D8AE" w14:textId="77777777" w:rsidR="00324291" w:rsidRPr="00324291" w:rsidRDefault="00324291" w:rsidP="00324291">
      <w:pPr>
        <w:rPr>
          <w:rFonts w:ascii="Arial" w:hAnsi="Arial" w:cs="Arial"/>
        </w:rPr>
      </w:pPr>
      <w:r w:rsidRPr="00324291">
        <w:rPr>
          <w:rFonts w:ascii="Arial" w:hAnsi="Arial" w:cs="Arial"/>
        </w:rPr>
        <w:lastRenderedPageBreak/>
        <w:t>Results: For both years, the quality of the returns mostly on company's earnings is equal. Their asset returns were 0.53 and 0.52 respectively in 2018 and 2019. Nonetheless, the business is not even in the optimal state and will concentrate on improved assets operations.</w:t>
      </w:r>
    </w:p>
    <w:p w14:paraId="3C103FA9" w14:textId="77777777" w:rsidR="00324291" w:rsidRPr="00324291" w:rsidRDefault="00324291" w:rsidP="00324291">
      <w:pPr>
        <w:rPr>
          <w:rFonts w:ascii="Arial" w:hAnsi="Arial" w:cs="Arial"/>
        </w:rPr>
      </w:pPr>
      <w:r w:rsidRPr="00324291">
        <w:rPr>
          <w:rFonts w:ascii="Arial" w:hAnsi="Arial" w:cs="Arial"/>
        </w:rPr>
        <w:t>Return on capital employed: Profit before interest and tax / capital employed</w:t>
      </w:r>
    </w:p>
    <w:tbl>
      <w:tblPr>
        <w:tblW w:w="4720" w:type="dxa"/>
        <w:tblInd w:w="1590" w:type="dxa"/>
        <w:tblLook w:val="04A0" w:firstRow="1" w:lastRow="0" w:firstColumn="1" w:lastColumn="0" w:noHBand="0" w:noVBand="1"/>
      </w:tblPr>
      <w:tblGrid>
        <w:gridCol w:w="2800"/>
        <w:gridCol w:w="960"/>
        <w:gridCol w:w="960"/>
      </w:tblGrid>
      <w:tr w:rsidR="00CF76EA" w:rsidRPr="00CF76EA" w14:paraId="62CA9185"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B0A4C" w14:textId="77777777" w:rsidR="00CF76EA" w:rsidRPr="00CF76EA" w:rsidRDefault="00CF76EA" w:rsidP="00CF76EA">
            <w:pPr>
              <w:rPr>
                <w:rFonts w:ascii="Arial" w:hAnsi="Arial" w:cs="Arial"/>
                <w:lang w:val="en-US"/>
              </w:rPr>
            </w:pPr>
            <w:r w:rsidRPr="00CF76EA">
              <w:rPr>
                <w:rFonts w:ascii="Arial" w:hAnsi="Arial" w:cs="Arial"/>
                <w:lang w:val="en-US"/>
              </w:rPr>
              <w:t>All data in ‘000 except return on capital employed ratio</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1A6B616" w14:textId="77777777" w:rsidR="00CF76EA" w:rsidRPr="00CF76EA" w:rsidRDefault="00CF76EA" w:rsidP="00CF76EA">
            <w:pPr>
              <w:rPr>
                <w:rFonts w:ascii="Arial" w:hAnsi="Arial" w:cs="Arial"/>
                <w:lang w:val="en-US"/>
              </w:rPr>
            </w:pPr>
            <w:r w:rsidRPr="00CF76EA">
              <w:rPr>
                <w:rFonts w:ascii="Arial" w:hAnsi="Arial" w:cs="Arial"/>
                <w:lang w:val="en-US"/>
              </w:rPr>
              <w:t xml:space="preserve">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3A457D6" w14:textId="77777777" w:rsidR="00CF76EA" w:rsidRPr="00CF76EA" w:rsidRDefault="00CF76EA" w:rsidP="00CF76EA">
            <w:pPr>
              <w:rPr>
                <w:rFonts w:ascii="Arial" w:hAnsi="Arial" w:cs="Arial"/>
                <w:lang w:val="en-US"/>
              </w:rPr>
            </w:pPr>
            <w:r w:rsidRPr="00CF76EA">
              <w:rPr>
                <w:rFonts w:ascii="Arial" w:hAnsi="Arial" w:cs="Arial"/>
                <w:lang w:val="en-US"/>
              </w:rPr>
              <w:t>2019</w:t>
            </w:r>
          </w:p>
        </w:tc>
      </w:tr>
      <w:tr w:rsidR="00CF76EA" w:rsidRPr="00CF76EA" w14:paraId="20ACF538"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D80EC" w14:textId="77777777" w:rsidR="00CF76EA" w:rsidRPr="00CF76EA" w:rsidRDefault="00CF76EA" w:rsidP="00CF76EA">
            <w:pPr>
              <w:rPr>
                <w:rFonts w:ascii="Arial" w:hAnsi="Arial" w:cs="Arial"/>
                <w:lang w:val="en-US"/>
              </w:rPr>
            </w:pPr>
            <w:r w:rsidRPr="00CF76EA">
              <w:rPr>
                <w:rFonts w:ascii="Arial" w:hAnsi="Arial" w:cs="Arial"/>
                <w:lang w:val="en-US"/>
              </w:rPr>
              <w:t>Profit before interest and tax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2879CE7" w14:textId="77777777" w:rsidR="00CF76EA" w:rsidRPr="00CF76EA" w:rsidRDefault="00CF76EA" w:rsidP="00CF76EA">
            <w:pPr>
              <w:rPr>
                <w:rFonts w:ascii="Arial" w:hAnsi="Arial" w:cs="Arial"/>
                <w:lang w:val="en-US"/>
              </w:rPr>
            </w:pPr>
            <w:r w:rsidRPr="00CF76EA">
              <w:rPr>
                <w:rFonts w:ascii="Arial" w:hAnsi="Arial" w:cs="Arial"/>
                <w:lang w:val="en-US"/>
              </w:rPr>
              <w:t>5050</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79B021D" w14:textId="77777777" w:rsidR="00CF76EA" w:rsidRPr="00CF76EA" w:rsidRDefault="00CF76EA" w:rsidP="00CF76EA">
            <w:pPr>
              <w:rPr>
                <w:rFonts w:ascii="Arial" w:hAnsi="Arial" w:cs="Arial"/>
                <w:lang w:val="en-US"/>
              </w:rPr>
            </w:pPr>
            <w:r w:rsidRPr="00CF76EA">
              <w:rPr>
                <w:rFonts w:ascii="Arial" w:hAnsi="Arial" w:cs="Arial"/>
                <w:lang w:val="en-US"/>
              </w:rPr>
              <w:t>5150</w:t>
            </w:r>
          </w:p>
        </w:tc>
      </w:tr>
      <w:tr w:rsidR="00CF76EA" w:rsidRPr="00CF76EA" w14:paraId="2ABF2E9E"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2648214A" w14:textId="77777777" w:rsidR="00CF76EA" w:rsidRPr="00CF76EA" w:rsidRDefault="00CF76EA" w:rsidP="00CF76EA">
            <w:pPr>
              <w:rPr>
                <w:rFonts w:ascii="Arial" w:hAnsi="Arial" w:cs="Arial"/>
                <w:lang w:val="en-US"/>
              </w:rPr>
            </w:pPr>
            <w:r w:rsidRPr="00CF76EA">
              <w:rPr>
                <w:rFonts w:ascii="Arial" w:hAnsi="Arial" w:cs="Arial"/>
                <w:lang w:val="en-US"/>
              </w:rPr>
              <w:t>Capital employed</w:t>
            </w:r>
          </w:p>
        </w:tc>
        <w:tc>
          <w:tcPr>
            <w:tcW w:w="960" w:type="dxa"/>
            <w:tcBorders>
              <w:top w:val="nil"/>
              <w:left w:val="nil"/>
              <w:bottom w:val="single" w:sz="4" w:space="0" w:color="auto"/>
              <w:right w:val="single" w:sz="4" w:space="0" w:color="auto"/>
            </w:tcBorders>
            <w:shd w:val="clear" w:color="auto" w:fill="auto"/>
            <w:noWrap/>
            <w:vAlign w:val="bottom"/>
            <w:hideMark/>
          </w:tcPr>
          <w:p w14:paraId="3831D359" w14:textId="77777777" w:rsidR="00CF76EA" w:rsidRPr="00CF76EA" w:rsidRDefault="00CF76EA" w:rsidP="00CF76EA">
            <w:pPr>
              <w:rPr>
                <w:rFonts w:ascii="Arial" w:hAnsi="Arial" w:cs="Arial"/>
                <w:lang w:val="en-US"/>
              </w:rPr>
            </w:pPr>
            <w:r w:rsidRPr="00CF76EA">
              <w:rPr>
                <w:rFonts w:ascii="Arial" w:hAnsi="Arial" w:cs="Arial"/>
                <w:lang w:val="en-US"/>
              </w:rPr>
              <w:t>6226</w:t>
            </w:r>
          </w:p>
        </w:tc>
        <w:tc>
          <w:tcPr>
            <w:tcW w:w="960" w:type="dxa"/>
            <w:tcBorders>
              <w:top w:val="nil"/>
              <w:left w:val="nil"/>
              <w:bottom w:val="single" w:sz="4" w:space="0" w:color="auto"/>
              <w:right w:val="single" w:sz="4" w:space="0" w:color="auto"/>
            </w:tcBorders>
            <w:shd w:val="clear" w:color="auto" w:fill="auto"/>
            <w:noWrap/>
            <w:vAlign w:val="bottom"/>
            <w:hideMark/>
          </w:tcPr>
          <w:p w14:paraId="6A85D166" w14:textId="77777777" w:rsidR="00CF76EA" w:rsidRPr="00CF76EA" w:rsidRDefault="00CF76EA" w:rsidP="00CF76EA">
            <w:pPr>
              <w:rPr>
                <w:rFonts w:ascii="Arial" w:hAnsi="Arial" w:cs="Arial"/>
                <w:lang w:val="en-US"/>
              </w:rPr>
            </w:pPr>
            <w:r w:rsidRPr="00CF76EA">
              <w:rPr>
                <w:rFonts w:ascii="Arial" w:hAnsi="Arial" w:cs="Arial"/>
                <w:lang w:val="en-US"/>
              </w:rPr>
              <w:t>6274</w:t>
            </w:r>
          </w:p>
        </w:tc>
      </w:tr>
      <w:tr w:rsidR="00CF76EA" w:rsidRPr="00CF76EA" w14:paraId="6A6E58F1"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036C20D8" w14:textId="77777777" w:rsidR="00CF76EA" w:rsidRPr="00CF76EA" w:rsidRDefault="00CF76EA" w:rsidP="00CF76EA">
            <w:pPr>
              <w:rPr>
                <w:rFonts w:ascii="Arial" w:hAnsi="Arial" w:cs="Arial"/>
                <w:lang w:val="en-US"/>
              </w:rPr>
            </w:pPr>
            <w:r w:rsidRPr="00CF76EA">
              <w:rPr>
                <w:rFonts w:ascii="Arial" w:hAnsi="Arial" w:cs="Arial"/>
                <w:lang w:val="en-US"/>
              </w:rPr>
              <w:t>Return on capital employed</w:t>
            </w:r>
          </w:p>
        </w:tc>
        <w:tc>
          <w:tcPr>
            <w:tcW w:w="960" w:type="dxa"/>
            <w:tcBorders>
              <w:top w:val="nil"/>
              <w:left w:val="nil"/>
              <w:bottom w:val="single" w:sz="4" w:space="0" w:color="auto"/>
              <w:right w:val="single" w:sz="4" w:space="0" w:color="auto"/>
            </w:tcBorders>
            <w:shd w:val="clear" w:color="auto" w:fill="auto"/>
            <w:noWrap/>
            <w:vAlign w:val="bottom"/>
            <w:hideMark/>
          </w:tcPr>
          <w:p w14:paraId="6634AFD8" w14:textId="77777777" w:rsidR="00CF76EA" w:rsidRPr="00CF76EA" w:rsidRDefault="00CF76EA" w:rsidP="00CF76EA">
            <w:pPr>
              <w:rPr>
                <w:rFonts w:ascii="Arial" w:hAnsi="Arial" w:cs="Arial"/>
                <w:lang w:val="en-US"/>
              </w:rPr>
            </w:pPr>
            <w:r w:rsidRPr="00CF76EA">
              <w:rPr>
                <w:rFonts w:ascii="Arial" w:hAnsi="Arial" w:cs="Arial"/>
                <w:lang w:val="en-US"/>
              </w:rPr>
              <w:t>0.81</w:t>
            </w:r>
          </w:p>
        </w:tc>
        <w:tc>
          <w:tcPr>
            <w:tcW w:w="960" w:type="dxa"/>
            <w:tcBorders>
              <w:top w:val="nil"/>
              <w:left w:val="nil"/>
              <w:bottom w:val="single" w:sz="4" w:space="0" w:color="auto"/>
              <w:right w:val="single" w:sz="4" w:space="0" w:color="auto"/>
            </w:tcBorders>
            <w:shd w:val="clear" w:color="auto" w:fill="auto"/>
            <w:noWrap/>
            <w:vAlign w:val="bottom"/>
            <w:hideMark/>
          </w:tcPr>
          <w:p w14:paraId="0E4AE636" w14:textId="77777777" w:rsidR="00CF76EA" w:rsidRPr="00CF76EA" w:rsidRDefault="00CF76EA" w:rsidP="00CF76EA">
            <w:pPr>
              <w:rPr>
                <w:rFonts w:ascii="Arial" w:hAnsi="Arial" w:cs="Arial"/>
                <w:lang w:val="en-US"/>
              </w:rPr>
            </w:pPr>
            <w:r w:rsidRPr="00CF76EA">
              <w:rPr>
                <w:rFonts w:ascii="Arial" w:hAnsi="Arial" w:cs="Arial"/>
                <w:lang w:val="en-US"/>
              </w:rPr>
              <w:t>0.82</w:t>
            </w:r>
          </w:p>
        </w:tc>
      </w:tr>
    </w:tbl>
    <w:p w14:paraId="5F40A3B9" w14:textId="72564714" w:rsidR="00324291" w:rsidRDefault="00324291" w:rsidP="00324291">
      <w:pPr>
        <w:rPr>
          <w:rFonts w:ascii="Arial" w:hAnsi="Arial" w:cs="Arial"/>
        </w:rPr>
      </w:pPr>
    </w:p>
    <w:p w14:paraId="4DD5E971" w14:textId="63D5FA9B" w:rsidR="00324291" w:rsidRPr="00324291" w:rsidRDefault="00CF76EA" w:rsidP="00324291">
      <w:pPr>
        <w:rPr>
          <w:rFonts w:ascii="Arial" w:hAnsi="Arial" w:cs="Arial"/>
        </w:rPr>
      </w:pPr>
      <w:r w:rsidRPr="00442547">
        <w:rPr>
          <w:noProof/>
          <w:color w:val="000000" w:themeColor="text1"/>
          <w:lang w:val="en-IN" w:eastAsia="en-IN"/>
        </w:rPr>
        <w:drawing>
          <wp:inline distT="0" distB="0" distL="0" distR="0" wp14:anchorId="465CB29D" wp14:editId="30FD4CC2">
            <wp:extent cx="4566285" cy="1855470"/>
            <wp:effectExtent l="0" t="0" r="5715" b="1143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6969D9" w14:textId="77777777" w:rsidR="00324291" w:rsidRPr="00324291" w:rsidRDefault="00324291" w:rsidP="00324291">
      <w:pPr>
        <w:rPr>
          <w:rFonts w:ascii="Arial" w:hAnsi="Arial" w:cs="Arial"/>
        </w:rPr>
      </w:pPr>
      <w:r w:rsidRPr="00324291">
        <w:rPr>
          <w:rFonts w:ascii="Arial" w:hAnsi="Arial" w:cs="Arial"/>
        </w:rPr>
        <w:t>Results: This business has improved the yield on the capital utilized percentage by a slight amount. It was 0.81 in 2018 and 0.82 throughout 2019 like in 2018. It indicates that in 2019, the business produces a strong return on its investments relative to 2018. Nevertheless, their level is less than (&gt; 1) and must be strengthened.</w:t>
      </w:r>
    </w:p>
    <w:p w14:paraId="410E5C7C"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Liquidity ratio: This is a type of ratio that is calculated by businesses to determine the liquidity for a defined time (Behkami, Gholami and Bakirdere, 2017). When utilizing this formula, financial officers can quickly realize the worth of their available assets to cover liabilities. The following are mentioned in the collection of various forms of ratios:</w:t>
      </w:r>
    </w:p>
    <w:p w14:paraId="5EFED2CB" w14:textId="77777777" w:rsidR="00324291" w:rsidRPr="00324291" w:rsidRDefault="00324291" w:rsidP="00324291">
      <w:pPr>
        <w:rPr>
          <w:rFonts w:ascii="Arial" w:hAnsi="Arial" w:cs="Arial"/>
        </w:rPr>
      </w:pPr>
      <w:r w:rsidRPr="00324291">
        <w:rPr>
          <w:rFonts w:ascii="Arial" w:hAnsi="Arial" w:cs="Arial"/>
        </w:rPr>
        <w:t>Current ratio: Current assets / current liabilities</w:t>
      </w:r>
    </w:p>
    <w:p w14:paraId="00342168" w14:textId="77777777" w:rsidR="00CF76EA" w:rsidRPr="00324291" w:rsidRDefault="00324291" w:rsidP="00CF76EA">
      <w:pPr>
        <w:rPr>
          <w:rFonts w:ascii="Arial" w:hAnsi="Arial" w:cs="Arial"/>
        </w:rPr>
      </w:pPr>
      <w:r w:rsidRPr="00324291">
        <w:rPr>
          <w:rFonts w:ascii="Arial" w:hAnsi="Arial" w:cs="Arial"/>
        </w:rPr>
        <w:tab/>
      </w:r>
    </w:p>
    <w:tbl>
      <w:tblPr>
        <w:tblW w:w="4720" w:type="dxa"/>
        <w:tblInd w:w="1560" w:type="dxa"/>
        <w:tblLook w:val="04A0" w:firstRow="1" w:lastRow="0" w:firstColumn="1" w:lastColumn="0" w:noHBand="0" w:noVBand="1"/>
      </w:tblPr>
      <w:tblGrid>
        <w:gridCol w:w="2800"/>
        <w:gridCol w:w="960"/>
        <w:gridCol w:w="960"/>
      </w:tblGrid>
      <w:tr w:rsidR="00CF76EA" w:rsidRPr="00CF76EA" w14:paraId="78F36DF7" w14:textId="77777777" w:rsidTr="00B1614C">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24AAD" w14:textId="77777777" w:rsidR="00CF76EA" w:rsidRPr="00CF76EA" w:rsidRDefault="00CF76EA" w:rsidP="00CF76EA">
            <w:pPr>
              <w:rPr>
                <w:rFonts w:ascii="Arial" w:hAnsi="Arial" w:cs="Arial"/>
                <w:lang w:val="en-US"/>
              </w:rPr>
            </w:pPr>
            <w:r w:rsidRPr="00CF76EA">
              <w:rPr>
                <w:rFonts w:ascii="Arial" w:hAnsi="Arial" w:cs="Arial"/>
              </w:rPr>
              <w:tab/>
            </w:r>
            <w:r w:rsidRPr="00CF76EA">
              <w:rPr>
                <w:rFonts w:ascii="Arial" w:hAnsi="Arial" w:cs="Arial"/>
                <w:lang w:val="en-US"/>
              </w:rPr>
              <w:t>All data in ‘000 except current ratio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27BC04" w14:textId="77777777" w:rsidR="00CF76EA" w:rsidRPr="00CF76EA" w:rsidRDefault="00CF76EA" w:rsidP="00CF76EA">
            <w:pPr>
              <w:rPr>
                <w:rFonts w:ascii="Arial" w:hAnsi="Arial" w:cs="Arial"/>
                <w:lang w:val="en-US"/>
              </w:rPr>
            </w:pPr>
            <w:r w:rsidRPr="00CF76EA">
              <w:rPr>
                <w:rFonts w:ascii="Arial" w:hAnsi="Arial" w:cs="Arial"/>
                <w:lang w:val="en-US"/>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64E6B4" w14:textId="77777777" w:rsidR="00CF76EA" w:rsidRPr="00CF76EA" w:rsidRDefault="00CF76EA" w:rsidP="00CF76EA">
            <w:pPr>
              <w:rPr>
                <w:rFonts w:ascii="Arial" w:hAnsi="Arial" w:cs="Arial"/>
                <w:lang w:val="en-US"/>
              </w:rPr>
            </w:pPr>
            <w:r w:rsidRPr="00CF76EA">
              <w:rPr>
                <w:rFonts w:ascii="Arial" w:hAnsi="Arial" w:cs="Arial"/>
                <w:lang w:val="en-US"/>
              </w:rPr>
              <w:t>Year 2019</w:t>
            </w:r>
          </w:p>
        </w:tc>
      </w:tr>
      <w:tr w:rsidR="00CF76EA" w:rsidRPr="00CF76EA" w14:paraId="7ED47197"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2DCE901F" w14:textId="77777777" w:rsidR="00CF76EA" w:rsidRPr="00CF76EA" w:rsidRDefault="00CF76EA" w:rsidP="00CF76EA">
            <w:pPr>
              <w:rPr>
                <w:rFonts w:ascii="Arial" w:hAnsi="Arial" w:cs="Arial"/>
                <w:lang w:val="en-US"/>
              </w:rPr>
            </w:pPr>
            <w:r w:rsidRPr="00CF76EA">
              <w:rPr>
                <w:rFonts w:ascii="Arial" w:hAnsi="Arial" w:cs="Arial"/>
                <w:lang w:val="en-US"/>
              </w:rPr>
              <w:t>Current assets</w:t>
            </w:r>
          </w:p>
        </w:tc>
        <w:tc>
          <w:tcPr>
            <w:tcW w:w="960" w:type="dxa"/>
            <w:tcBorders>
              <w:top w:val="nil"/>
              <w:left w:val="nil"/>
              <w:bottom w:val="single" w:sz="4" w:space="0" w:color="auto"/>
              <w:right w:val="single" w:sz="4" w:space="0" w:color="auto"/>
            </w:tcBorders>
            <w:shd w:val="clear" w:color="auto" w:fill="auto"/>
            <w:noWrap/>
            <w:vAlign w:val="bottom"/>
            <w:hideMark/>
          </w:tcPr>
          <w:p w14:paraId="687BC49C" w14:textId="77777777" w:rsidR="00CF76EA" w:rsidRPr="00CF76EA" w:rsidRDefault="00CF76EA" w:rsidP="00CF76EA">
            <w:pPr>
              <w:rPr>
                <w:rFonts w:ascii="Arial" w:hAnsi="Arial" w:cs="Arial"/>
                <w:lang w:val="en-US"/>
              </w:rPr>
            </w:pPr>
            <w:r w:rsidRPr="00CF76EA">
              <w:rPr>
                <w:rFonts w:ascii="Arial" w:hAnsi="Arial" w:cs="Arial"/>
                <w:lang w:val="en-US"/>
              </w:rPr>
              <w:t>1726</w:t>
            </w:r>
          </w:p>
        </w:tc>
        <w:tc>
          <w:tcPr>
            <w:tcW w:w="960" w:type="dxa"/>
            <w:tcBorders>
              <w:top w:val="nil"/>
              <w:left w:val="nil"/>
              <w:bottom w:val="single" w:sz="4" w:space="0" w:color="auto"/>
              <w:right w:val="single" w:sz="4" w:space="0" w:color="auto"/>
            </w:tcBorders>
            <w:shd w:val="clear" w:color="auto" w:fill="auto"/>
            <w:noWrap/>
            <w:vAlign w:val="bottom"/>
            <w:hideMark/>
          </w:tcPr>
          <w:p w14:paraId="6F327C38" w14:textId="77777777" w:rsidR="00CF76EA" w:rsidRPr="00CF76EA" w:rsidRDefault="00CF76EA" w:rsidP="00CF76EA">
            <w:pPr>
              <w:rPr>
                <w:rFonts w:ascii="Arial" w:hAnsi="Arial" w:cs="Arial"/>
                <w:lang w:val="en-US"/>
              </w:rPr>
            </w:pPr>
            <w:r w:rsidRPr="00CF76EA">
              <w:rPr>
                <w:rFonts w:ascii="Arial" w:hAnsi="Arial" w:cs="Arial"/>
                <w:lang w:val="en-US"/>
              </w:rPr>
              <w:t>1624</w:t>
            </w:r>
          </w:p>
        </w:tc>
      </w:tr>
      <w:tr w:rsidR="00CF76EA" w:rsidRPr="00CF76EA" w14:paraId="6AEB0640" w14:textId="77777777" w:rsidTr="00B1614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3716BACC" w14:textId="77777777" w:rsidR="00CF76EA" w:rsidRPr="00CF76EA" w:rsidRDefault="00CF76EA" w:rsidP="00CF76EA">
            <w:pPr>
              <w:rPr>
                <w:rFonts w:ascii="Arial" w:hAnsi="Arial" w:cs="Arial"/>
                <w:lang w:val="en-US"/>
              </w:rPr>
            </w:pPr>
            <w:r w:rsidRPr="00CF76EA">
              <w:rPr>
                <w:rFonts w:ascii="Arial" w:hAnsi="Arial" w:cs="Arial"/>
                <w:lang w:val="en-US"/>
              </w:rPr>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7E08F135" w14:textId="77777777" w:rsidR="00CF76EA" w:rsidRPr="00CF76EA" w:rsidRDefault="00CF76EA" w:rsidP="00CF76EA">
            <w:pPr>
              <w:rPr>
                <w:rFonts w:ascii="Arial" w:hAnsi="Arial" w:cs="Arial"/>
                <w:lang w:val="en-US"/>
              </w:rPr>
            </w:pPr>
            <w:r w:rsidRPr="00CF76EA">
              <w:rPr>
                <w:rFonts w:ascii="Arial" w:hAnsi="Arial" w:cs="Arial"/>
                <w:lang w:val="en-US"/>
              </w:rPr>
              <w:t>1339</w:t>
            </w:r>
          </w:p>
        </w:tc>
        <w:tc>
          <w:tcPr>
            <w:tcW w:w="960" w:type="dxa"/>
            <w:tcBorders>
              <w:top w:val="nil"/>
              <w:left w:val="nil"/>
              <w:bottom w:val="single" w:sz="4" w:space="0" w:color="auto"/>
              <w:right w:val="single" w:sz="4" w:space="0" w:color="auto"/>
            </w:tcBorders>
            <w:shd w:val="clear" w:color="auto" w:fill="auto"/>
            <w:noWrap/>
            <w:vAlign w:val="bottom"/>
            <w:hideMark/>
          </w:tcPr>
          <w:p w14:paraId="381A7AEF" w14:textId="77777777" w:rsidR="00CF76EA" w:rsidRPr="00CF76EA" w:rsidRDefault="00CF76EA" w:rsidP="00CF76EA">
            <w:pPr>
              <w:rPr>
                <w:rFonts w:ascii="Arial" w:hAnsi="Arial" w:cs="Arial"/>
                <w:lang w:val="en-US"/>
              </w:rPr>
            </w:pPr>
            <w:r w:rsidRPr="00CF76EA">
              <w:rPr>
                <w:rFonts w:ascii="Arial" w:hAnsi="Arial" w:cs="Arial"/>
                <w:lang w:val="en-US"/>
              </w:rPr>
              <w:t>1616</w:t>
            </w:r>
          </w:p>
        </w:tc>
      </w:tr>
      <w:tr w:rsidR="00CF76EA" w:rsidRPr="00CF76EA" w14:paraId="7D0D7E7F" w14:textId="77777777" w:rsidTr="00B1614C">
        <w:trPr>
          <w:trHeight w:val="26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555BC6E0" w14:textId="77777777" w:rsidR="00CF76EA" w:rsidRPr="00CF76EA" w:rsidRDefault="00CF76EA" w:rsidP="00CF76EA">
            <w:pPr>
              <w:rPr>
                <w:rFonts w:ascii="Arial" w:hAnsi="Arial" w:cs="Arial"/>
                <w:lang w:val="en-US"/>
              </w:rPr>
            </w:pPr>
            <w:r w:rsidRPr="00CF76EA">
              <w:rPr>
                <w:rFonts w:ascii="Arial" w:hAnsi="Arial" w:cs="Arial"/>
                <w:lang w:val="en-US"/>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14:paraId="3CE96281" w14:textId="77777777" w:rsidR="00CF76EA" w:rsidRPr="00CF76EA" w:rsidRDefault="00CF76EA" w:rsidP="00CF76EA">
            <w:pPr>
              <w:rPr>
                <w:rFonts w:ascii="Arial" w:hAnsi="Arial" w:cs="Arial"/>
                <w:lang w:val="en-US"/>
              </w:rPr>
            </w:pPr>
            <w:r w:rsidRPr="00CF76EA">
              <w:rPr>
                <w:rFonts w:ascii="Arial" w:hAnsi="Arial" w:cs="Arial"/>
                <w:lang w:val="en-US"/>
              </w:rPr>
              <w:t>1.29 times</w:t>
            </w:r>
          </w:p>
        </w:tc>
        <w:tc>
          <w:tcPr>
            <w:tcW w:w="960" w:type="dxa"/>
            <w:tcBorders>
              <w:top w:val="nil"/>
              <w:left w:val="nil"/>
              <w:bottom w:val="single" w:sz="4" w:space="0" w:color="auto"/>
              <w:right w:val="single" w:sz="4" w:space="0" w:color="auto"/>
            </w:tcBorders>
            <w:shd w:val="clear" w:color="auto" w:fill="auto"/>
            <w:noWrap/>
            <w:vAlign w:val="bottom"/>
            <w:hideMark/>
          </w:tcPr>
          <w:p w14:paraId="6074D49D" w14:textId="77777777" w:rsidR="00CF76EA" w:rsidRPr="00CF76EA" w:rsidRDefault="00CF76EA" w:rsidP="00CF76EA">
            <w:pPr>
              <w:rPr>
                <w:rFonts w:ascii="Arial" w:hAnsi="Arial" w:cs="Arial"/>
                <w:lang w:val="en-US"/>
              </w:rPr>
            </w:pPr>
            <w:r w:rsidRPr="00CF76EA">
              <w:rPr>
                <w:rFonts w:ascii="Arial" w:hAnsi="Arial" w:cs="Arial"/>
                <w:lang w:val="en-US"/>
              </w:rPr>
              <w:t>1.00 times</w:t>
            </w:r>
          </w:p>
        </w:tc>
      </w:tr>
    </w:tbl>
    <w:p w14:paraId="027E5B0C" w14:textId="6074E9A4" w:rsidR="00324291" w:rsidRPr="00324291" w:rsidRDefault="00324291" w:rsidP="00CF76EA">
      <w:pPr>
        <w:rPr>
          <w:rFonts w:ascii="Arial" w:hAnsi="Arial" w:cs="Arial"/>
        </w:rPr>
      </w:pPr>
    </w:p>
    <w:p w14:paraId="370917F0" w14:textId="487E5618" w:rsidR="00324291" w:rsidRPr="00324291" w:rsidRDefault="00CF76EA" w:rsidP="00324291">
      <w:pPr>
        <w:rPr>
          <w:rFonts w:ascii="Arial" w:hAnsi="Arial" w:cs="Arial"/>
        </w:rPr>
      </w:pPr>
      <w:r w:rsidRPr="00442547">
        <w:rPr>
          <w:noProof/>
          <w:color w:val="000000" w:themeColor="text1"/>
          <w:lang w:val="en-IN" w:eastAsia="en-IN"/>
        </w:rPr>
        <w:lastRenderedPageBreak/>
        <w:drawing>
          <wp:inline distT="0" distB="0" distL="0" distR="0" wp14:anchorId="46D2D061" wp14:editId="2090F361">
            <wp:extent cx="4566285" cy="1855470"/>
            <wp:effectExtent l="0" t="0" r="24765" b="11430"/>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E829B3" w14:textId="77777777" w:rsidR="00324291" w:rsidRPr="00324291" w:rsidRDefault="00324291" w:rsidP="00324291">
      <w:pPr>
        <w:rPr>
          <w:rFonts w:ascii="Arial" w:hAnsi="Arial" w:cs="Arial"/>
        </w:rPr>
      </w:pPr>
      <w:r w:rsidRPr="00324291">
        <w:rPr>
          <w:rFonts w:ascii="Arial" w:hAnsi="Arial" w:cs="Arial"/>
        </w:rPr>
        <w:t>Results: The Company did not manage to maintain its existing proportion across both years at such an optimal 2:1 ratio. The explanation is that they were 1.29 years, respectively, during the year of 2018 and 2019. This shows that the Hotel has insufficient current assets to cover short-term debts.</w:t>
      </w:r>
    </w:p>
    <w:p w14:paraId="4F94BE39" w14:textId="77777777" w:rsidR="00324291" w:rsidRPr="00324291" w:rsidRDefault="00324291" w:rsidP="00324291">
      <w:pPr>
        <w:rPr>
          <w:rFonts w:ascii="Arial" w:hAnsi="Arial" w:cs="Arial"/>
        </w:rPr>
      </w:pPr>
      <w:r w:rsidRPr="00324291">
        <w:rPr>
          <w:rFonts w:ascii="Arial" w:hAnsi="Arial" w:cs="Arial"/>
        </w:rPr>
        <w:t>Quick ratio: Quick assets / current liabilities</w:t>
      </w:r>
    </w:p>
    <w:p w14:paraId="1B059783" w14:textId="5B5003B9" w:rsidR="00324291" w:rsidRDefault="00CF76EA" w:rsidP="00324291">
      <w:pPr>
        <w:rPr>
          <w:rFonts w:ascii="Arial" w:hAnsi="Arial" w:cs="Arial"/>
        </w:rPr>
      </w:pPr>
      <w:r w:rsidRPr="00CF76EA">
        <w:rPr>
          <w:noProof/>
        </w:rPr>
        <w:drawing>
          <wp:inline distT="0" distB="0" distL="0" distR="0" wp14:anchorId="09AFBF81" wp14:editId="394A5181">
            <wp:extent cx="5731510" cy="11868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186815"/>
                    </a:xfrm>
                    <a:prstGeom prst="rect">
                      <a:avLst/>
                    </a:prstGeom>
                    <a:noFill/>
                    <a:ln>
                      <a:noFill/>
                    </a:ln>
                  </pic:spPr>
                </pic:pic>
              </a:graphicData>
            </a:graphic>
          </wp:inline>
        </w:drawing>
      </w:r>
    </w:p>
    <w:p w14:paraId="78A5C978" w14:textId="5706EC02" w:rsidR="00CF76EA" w:rsidRPr="00324291" w:rsidRDefault="00CF76EA" w:rsidP="00324291">
      <w:pPr>
        <w:rPr>
          <w:rFonts w:ascii="Arial" w:hAnsi="Arial" w:cs="Arial"/>
        </w:rPr>
      </w:pPr>
      <w:r w:rsidRPr="00442547">
        <w:rPr>
          <w:noProof/>
          <w:color w:val="000000" w:themeColor="text1"/>
          <w:lang w:val="en-IN" w:eastAsia="en-IN"/>
        </w:rPr>
        <w:drawing>
          <wp:inline distT="0" distB="0" distL="0" distR="0" wp14:anchorId="6B42A2CE" wp14:editId="766CA302">
            <wp:extent cx="4566285" cy="1585595"/>
            <wp:effectExtent l="0" t="0" r="24765" b="1460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924545" w14:textId="77777777" w:rsidR="00324291" w:rsidRPr="00324291" w:rsidRDefault="00324291" w:rsidP="00324291">
      <w:pPr>
        <w:rPr>
          <w:rFonts w:ascii="Arial" w:hAnsi="Arial" w:cs="Arial"/>
        </w:rPr>
      </w:pPr>
      <w:r w:rsidRPr="00324291">
        <w:rPr>
          <w:rFonts w:ascii="Arial" w:hAnsi="Arial" w:cs="Arial"/>
        </w:rPr>
        <w:t xml:space="preserve"> </w:t>
      </w:r>
    </w:p>
    <w:p w14:paraId="46784940" w14:textId="77777777" w:rsidR="00324291" w:rsidRPr="00324291" w:rsidRDefault="00324291" w:rsidP="00324291">
      <w:pPr>
        <w:rPr>
          <w:rFonts w:ascii="Arial" w:hAnsi="Arial" w:cs="Arial"/>
        </w:rPr>
      </w:pPr>
      <w:r w:rsidRPr="00324291">
        <w:rPr>
          <w:rFonts w:ascii="Arial" w:hAnsi="Arial" w:cs="Arial"/>
        </w:rPr>
        <w:t>Results: The Corporation’s quick ratio is indeed smaller than that of the optimal 1.5:1 period’s ratio. In 2018, the figure dropped by 0.21 times and therefore by 0.13 points in 2019. In order to improve their accelerated profitability, the organization will therefore concentrate on increasing its role.</w:t>
      </w:r>
    </w:p>
    <w:p w14:paraId="0F9EE648"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Gearing ratio: This is known as a kind of ratio used by businesses to equate debt and equities. Such ratios are determined in this way below: </w:t>
      </w:r>
    </w:p>
    <w:p w14:paraId="5DF51D50" w14:textId="77777777" w:rsidR="00324291" w:rsidRPr="00324291" w:rsidRDefault="00324291" w:rsidP="00324291">
      <w:pPr>
        <w:rPr>
          <w:rFonts w:ascii="Arial" w:hAnsi="Arial" w:cs="Arial"/>
        </w:rPr>
      </w:pPr>
      <w:r w:rsidRPr="00324291">
        <w:rPr>
          <w:rFonts w:ascii="Arial" w:hAnsi="Arial" w:cs="Arial"/>
        </w:rPr>
        <w:t>Debt to equity ratio: Equity / debt</w:t>
      </w:r>
    </w:p>
    <w:p w14:paraId="16245FE7" w14:textId="2286E178" w:rsidR="00324291" w:rsidRPr="00324291" w:rsidRDefault="00CF76EA" w:rsidP="00324291">
      <w:pPr>
        <w:rPr>
          <w:rFonts w:ascii="Arial" w:hAnsi="Arial" w:cs="Arial"/>
        </w:rPr>
      </w:pPr>
      <w:r w:rsidRPr="00CF76EA">
        <w:rPr>
          <w:noProof/>
        </w:rPr>
        <w:lastRenderedPageBreak/>
        <w:drawing>
          <wp:inline distT="0" distB="0" distL="0" distR="0" wp14:anchorId="053F842E" wp14:editId="26523353">
            <wp:extent cx="5731510" cy="11868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186815"/>
                    </a:xfrm>
                    <a:prstGeom prst="rect">
                      <a:avLst/>
                    </a:prstGeom>
                    <a:noFill/>
                    <a:ln>
                      <a:noFill/>
                    </a:ln>
                  </pic:spPr>
                </pic:pic>
              </a:graphicData>
            </a:graphic>
          </wp:inline>
        </w:drawing>
      </w:r>
    </w:p>
    <w:p w14:paraId="150F5104" w14:textId="07A3CFA9" w:rsidR="00CF76EA" w:rsidRDefault="00324291" w:rsidP="00324291">
      <w:pPr>
        <w:rPr>
          <w:rFonts w:ascii="Arial" w:hAnsi="Arial" w:cs="Arial"/>
        </w:rPr>
      </w:pPr>
      <w:r w:rsidRPr="00324291">
        <w:rPr>
          <w:rFonts w:ascii="Arial" w:hAnsi="Arial" w:cs="Arial"/>
        </w:rPr>
        <w:t xml:space="preserve"> </w:t>
      </w:r>
      <w:r w:rsidR="00CF76EA" w:rsidRPr="00442547">
        <w:rPr>
          <w:noProof/>
          <w:color w:val="000000" w:themeColor="text1"/>
          <w:lang w:val="en-IN" w:eastAsia="en-IN"/>
        </w:rPr>
        <w:drawing>
          <wp:inline distT="0" distB="0" distL="0" distR="0" wp14:anchorId="51E3D821" wp14:editId="2CE75523">
            <wp:extent cx="4566920" cy="1964690"/>
            <wp:effectExtent l="0" t="0" r="24130" b="16510"/>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2D78696" w14:textId="77777777" w:rsidR="00CF76EA" w:rsidRPr="00324291" w:rsidRDefault="00CF76EA" w:rsidP="00324291">
      <w:pPr>
        <w:rPr>
          <w:rFonts w:ascii="Arial" w:hAnsi="Arial" w:cs="Arial"/>
        </w:rPr>
      </w:pPr>
    </w:p>
    <w:p w14:paraId="231A494A" w14:textId="77777777" w:rsidR="00324291" w:rsidRPr="00324291" w:rsidRDefault="00324291" w:rsidP="00324291">
      <w:pPr>
        <w:rPr>
          <w:rFonts w:ascii="Arial" w:hAnsi="Arial" w:cs="Arial"/>
        </w:rPr>
      </w:pPr>
      <w:r w:rsidRPr="00324291">
        <w:rPr>
          <w:rFonts w:ascii="Arial" w:hAnsi="Arial" w:cs="Arial"/>
        </w:rPr>
        <w:t>Results: For both years, the corporation debt-to - equity analysis is similar and that's 0.34. This proportion is, however, reduced than 1 and shows a corporation's poor performance in repaying the debt, also because equity is not sufficient to pay.</w:t>
      </w:r>
    </w:p>
    <w:p w14:paraId="427A7160" w14:textId="77777777" w:rsidR="00324291" w:rsidRPr="00324291" w:rsidRDefault="00324291" w:rsidP="00324291">
      <w:pPr>
        <w:rPr>
          <w:rFonts w:ascii="Arial" w:hAnsi="Arial" w:cs="Arial"/>
        </w:rPr>
      </w:pPr>
      <w:r w:rsidRPr="00324291">
        <w:rPr>
          <w:rFonts w:ascii="Arial" w:hAnsi="Arial" w:cs="Arial"/>
        </w:rPr>
        <w:t>Debt ratio: Total assets / Total debt</w:t>
      </w:r>
    </w:p>
    <w:p w14:paraId="5B080E97" w14:textId="071C4E11" w:rsidR="00324291" w:rsidRDefault="00CF76EA" w:rsidP="00324291">
      <w:pPr>
        <w:rPr>
          <w:rFonts w:ascii="Arial" w:hAnsi="Arial" w:cs="Arial"/>
        </w:rPr>
      </w:pPr>
      <w:r w:rsidRPr="00CF76EA">
        <w:rPr>
          <w:noProof/>
        </w:rPr>
        <w:drawing>
          <wp:inline distT="0" distB="0" distL="0" distR="0" wp14:anchorId="640EC1D4" wp14:editId="1E6E4365">
            <wp:extent cx="5731510" cy="11868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186815"/>
                    </a:xfrm>
                    <a:prstGeom prst="rect">
                      <a:avLst/>
                    </a:prstGeom>
                    <a:noFill/>
                    <a:ln>
                      <a:noFill/>
                    </a:ln>
                  </pic:spPr>
                </pic:pic>
              </a:graphicData>
            </a:graphic>
          </wp:inline>
        </w:drawing>
      </w:r>
    </w:p>
    <w:p w14:paraId="4508F4DC" w14:textId="679C44D5" w:rsidR="00CF76EA" w:rsidRPr="00324291" w:rsidRDefault="00CF76EA" w:rsidP="00324291">
      <w:pPr>
        <w:rPr>
          <w:rFonts w:ascii="Arial" w:hAnsi="Arial" w:cs="Arial"/>
        </w:rPr>
      </w:pPr>
      <w:r w:rsidRPr="00442547">
        <w:rPr>
          <w:noProof/>
          <w:color w:val="000000" w:themeColor="text1"/>
          <w:lang w:val="en-IN" w:eastAsia="en-IN"/>
        </w:rPr>
        <w:drawing>
          <wp:inline distT="0" distB="0" distL="0" distR="0" wp14:anchorId="01F30AB6" wp14:editId="63EEA987">
            <wp:extent cx="4574540" cy="2745740"/>
            <wp:effectExtent l="0" t="0" r="16510" b="1651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249E8E" w14:textId="77777777" w:rsidR="00324291" w:rsidRPr="00324291" w:rsidRDefault="00324291" w:rsidP="00324291">
      <w:pPr>
        <w:rPr>
          <w:rFonts w:ascii="Arial" w:hAnsi="Arial" w:cs="Arial"/>
        </w:rPr>
      </w:pPr>
      <w:r w:rsidRPr="00324291">
        <w:rPr>
          <w:rFonts w:ascii="Arial" w:hAnsi="Arial" w:cs="Arial"/>
        </w:rPr>
        <w:lastRenderedPageBreak/>
        <w:t xml:space="preserve"> </w:t>
      </w:r>
    </w:p>
    <w:p w14:paraId="1AE3966A" w14:textId="77777777" w:rsidR="00324291" w:rsidRPr="00324291" w:rsidRDefault="00324291" w:rsidP="00324291">
      <w:pPr>
        <w:rPr>
          <w:rFonts w:ascii="Arial" w:hAnsi="Arial" w:cs="Arial"/>
        </w:rPr>
      </w:pPr>
      <w:r w:rsidRPr="00324291">
        <w:rPr>
          <w:rFonts w:ascii="Arial" w:hAnsi="Arial" w:cs="Arial"/>
        </w:rPr>
        <w:t>Results: The business leverage figure is in decent health as the organization requires enough money to pay down its obligations. As in 2018, the proportion fell to 1,24 and increased to 1,29 in 2019. This indicates that in all financial years, the business has an outstanding financial position to service its debts.</w:t>
      </w:r>
    </w:p>
    <w:p w14:paraId="280E1868" w14:textId="510C305E" w:rsidR="00324291" w:rsidRPr="00CF76EA" w:rsidRDefault="00324291" w:rsidP="00CF76EA">
      <w:pPr>
        <w:pStyle w:val="ListParagraph"/>
        <w:numPr>
          <w:ilvl w:val="0"/>
          <w:numId w:val="2"/>
        </w:numPr>
        <w:rPr>
          <w:rFonts w:ascii="Arial" w:hAnsi="Arial" w:cs="Arial"/>
        </w:rPr>
      </w:pPr>
      <w:r w:rsidRPr="00CF76EA">
        <w:rPr>
          <w:rFonts w:ascii="Arial" w:hAnsi="Arial" w:cs="Arial"/>
        </w:rPr>
        <w:t xml:space="preserve">Ratio fluctuation useful for Hotel Management </w:t>
      </w:r>
    </w:p>
    <w:p w14:paraId="3FCB1497" w14:textId="4AE5F0DC" w:rsidR="00324291" w:rsidRPr="00324291" w:rsidRDefault="00324291" w:rsidP="00324291">
      <w:pPr>
        <w:rPr>
          <w:rFonts w:ascii="Arial" w:hAnsi="Arial" w:cs="Arial"/>
        </w:rPr>
      </w:pPr>
      <w:r w:rsidRPr="00324291">
        <w:rPr>
          <w:rFonts w:ascii="Arial" w:hAnsi="Arial" w:cs="Arial"/>
        </w:rPr>
        <w:t>The ratio study involves various forms of measures, each of which is crucial to the interpretation of developments in a firm’s financial position. Throughout the above section, three forms of factors, competitiveness, leverage and gearing ratio, were measured and evaluated. In this case, the fundamental value of such ratios is discussed in relation to the aforementioned Ga</w:t>
      </w:r>
      <w:r w:rsidR="00CF76EA">
        <w:rPr>
          <w:rFonts w:ascii="Arial" w:hAnsi="Arial" w:cs="Arial"/>
        </w:rPr>
        <w:t>ts</w:t>
      </w:r>
      <w:r w:rsidRPr="00324291">
        <w:rPr>
          <w:rFonts w:ascii="Arial" w:hAnsi="Arial" w:cs="Arial"/>
        </w:rPr>
        <w:t>by Grange Hotel:</w:t>
      </w:r>
    </w:p>
    <w:p w14:paraId="6CE1B148" w14:textId="6A2FDB90"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Ratio measurement and its variance have a significant function in the hospitality management industry. This is because if an enterprise can detect variations in its business results throughout 2 years, after which management measures can be applied appropriately (Helmy and Arslan, 2018). As for the latter business Gatsby Grange, various percentages are determined by means of the financial statements. Use these percentages; manager will </w:t>
      </w:r>
      <w:r w:rsidR="00CF76EA" w:rsidRPr="00324291">
        <w:rPr>
          <w:rFonts w:ascii="Arial" w:hAnsi="Arial" w:cs="Arial"/>
        </w:rPr>
        <w:t>ably</w:t>
      </w:r>
      <w:r w:rsidRPr="00324291">
        <w:rPr>
          <w:rFonts w:ascii="Arial" w:hAnsi="Arial" w:cs="Arial"/>
        </w:rPr>
        <w:t xml:space="preserve"> determine the places of poor results. They could even establish innovative weak spot management plans and tactics including for next year in order to increase the profit margin and deliver best services under reasonable fees.</w:t>
      </w:r>
    </w:p>
    <w:p w14:paraId="295AFB7D"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Therefore, the ratio evaluates plays </w:t>
      </w:r>
      <w:proofErr w:type="gramStart"/>
      <w:r w:rsidRPr="00324291">
        <w:rPr>
          <w:rFonts w:ascii="Arial" w:hAnsi="Arial" w:cs="Arial"/>
        </w:rPr>
        <w:t>an</w:t>
      </w:r>
      <w:proofErr w:type="gramEnd"/>
      <w:r w:rsidRPr="00324291">
        <w:rPr>
          <w:rFonts w:ascii="Arial" w:hAnsi="Arial" w:cs="Arial"/>
        </w:rPr>
        <w:t xml:space="preserve"> significant function for businesses in ensuring that financial success is adequately measured in less time. For organizations to know their individual financial statements and analyse them correctly, this could be challenging. The ratios evaluation provides an appropriate summary of any factor like productivity, gear performance, etc. They also measured different forms of partnerships at Gatsby Grange and also give a thorough description of these facets. Although the ratio analyses are not present, hotels can face various types of barriers like processing time to evaluate business results through financial reports.</w:t>
      </w:r>
    </w:p>
    <w:p w14:paraId="226EA648"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Some of the main features of ratio research are that two separate forms of financial years are determined in conjunction with this methodology (Li, Chang and Yang, 2017). With this help, employees found out dynamic more easily. As with the above business, various types of ratios were determined for a range of matters. As a consequence, developments in financial results in 2018 and 2019 are beneficial for respective hotel chain in upcoming year. </w:t>
      </w:r>
    </w:p>
    <w:p w14:paraId="09EDD0A8"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Inadvertently, the P/E ratio reflects core business values, including projected development and risk. So have the business a past record demonstrated, this would have a greater P/E compared to an erroneously performing company. It is the key element included in the P/E calculation. Revenue and profits of high growing firms should surpass the low point of P/E for the same sector. Large and secure dividend paid companies typically attains large standards of P/E, because it reflects the underlying quality of the business and its ability to compensate its customers. </w:t>
      </w:r>
    </w:p>
    <w:p w14:paraId="036A6EDD" w14:textId="4037E991" w:rsidR="00324291" w:rsidRPr="00CF76EA" w:rsidRDefault="00324291" w:rsidP="00CF76EA">
      <w:pPr>
        <w:pStyle w:val="ListParagraph"/>
        <w:numPr>
          <w:ilvl w:val="0"/>
          <w:numId w:val="2"/>
        </w:numPr>
        <w:rPr>
          <w:rFonts w:ascii="Arial" w:hAnsi="Arial" w:cs="Arial"/>
        </w:rPr>
      </w:pPr>
      <w:r w:rsidRPr="00CF76EA">
        <w:rPr>
          <w:rFonts w:ascii="Arial" w:hAnsi="Arial" w:cs="Arial"/>
        </w:rPr>
        <w:t>Benefits and limitations of ratios analysis that help to make decision.</w:t>
      </w:r>
    </w:p>
    <w:p w14:paraId="252BBFBF" w14:textId="77777777" w:rsidR="00324291" w:rsidRPr="00324291" w:rsidRDefault="00324291" w:rsidP="00324291">
      <w:pPr>
        <w:rPr>
          <w:rFonts w:ascii="Arial" w:hAnsi="Arial" w:cs="Arial"/>
        </w:rPr>
      </w:pPr>
      <w:r w:rsidRPr="00324291">
        <w:rPr>
          <w:rFonts w:ascii="Arial" w:hAnsi="Arial" w:cs="Arial"/>
        </w:rPr>
        <w:t xml:space="preserve">It is determined that when ratios are used correctly, then ratio analysis shows several of the difficulties of the corporation or even recognizes some that are positive for growth and even those operation which needs major adjustments quick time to reduce loses.  After all, ratios are spies, who attract manager's attention to issues which need to be handled. Several </w:t>
      </w:r>
      <w:r w:rsidRPr="00324291">
        <w:rPr>
          <w:rFonts w:ascii="Arial" w:hAnsi="Arial" w:cs="Arial"/>
        </w:rPr>
        <w:lastRenderedPageBreak/>
        <w:t>significant advantages in the estimation of tourists and the hospitality industry proportions, as mentioned below:</w:t>
      </w:r>
    </w:p>
    <w:p w14:paraId="1A67C35A"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Financial analytical ratios can help explain the political, budget and operative decisions of the organization or disprove them (Mo, Du and Yang, 2017). They transform financial statements into relative facts and figures, enabling the managers to make comparisons the financial position and effect with certain decision making successfully to measure the overall profit growth.</w:t>
      </w:r>
    </w:p>
    <w:p w14:paraId="19BE19AE"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It streamlines nuanced political and strategic knowledge through regular business arrangements, organizational success, equity, long-term financial conditions and much more that help Hotel to reach the desired results in little time.</w:t>
      </w:r>
    </w:p>
    <w:p w14:paraId="2CEBF4B7"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Leadership often has a stake in the overall level of productivity or quality of business. Manager would really like to consider that the business is willing to fulfil both its broader and short-term commitments to its shareholders, promise its customers a reasonable return and allow the optimum use of its money. This is possible since all the proportions together are taken into account.</w:t>
      </w:r>
    </w:p>
    <w:p w14:paraId="7317D569"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The ratio appraisal allows identifying vulnerabilities and concentrates attention on these fields. There are several specifics in the detailed financial results that are incomplete and averages may help to assess certain issues which may reduce the profit margin.</w:t>
      </w:r>
    </w:p>
    <w:p w14:paraId="7463218A" w14:textId="122E1A75"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Ratio analysis also enables the company to perform benchmarking for certain organizations, market trends, intra-corporate interactions and so on. This enables the company to better understand its financial status of Ga</w:t>
      </w:r>
      <w:r w:rsidR="00CF76EA">
        <w:rPr>
          <w:rFonts w:ascii="Arial" w:hAnsi="Arial" w:cs="Arial"/>
        </w:rPr>
        <w:t>tsb</w:t>
      </w:r>
      <w:r w:rsidRPr="00324291">
        <w:rPr>
          <w:rFonts w:ascii="Arial" w:hAnsi="Arial" w:cs="Arial"/>
        </w:rPr>
        <w:t>y Grange.</w:t>
      </w:r>
    </w:p>
    <w:p w14:paraId="1A0AA9D7"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Financial ratio review demonstrates the degree to which the wealth control or control and usage is efficient. Various operational factors indicate operating efficiency. The solvency of a corporation in turn relies on profits from the usage of its money.</w:t>
      </w:r>
    </w:p>
    <w:p w14:paraId="26225694"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In fact, the ratio model is used for determining the ability of a business to service long-term debts. Another goal for long-term creditors, protection experts and existing and potential business manager (Jeong, Kange and Lee 2018) is to retain the long-term solvency condition of each creditor. This is assessed by the leverage / economic demands and profitability ratio, which indicate profitability and operational efficiency. The analysis of ratios shows both important strengths and corporate weakness.</w:t>
      </w:r>
    </w:p>
    <w:p w14:paraId="0E602B75"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Ratios are an efficient communication method and play an important role in notifying shareholders as well as other relevant individuals of the situation and advancement made by business in real consideration. Relations with condensed and outlined percentages are simpler and quicker to comprehend. </w:t>
      </w:r>
    </w:p>
    <w:p w14:paraId="1A6FEA1E" w14:textId="77777777" w:rsidR="00324291" w:rsidRPr="00324291" w:rsidRDefault="00324291" w:rsidP="00324291">
      <w:pPr>
        <w:rPr>
          <w:rFonts w:ascii="Arial" w:hAnsi="Arial" w:cs="Arial"/>
        </w:rPr>
      </w:pPr>
      <w:r w:rsidRPr="00324291">
        <w:rPr>
          <w:rFonts w:ascii="Arial" w:hAnsi="Arial" w:cs="Arial"/>
        </w:rPr>
        <w:t>Limitations of Ratio Analysis:</w:t>
      </w:r>
    </w:p>
    <w:p w14:paraId="527546BB"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A business can change its financial reports to boost its proportions by the end of a year. Alternatively, the amount wind up and become nothing but gives the overall clear image about company not in details.  </w:t>
      </w:r>
    </w:p>
    <w:p w14:paraId="782758DC"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Price point changes based on inflation are ignored. Many computations are evaluated using ancient prices and these price changes over the years are not taken into account. That will not properly reflect the financial condition.</w:t>
      </w:r>
    </w:p>
    <w:p w14:paraId="1888E377"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Financial figures neglect the efficiency of the product. Accountant takes just the money-based (quantitative) elements into consideration.</w:t>
      </w:r>
    </w:p>
    <w:p w14:paraId="568B034D" w14:textId="77777777" w:rsidR="00324291" w:rsidRPr="00324291" w:rsidRDefault="00324291" w:rsidP="00324291">
      <w:pPr>
        <w:rPr>
          <w:rFonts w:ascii="Arial" w:hAnsi="Arial" w:cs="Arial"/>
        </w:rPr>
      </w:pPr>
      <w:r w:rsidRPr="00324291">
        <w:rPr>
          <w:rFonts w:ascii="Arial" w:hAnsi="Arial" w:cs="Arial"/>
        </w:rPr>
        <w:lastRenderedPageBreak/>
        <w:t>•</w:t>
      </w:r>
      <w:r w:rsidRPr="00324291">
        <w:rPr>
          <w:rFonts w:ascii="Arial" w:hAnsi="Arial" w:cs="Arial"/>
        </w:rPr>
        <w:tab/>
        <w:t>There are no common concepts of the ratios and it helps businesses to use multiple calculations in diverse combinations (Hondro, 2018). One such explanation is the current ratio, where certain firms take care of all existing bonds and others ignore bank unsustainable bonds in calculating the current business ratio.</w:t>
      </w:r>
    </w:p>
    <w:p w14:paraId="2E0A8E38"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Sufficient caution must be taken in determining the seasonal hotel industry financial ratio assessed. A hotel in particular, for example, generates higher profits in a season and its revenues reflect 35% of the following year's seasonal revenue. It produces a limited picture of operating margin and net income.</w:t>
      </w:r>
    </w:p>
    <w:p w14:paraId="65FECDBD"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As ratios represent just one aspect, they do not necessarily give an accurate impression, because there must be concern when evaluating ratios regarding several other considerations like government policy, economic conditions and accessible capital (Sahu, Dolai and Bera, 2018).</w:t>
      </w:r>
    </w:p>
    <w:p w14:paraId="7B27ABDD"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Separate accounting practices pertaining to portfolio assessments, depletion etc. render two firms irrelevant for accounting figures and financial ratios.</w:t>
      </w:r>
    </w:p>
    <w:p w14:paraId="3BF9462E"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Ratio metrics help to determine the liquidity situation, i.e. a company's willingness to cover short-term debt. Liquidity ratios imply the company's ability to write off for and assist in the assessment of short-term debts by financial institutions, shareholders as well as other distributors.</w:t>
      </w:r>
    </w:p>
    <w:p w14:paraId="65062727"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The company's net performance is also a worry for executives. They would like to understand whether the company is capable of fulfilling its credit agencies' brief term and long-term liabilities, ensuring a fair return towards its proprietors as well as the optimal use of the company's property.</w:t>
      </w:r>
    </w:p>
    <w:p w14:paraId="3818F835"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A universal benchmark for reference is very challenging to develop as the requirements vary and the complexity of each business is specific. A business with a stock ratio of greater than 2: 1 for instance will not be willing to meet outstanding obligations in due course owing to an adverse equity allocation of capital assets. </w:t>
      </w:r>
    </w:p>
    <w:p w14:paraId="30F6D874" w14:textId="77777777" w:rsidR="00324291" w:rsidRPr="00324291" w:rsidRDefault="00324291" w:rsidP="00324291">
      <w:pPr>
        <w:rPr>
          <w:rFonts w:ascii="Arial" w:hAnsi="Arial" w:cs="Arial"/>
        </w:rPr>
      </w:pPr>
      <w:r w:rsidRPr="00324291">
        <w:rPr>
          <w:rFonts w:ascii="Arial" w:hAnsi="Arial" w:cs="Arial"/>
        </w:rPr>
        <w:t>•</w:t>
      </w:r>
      <w:r w:rsidRPr="00324291">
        <w:rPr>
          <w:rFonts w:ascii="Arial" w:hAnsi="Arial" w:cs="Arial"/>
        </w:rPr>
        <w:tab/>
        <w:t xml:space="preserve">Various companies can allocate various terms in order to measure the ratio. For example, before taxing interest as well as tax or revenue however after tax and interest, revenue for the purposes of determining a proportion may well be begun taking as profit. It could impact the ratio equation of various businesses, so that formula will contribute to false results. </w:t>
      </w:r>
    </w:p>
    <w:p w14:paraId="26151B7D" w14:textId="77777777" w:rsidR="00CF76EA" w:rsidRDefault="00CF76EA" w:rsidP="00324291">
      <w:pPr>
        <w:rPr>
          <w:rFonts w:ascii="Arial" w:hAnsi="Arial" w:cs="Arial"/>
        </w:rPr>
      </w:pPr>
    </w:p>
    <w:p w14:paraId="4500EA80" w14:textId="77777777" w:rsidR="00CF76EA" w:rsidRDefault="00CF76EA" w:rsidP="00324291">
      <w:pPr>
        <w:rPr>
          <w:rFonts w:ascii="Arial" w:hAnsi="Arial" w:cs="Arial"/>
        </w:rPr>
      </w:pPr>
    </w:p>
    <w:p w14:paraId="28F04B90" w14:textId="77777777" w:rsidR="00CF76EA" w:rsidRDefault="00CF76EA" w:rsidP="00324291">
      <w:pPr>
        <w:rPr>
          <w:rFonts w:ascii="Arial" w:hAnsi="Arial" w:cs="Arial"/>
        </w:rPr>
      </w:pPr>
    </w:p>
    <w:p w14:paraId="0FC25315" w14:textId="77777777" w:rsidR="00CF76EA" w:rsidRDefault="00CF76EA" w:rsidP="00324291">
      <w:pPr>
        <w:rPr>
          <w:rFonts w:ascii="Arial" w:hAnsi="Arial" w:cs="Arial"/>
        </w:rPr>
      </w:pPr>
    </w:p>
    <w:p w14:paraId="24DDEE47" w14:textId="258F9135" w:rsidR="00324291" w:rsidRPr="00324291" w:rsidRDefault="00324291" w:rsidP="00324291">
      <w:pPr>
        <w:rPr>
          <w:rFonts w:ascii="Arial" w:hAnsi="Arial" w:cs="Arial"/>
        </w:rPr>
      </w:pPr>
      <w:r w:rsidRPr="00324291">
        <w:rPr>
          <w:rFonts w:ascii="Arial" w:hAnsi="Arial" w:cs="Arial"/>
        </w:rPr>
        <w:t xml:space="preserve">CONCLUSION </w:t>
      </w:r>
    </w:p>
    <w:p w14:paraId="710AE6E4" w14:textId="760BE36E" w:rsidR="00324291" w:rsidRPr="00324291" w:rsidRDefault="00324291" w:rsidP="00324291">
      <w:pPr>
        <w:rPr>
          <w:rFonts w:ascii="Arial" w:hAnsi="Arial" w:cs="Arial"/>
        </w:rPr>
      </w:pPr>
      <w:r w:rsidRPr="00324291">
        <w:rPr>
          <w:rFonts w:ascii="Arial" w:hAnsi="Arial" w:cs="Arial"/>
        </w:rPr>
        <w:t xml:space="preserve">In the end of report, it has been founded that ratio analysis help to define the actual financial position of company during an accounting year and support to make proper policies and tactics to improve the weak areas of business. Different sort of ratios such as liquidity, profitability, gearing support to determine the various crucial aspect of business and figure out which area are high performer and which needs modification. Accounting measures are just tools for mathematical research. However, qualitative considerations may often surpass the quantitative aspects of Hotel industry. </w:t>
      </w:r>
    </w:p>
    <w:p w14:paraId="4A48B582" w14:textId="77777777" w:rsidR="00324291" w:rsidRPr="00324291" w:rsidRDefault="00324291" w:rsidP="00324291">
      <w:pPr>
        <w:rPr>
          <w:rFonts w:ascii="Arial" w:hAnsi="Arial" w:cs="Arial"/>
        </w:rPr>
      </w:pPr>
      <w:r w:rsidRPr="00324291">
        <w:rPr>
          <w:rFonts w:ascii="Arial" w:hAnsi="Arial" w:cs="Arial"/>
        </w:rPr>
        <w:lastRenderedPageBreak/>
        <w:t xml:space="preserve"> </w:t>
      </w:r>
    </w:p>
    <w:p w14:paraId="62681FA8" w14:textId="77777777" w:rsidR="00324291" w:rsidRPr="00324291" w:rsidRDefault="00324291" w:rsidP="00324291">
      <w:pPr>
        <w:rPr>
          <w:rFonts w:ascii="Arial" w:hAnsi="Arial" w:cs="Arial"/>
        </w:rPr>
      </w:pPr>
      <w:r w:rsidRPr="00324291">
        <w:rPr>
          <w:rFonts w:ascii="Arial" w:hAnsi="Arial" w:cs="Arial"/>
        </w:rPr>
        <w:t>REFERENCES</w:t>
      </w:r>
    </w:p>
    <w:p w14:paraId="4F934B4B" w14:textId="77777777" w:rsidR="00324291" w:rsidRPr="00324291" w:rsidRDefault="00324291" w:rsidP="00324291">
      <w:pPr>
        <w:rPr>
          <w:rFonts w:ascii="Arial" w:hAnsi="Arial" w:cs="Arial"/>
        </w:rPr>
      </w:pPr>
      <w:r w:rsidRPr="00324291">
        <w:rPr>
          <w:rFonts w:ascii="Arial" w:hAnsi="Arial" w:cs="Arial"/>
        </w:rPr>
        <w:t>Books and Journals</w:t>
      </w:r>
    </w:p>
    <w:p w14:paraId="46A577FE" w14:textId="77777777" w:rsidR="00CF76EA" w:rsidRPr="00324291" w:rsidRDefault="00CF76EA">
      <w:pPr>
        <w:rPr>
          <w:rFonts w:ascii="Arial" w:hAnsi="Arial" w:cs="Arial"/>
        </w:rPr>
      </w:pPr>
    </w:p>
    <w:p w14:paraId="54F9172D" w14:textId="77777777" w:rsidR="00CF76EA" w:rsidRPr="00324291" w:rsidRDefault="00CF76EA" w:rsidP="00324291">
      <w:pPr>
        <w:rPr>
          <w:rFonts w:ascii="Arial" w:hAnsi="Arial" w:cs="Arial"/>
        </w:rPr>
      </w:pPr>
      <w:r w:rsidRPr="00324291">
        <w:rPr>
          <w:rFonts w:ascii="Arial" w:hAnsi="Arial" w:cs="Arial"/>
        </w:rPr>
        <w:t>Behkami, S., Zain, S. M., Gholami, M. and Bakirdere, S., 2017. Isotopic ratio analysis of cattle tail hair: A potential tool in building the database for cow milk geographical traceability. Food chemistry, 217, pp.438-444.</w:t>
      </w:r>
    </w:p>
    <w:p w14:paraId="72FAF342" w14:textId="77777777" w:rsidR="00CF76EA" w:rsidRPr="00324291" w:rsidRDefault="00CF76EA" w:rsidP="00324291">
      <w:pPr>
        <w:rPr>
          <w:rFonts w:ascii="Arial" w:hAnsi="Arial" w:cs="Arial"/>
        </w:rPr>
      </w:pPr>
      <w:r w:rsidRPr="00324291">
        <w:rPr>
          <w:rFonts w:ascii="Arial" w:hAnsi="Arial" w:cs="Arial"/>
        </w:rPr>
        <w:t>Helmy, M. and Arslan, H., 2018. Utilization of aerial heterogeneous cellular networks: Signal-to-interference ratio analysis. Journal of Communications and Networks, 20(5), pp.484-495.</w:t>
      </w:r>
    </w:p>
    <w:p w14:paraId="205329FB" w14:textId="77777777" w:rsidR="00CF76EA" w:rsidRPr="00324291" w:rsidRDefault="00CF76EA" w:rsidP="00324291">
      <w:pPr>
        <w:rPr>
          <w:rFonts w:ascii="Arial" w:hAnsi="Arial" w:cs="Arial"/>
        </w:rPr>
      </w:pPr>
      <w:r w:rsidRPr="00324291">
        <w:rPr>
          <w:rFonts w:ascii="Arial" w:hAnsi="Arial" w:cs="Arial"/>
        </w:rPr>
        <w:t>Hondro, R. K., 2018. Multi-Objective Optimization on the basis of Ratio Analysis (MOORA) Method.</w:t>
      </w:r>
    </w:p>
    <w:p w14:paraId="317E5787" w14:textId="77777777" w:rsidR="00CF76EA" w:rsidRPr="00324291" w:rsidRDefault="00CF76EA" w:rsidP="00324291">
      <w:pPr>
        <w:rPr>
          <w:rFonts w:ascii="Arial" w:hAnsi="Arial" w:cs="Arial"/>
        </w:rPr>
      </w:pPr>
      <w:r w:rsidRPr="00324291">
        <w:rPr>
          <w:rFonts w:ascii="Arial" w:hAnsi="Arial" w:cs="Arial"/>
        </w:rPr>
        <w:t>Jeong, and et.al., 2018. Digital videoscopic retrograde intrarenal surgeries for renal stones: time-to-maximal stone length ratio analysis. Yonsei medical journal, 59(2), pp.303-309.</w:t>
      </w:r>
    </w:p>
    <w:p w14:paraId="56F0AB9C" w14:textId="77777777" w:rsidR="00CF76EA" w:rsidRPr="00324291" w:rsidRDefault="00CF76EA" w:rsidP="00324291">
      <w:pPr>
        <w:rPr>
          <w:rFonts w:ascii="Arial" w:hAnsi="Arial" w:cs="Arial"/>
        </w:rPr>
      </w:pPr>
      <w:r w:rsidRPr="00324291">
        <w:rPr>
          <w:rFonts w:ascii="Arial" w:hAnsi="Arial" w:cs="Arial"/>
        </w:rPr>
        <w:t>Kopanja, L., Tadić, M., Kralj, S. and Žunić, J., 2018. Shape and aspect ratio analysis of anisotropic magnetic nanochains based on TEM micrographs. Ceramics International, 44(11), pp.12340-12351.</w:t>
      </w:r>
    </w:p>
    <w:p w14:paraId="69F46A25" w14:textId="77777777" w:rsidR="00CF76EA" w:rsidRPr="00324291" w:rsidRDefault="00CF76EA" w:rsidP="00324291">
      <w:pPr>
        <w:rPr>
          <w:rFonts w:ascii="Arial" w:hAnsi="Arial" w:cs="Arial"/>
        </w:rPr>
      </w:pPr>
      <w:r w:rsidRPr="00324291">
        <w:rPr>
          <w:rFonts w:ascii="Arial" w:hAnsi="Arial" w:cs="Arial"/>
        </w:rPr>
        <w:t xml:space="preserve">Li, Z., Nie, F., Chang, X. and Yang, Y., 2017. Beyond trace ratio: weighted harmonic </w:t>
      </w:r>
      <w:proofErr w:type="gramStart"/>
      <w:r w:rsidRPr="00324291">
        <w:rPr>
          <w:rFonts w:ascii="Arial" w:hAnsi="Arial" w:cs="Arial"/>
        </w:rPr>
        <w:t>mean</w:t>
      </w:r>
      <w:proofErr w:type="gramEnd"/>
      <w:r w:rsidRPr="00324291">
        <w:rPr>
          <w:rFonts w:ascii="Arial" w:hAnsi="Arial" w:cs="Arial"/>
        </w:rPr>
        <w:t xml:space="preserve"> of trace ratios for multiclass discriminant analysis. IEEE Transactions on Knowledge and Data Engineering, 29(10), pp.2100-2110.</w:t>
      </w:r>
    </w:p>
    <w:p w14:paraId="6098EB8D" w14:textId="77777777" w:rsidR="00CF76EA" w:rsidRPr="00324291" w:rsidRDefault="00CF76EA" w:rsidP="00324291">
      <w:pPr>
        <w:rPr>
          <w:rFonts w:ascii="Arial" w:hAnsi="Arial" w:cs="Arial"/>
        </w:rPr>
      </w:pPr>
      <w:r w:rsidRPr="00324291">
        <w:rPr>
          <w:rFonts w:ascii="Arial" w:hAnsi="Arial" w:cs="Arial"/>
        </w:rPr>
        <w:t>Mo, Y. and et.al., 2017. Damping ratio analysis of a silicon capacitive micromechanical accelerometer. Wireless Sensor Network,</w:t>
      </w:r>
      <w:r w:rsidRPr="00324291">
        <w:rPr>
          <w:rFonts w:ascii="Arial" w:hAnsi="Arial" w:cs="Arial"/>
          <w:sz w:val="40"/>
          <w:szCs w:val="40"/>
        </w:rPr>
        <w:t xml:space="preserve"> </w:t>
      </w:r>
      <w:r w:rsidRPr="00324291">
        <w:rPr>
          <w:rFonts w:ascii="Arial" w:hAnsi="Arial" w:cs="Arial"/>
        </w:rPr>
        <w:t>9(5), pp.178-188.</w:t>
      </w:r>
    </w:p>
    <w:p w14:paraId="65915F74" w14:textId="77777777" w:rsidR="00CF76EA" w:rsidRPr="00324291" w:rsidRDefault="00CF76EA" w:rsidP="00324291">
      <w:pPr>
        <w:rPr>
          <w:rFonts w:ascii="Arial" w:hAnsi="Arial" w:cs="Arial"/>
        </w:rPr>
      </w:pPr>
      <w:r w:rsidRPr="00324291">
        <w:rPr>
          <w:rFonts w:ascii="Arial" w:hAnsi="Arial" w:cs="Arial"/>
        </w:rPr>
        <w:t>Sahu, K., Nandi, N., Dolai, S. and Bera, A., 2018. A Ratio-Analysis Method for the Dynamics of Excited State Proton Transfer: Pyranine in Water and Micelles. The Journal of Physical Chemistry B, 122(25), pp.6610-6615.</w:t>
      </w:r>
    </w:p>
    <w:sectPr w:rsidR="00CF76EA" w:rsidRPr="00324291" w:rsidSect="003269E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2A98F" w14:textId="77777777" w:rsidR="00FD1CC8" w:rsidRDefault="00FD1CC8" w:rsidP="003269E8">
      <w:pPr>
        <w:spacing w:after="0" w:line="240" w:lineRule="auto"/>
      </w:pPr>
      <w:r>
        <w:separator/>
      </w:r>
    </w:p>
  </w:endnote>
  <w:endnote w:type="continuationSeparator" w:id="0">
    <w:p w14:paraId="563E272C" w14:textId="77777777" w:rsidR="00FD1CC8" w:rsidRDefault="00FD1CC8" w:rsidP="00326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0176440"/>
      <w:docPartObj>
        <w:docPartGallery w:val="Page Numbers (Bottom of Page)"/>
        <w:docPartUnique/>
      </w:docPartObj>
    </w:sdtPr>
    <w:sdtEndPr>
      <w:rPr>
        <w:noProof/>
      </w:rPr>
    </w:sdtEndPr>
    <w:sdtContent>
      <w:p w14:paraId="7F179CB0" w14:textId="6C7AF111" w:rsidR="003269E8" w:rsidRDefault="003269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BDCBB8" w14:textId="77777777" w:rsidR="003269E8" w:rsidRDefault="0032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49689" w14:textId="77777777" w:rsidR="00FD1CC8" w:rsidRDefault="00FD1CC8" w:rsidP="003269E8">
      <w:pPr>
        <w:spacing w:after="0" w:line="240" w:lineRule="auto"/>
      </w:pPr>
      <w:r>
        <w:separator/>
      </w:r>
    </w:p>
  </w:footnote>
  <w:footnote w:type="continuationSeparator" w:id="0">
    <w:p w14:paraId="5651D82C" w14:textId="77777777" w:rsidR="00FD1CC8" w:rsidRDefault="00FD1CC8" w:rsidP="00326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0F02"/>
    <w:multiLevelType w:val="hybridMultilevel"/>
    <w:tmpl w:val="780E45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3F166FF"/>
    <w:multiLevelType w:val="hybridMultilevel"/>
    <w:tmpl w:val="FABA7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EE4"/>
    <w:rsid w:val="000B5E8A"/>
    <w:rsid w:val="00324291"/>
    <w:rsid w:val="003269E8"/>
    <w:rsid w:val="00467A8E"/>
    <w:rsid w:val="005071F8"/>
    <w:rsid w:val="0059692F"/>
    <w:rsid w:val="008E1EE4"/>
    <w:rsid w:val="00AD40CA"/>
    <w:rsid w:val="00B24B3E"/>
    <w:rsid w:val="00B83BDF"/>
    <w:rsid w:val="00CF76EA"/>
    <w:rsid w:val="00FD1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965E"/>
  <w15:chartTrackingRefBased/>
  <w15:docId w15:val="{DA480A65-121D-4505-BDF2-65446F6B4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291"/>
    <w:pPr>
      <w:ind w:left="720"/>
      <w:contextualSpacing/>
    </w:pPr>
  </w:style>
  <w:style w:type="paragraph" w:styleId="Header">
    <w:name w:val="header"/>
    <w:basedOn w:val="Normal"/>
    <w:link w:val="HeaderChar"/>
    <w:uiPriority w:val="99"/>
    <w:unhideWhenUsed/>
    <w:rsid w:val="00326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9E8"/>
  </w:style>
  <w:style w:type="paragraph" w:styleId="Footer">
    <w:name w:val="footer"/>
    <w:basedOn w:val="Normal"/>
    <w:link w:val="FooterChar"/>
    <w:uiPriority w:val="99"/>
    <w:unhideWhenUsed/>
    <w:rsid w:val="00326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emf"/><Relationship Id="rId18" Type="http://schemas.openxmlformats.org/officeDocument/2006/relationships/chart" Target="charts/chart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chart" Target="charts/chart5.xml"/><Relationship Id="rId17" Type="http://schemas.openxmlformats.org/officeDocument/2006/relationships/image" Target="media/image4.emf"/><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sanju\2%20July\ratios.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user\Desktop\sanju\2%20July\ratios.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overlay val="0"/>
      <c:txPr>
        <a:bodyPr rot="0" vert="horz"/>
        <a:lstStyle/>
        <a:p>
          <a:pPr>
            <a:defRPr/>
          </a:pPr>
          <a:endParaRPr lang="en-US"/>
        </a:p>
      </c:txPr>
    </c:title>
    <c:autoTitleDeleted val="0"/>
    <c:plotArea>
      <c:layout/>
      <c:barChart>
        <c:barDir val="col"/>
        <c:grouping val="clustered"/>
        <c:varyColors val="0"/>
        <c:ser>
          <c:idx val="0"/>
          <c:order val="0"/>
          <c:tx>
            <c:strRef>
              <c:f>Sheet2!$A$3</c:f>
              <c:strCache>
                <c:ptCount val="1"/>
                <c:pt idx="0">
                  <c:v>Gross margin</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Sheet2!$B$2:$C$2</c:f>
              <c:numCache>
                <c:formatCode>General</c:formatCode>
                <c:ptCount val="2"/>
                <c:pt idx="0">
                  <c:v>2018</c:v>
                </c:pt>
                <c:pt idx="1">
                  <c:v>2019</c:v>
                </c:pt>
              </c:numCache>
            </c:numRef>
          </c:cat>
          <c:val>
            <c:numRef>
              <c:f>Sheet2!$B$3:$C$3</c:f>
              <c:numCache>
                <c:formatCode>General</c:formatCode>
                <c:ptCount val="2"/>
                <c:pt idx="0">
                  <c:v>91.82</c:v>
                </c:pt>
                <c:pt idx="1">
                  <c:v>85.83</c:v>
                </c:pt>
              </c:numCache>
            </c:numRef>
          </c:val>
          <c:extLst>
            <c:ext xmlns:c16="http://schemas.microsoft.com/office/drawing/2014/chart" uri="{C3380CC4-5D6E-409C-BE32-E72D297353CC}">
              <c16:uniqueId val="{00000000-9FF1-45B7-B6E8-D74A78A5B1FB}"/>
            </c:ext>
          </c:extLst>
        </c:ser>
        <c:dLbls>
          <c:showLegendKey val="0"/>
          <c:showVal val="0"/>
          <c:showCatName val="0"/>
          <c:showSerName val="0"/>
          <c:showPercent val="0"/>
          <c:showBubbleSize val="0"/>
        </c:dLbls>
        <c:gapWidth val="219"/>
        <c:overlap val="-27"/>
        <c:axId val="79405056"/>
        <c:axId val="79406592"/>
      </c:barChart>
      <c:catAx>
        <c:axId val="7940505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79406592"/>
        <c:crosses val="autoZero"/>
        <c:auto val="1"/>
        <c:lblAlgn val="ctr"/>
        <c:lblOffset val="100"/>
        <c:noMultiLvlLbl val="0"/>
      </c:catAx>
      <c:valAx>
        <c:axId val="79406592"/>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79405056"/>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overlay val="0"/>
      <c:txPr>
        <a:bodyPr rot="0" vert="horz"/>
        <a:lstStyle/>
        <a:p>
          <a:pPr>
            <a:defRPr/>
          </a:pPr>
          <a:endParaRPr lang="en-US"/>
        </a:p>
      </c:txPr>
    </c:title>
    <c:autoTitleDeleted val="0"/>
    <c:plotArea>
      <c:layout/>
      <c:barChart>
        <c:barDir val="col"/>
        <c:grouping val="clustered"/>
        <c:varyColors val="0"/>
        <c:ser>
          <c:idx val="0"/>
          <c:order val="0"/>
          <c:tx>
            <c:strRef>
              <c:f>Sheet3!$A$3</c:f>
              <c:strCache>
                <c:ptCount val="1"/>
                <c:pt idx="0">
                  <c:v>Net margin</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Sheet3!$B$2:$C$2</c:f>
              <c:numCache>
                <c:formatCode>General</c:formatCode>
                <c:ptCount val="2"/>
                <c:pt idx="0">
                  <c:v>2018</c:v>
                </c:pt>
                <c:pt idx="1">
                  <c:v>2019</c:v>
                </c:pt>
              </c:numCache>
            </c:numRef>
          </c:cat>
          <c:val>
            <c:numRef>
              <c:f>Sheet3!$B$3:$C$3</c:f>
              <c:numCache>
                <c:formatCode>General</c:formatCode>
                <c:ptCount val="2"/>
                <c:pt idx="0">
                  <c:v>72.87</c:v>
                </c:pt>
                <c:pt idx="1">
                  <c:v>67.88</c:v>
                </c:pt>
              </c:numCache>
            </c:numRef>
          </c:val>
          <c:extLst>
            <c:ext xmlns:c16="http://schemas.microsoft.com/office/drawing/2014/chart" uri="{C3380CC4-5D6E-409C-BE32-E72D297353CC}">
              <c16:uniqueId val="{00000000-F679-4E73-B8D6-F7AB372726DA}"/>
            </c:ext>
          </c:extLst>
        </c:ser>
        <c:dLbls>
          <c:showLegendKey val="0"/>
          <c:showVal val="0"/>
          <c:showCatName val="0"/>
          <c:showSerName val="0"/>
          <c:showPercent val="0"/>
          <c:showBubbleSize val="0"/>
        </c:dLbls>
        <c:gapWidth val="219"/>
        <c:overlap val="-27"/>
        <c:axId val="107079936"/>
        <c:axId val="142118272"/>
      </c:barChart>
      <c:catAx>
        <c:axId val="10707993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42118272"/>
        <c:crosses val="autoZero"/>
        <c:auto val="1"/>
        <c:lblAlgn val="ctr"/>
        <c:lblOffset val="100"/>
        <c:noMultiLvlLbl val="0"/>
      </c:catAx>
      <c:valAx>
        <c:axId val="142118272"/>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07079936"/>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txPr>
        <a:bodyPr rot="0" vert="horz"/>
        <a:lstStyle/>
        <a:p>
          <a:pPr>
            <a:defRPr/>
          </a:pPr>
          <a:endParaRPr lang="en-US"/>
        </a:p>
      </c:txPr>
    </c:title>
    <c:autoTitleDeleted val="0"/>
    <c:plotArea>
      <c:layout/>
      <c:barChart>
        <c:barDir val="col"/>
        <c:grouping val="clustered"/>
        <c:varyColors val="0"/>
        <c:ser>
          <c:idx val="0"/>
          <c:order val="0"/>
          <c:tx>
            <c:strRef>
              <c:f>Sheet4!$A$2</c:f>
              <c:strCache>
                <c:ptCount val="1"/>
                <c:pt idx="0">
                  <c:v>Return on assets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Sheet4!$B$1:$C$1</c:f>
              <c:numCache>
                <c:formatCode>General</c:formatCode>
                <c:ptCount val="2"/>
                <c:pt idx="0">
                  <c:v>2018</c:v>
                </c:pt>
                <c:pt idx="1">
                  <c:v>2019</c:v>
                </c:pt>
              </c:numCache>
            </c:numRef>
          </c:cat>
          <c:val>
            <c:numRef>
              <c:f>Sheet4!$B$2:$C$2</c:f>
              <c:numCache>
                <c:formatCode>General</c:formatCode>
                <c:ptCount val="2"/>
                <c:pt idx="0">
                  <c:v>0.53</c:v>
                </c:pt>
                <c:pt idx="1">
                  <c:v>0.52</c:v>
                </c:pt>
              </c:numCache>
            </c:numRef>
          </c:val>
          <c:extLst>
            <c:ext xmlns:c16="http://schemas.microsoft.com/office/drawing/2014/chart" uri="{C3380CC4-5D6E-409C-BE32-E72D297353CC}">
              <c16:uniqueId val="{00000000-9CCB-4B9C-AE47-F0A1C43822E5}"/>
            </c:ext>
          </c:extLst>
        </c:ser>
        <c:dLbls>
          <c:showLegendKey val="0"/>
          <c:showVal val="0"/>
          <c:showCatName val="0"/>
          <c:showSerName val="0"/>
          <c:showPercent val="0"/>
          <c:showBubbleSize val="0"/>
        </c:dLbls>
        <c:gapWidth val="219"/>
        <c:overlap val="-27"/>
        <c:axId val="141958144"/>
        <c:axId val="150054016"/>
      </c:barChart>
      <c:catAx>
        <c:axId val="14195814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50054016"/>
        <c:crosses val="autoZero"/>
        <c:auto val="1"/>
        <c:lblAlgn val="ctr"/>
        <c:lblOffset val="100"/>
        <c:noMultiLvlLbl val="0"/>
      </c:catAx>
      <c:valAx>
        <c:axId val="15005401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4195814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ROCE</a:t>
            </a:r>
          </a:p>
        </c:rich>
      </c:tx>
      <c:overlay val="0"/>
      <c:spPr>
        <a:noFill/>
        <a:ln>
          <a:noFill/>
        </a:ln>
        <a:effectLst/>
      </c:spPr>
    </c:title>
    <c:autoTitleDeleted val="0"/>
    <c:plotArea>
      <c:layout/>
      <c:barChart>
        <c:barDir val="col"/>
        <c:grouping val="clustered"/>
        <c:varyColors val="0"/>
        <c:ser>
          <c:idx val="0"/>
          <c:order val="0"/>
          <c:tx>
            <c:strRef>
              <c:f>Sheet5!$A$2</c:f>
              <c:strCache>
                <c:ptCount val="1"/>
                <c:pt idx="0">
                  <c:v>ROE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Sheet5!$B$1:$C$1</c:f>
              <c:numCache>
                <c:formatCode>General</c:formatCode>
                <c:ptCount val="2"/>
                <c:pt idx="0">
                  <c:v>2018</c:v>
                </c:pt>
                <c:pt idx="1">
                  <c:v>2019</c:v>
                </c:pt>
              </c:numCache>
            </c:numRef>
          </c:cat>
          <c:val>
            <c:numRef>
              <c:f>Sheet5!$B$2:$C$2</c:f>
              <c:numCache>
                <c:formatCode>General</c:formatCode>
                <c:ptCount val="2"/>
                <c:pt idx="0">
                  <c:v>0.81</c:v>
                </c:pt>
                <c:pt idx="1">
                  <c:v>0.82</c:v>
                </c:pt>
              </c:numCache>
            </c:numRef>
          </c:val>
          <c:extLst>
            <c:ext xmlns:c16="http://schemas.microsoft.com/office/drawing/2014/chart" uri="{C3380CC4-5D6E-409C-BE32-E72D297353CC}">
              <c16:uniqueId val="{00000000-CC6E-4CFC-9999-0EC11B79DA94}"/>
            </c:ext>
          </c:extLst>
        </c:ser>
        <c:dLbls>
          <c:showLegendKey val="0"/>
          <c:showVal val="0"/>
          <c:showCatName val="0"/>
          <c:showSerName val="0"/>
          <c:showPercent val="0"/>
          <c:showBubbleSize val="0"/>
        </c:dLbls>
        <c:gapWidth val="219"/>
        <c:overlap val="-27"/>
        <c:axId val="141611776"/>
        <c:axId val="141613312"/>
      </c:barChart>
      <c:catAx>
        <c:axId val="14161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13312"/>
        <c:crosses val="autoZero"/>
        <c:auto val="1"/>
        <c:lblAlgn val="ctr"/>
        <c:lblOffset val="100"/>
        <c:noMultiLvlLbl val="0"/>
      </c:catAx>
      <c:valAx>
        <c:axId val="141613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11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overlay val="0"/>
      <c:txPr>
        <a:bodyPr rot="0" vert="horz"/>
        <a:lstStyle/>
        <a:p>
          <a:pPr>
            <a:defRPr/>
          </a:pPr>
          <a:endParaRPr lang="en-US"/>
        </a:p>
      </c:txPr>
    </c:title>
    <c:autoTitleDeleted val="0"/>
    <c:plotArea>
      <c:layout/>
      <c:barChart>
        <c:barDir val="col"/>
        <c:grouping val="clustered"/>
        <c:varyColors val="0"/>
        <c:ser>
          <c:idx val="0"/>
          <c:order val="0"/>
          <c:tx>
            <c:strRef>
              <c:f>Sheet6!$A$3</c:f>
              <c:strCache>
                <c:ptCount val="1"/>
                <c:pt idx="0">
                  <c:v>Current ratio</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Sheet6!$B$2:$C$2</c:f>
              <c:numCache>
                <c:formatCode>General</c:formatCode>
                <c:ptCount val="2"/>
                <c:pt idx="0">
                  <c:v>2018</c:v>
                </c:pt>
                <c:pt idx="1">
                  <c:v>2019</c:v>
                </c:pt>
              </c:numCache>
            </c:numRef>
          </c:cat>
          <c:val>
            <c:numRef>
              <c:f>Sheet6!$B$3:$C$3</c:f>
              <c:numCache>
                <c:formatCode>General</c:formatCode>
                <c:ptCount val="2"/>
                <c:pt idx="0">
                  <c:v>1.29</c:v>
                </c:pt>
                <c:pt idx="1">
                  <c:v>1</c:v>
                </c:pt>
              </c:numCache>
            </c:numRef>
          </c:val>
          <c:extLst>
            <c:ext xmlns:c16="http://schemas.microsoft.com/office/drawing/2014/chart" uri="{C3380CC4-5D6E-409C-BE32-E72D297353CC}">
              <c16:uniqueId val="{00000000-D8E0-4B5B-A95C-9FF7F90F9A31}"/>
            </c:ext>
          </c:extLst>
        </c:ser>
        <c:dLbls>
          <c:showLegendKey val="0"/>
          <c:showVal val="0"/>
          <c:showCatName val="0"/>
          <c:showSerName val="0"/>
          <c:showPercent val="0"/>
          <c:showBubbleSize val="0"/>
        </c:dLbls>
        <c:gapWidth val="219"/>
        <c:overlap val="-27"/>
        <c:axId val="144069760"/>
        <c:axId val="144071296"/>
      </c:barChart>
      <c:catAx>
        <c:axId val="144069760"/>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44071296"/>
        <c:crosses val="autoZero"/>
        <c:auto val="1"/>
        <c:lblAlgn val="ctr"/>
        <c:lblOffset val="100"/>
        <c:noMultiLvlLbl val="0"/>
      </c:catAx>
      <c:valAx>
        <c:axId val="14407129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44069760"/>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6"/>
    </mc:Choice>
    <mc:Fallback>
      <c:style val="16"/>
    </mc:Fallback>
  </mc:AlternateContent>
  <c:clrMapOvr bg1="lt1" tx1="dk1" bg2="lt2" tx2="dk2" accent1="accent1" accent2="accent2" accent3="accent3" accent4="accent4" accent5="accent5" accent6="accent6" hlink="hlink" folHlink="folHlink"/>
  <c:chart>
    <c:title>
      <c:overlay val="0"/>
      <c:txPr>
        <a:bodyPr rot="0" vert="horz"/>
        <a:lstStyle/>
        <a:p>
          <a:pPr>
            <a:defRPr/>
          </a:pPr>
          <a:endParaRPr lang="en-US"/>
        </a:p>
      </c:txPr>
    </c:title>
    <c:autoTitleDeleted val="0"/>
    <c:plotArea>
      <c:layout/>
      <c:barChart>
        <c:barDir val="col"/>
        <c:grouping val="clustered"/>
        <c:varyColors val="0"/>
        <c:ser>
          <c:idx val="0"/>
          <c:order val="0"/>
          <c:tx>
            <c:strRef>
              <c:f>Sheet7!$A$2</c:f>
              <c:strCache>
                <c:ptCount val="1"/>
                <c:pt idx="0">
                  <c:v>Quick ratio</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Sheet7!$B$1:$C$1</c:f>
              <c:numCache>
                <c:formatCode>General</c:formatCode>
                <c:ptCount val="2"/>
                <c:pt idx="0">
                  <c:v>2018</c:v>
                </c:pt>
                <c:pt idx="1">
                  <c:v>2019</c:v>
                </c:pt>
              </c:numCache>
            </c:numRef>
          </c:cat>
          <c:val>
            <c:numRef>
              <c:f>Sheet7!$B$2:$C$2</c:f>
              <c:numCache>
                <c:formatCode>General</c:formatCode>
                <c:ptCount val="2"/>
                <c:pt idx="0">
                  <c:v>0.21</c:v>
                </c:pt>
                <c:pt idx="1">
                  <c:v>0.13</c:v>
                </c:pt>
              </c:numCache>
            </c:numRef>
          </c:val>
          <c:extLst>
            <c:ext xmlns:c16="http://schemas.microsoft.com/office/drawing/2014/chart" uri="{C3380CC4-5D6E-409C-BE32-E72D297353CC}">
              <c16:uniqueId val="{00000000-1D33-46BC-8AA9-7E970075838C}"/>
            </c:ext>
          </c:extLst>
        </c:ser>
        <c:dLbls>
          <c:showLegendKey val="0"/>
          <c:showVal val="0"/>
          <c:showCatName val="0"/>
          <c:showSerName val="0"/>
          <c:showPercent val="0"/>
          <c:showBubbleSize val="0"/>
        </c:dLbls>
        <c:gapWidth val="219"/>
        <c:overlap val="-27"/>
        <c:axId val="144281984"/>
        <c:axId val="141509376"/>
      </c:barChart>
      <c:catAx>
        <c:axId val="14428198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41509376"/>
        <c:crosses val="autoZero"/>
        <c:auto val="1"/>
        <c:lblAlgn val="ctr"/>
        <c:lblOffset val="100"/>
        <c:noMultiLvlLbl val="0"/>
      </c:catAx>
      <c:valAx>
        <c:axId val="14150937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44281984"/>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title>
      <c:overlay val="0"/>
      <c:txPr>
        <a:bodyPr rot="0" vert="horz"/>
        <a:lstStyle/>
        <a:p>
          <a:pPr>
            <a:defRPr/>
          </a:pPr>
          <a:endParaRPr lang="en-US"/>
        </a:p>
      </c:txPr>
    </c:title>
    <c:autoTitleDeleted val="0"/>
    <c:plotArea>
      <c:layout/>
      <c:barChart>
        <c:barDir val="col"/>
        <c:grouping val="clustered"/>
        <c:varyColors val="0"/>
        <c:ser>
          <c:idx val="0"/>
          <c:order val="0"/>
          <c:tx>
            <c:strRef>
              <c:f>Sheet8!$A$3</c:f>
              <c:strCache>
                <c:ptCount val="1"/>
                <c:pt idx="0">
                  <c:v>Debt to equity ratio</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Sheet8!$B$2:$C$2</c:f>
              <c:numCache>
                <c:formatCode>General</c:formatCode>
                <c:ptCount val="2"/>
                <c:pt idx="0">
                  <c:v>2018</c:v>
                </c:pt>
                <c:pt idx="1">
                  <c:v>2019</c:v>
                </c:pt>
              </c:numCache>
            </c:numRef>
          </c:cat>
          <c:val>
            <c:numRef>
              <c:f>Sheet8!$B$3:$C$3</c:f>
              <c:numCache>
                <c:formatCode>General</c:formatCode>
                <c:ptCount val="2"/>
                <c:pt idx="0">
                  <c:v>0.34</c:v>
                </c:pt>
                <c:pt idx="1">
                  <c:v>0.34</c:v>
                </c:pt>
              </c:numCache>
            </c:numRef>
          </c:val>
          <c:extLst>
            <c:ext xmlns:c16="http://schemas.microsoft.com/office/drawing/2014/chart" uri="{C3380CC4-5D6E-409C-BE32-E72D297353CC}">
              <c16:uniqueId val="{00000000-606B-47FE-884F-440FDA888B4F}"/>
            </c:ext>
          </c:extLst>
        </c:ser>
        <c:dLbls>
          <c:showLegendKey val="0"/>
          <c:showVal val="0"/>
          <c:showCatName val="0"/>
          <c:showSerName val="0"/>
          <c:showPercent val="0"/>
          <c:showBubbleSize val="0"/>
        </c:dLbls>
        <c:gapWidth val="219"/>
        <c:overlap val="-27"/>
        <c:axId val="144484992"/>
        <c:axId val="144486784"/>
      </c:barChart>
      <c:catAx>
        <c:axId val="14448499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44486784"/>
        <c:crosses val="autoZero"/>
        <c:auto val="1"/>
        <c:lblAlgn val="ctr"/>
        <c:lblOffset val="100"/>
        <c:noMultiLvlLbl val="0"/>
      </c:catAx>
      <c:valAx>
        <c:axId val="144486784"/>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44484992"/>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Sheet10!$A$3</c:f>
              <c:strCache>
                <c:ptCount val="1"/>
                <c:pt idx="0">
                  <c:v>Debt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Sheet10!$B$2:$C$2</c:f>
              <c:numCache>
                <c:formatCode>General</c:formatCode>
                <c:ptCount val="2"/>
                <c:pt idx="0">
                  <c:v>2018</c:v>
                </c:pt>
                <c:pt idx="1">
                  <c:v>2019</c:v>
                </c:pt>
              </c:numCache>
            </c:numRef>
          </c:cat>
          <c:val>
            <c:numRef>
              <c:f>Sheet10!$B$3:$C$3</c:f>
              <c:numCache>
                <c:formatCode>General</c:formatCode>
                <c:ptCount val="2"/>
                <c:pt idx="0">
                  <c:v>1.24</c:v>
                </c:pt>
                <c:pt idx="1">
                  <c:v>1.29</c:v>
                </c:pt>
              </c:numCache>
            </c:numRef>
          </c:val>
          <c:extLst>
            <c:ext xmlns:c16="http://schemas.microsoft.com/office/drawing/2014/chart" uri="{C3380CC4-5D6E-409C-BE32-E72D297353CC}">
              <c16:uniqueId val="{00000000-6B9A-4E79-BCD8-F4259F473C89}"/>
            </c:ext>
          </c:extLst>
        </c:ser>
        <c:dLbls>
          <c:showLegendKey val="0"/>
          <c:showVal val="0"/>
          <c:showCatName val="0"/>
          <c:showSerName val="0"/>
          <c:showPercent val="0"/>
          <c:showBubbleSize val="0"/>
        </c:dLbls>
        <c:gapWidth val="219"/>
        <c:overlap val="-27"/>
        <c:axId val="145669504"/>
        <c:axId val="147078144"/>
      </c:barChart>
      <c:catAx>
        <c:axId val="145669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78144"/>
        <c:crosses val="autoZero"/>
        <c:auto val="1"/>
        <c:lblAlgn val="ctr"/>
        <c:lblOffset val="100"/>
        <c:noMultiLvlLbl val="0"/>
      </c:catAx>
      <c:valAx>
        <c:axId val="147078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69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1401</TotalTime>
  <Pages>11</Pages>
  <Words>2508</Words>
  <Characters>14297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2020-06-30T11:39:00Z</dcterms:created>
  <dcterms:modified xsi:type="dcterms:W3CDTF">2020-07-03T12:51:00Z</dcterms:modified>
</cp:coreProperties>
</file>