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DA47A" w14:textId="77777777" w:rsidR="00B166D8" w:rsidRPr="002A4948" w:rsidRDefault="00B166D8" w:rsidP="00B166D8">
      <w:pPr>
        <w:jc w:val="center"/>
        <w:rPr>
          <w:rFonts w:ascii="Arial" w:hAnsi="Arial" w:cs="Arial"/>
          <w:b/>
          <w:bCs/>
        </w:rPr>
      </w:pPr>
      <w:r w:rsidRPr="002A4948">
        <w:rPr>
          <w:rFonts w:ascii="Arial" w:hAnsi="Arial" w:cs="Arial"/>
          <w:b/>
          <w:bCs/>
        </w:rPr>
        <w:t>YEAR 2 - ASSIGNMENT 2</w:t>
      </w:r>
    </w:p>
    <w:p w14:paraId="683B9EC8" w14:textId="77777777" w:rsidR="00B166D8" w:rsidRPr="002A4948" w:rsidRDefault="00B166D8" w:rsidP="00B166D8">
      <w:pPr>
        <w:jc w:val="center"/>
        <w:rPr>
          <w:rFonts w:ascii="Arial" w:hAnsi="Arial" w:cs="Arial"/>
          <w:b/>
          <w:bCs/>
        </w:rPr>
      </w:pPr>
      <w:r w:rsidRPr="002A4948">
        <w:rPr>
          <w:rFonts w:ascii="Arial" w:hAnsi="Arial" w:cs="Arial"/>
          <w:b/>
          <w:bCs/>
        </w:rPr>
        <w:t>STUDENT ID: 2124840</w:t>
      </w:r>
    </w:p>
    <w:p w14:paraId="52473CEA" w14:textId="77777777" w:rsidR="00B166D8" w:rsidRPr="002A4948" w:rsidRDefault="00B166D8" w:rsidP="00B166D8">
      <w:pPr>
        <w:jc w:val="center"/>
        <w:rPr>
          <w:rFonts w:ascii="Arial" w:hAnsi="Arial" w:cs="Arial"/>
          <w:b/>
          <w:bCs/>
        </w:rPr>
      </w:pPr>
      <w:r w:rsidRPr="002A4948">
        <w:rPr>
          <w:rFonts w:ascii="Arial" w:hAnsi="Arial" w:cs="Arial"/>
          <w:b/>
          <w:bCs/>
        </w:rPr>
        <w:t>LEAH MURDOCK</w:t>
      </w:r>
    </w:p>
    <w:p w14:paraId="63578DB6" w14:textId="77777777" w:rsidR="00B166D8" w:rsidRDefault="00B166D8" w:rsidP="00483524">
      <w:pPr>
        <w:pStyle w:val="PlainText"/>
        <w:jc w:val="both"/>
        <w:rPr>
          <w:rFonts w:ascii="Arial" w:hAnsi="Arial" w:cs="Arial"/>
          <w:b/>
          <w:bCs/>
        </w:rPr>
      </w:pPr>
    </w:p>
    <w:p w14:paraId="4401977E" w14:textId="77777777" w:rsidR="00B166D8" w:rsidRDefault="00B166D8" w:rsidP="00483524">
      <w:pPr>
        <w:pStyle w:val="PlainText"/>
        <w:jc w:val="both"/>
        <w:rPr>
          <w:rFonts w:ascii="Arial" w:hAnsi="Arial" w:cs="Arial"/>
          <w:b/>
          <w:bCs/>
        </w:rPr>
      </w:pPr>
    </w:p>
    <w:p w14:paraId="0758D977" w14:textId="30E45E47" w:rsidR="00483524" w:rsidRPr="00483524" w:rsidRDefault="00483524" w:rsidP="00483524">
      <w:pPr>
        <w:pStyle w:val="PlainText"/>
        <w:jc w:val="both"/>
        <w:rPr>
          <w:rFonts w:ascii="Arial" w:hAnsi="Arial" w:cs="Arial"/>
          <w:b/>
          <w:bCs/>
        </w:rPr>
      </w:pPr>
      <w:r w:rsidRPr="00483524">
        <w:rPr>
          <w:rFonts w:ascii="Arial" w:hAnsi="Arial" w:cs="Arial"/>
          <w:b/>
          <w:bCs/>
        </w:rPr>
        <w:t>To what extent do response officers have a role in counter-terrorism policing? Your answer must be based on academic research, although you may make reference to recent, relevant case studies.</w:t>
      </w:r>
    </w:p>
    <w:p w14:paraId="769B681E" w14:textId="77777777" w:rsidR="00483524" w:rsidRPr="00483524" w:rsidRDefault="00483524" w:rsidP="00483524">
      <w:pPr>
        <w:pStyle w:val="PlainText"/>
        <w:jc w:val="both"/>
        <w:rPr>
          <w:rFonts w:ascii="Arial" w:hAnsi="Arial" w:cs="Arial"/>
          <w:b/>
          <w:bCs/>
        </w:rPr>
      </w:pPr>
    </w:p>
    <w:p w14:paraId="7D463FDC" w14:textId="3058DDCE" w:rsidR="00483524" w:rsidRDefault="00483524" w:rsidP="00483524">
      <w:pPr>
        <w:pStyle w:val="PlainText"/>
        <w:jc w:val="both"/>
        <w:rPr>
          <w:rFonts w:ascii="Arial" w:hAnsi="Arial" w:cs="Arial"/>
          <w:b/>
          <w:bCs/>
        </w:rPr>
      </w:pPr>
      <w:r w:rsidRPr="00483524">
        <w:rPr>
          <w:rFonts w:ascii="Arial" w:hAnsi="Arial" w:cs="Arial"/>
          <w:b/>
          <w:bCs/>
        </w:rPr>
        <w:t>WORD COUNT: 2000</w:t>
      </w:r>
    </w:p>
    <w:p w14:paraId="7DE1BFF4" w14:textId="77777777" w:rsidR="00810FC4" w:rsidRDefault="00810FC4" w:rsidP="00483524">
      <w:pPr>
        <w:pStyle w:val="PlainText"/>
        <w:jc w:val="both"/>
        <w:rPr>
          <w:rFonts w:ascii="Arial" w:hAnsi="Arial" w:cs="Arial"/>
          <w:b/>
          <w:bCs/>
        </w:rPr>
      </w:pPr>
    </w:p>
    <w:p w14:paraId="5A2687E6" w14:textId="5B4E316B" w:rsidR="00810FC4" w:rsidRPr="00810FC4" w:rsidRDefault="00810FC4" w:rsidP="00483524">
      <w:pPr>
        <w:pStyle w:val="PlainText"/>
        <w:jc w:val="both"/>
        <w:rPr>
          <w:rFonts w:ascii="Arial" w:hAnsi="Arial" w:cs="Arial"/>
        </w:rPr>
      </w:pPr>
      <w:r>
        <w:rPr>
          <w:rFonts w:ascii="Arial" w:hAnsi="Arial" w:cs="Arial"/>
        </w:rPr>
        <w:t xml:space="preserve">This essay will highlight the extent of the role </w:t>
      </w:r>
      <w:r w:rsidR="003F63CD">
        <w:rPr>
          <w:rFonts w:ascii="Arial" w:hAnsi="Arial" w:cs="Arial"/>
        </w:rPr>
        <w:t xml:space="preserve">in </w:t>
      </w:r>
      <w:r>
        <w:rPr>
          <w:rFonts w:ascii="Arial" w:hAnsi="Arial" w:cs="Arial"/>
        </w:rPr>
        <w:t xml:space="preserve">which response officers have in regard to counter-terrorism policing. This essay will also include academic research and </w:t>
      </w:r>
      <w:r w:rsidR="003F63CD">
        <w:rPr>
          <w:rFonts w:ascii="Arial" w:hAnsi="Arial" w:cs="Arial"/>
        </w:rPr>
        <w:t xml:space="preserve">references will be made to recent and relevant case studies which will support the points made within this essay. </w:t>
      </w:r>
    </w:p>
    <w:p w14:paraId="0B0CE432" w14:textId="77777777" w:rsidR="00483524" w:rsidRPr="00483524" w:rsidRDefault="00483524" w:rsidP="00483524">
      <w:pPr>
        <w:pStyle w:val="PlainText"/>
        <w:jc w:val="both"/>
        <w:rPr>
          <w:rFonts w:ascii="Arial" w:hAnsi="Arial" w:cs="Arial"/>
        </w:rPr>
      </w:pPr>
    </w:p>
    <w:p w14:paraId="3CDB45C5" w14:textId="4F6D802D" w:rsidR="00483524" w:rsidRPr="00483524" w:rsidRDefault="00483524" w:rsidP="00483524">
      <w:pPr>
        <w:pStyle w:val="PlainText"/>
        <w:jc w:val="both"/>
        <w:rPr>
          <w:rFonts w:ascii="Arial" w:hAnsi="Arial" w:cs="Arial"/>
        </w:rPr>
      </w:pPr>
      <w:r w:rsidRPr="00483524">
        <w:rPr>
          <w:rFonts w:ascii="Arial" w:hAnsi="Arial" w:cs="Arial"/>
        </w:rPr>
        <w:t>Terrorism is defined as: ‘’An indirect strategy of using fear or terror induced by violent attacks or force (or the threat of its use) against one group of people or their property as a means to intimidate and coerce another group of people and influence their actions in order to reach further political objectives. Terrorist acts are the violent act that form part of such a strategy’’ (Schwenkenbecher 2012)</w:t>
      </w:r>
      <w:r w:rsidR="00E3057D">
        <w:rPr>
          <w:rFonts w:ascii="Arial" w:hAnsi="Arial" w:cs="Arial"/>
        </w:rPr>
        <w:t xml:space="preserve">. </w:t>
      </w:r>
    </w:p>
    <w:p w14:paraId="43106BC3" w14:textId="77777777" w:rsidR="00483524" w:rsidRPr="00483524" w:rsidRDefault="00483524" w:rsidP="00483524">
      <w:pPr>
        <w:pStyle w:val="PlainText"/>
        <w:jc w:val="both"/>
        <w:rPr>
          <w:rFonts w:ascii="Arial" w:hAnsi="Arial" w:cs="Arial"/>
        </w:rPr>
      </w:pPr>
    </w:p>
    <w:p w14:paraId="01EDD213" w14:textId="0EEDF318" w:rsidR="007B1692" w:rsidRDefault="007B1692" w:rsidP="00483524">
      <w:pPr>
        <w:pStyle w:val="PlainText"/>
        <w:jc w:val="both"/>
        <w:rPr>
          <w:rFonts w:ascii="Arial" w:hAnsi="Arial" w:cs="Arial"/>
        </w:rPr>
      </w:pPr>
      <w:r w:rsidRPr="007B1692">
        <w:rPr>
          <w:rFonts w:ascii="Arial" w:hAnsi="Arial" w:cs="Arial"/>
        </w:rPr>
        <w:t>It is well acknowledged that terrorists target the public because they are so effective at convincing governments to make compromises</w:t>
      </w:r>
      <w:r w:rsidR="00483524" w:rsidRPr="00483524">
        <w:rPr>
          <w:rFonts w:ascii="Arial" w:hAnsi="Arial" w:cs="Arial"/>
        </w:rPr>
        <w:t xml:space="preserve"> (Abrahms 2019).</w:t>
      </w:r>
      <w:r>
        <w:rPr>
          <w:rFonts w:ascii="Arial" w:hAnsi="Arial" w:cs="Arial"/>
        </w:rPr>
        <w:t xml:space="preserve"> </w:t>
      </w:r>
      <w:r w:rsidRPr="007B1692">
        <w:rPr>
          <w:rFonts w:ascii="Arial" w:hAnsi="Arial" w:cs="Arial"/>
        </w:rPr>
        <w:t xml:space="preserve">The primary targets of persuasion tactics are the adversary and the audience that the terrorists seek to represent or influence. Terrorists employ basic signalling strategies in their planning. By </w:t>
      </w:r>
      <w:r w:rsidR="00E3057D" w:rsidRPr="007B1692">
        <w:rPr>
          <w:rFonts w:ascii="Arial" w:hAnsi="Arial" w:cs="Arial"/>
        </w:rPr>
        <w:t>conducting</w:t>
      </w:r>
      <w:r w:rsidRPr="007B1692">
        <w:rPr>
          <w:rFonts w:ascii="Arial" w:hAnsi="Arial" w:cs="Arial"/>
        </w:rPr>
        <w:t xml:space="preserve"> frequently brutal acts, terrorists hope to incite fear and confusion by demonstrating their capacity for violence against those who oppose them and their belief that the opposition and the organisations supporting them are dishonest and should not be supported</w:t>
      </w:r>
      <w:r>
        <w:rPr>
          <w:rFonts w:ascii="Arial" w:hAnsi="Arial" w:cs="Arial"/>
        </w:rPr>
        <w:t xml:space="preserve"> </w:t>
      </w:r>
      <w:r w:rsidR="00483524" w:rsidRPr="00483524">
        <w:rPr>
          <w:rFonts w:ascii="Arial" w:hAnsi="Arial" w:cs="Arial"/>
        </w:rPr>
        <w:t xml:space="preserve">(Abrahms and Mroszczyk 2022). </w:t>
      </w:r>
      <w:r w:rsidR="008128A9" w:rsidRPr="008128A9">
        <w:rPr>
          <w:rFonts w:ascii="Arial" w:hAnsi="Arial" w:cs="Arial"/>
        </w:rPr>
        <w:t>Numerous terrorist tactics that militant organisations use to sway particular audiences have been uncovered by research. While there is general agreement in the literature that militant organisations frequently use a variety of terrorist tactics to try to change the behaviour and thinking of these various social groups, there is also a lot of research on the political effectiveness of these tactics.</w:t>
      </w:r>
      <w:r w:rsidR="008128A9">
        <w:rPr>
          <w:rFonts w:ascii="Arial" w:hAnsi="Arial" w:cs="Arial"/>
        </w:rPr>
        <w:t xml:space="preserve"> </w:t>
      </w:r>
      <w:r w:rsidR="008128A9" w:rsidRPr="008128A9">
        <w:rPr>
          <w:rFonts w:ascii="Arial" w:hAnsi="Arial" w:cs="Arial"/>
        </w:rPr>
        <w:t>According to Shire, M. (2021), some studies contend that the tactical use of terrorism helps achieve the declared goals of militant groups, highlighting the fact that terrorism as a whole is beneficial in winning political concessions.  One popular theory emphasises how terrorism serves as a "costly signal" to a hostile group about a group's dedication and capacity for harm.</w:t>
      </w:r>
    </w:p>
    <w:p w14:paraId="2D30818D" w14:textId="77777777" w:rsidR="008128A9" w:rsidRDefault="008128A9" w:rsidP="00483524">
      <w:pPr>
        <w:pStyle w:val="PlainText"/>
        <w:jc w:val="both"/>
        <w:rPr>
          <w:rFonts w:ascii="Arial" w:hAnsi="Arial" w:cs="Arial"/>
        </w:rPr>
      </w:pPr>
    </w:p>
    <w:p w14:paraId="4112EFAE" w14:textId="521D7E10" w:rsidR="00183AC7" w:rsidRDefault="00B146A5" w:rsidP="00483524">
      <w:pPr>
        <w:pStyle w:val="PlainText"/>
        <w:jc w:val="both"/>
        <w:rPr>
          <w:rFonts w:ascii="Arial" w:hAnsi="Arial" w:cs="Arial"/>
          <w:szCs w:val="22"/>
        </w:rPr>
      </w:pPr>
      <w:r w:rsidRPr="00B146A5">
        <w:rPr>
          <w:rFonts w:ascii="Arial" w:hAnsi="Arial" w:cs="Arial"/>
        </w:rPr>
        <w:t>The attack on the World Trade Centre in New York on September 11, 2001, was the most well-known terrorist incident of the contemporary age. It was intended for this event to advance Al-Q</w:t>
      </w:r>
      <w:r>
        <w:rPr>
          <w:rFonts w:ascii="Arial" w:hAnsi="Arial" w:cs="Arial"/>
        </w:rPr>
        <w:t>aeda</w:t>
      </w:r>
      <w:r w:rsidRPr="00B146A5">
        <w:rPr>
          <w:rFonts w:ascii="Arial" w:hAnsi="Arial" w:cs="Arial"/>
        </w:rPr>
        <w:t xml:space="preserve"> goals on a global scale</w:t>
      </w:r>
      <w:r>
        <w:rPr>
          <w:rFonts w:ascii="Arial" w:hAnsi="Arial" w:cs="Arial"/>
        </w:rPr>
        <w:t xml:space="preserve"> by increasing the expense of the American policy of stationing forces in Saudi Arabia by attacking the centre of the US financial district. Moreover, Al-Qaeda may have also been attempting to provoke the Unites Statas into a military response by attacking key American economics and military icons in order to further its greater objectives of radicalising the Muslim population on the world (</w:t>
      </w:r>
      <w:r w:rsidRPr="008128A9">
        <w:rPr>
          <w:rFonts w:ascii="Arial" w:hAnsi="Arial" w:cs="Arial"/>
        </w:rPr>
        <w:t>Shire, M. 2021)</w:t>
      </w:r>
      <w:r>
        <w:rPr>
          <w:rFonts w:ascii="Arial" w:hAnsi="Arial" w:cs="Arial"/>
        </w:rPr>
        <w:t xml:space="preserve">. </w:t>
      </w:r>
      <w:r w:rsidR="000A4253">
        <w:rPr>
          <w:rFonts w:ascii="Arial" w:hAnsi="Arial" w:cs="Arial"/>
        </w:rPr>
        <w:t xml:space="preserve">One reaction from this attack was that </w:t>
      </w:r>
      <w:r w:rsidR="000A4253" w:rsidRPr="000A4253">
        <w:rPr>
          <w:rFonts w:ascii="Arial" w:hAnsi="Arial" w:cs="Arial"/>
        </w:rPr>
        <w:t>The Homeland Security Act of 2002, which George W. Bush signed into law, established the Office of Homeland Security, whose purpose is to "coordinate the executive branch's efforts to detect, prepare for, prevent, protect against, respond to, and recover from terrorist attacks within the United States."</w:t>
      </w:r>
      <w:r w:rsidR="000A4253">
        <w:rPr>
          <w:rFonts w:ascii="Arial" w:hAnsi="Arial" w:cs="Arial"/>
        </w:rPr>
        <w:t xml:space="preserve"> (</w:t>
      </w:r>
      <w:r w:rsidR="000A4253" w:rsidRPr="000A4253">
        <w:rPr>
          <w:rFonts w:ascii="Arial" w:hAnsi="Arial" w:cs="Arial"/>
          <w:szCs w:val="22"/>
        </w:rPr>
        <w:t>History.com Editors 2010)</w:t>
      </w:r>
      <w:r w:rsidR="000A4253">
        <w:rPr>
          <w:rFonts w:ascii="Arial" w:hAnsi="Arial" w:cs="Arial"/>
          <w:szCs w:val="22"/>
        </w:rPr>
        <w:t>. This article also states that its</w:t>
      </w:r>
      <w:r w:rsidR="000A4253" w:rsidRPr="000A4253">
        <w:rPr>
          <w:rFonts w:ascii="Arial" w:hAnsi="Arial" w:cs="Arial"/>
          <w:szCs w:val="22"/>
        </w:rPr>
        <w:t xml:space="preserve"> responsibilities include preventing terror attacks as well as handling border security, immigration, customs, and disaster assistance and prevention. Twenty-two independent agencies were united under it.</w:t>
      </w:r>
    </w:p>
    <w:p w14:paraId="3D0B0C13" w14:textId="77777777" w:rsidR="000A4253" w:rsidRDefault="000A4253" w:rsidP="00483524">
      <w:pPr>
        <w:pStyle w:val="PlainText"/>
        <w:jc w:val="both"/>
        <w:rPr>
          <w:rFonts w:ascii="Arial" w:hAnsi="Arial" w:cs="Arial"/>
          <w:szCs w:val="22"/>
        </w:rPr>
      </w:pPr>
    </w:p>
    <w:p w14:paraId="7298C5BC" w14:textId="0EA25A3B" w:rsidR="00811D71" w:rsidRDefault="000A4253" w:rsidP="00483524">
      <w:pPr>
        <w:pStyle w:val="PlainText"/>
        <w:jc w:val="both"/>
        <w:rPr>
          <w:rFonts w:ascii="Arial" w:hAnsi="Arial" w:cs="Arial"/>
          <w:szCs w:val="22"/>
        </w:rPr>
      </w:pPr>
      <w:r>
        <w:rPr>
          <w:rFonts w:ascii="Arial" w:hAnsi="Arial" w:cs="Arial"/>
        </w:rPr>
        <w:t xml:space="preserve">A strategy which also arose from the 9/11 attack was the launch of CONTEST. This strategic plan </w:t>
      </w:r>
      <w:r w:rsidR="00072C6C" w:rsidRPr="00072C6C">
        <w:rPr>
          <w:rFonts w:ascii="Arial" w:hAnsi="Arial" w:cs="Arial"/>
        </w:rPr>
        <w:t>is an updated response to the persistent and developing danger posed by terrorism, and it will protect the public by boosting the UK's resilience</w:t>
      </w:r>
      <w:r w:rsidR="00072C6C">
        <w:rPr>
          <w:rFonts w:ascii="Arial" w:hAnsi="Arial" w:cs="Arial"/>
        </w:rPr>
        <w:t xml:space="preserve">. </w:t>
      </w:r>
      <w:r w:rsidR="00072C6C" w:rsidRPr="00072C6C">
        <w:rPr>
          <w:rFonts w:ascii="Arial" w:hAnsi="Arial" w:cs="Arial"/>
        </w:rPr>
        <w:t>For more than two decades, the CONTEST strategy has aimed to diminish the threat of terrorism to the United Kingdom and its interests abroad</w:t>
      </w:r>
      <w:r w:rsidR="00072C6C">
        <w:rPr>
          <w:rFonts w:ascii="Arial" w:hAnsi="Arial" w:cs="Arial"/>
        </w:rPr>
        <w:t xml:space="preserve"> and </w:t>
      </w:r>
      <w:r w:rsidR="00072C6C" w:rsidRPr="00072C6C">
        <w:rPr>
          <w:rFonts w:ascii="Arial" w:hAnsi="Arial" w:cs="Arial"/>
        </w:rPr>
        <w:t>will continue to address the threat at all stages, including Prevent, Pursue, Protect, and Prepare – from protecting against and minimising the consequences of terrorist acts to preventing people from becoming terrorists by limiting radicalising influences</w:t>
      </w:r>
      <w:r w:rsidR="00072C6C">
        <w:rPr>
          <w:rFonts w:ascii="Arial" w:hAnsi="Arial" w:cs="Arial"/>
        </w:rPr>
        <w:t xml:space="preserve"> </w:t>
      </w:r>
      <w:r w:rsidR="00C738F5">
        <w:rPr>
          <w:rFonts w:ascii="Arial" w:hAnsi="Arial" w:cs="Arial"/>
        </w:rPr>
        <w:t>(</w:t>
      </w:r>
      <w:r w:rsidR="00072C6C" w:rsidRPr="00072C6C">
        <w:rPr>
          <w:rFonts w:ascii="Arial" w:hAnsi="Arial" w:cs="Arial"/>
          <w:szCs w:val="22"/>
        </w:rPr>
        <w:t>H</w:t>
      </w:r>
      <w:r w:rsidR="005B4726">
        <w:rPr>
          <w:rFonts w:ascii="Arial" w:hAnsi="Arial" w:cs="Arial"/>
          <w:szCs w:val="22"/>
        </w:rPr>
        <w:t>ome Office</w:t>
      </w:r>
      <w:r w:rsidR="00072C6C" w:rsidRPr="00072C6C">
        <w:rPr>
          <w:rFonts w:ascii="Arial" w:hAnsi="Arial" w:cs="Arial"/>
          <w:szCs w:val="22"/>
        </w:rPr>
        <w:t xml:space="preserve"> 2023)</w:t>
      </w:r>
      <w:r w:rsidR="00072C6C">
        <w:rPr>
          <w:rFonts w:ascii="Arial" w:hAnsi="Arial" w:cs="Arial"/>
          <w:szCs w:val="22"/>
        </w:rPr>
        <w:t xml:space="preserve">. </w:t>
      </w:r>
      <w:r w:rsidR="00242E9C">
        <w:rPr>
          <w:rFonts w:ascii="Arial" w:hAnsi="Arial" w:cs="Arial"/>
          <w:szCs w:val="22"/>
        </w:rPr>
        <w:t xml:space="preserve">This article also details that </w:t>
      </w:r>
      <w:r w:rsidR="00242E9C" w:rsidRPr="00242E9C">
        <w:rPr>
          <w:rFonts w:ascii="Arial" w:hAnsi="Arial" w:cs="Arial"/>
          <w:szCs w:val="22"/>
        </w:rPr>
        <w:t xml:space="preserve">CONTEST 2023 establishes a clear vision for an agile, integrated, and aligned approach, building on current relationships across government, policing, and intelligence agencies, as well as with the corporate sector, the public sector, and international partners. </w:t>
      </w:r>
      <w:r w:rsidR="00C123C6">
        <w:rPr>
          <w:rFonts w:ascii="Arial" w:hAnsi="Arial" w:cs="Arial"/>
          <w:szCs w:val="22"/>
        </w:rPr>
        <w:t>Moreover, a</w:t>
      </w:r>
      <w:r w:rsidR="00242E9C" w:rsidRPr="00242E9C">
        <w:rPr>
          <w:rFonts w:ascii="Arial" w:hAnsi="Arial" w:cs="Arial"/>
          <w:szCs w:val="22"/>
        </w:rPr>
        <w:t xml:space="preserve"> unified and coordinated response will ensure that we have all levers available to </w:t>
      </w:r>
      <w:r w:rsidR="00C123C6">
        <w:rPr>
          <w:rFonts w:ascii="Arial" w:hAnsi="Arial" w:cs="Arial"/>
          <w:szCs w:val="22"/>
        </w:rPr>
        <w:t>prevent</w:t>
      </w:r>
      <w:r w:rsidR="00242E9C" w:rsidRPr="00242E9C">
        <w:rPr>
          <w:rFonts w:ascii="Arial" w:hAnsi="Arial" w:cs="Arial"/>
          <w:szCs w:val="22"/>
        </w:rPr>
        <w:t xml:space="preserve"> modern dangers</w:t>
      </w:r>
      <w:r w:rsidR="00242E9C">
        <w:rPr>
          <w:rFonts w:ascii="Arial" w:hAnsi="Arial" w:cs="Arial"/>
          <w:szCs w:val="22"/>
        </w:rPr>
        <w:t xml:space="preserve">. </w:t>
      </w:r>
      <w:r w:rsidR="00C123C6" w:rsidRPr="00C123C6">
        <w:rPr>
          <w:rFonts w:ascii="Arial" w:hAnsi="Arial" w:cs="Arial"/>
          <w:szCs w:val="22"/>
        </w:rPr>
        <w:t>Prevent has three major goals: 1) to challenge the ideology of those who support and promote terrorism; 2) to safeguard vulnerable people; and 3) to support elements of the community where there are dangers of radicali</w:t>
      </w:r>
      <w:r w:rsidR="00FE09ED">
        <w:rPr>
          <w:rFonts w:ascii="Arial" w:hAnsi="Arial" w:cs="Arial"/>
          <w:szCs w:val="22"/>
        </w:rPr>
        <w:t>s</w:t>
      </w:r>
      <w:r w:rsidR="00C123C6" w:rsidRPr="00C123C6">
        <w:rPr>
          <w:rFonts w:ascii="Arial" w:hAnsi="Arial" w:cs="Arial"/>
          <w:szCs w:val="22"/>
        </w:rPr>
        <w:t>ation (HM Government 2011).</w:t>
      </w:r>
      <w:r w:rsidR="00C123C6">
        <w:rPr>
          <w:rFonts w:ascii="Arial" w:hAnsi="Arial" w:cs="Arial"/>
          <w:szCs w:val="22"/>
        </w:rPr>
        <w:t xml:space="preserve"> </w:t>
      </w:r>
      <w:r w:rsidR="00220258" w:rsidRPr="00220258">
        <w:rPr>
          <w:rFonts w:ascii="Arial" w:hAnsi="Arial" w:cs="Arial"/>
          <w:szCs w:val="22"/>
        </w:rPr>
        <w:t>The term "radicali</w:t>
      </w:r>
      <w:r w:rsidR="00FE09ED">
        <w:rPr>
          <w:rFonts w:ascii="Arial" w:hAnsi="Arial" w:cs="Arial"/>
          <w:szCs w:val="22"/>
        </w:rPr>
        <w:t>s</w:t>
      </w:r>
      <w:r w:rsidR="00220258" w:rsidRPr="00220258">
        <w:rPr>
          <w:rFonts w:ascii="Arial" w:hAnsi="Arial" w:cs="Arial"/>
          <w:szCs w:val="22"/>
        </w:rPr>
        <w:t>ation" is used to describe the process through which someone starts to associate with or support ideas or groups that hold extreme beliefs. Because those who become radicalized frequently end up being drawn into major abuse or terrorism, radicalization is regarded as a type of harm</w:t>
      </w:r>
      <w:r w:rsidR="00220258">
        <w:rPr>
          <w:rFonts w:ascii="Arial" w:hAnsi="Arial" w:cs="Arial"/>
          <w:szCs w:val="22"/>
        </w:rPr>
        <w:t xml:space="preserve"> (</w:t>
      </w:r>
      <w:r w:rsidR="00866419" w:rsidRPr="00866419">
        <w:rPr>
          <w:rFonts w:ascii="Arial" w:hAnsi="Arial" w:cs="Arial"/>
        </w:rPr>
        <w:t>Netex 2022</w:t>
      </w:r>
      <w:r w:rsidR="00220258" w:rsidRPr="00866419">
        <w:rPr>
          <w:rFonts w:ascii="Arial" w:hAnsi="Arial" w:cs="Arial"/>
          <w:szCs w:val="22"/>
        </w:rPr>
        <w:t>).</w:t>
      </w:r>
      <w:r w:rsidR="00220258">
        <w:rPr>
          <w:rFonts w:ascii="Arial" w:hAnsi="Arial" w:cs="Arial"/>
          <w:szCs w:val="22"/>
        </w:rPr>
        <w:t xml:space="preserve"> </w:t>
      </w:r>
      <w:r w:rsidR="00811D71">
        <w:rPr>
          <w:rFonts w:ascii="Arial" w:hAnsi="Arial" w:cs="Arial"/>
          <w:szCs w:val="22"/>
        </w:rPr>
        <w:t>Given the right circumstances, anyone may turn into a victim of radicalisation; therefore, it is critical to keep an eye out for warning signs and act prior any harm is done</w:t>
      </w:r>
      <w:r w:rsidR="00220258">
        <w:rPr>
          <w:rFonts w:ascii="Arial" w:hAnsi="Arial" w:cs="Arial"/>
          <w:szCs w:val="22"/>
        </w:rPr>
        <w:t>; and, so to be able to do so, those who work in such within frontline policing should be aware of the radicalisation process and the warning signs</w:t>
      </w:r>
      <w:r w:rsidR="00B577A0">
        <w:rPr>
          <w:rFonts w:ascii="Arial" w:hAnsi="Arial" w:cs="Arial"/>
          <w:szCs w:val="22"/>
        </w:rPr>
        <w:t xml:space="preserve">, which can be achieved through community-based policing. </w:t>
      </w:r>
    </w:p>
    <w:p w14:paraId="0308C74A" w14:textId="77777777" w:rsidR="00800FA8" w:rsidRDefault="00800FA8" w:rsidP="00483524">
      <w:pPr>
        <w:pStyle w:val="PlainText"/>
        <w:jc w:val="both"/>
        <w:rPr>
          <w:rFonts w:ascii="Arial" w:hAnsi="Arial" w:cs="Arial"/>
          <w:szCs w:val="22"/>
        </w:rPr>
      </w:pPr>
    </w:p>
    <w:p w14:paraId="4EFF9643" w14:textId="7F2E11B3" w:rsidR="007A578B" w:rsidRDefault="00800FA8" w:rsidP="00483524">
      <w:pPr>
        <w:pStyle w:val="PlainText"/>
        <w:jc w:val="both"/>
        <w:rPr>
          <w:rFonts w:ascii="Arial" w:hAnsi="Arial" w:cs="Arial"/>
          <w:szCs w:val="22"/>
        </w:rPr>
      </w:pPr>
      <w:r>
        <w:rPr>
          <w:rFonts w:ascii="Arial" w:hAnsi="Arial" w:cs="Arial"/>
          <w:szCs w:val="22"/>
        </w:rPr>
        <w:t>Additionally, a</w:t>
      </w:r>
      <w:r w:rsidR="00C123C6" w:rsidRPr="00C123C6">
        <w:rPr>
          <w:rFonts w:ascii="Arial" w:hAnsi="Arial" w:cs="Arial"/>
          <w:szCs w:val="22"/>
        </w:rPr>
        <w:t xml:space="preserve"> community-based counterterrorism policy was a crucial component of the prevent strategy, which was deployed in Northern Ireland in the final years of the war and was given increased emphasis following the 7/7 London attack (Briggs 2010)</w:t>
      </w:r>
      <w:r w:rsidR="005B4D00">
        <w:rPr>
          <w:rFonts w:ascii="Arial" w:hAnsi="Arial" w:cs="Arial"/>
          <w:szCs w:val="22"/>
        </w:rPr>
        <w:t>.</w:t>
      </w:r>
      <w:r>
        <w:rPr>
          <w:rFonts w:ascii="Arial" w:hAnsi="Arial" w:cs="Arial"/>
          <w:szCs w:val="22"/>
        </w:rPr>
        <w:t xml:space="preserve"> </w:t>
      </w:r>
      <w:r w:rsidR="007A578B" w:rsidRPr="005B4D00">
        <w:rPr>
          <w:rFonts w:ascii="Arial" w:hAnsi="Arial" w:cs="Arial"/>
          <w:szCs w:val="22"/>
        </w:rPr>
        <w:t>Community-based policing, also known as community-oriented policing, is a philosophy and an organisational model that enables the police and the community to collaborate in order to address issues with crime, disturbance, and safety while also enhancing everyone's quality of life</w:t>
      </w:r>
      <w:r w:rsidR="007A578B">
        <w:rPr>
          <w:rFonts w:ascii="Arial" w:hAnsi="Arial" w:cs="Arial"/>
          <w:szCs w:val="22"/>
        </w:rPr>
        <w:t xml:space="preserve"> (</w:t>
      </w:r>
      <w:r w:rsidR="007A578B" w:rsidRPr="005B4D00">
        <w:rPr>
          <w:rFonts w:ascii="Arial" w:hAnsi="Arial" w:cs="Arial"/>
          <w:szCs w:val="22"/>
        </w:rPr>
        <w:t>Alcala, M. 2010)</w:t>
      </w:r>
      <w:r w:rsidR="007A578B">
        <w:rPr>
          <w:rFonts w:ascii="Arial" w:hAnsi="Arial" w:cs="Arial"/>
          <w:szCs w:val="22"/>
        </w:rPr>
        <w:t xml:space="preserve">. </w:t>
      </w:r>
      <w:r w:rsidR="007A578B" w:rsidRPr="005B4D00">
        <w:rPr>
          <w:rFonts w:ascii="Arial" w:hAnsi="Arial" w:cs="Arial"/>
          <w:szCs w:val="22"/>
        </w:rPr>
        <w:t>Experience shows that community safety and security significantly increase when communities have a fundamental part in defining their own security and safety needs and are involved in developing, implementing, and monitoring locally specified solutions to their challenges.</w:t>
      </w:r>
      <w:r w:rsidR="007A578B">
        <w:rPr>
          <w:rFonts w:ascii="Arial" w:hAnsi="Arial" w:cs="Arial"/>
          <w:szCs w:val="22"/>
        </w:rPr>
        <w:t xml:space="preserve"> </w:t>
      </w:r>
      <w:r w:rsidRPr="00800FA8">
        <w:rPr>
          <w:rFonts w:ascii="Arial" w:hAnsi="Arial" w:cs="Arial"/>
          <w:szCs w:val="22"/>
        </w:rPr>
        <w:t>For community policing-based counterterrorism measures to be effective, officers must maintain a focused, visible presence in the community. When utili</w:t>
      </w:r>
      <w:r>
        <w:rPr>
          <w:rFonts w:ascii="Arial" w:hAnsi="Arial" w:cs="Arial"/>
          <w:szCs w:val="22"/>
        </w:rPr>
        <w:t>s</w:t>
      </w:r>
      <w:r w:rsidRPr="00800FA8">
        <w:rPr>
          <w:rFonts w:ascii="Arial" w:hAnsi="Arial" w:cs="Arial"/>
          <w:szCs w:val="22"/>
        </w:rPr>
        <w:t>ed in conjunction with community cooperation and issue solving, targeted foot patrols may reduce crime and antisocial behaviour, reassure the community, and improve their perception of the police.</w:t>
      </w:r>
      <w:r>
        <w:rPr>
          <w:rFonts w:ascii="Arial" w:hAnsi="Arial" w:cs="Arial"/>
          <w:szCs w:val="22"/>
        </w:rPr>
        <w:t xml:space="preserve"> </w:t>
      </w:r>
      <w:r w:rsidRPr="00800FA8">
        <w:rPr>
          <w:rFonts w:ascii="Arial" w:hAnsi="Arial" w:cs="Arial"/>
          <w:szCs w:val="22"/>
        </w:rPr>
        <w:t>Response officers are able to gain crucial information in the pursuit or detection of threats to the public, including terrorist threats, by implementing these methods and becoming a point of contact for the community, which is particularly beneficial for areas with "hidden" groups (College of Policing 2021).</w:t>
      </w:r>
      <w:r>
        <w:rPr>
          <w:rFonts w:ascii="Arial" w:hAnsi="Arial" w:cs="Arial"/>
          <w:szCs w:val="22"/>
        </w:rPr>
        <w:t xml:space="preserve"> As a result of this research, it is</w:t>
      </w:r>
      <w:r w:rsidR="00950F53">
        <w:rPr>
          <w:rFonts w:ascii="Arial" w:hAnsi="Arial" w:cs="Arial"/>
          <w:szCs w:val="22"/>
        </w:rPr>
        <w:t xml:space="preserve"> clear to state that response officers have a great extent within the role of counterterrorism policing </w:t>
      </w:r>
      <w:r w:rsidR="00632979">
        <w:rPr>
          <w:rFonts w:ascii="Arial" w:hAnsi="Arial" w:cs="Arial"/>
          <w:szCs w:val="22"/>
        </w:rPr>
        <w:t xml:space="preserve">on their everyday tour of duty through a </w:t>
      </w:r>
      <w:r w:rsidR="00811D71">
        <w:rPr>
          <w:rFonts w:ascii="Arial" w:hAnsi="Arial" w:cs="Arial"/>
          <w:szCs w:val="22"/>
        </w:rPr>
        <w:t>community-based</w:t>
      </w:r>
      <w:r w:rsidR="00632979">
        <w:rPr>
          <w:rFonts w:ascii="Arial" w:hAnsi="Arial" w:cs="Arial"/>
          <w:szCs w:val="22"/>
        </w:rPr>
        <w:t xml:space="preserve"> strategy. </w:t>
      </w:r>
    </w:p>
    <w:p w14:paraId="3875B8BC" w14:textId="77777777" w:rsidR="00800FA8" w:rsidRDefault="00800FA8" w:rsidP="00483524">
      <w:pPr>
        <w:pStyle w:val="PlainText"/>
        <w:jc w:val="both"/>
        <w:rPr>
          <w:rFonts w:ascii="Arial" w:hAnsi="Arial" w:cs="Arial"/>
          <w:szCs w:val="22"/>
        </w:rPr>
      </w:pPr>
    </w:p>
    <w:p w14:paraId="657909E8" w14:textId="3941FA32" w:rsidR="00275669" w:rsidRDefault="00F74A56" w:rsidP="00483524">
      <w:pPr>
        <w:pStyle w:val="PlainText"/>
        <w:jc w:val="both"/>
        <w:rPr>
          <w:rFonts w:ascii="Arial" w:hAnsi="Arial" w:cs="Arial"/>
          <w:szCs w:val="22"/>
        </w:rPr>
      </w:pPr>
      <w:r>
        <w:rPr>
          <w:rFonts w:ascii="Arial" w:hAnsi="Arial" w:cs="Arial"/>
          <w:szCs w:val="22"/>
        </w:rPr>
        <w:t xml:space="preserve">Furthermore, </w:t>
      </w:r>
      <w:r w:rsidRPr="00F74A56">
        <w:rPr>
          <w:rFonts w:ascii="Arial" w:hAnsi="Arial" w:cs="Arial"/>
          <w:szCs w:val="22"/>
        </w:rPr>
        <w:t xml:space="preserve">the police play a crucial part in the Prevent work strand, according to the CONTEST strategy. </w:t>
      </w:r>
      <w:r w:rsidR="001216F2" w:rsidRPr="001216F2">
        <w:rPr>
          <w:rFonts w:ascii="Arial" w:hAnsi="Arial" w:cs="Arial"/>
          <w:szCs w:val="22"/>
        </w:rPr>
        <w:t>The Prevent duty is defined in Section 26(1) of the Counterterrorism and Security Act 2015. It imposes a broad obligation on the designated authorities to give adequate consideration to the need to stop people from becoming attracted to terrorism</w:t>
      </w:r>
      <w:r w:rsidR="001216F2">
        <w:rPr>
          <w:rFonts w:ascii="Arial" w:hAnsi="Arial" w:cs="Arial"/>
          <w:szCs w:val="22"/>
        </w:rPr>
        <w:t xml:space="preserve"> </w:t>
      </w:r>
      <w:r w:rsidR="005372E2">
        <w:rPr>
          <w:rFonts w:ascii="Arial" w:hAnsi="Arial" w:cs="Arial"/>
          <w:szCs w:val="22"/>
        </w:rPr>
        <w:t>(</w:t>
      </w:r>
      <w:r w:rsidR="005372E2" w:rsidRPr="005372E2">
        <w:rPr>
          <w:rFonts w:ascii="Arial" w:hAnsi="Arial" w:cs="Arial"/>
          <w:szCs w:val="22"/>
        </w:rPr>
        <w:t>H</w:t>
      </w:r>
      <w:r w:rsidR="00814CB9">
        <w:rPr>
          <w:rFonts w:ascii="Arial" w:hAnsi="Arial" w:cs="Arial"/>
          <w:szCs w:val="22"/>
        </w:rPr>
        <w:t>ome office</w:t>
      </w:r>
      <w:r w:rsidR="005372E2" w:rsidRPr="005372E2">
        <w:rPr>
          <w:rFonts w:ascii="Arial" w:hAnsi="Arial" w:cs="Arial"/>
          <w:szCs w:val="22"/>
        </w:rPr>
        <w:t xml:space="preserve"> 2018)</w:t>
      </w:r>
      <w:r w:rsidR="0019391F">
        <w:rPr>
          <w:rFonts w:ascii="Arial" w:hAnsi="Arial" w:cs="Arial"/>
          <w:szCs w:val="22"/>
        </w:rPr>
        <w:t>. As a result of this act being put into place p</w:t>
      </w:r>
      <w:r w:rsidRPr="00F74A56">
        <w:rPr>
          <w:rFonts w:ascii="Arial" w:hAnsi="Arial" w:cs="Arial"/>
          <w:szCs w:val="22"/>
        </w:rPr>
        <w:t>olice officers</w:t>
      </w:r>
      <w:r w:rsidR="0019391F">
        <w:rPr>
          <w:rFonts w:ascii="Arial" w:hAnsi="Arial" w:cs="Arial"/>
          <w:szCs w:val="22"/>
        </w:rPr>
        <w:t xml:space="preserve"> are expected to familiarise themselves with the act which places officers in an</w:t>
      </w:r>
      <w:r w:rsidR="001216F2" w:rsidRPr="00F74A56">
        <w:rPr>
          <w:rFonts w:ascii="Arial" w:hAnsi="Arial" w:cs="Arial"/>
          <w:szCs w:val="22"/>
        </w:rPr>
        <w:t xml:space="preserve"> advantageous position</w:t>
      </w:r>
      <w:r w:rsidRPr="00F74A56">
        <w:rPr>
          <w:rFonts w:ascii="Arial" w:hAnsi="Arial" w:cs="Arial"/>
          <w:szCs w:val="22"/>
        </w:rPr>
        <w:t xml:space="preserve"> to spot individuals who could be radicalised and refer them to the right resources. The police create and support regional alliances and initiatives to stop persons from becoming radicalised or to help them stop engaging in radicalised activities.</w:t>
      </w:r>
      <w:r>
        <w:rPr>
          <w:rFonts w:ascii="Arial" w:hAnsi="Arial" w:cs="Arial"/>
          <w:szCs w:val="22"/>
        </w:rPr>
        <w:t xml:space="preserve"> </w:t>
      </w:r>
      <w:r w:rsidRPr="00F74A56">
        <w:rPr>
          <w:rFonts w:ascii="Arial" w:hAnsi="Arial" w:cs="Arial"/>
          <w:szCs w:val="22"/>
        </w:rPr>
        <w:t>They collaborate with other agencies (including health and education services) under the government's Channel programme to prevent gullible individuals from becoming attracted to terrorism</w:t>
      </w:r>
      <w:r>
        <w:rPr>
          <w:rFonts w:ascii="Arial" w:hAnsi="Arial" w:cs="Arial"/>
          <w:szCs w:val="22"/>
        </w:rPr>
        <w:t xml:space="preserve"> by identifying individuals at risk, assessing </w:t>
      </w:r>
      <w:r>
        <w:rPr>
          <w:rFonts w:ascii="Arial" w:hAnsi="Arial" w:cs="Arial"/>
          <w:szCs w:val="22"/>
        </w:rPr>
        <w:lastRenderedPageBreak/>
        <w:t xml:space="preserve">the nature and extent of that risk, and developing the most appropriate support plan for the individuals concerned </w:t>
      </w:r>
      <w:r w:rsidR="001216F2">
        <w:rPr>
          <w:rFonts w:ascii="Arial" w:hAnsi="Arial" w:cs="Arial"/>
          <w:szCs w:val="22"/>
        </w:rPr>
        <w:t>(</w:t>
      </w:r>
      <w:r w:rsidR="001216F2" w:rsidRPr="001216F2">
        <w:rPr>
          <w:rFonts w:ascii="Arial" w:hAnsi="Arial" w:cs="Arial"/>
          <w:szCs w:val="22"/>
        </w:rPr>
        <w:t>HMICFRS 2022</w:t>
      </w:r>
      <w:r w:rsidR="001216F2">
        <w:rPr>
          <w:rFonts w:ascii="Arial" w:hAnsi="Arial" w:cs="Arial"/>
          <w:szCs w:val="22"/>
        </w:rPr>
        <w:t xml:space="preserve">). </w:t>
      </w:r>
      <w:r w:rsidR="0019379D" w:rsidRPr="0019379D">
        <w:rPr>
          <w:rFonts w:ascii="Arial" w:hAnsi="Arial" w:cs="Arial"/>
          <w:szCs w:val="22"/>
        </w:rPr>
        <w:t>However, Briggs (2010) identifies a number of problems in the development of partnerships, the integration of methodology, and capacity deficiencies at the local level that must be addressed in order to improve the performance of UK forces in counterterrorism support.</w:t>
      </w:r>
      <w:r w:rsidR="0019379D">
        <w:rPr>
          <w:rFonts w:ascii="Arial" w:hAnsi="Arial" w:cs="Arial"/>
          <w:szCs w:val="22"/>
        </w:rPr>
        <w:t xml:space="preserve"> </w:t>
      </w:r>
      <w:r w:rsidR="0019379D" w:rsidRPr="001216F2">
        <w:rPr>
          <w:rFonts w:ascii="Arial" w:hAnsi="Arial" w:cs="Arial"/>
          <w:szCs w:val="22"/>
        </w:rPr>
        <w:t xml:space="preserve">HMICFRS </w:t>
      </w:r>
      <w:r w:rsidR="0019379D">
        <w:rPr>
          <w:rFonts w:ascii="Arial" w:hAnsi="Arial" w:cs="Arial"/>
          <w:szCs w:val="22"/>
        </w:rPr>
        <w:t>(</w:t>
      </w:r>
      <w:r w:rsidR="0019379D" w:rsidRPr="001216F2">
        <w:rPr>
          <w:rFonts w:ascii="Arial" w:hAnsi="Arial" w:cs="Arial"/>
          <w:szCs w:val="22"/>
        </w:rPr>
        <w:t>2022</w:t>
      </w:r>
      <w:r w:rsidR="0019379D">
        <w:rPr>
          <w:rFonts w:ascii="Arial" w:hAnsi="Arial" w:cs="Arial"/>
          <w:szCs w:val="22"/>
        </w:rPr>
        <w:t>)</w:t>
      </w:r>
      <w:r w:rsidR="00D87DE4">
        <w:rPr>
          <w:rFonts w:ascii="Arial" w:hAnsi="Arial" w:cs="Arial"/>
          <w:szCs w:val="22"/>
        </w:rPr>
        <w:t xml:space="preserve"> also details further extent to which response officers have a role in counterterrorism</w:t>
      </w:r>
      <w:r w:rsidR="00275669">
        <w:rPr>
          <w:rFonts w:ascii="Arial" w:hAnsi="Arial" w:cs="Arial"/>
          <w:szCs w:val="22"/>
        </w:rPr>
        <w:t xml:space="preserve"> through the learning packages which they entitled to complete in order to gain more knowledge on counterterrorism as a whole. </w:t>
      </w:r>
      <w:r w:rsidR="0019379D">
        <w:rPr>
          <w:rFonts w:ascii="Arial" w:hAnsi="Arial" w:cs="Arial"/>
          <w:szCs w:val="22"/>
        </w:rPr>
        <w:t>A</w:t>
      </w:r>
      <w:r w:rsidR="00275669">
        <w:rPr>
          <w:rFonts w:ascii="Arial" w:hAnsi="Arial" w:cs="Arial"/>
          <w:szCs w:val="22"/>
        </w:rPr>
        <w:t xml:space="preserve">ll forces use Prevent computer based or e-learning packages to where most have made this training mandatory for officers and staff. However, some forces do not monitor compliance and therefore forces cannot be certain of how many of the frontline officers have completed this training, leaving a knowledge gap within response officers of that respected force. </w:t>
      </w:r>
    </w:p>
    <w:p w14:paraId="3EBB7FFE" w14:textId="77777777" w:rsidR="00215079" w:rsidRDefault="00215079" w:rsidP="00483524">
      <w:pPr>
        <w:pStyle w:val="PlainText"/>
        <w:jc w:val="both"/>
        <w:rPr>
          <w:rFonts w:ascii="Arial" w:hAnsi="Arial" w:cs="Arial"/>
          <w:szCs w:val="22"/>
        </w:rPr>
      </w:pPr>
    </w:p>
    <w:p w14:paraId="7B319899" w14:textId="69C92E18" w:rsidR="00215079" w:rsidRDefault="00215079" w:rsidP="00483524">
      <w:pPr>
        <w:pStyle w:val="PlainText"/>
        <w:jc w:val="both"/>
        <w:rPr>
          <w:rFonts w:ascii="Arial" w:hAnsi="Arial" w:cs="Arial"/>
          <w:szCs w:val="22"/>
        </w:rPr>
      </w:pPr>
      <w:r>
        <w:rPr>
          <w:rFonts w:ascii="Arial" w:hAnsi="Arial" w:cs="Arial"/>
          <w:szCs w:val="22"/>
        </w:rPr>
        <w:t xml:space="preserve">Additionally, it is clear that the extent of which response officers play a role in counterterrorism policing is continuously growing and developing further support this type of policing due to police forces future plans. </w:t>
      </w:r>
      <w:r w:rsidR="00CF5490" w:rsidRPr="00CF5490">
        <w:rPr>
          <w:rFonts w:ascii="Arial" w:hAnsi="Arial" w:cs="Arial"/>
          <w:szCs w:val="22"/>
        </w:rPr>
        <w:t>The Government proposes a total policing spending settlement of up to £16.9 billion in 2022/23. This includes financing for Police and Crime Commissioners (PCCs), as well as funds for counter-terrorism police and national goals like breaking down County Lines, decreasing violent crime, and making our streets safer</w:t>
      </w:r>
      <w:r w:rsidR="00CF5490">
        <w:rPr>
          <w:rFonts w:ascii="Arial" w:hAnsi="Arial" w:cs="Arial"/>
          <w:szCs w:val="22"/>
        </w:rPr>
        <w:t xml:space="preserve"> (</w:t>
      </w:r>
      <w:r w:rsidR="00CF5490" w:rsidRPr="00CF5490">
        <w:rPr>
          <w:rFonts w:ascii="Arial" w:hAnsi="Arial" w:cs="Arial"/>
          <w:szCs w:val="22"/>
        </w:rPr>
        <w:t>HO News Team 2021)</w:t>
      </w:r>
      <w:r w:rsidR="00CF5490">
        <w:rPr>
          <w:rFonts w:ascii="Arial" w:hAnsi="Arial" w:cs="Arial"/>
          <w:szCs w:val="22"/>
        </w:rPr>
        <w:t xml:space="preserve">. </w:t>
      </w:r>
      <w:r w:rsidR="00CF5490" w:rsidRPr="00CF5490">
        <w:rPr>
          <w:rFonts w:ascii="Arial" w:hAnsi="Arial" w:cs="Arial"/>
          <w:szCs w:val="22"/>
        </w:rPr>
        <w:t>Increased funding for counterterrorism policing will make it possible for this type of policing to advance in the future as more learning materials and resources will be made accessible to response officers</w:t>
      </w:r>
      <w:r w:rsidR="00CF5490">
        <w:rPr>
          <w:rFonts w:ascii="Arial" w:hAnsi="Arial" w:cs="Arial"/>
          <w:szCs w:val="22"/>
        </w:rPr>
        <w:t xml:space="preserve"> f</w:t>
      </w:r>
      <w:r w:rsidR="008C332C">
        <w:rPr>
          <w:rFonts w:ascii="Arial" w:hAnsi="Arial" w:cs="Arial"/>
          <w:szCs w:val="22"/>
        </w:rPr>
        <w:t>illing</w:t>
      </w:r>
      <w:r w:rsidR="00CF5490">
        <w:rPr>
          <w:rFonts w:ascii="Arial" w:hAnsi="Arial" w:cs="Arial"/>
          <w:szCs w:val="22"/>
        </w:rPr>
        <w:t xml:space="preserve"> the knowledge gap which has been identified as a flaw when supporting counterterrorism within the police. </w:t>
      </w:r>
      <w:r w:rsidR="00564485" w:rsidRPr="00564485">
        <w:rPr>
          <w:rFonts w:ascii="Arial" w:hAnsi="Arial" w:cs="Arial"/>
          <w:szCs w:val="22"/>
        </w:rPr>
        <w:t>As a result, it has been determined that not only do response officers already play an important role in response police, but there are also active plans for the future to expand their position in this sort of policing.</w:t>
      </w:r>
    </w:p>
    <w:p w14:paraId="6E663AF3" w14:textId="77777777" w:rsidR="00D87DE4" w:rsidRDefault="00D87DE4" w:rsidP="00483524">
      <w:pPr>
        <w:pStyle w:val="PlainText"/>
        <w:jc w:val="both"/>
        <w:rPr>
          <w:rFonts w:ascii="Arial" w:hAnsi="Arial" w:cs="Arial"/>
          <w:szCs w:val="22"/>
        </w:rPr>
      </w:pPr>
    </w:p>
    <w:p w14:paraId="154BD74D" w14:textId="48409079" w:rsidR="00C738F5" w:rsidRDefault="00FE09ED" w:rsidP="00483524">
      <w:pPr>
        <w:pStyle w:val="PlainText"/>
        <w:jc w:val="both"/>
        <w:rPr>
          <w:rFonts w:ascii="Arial" w:hAnsi="Arial" w:cs="Arial"/>
          <w:szCs w:val="22"/>
        </w:rPr>
      </w:pPr>
      <w:r>
        <w:rPr>
          <w:rFonts w:ascii="Arial" w:hAnsi="Arial" w:cs="Arial"/>
          <w:szCs w:val="22"/>
        </w:rPr>
        <w:t xml:space="preserve">To conclude, this essay has detailed that a role of </w:t>
      </w:r>
      <w:r w:rsidR="00541088">
        <w:rPr>
          <w:rFonts w:ascii="Arial" w:hAnsi="Arial" w:cs="Arial"/>
          <w:szCs w:val="22"/>
        </w:rPr>
        <w:t xml:space="preserve">a </w:t>
      </w:r>
      <w:r>
        <w:rPr>
          <w:rFonts w:ascii="Arial" w:hAnsi="Arial" w:cs="Arial"/>
          <w:szCs w:val="22"/>
        </w:rPr>
        <w:t>response police officer has a great extent in the coverage of counterterrorism policing through many strategic methods, mainly community based. After identifying the most well-known attack within the contemporary age, it has been highlighted that many strategies arose from this attack including</w:t>
      </w:r>
      <w:r w:rsidR="002D7EF0">
        <w:rPr>
          <w:rFonts w:ascii="Arial" w:hAnsi="Arial" w:cs="Arial"/>
          <w:szCs w:val="22"/>
        </w:rPr>
        <w:t xml:space="preserve"> the</w:t>
      </w:r>
      <w:r>
        <w:rPr>
          <w:rFonts w:ascii="Arial" w:hAnsi="Arial" w:cs="Arial"/>
          <w:szCs w:val="22"/>
        </w:rPr>
        <w:t xml:space="preserve"> launch of the CONTEST which allowed police forces to engage with partnership agencies, such as the government, intelligence agencies and further international partner as a means to diminish the threat of terrorism to the UK</w:t>
      </w:r>
      <w:r w:rsidR="002D7EF0">
        <w:rPr>
          <w:rFonts w:ascii="Arial" w:hAnsi="Arial" w:cs="Arial"/>
          <w:szCs w:val="22"/>
        </w:rPr>
        <w:t>, boosting its resilience. A strategy highlighted in this essay to achieve this was through the use of community-based policing whereby</w:t>
      </w:r>
      <w:r w:rsidR="00541088">
        <w:rPr>
          <w:rFonts w:ascii="Arial" w:hAnsi="Arial" w:cs="Arial"/>
          <w:szCs w:val="22"/>
        </w:rPr>
        <w:t xml:space="preserve"> the visible presence of</w:t>
      </w:r>
      <w:r w:rsidR="002D7EF0">
        <w:rPr>
          <w:rFonts w:ascii="Arial" w:hAnsi="Arial" w:cs="Arial"/>
          <w:szCs w:val="22"/>
        </w:rPr>
        <w:t xml:space="preserve"> response </w:t>
      </w:r>
      <w:r w:rsidR="00541088">
        <w:rPr>
          <w:rFonts w:ascii="Arial" w:hAnsi="Arial" w:cs="Arial"/>
          <w:szCs w:val="22"/>
        </w:rPr>
        <w:t xml:space="preserve">police </w:t>
      </w:r>
      <w:r w:rsidR="002D7EF0">
        <w:rPr>
          <w:rFonts w:ascii="Arial" w:hAnsi="Arial" w:cs="Arial"/>
          <w:szCs w:val="22"/>
        </w:rPr>
        <w:t>officers would allow the community to have a point of contact and potentially has the opportunity to deter radicalisation. Legislation is also a further factor to which plays a role in the extent of how response officers incorporate counterterrorism policing, prov</w:t>
      </w:r>
      <w:r w:rsidR="00903538">
        <w:rPr>
          <w:rFonts w:ascii="Arial" w:hAnsi="Arial" w:cs="Arial"/>
          <w:szCs w:val="22"/>
        </w:rPr>
        <w:t>ed</w:t>
      </w:r>
      <w:r w:rsidR="002D7EF0">
        <w:rPr>
          <w:rFonts w:ascii="Arial" w:hAnsi="Arial" w:cs="Arial"/>
          <w:szCs w:val="22"/>
        </w:rPr>
        <w:t xml:space="preserve"> by The Counterterrorism and Security Act 2015. </w:t>
      </w:r>
      <w:r w:rsidR="00903538">
        <w:rPr>
          <w:rFonts w:ascii="Arial" w:hAnsi="Arial" w:cs="Arial"/>
          <w:szCs w:val="22"/>
        </w:rPr>
        <w:t xml:space="preserve">With this legislation being abided to, it allows response officer to build upon their knowledge where radicalisation can be stopped as an early stage, preventing further damage. </w:t>
      </w:r>
      <w:r w:rsidR="00541088">
        <w:rPr>
          <w:rFonts w:ascii="Arial" w:hAnsi="Arial" w:cs="Arial"/>
          <w:szCs w:val="22"/>
        </w:rPr>
        <w:t xml:space="preserve">However, research also identified flaws within response officers role in counterterrorism policing including their knowledge gap on the subject due to officers not being in compliance with their learning packages. Another flaw which was also highlighted laid within the formation of partnerships which needs addressing in order to improve the performance of UK forces in supporting counter terrorism. Therefore, as a result of this essay, </w:t>
      </w:r>
      <w:r w:rsidR="00BF2FE6">
        <w:rPr>
          <w:rFonts w:ascii="Arial" w:hAnsi="Arial" w:cs="Arial"/>
          <w:szCs w:val="22"/>
        </w:rPr>
        <w:t xml:space="preserve">response officers do have a large participation in supporting counter terrorism with future plans to </w:t>
      </w:r>
      <w:r w:rsidR="00C738F5">
        <w:rPr>
          <w:rFonts w:ascii="Arial" w:hAnsi="Arial" w:cs="Arial"/>
          <w:szCs w:val="22"/>
        </w:rPr>
        <w:t>safeguard and support vulnerable people from the risk of being drawn into terrorism by working with a wide network of partners to prevent radicalisation and build resilience</w:t>
      </w:r>
      <w:r w:rsidR="00464199">
        <w:rPr>
          <w:rFonts w:ascii="Arial" w:hAnsi="Arial" w:cs="Arial"/>
          <w:szCs w:val="22"/>
        </w:rPr>
        <w:t xml:space="preserve"> </w:t>
      </w:r>
      <w:r w:rsidR="003F40AD">
        <w:rPr>
          <w:rFonts w:ascii="Arial" w:hAnsi="Arial" w:cs="Arial"/>
          <w:szCs w:val="22"/>
        </w:rPr>
        <w:t>(</w:t>
      </w:r>
      <w:r w:rsidR="003F40AD" w:rsidRPr="005372E2">
        <w:rPr>
          <w:rFonts w:ascii="Arial" w:hAnsi="Arial" w:cs="Arial"/>
          <w:szCs w:val="22"/>
        </w:rPr>
        <w:t>H</w:t>
      </w:r>
      <w:r w:rsidR="00843B73">
        <w:rPr>
          <w:rFonts w:ascii="Arial" w:hAnsi="Arial" w:cs="Arial"/>
          <w:szCs w:val="22"/>
        </w:rPr>
        <w:t>ome Office</w:t>
      </w:r>
      <w:r w:rsidR="003F40AD" w:rsidRPr="005372E2">
        <w:rPr>
          <w:rFonts w:ascii="Arial" w:hAnsi="Arial" w:cs="Arial"/>
          <w:szCs w:val="22"/>
        </w:rPr>
        <w:t xml:space="preserve"> 2018)</w:t>
      </w:r>
      <w:r w:rsidR="003F40AD">
        <w:rPr>
          <w:rFonts w:ascii="Arial" w:hAnsi="Arial" w:cs="Arial"/>
          <w:szCs w:val="22"/>
        </w:rPr>
        <w:t>.</w:t>
      </w:r>
    </w:p>
    <w:p w14:paraId="56B14818" w14:textId="77777777" w:rsidR="007A578B" w:rsidRDefault="007A578B" w:rsidP="00483524">
      <w:pPr>
        <w:pStyle w:val="PlainText"/>
        <w:jc w:val="both"/>
        <w:rPr>
          <w:rFonts w:ascii="Arial" w:hAnsi="Arial" w:cs="Arial"/>
          <w:szCs w:val="22"/>
        </w:rPr>
      </w:pPr>
    </w:p>
    <w:p w14:paraId="0CBD2D7C" w14:textId="6744B13D" w:rsidR="007A578B" w:rsidRPr="00B166D8" w:rsidRDefault="00B166D8" w:rsidP="00483524">
      <w:pPr>
        <w:pStyle w:val="PlainText"/>
        <w:jc w:val="both"/>
        <w:rPr>
          <w:rFonts w:ascii="Arial" w:hAnsi="Arial" w:cs="Arial"/>
          <w:b/>
          <w:bCs/>
          <w:szCs w:val="22"/>
        </w:rPr>
      </w:pPr>
      <w:r w:rsidRPr="00B166D8">
        <w:rPr>
          <w:rFonts w:ascii="Arial" w:hAnsi="Arial" w:cs="Arial"/>
          <w:b/>
          <w:bCs/>
          <w:szCs w:val="22"/>
        </w:rPr>
        <w:t>WORD COUNT - 186</w:t>
      </w:r>
      <w:r w:rsidR="00FD3253">
        <w:rPr>
          <w:rFonts w:ascii="Arial" w:hAnsi="Arial" w:cs="Arial"/>
          <w:b/>
          <w:bCs/>
          <w:szCs w:val="22"/>
        </w:rPr>
        <w:t>2</w:t>
      </w:r>
    </w:p>
    <w:p w14:paraId="0A4D14F5" w14:textId="77777777" w:rsidR="005B4D00" w:rsidRDefault="005B4D00" w:rsidP="00483524">
      <w:pPr>
        <w:pStyle w:val="PlainText"/>
        <w:jc w:val="both"/>
        <w:rPr>
          <w:rFonts w:ascii="Arial" w:hAnsi="Arial" w:cs="Arial"/>
          <w:szCs w:val="22"/>
        </w:rPr>
      </w:pPr>
    </w:p>
    <w:p w14:paraId="74B304E2" w14:textId="77777777" w:rsidR="005B4D00" w:rsidRDefault="005B4D00" w:rsidP="00483524">
      <w:pPr>
        <w:pStyle w:val="PlainText"/>
        <w:jc w:val="both"/>
        <w:rPr>
          <w:rFonts w:ascii="Arial" w:hAnsi="Arial" w:cs="Arial"/>
          <w:szCs w:val="22"/>
        </w:rPr>
      </w:pPr>
    </w:p>
    <w:p w14:paraId="78516BAB" w14:textId="77777777" w:rsidR="00284A59" w:rsidRDefault="00284A59"/>
    <w:p w14:paraId="1BDBEFC4" w14:textId="77777777" w:rsidR="00284A59" w:rsidRDefault="00284A59"/>
    <w:p w14:paraId="54404C4E" w14:textId="77777777" w:rsidR="008832A8" w:rsidRPr="002A4948" w:rsidRDefault="008832A8" w:rsidP="008832A8">
      <w:pPr>
        <w:jc w:val="both"/>
        <w:rPr>
          <w:rFonts w:ascii="Arial" w:hAnsi="Arial" w:cs="Arial"/>
          <w:b/>
          <w:bCs/>
        </w:rPr>
      </w:pPr>
      <w:r w:rsidRPr="002A4948">
        <w:rPr>
          <w:rFonts w:ascii="Arial" w:hAnsi="Arial" w:cs="Arial"/>
          <w:b/>
          <w:bCs/>
        </w:rPr>
        <w:lastRenderedPageBreak/>
        <w:t xml:space="preserve">What are the risks of ineffective engagement between police and local communities, and how might poor engagement affect community cohesion? Your answer should be based on academic research, although you may make reference to relevant case studies. </w:t>
      </w:r>
    </w:p>
    <w:p w14:paraId="41BC2401" w14:textId="77777777" w:rsidR="008832A8" w:rsidRDefault="008832A8" w:rsidP="008832A8">
      <w:pPr>
        <w:jc w:val="both"/>
        <w:rPr>
          <w:rFonts w:ascii="Arial" w:hAnsi="Arial" w:cs="Arial"/>
          <w:b/>
          <w:bCs/>
        </w:rPr>
      </w:pPr>
      <w:r w:rsidRPr="002A4948">
        <w:rPr>
          <w:rFonts w:ascii="Arial" w:hAnsi="Arial" w:cs="Arial"/>
          <w:b/>
          <w:bCs/>
        </w:rPr>
        <w:t>WORD COUNT: 2000</w:t>
      </w:r>
    </w:p>
    <w:p w14:paraId="327DEF97" w14:textId="77777777" w:rsidR="008832A8" w:rsidRPr="00FD3253" w:rsidRDefault="008832A8" w:rsidP="008832A8">
      <w:pPr>
        <w:jc w:val="both"/>
        <w:rPr>
          <w:rFonts w:ascii="Arial" w:hAnsi="Arial" w:cs="Arial"/>
        </w:rPr>
      </w:pPr>
      <w:r w:rsidRPr="00FD3253">
        <w:rPr>
          <w:rFonts w:ascii="Arial" w:hAnsi="Arial" w:cs="Arial"/>
        </w:rPr>
        <w:t xml:space="preserve">This essay will highlight the risks of ineffective engagement between police and local communities and identify how this poor engagement may affect community cohesion. Furthermore, the research contained within this essay will also reference relevant case studies to support the points I have made. </w:t>
      </w:r>
    </w:p>
    <w:p w14:paraId="245D521E" w14:textId="77777777" w:rsidR="008832A8" w:rsidRPr="00FD3253" w:rsidRDefault="008832A8" w:rsidP="008832A8">
      <w:pPr>
        <w:jc w:val="both"/>
        <w:rPr>
          <w:rFonts w:ascii="Arial" w:hAnsi="Arial" w:cs="Arial"/>
        </w:rPr>
      </w:pPr>
      <w:r w:rsidRPr="00FD3253">
        <w:rPr>
          <w:rFonts w:ascii="Arial" w:hAnsi="Arial" w:cs="Arial"/>
        </w:rPr>
        <w:t>MacQueen, K.M. et al</w:t>
      </w:r>
      <w:r w:rsidRPr="00FD3253">
        <w:rPr>
          <w:rFonts w:ascii="Arial" w:hAnsi="Arial" w:cs="Arial"/>
          <w:i/>
          <w:iCs/>
        </w:rPr>
        <w:t>.</w:t>
      </w:r>
      <w:r w:rsidRPr="00FD3253">
        <w:rPr>
          <w:rFonts w:ascii="Arial" w:hAnsi="Arial" w:cs="Arial"/>
        </w:rPr>
        <w:t xml:space="preserve"> (2001) states that a standard definition of the term community arose as a ‘’collection of individuals with various traits who are connected by social ties, have similar viewpoints, and take part in cooperative activities in certain contexts or environments’’. Engagement between the community and the police is crucial because it fosters communication, mutual respect, and trust between the two groups. Additionally, it enables law enforcement to recognise and solve problems and issues that have an impact on the community's safety and well-being. In mature democracies, police would be practically impossible without the support of the community. Simply put, the communities it serves must actively support the police department in order for it to continue operating. Therefore, engagement should be viewed as a vital component of police work, influencing, and informing all facets of policing. Effective public involvement is dependent on leadership that is sincere in their commitment. The police force can increase its legitimacy through changing public attitudes and building trust via just decision-making and constructive public contact.</w:t>
      </w:r>
    </w:p>
    <w:p w14:paraId="5AC00710" w14:textId="4D3E5C27" w:rsidR="000749B6" w:rsidRPr="00FD3253" w:rsidRDefault="008832A8" w:rsidP="008832A8">
      <w:pPr>
        <w:jc w:val="both"/>
        <w:rPr>
          <w:rFonts w:ascii="Arial" w:hAnsi="Arial" w:cs="Arial"/>
        </w:rPr>
      </w:pPr>
      <w:r w:rsidRPr="00FD3253">
        <w:rPr>
          <w:rFonts w:ascii="Arial" w:hAnsi="Arial" w:cs="Arial"/>
        </w:rPr>
        <w:t xml:space="preserve">Furthermore, recognising that police forces were losing sight of what communities valued led to the evolution of community policing. The benefits of this new method of operation were improved police legitimacy (David Dalgleish and Andy Myhill 2004) and boosted public confidence (Tuffin, R. 2006).  Following the Brixton Riots, the Scarman report in the UK gave this movement momentum (Scarman, L.G. 1982). </w:t>
      </w:r>
      <w:r w:rsidRPr="00FD3253">
        <w:rPr>
          <w:rFonts w:ascii="Arial" w:hAnsi="Arial" w:cs="Arial"/>
          <w:color w:val="333333"/>
        </w:rPr>
        <w:t>The ‘New Labour’ government that came to power in 1997 saw greater police engagement with the community, aligning with its broader strategy of localism (Loveday, B. 2005</w:t>
      </w:r>
      <w:r w:rsidRPr="00FD3253">
        <w:rPr>
          <w:rFonts w:ascii="Arial" w:hAnsi="Arial" w:cs="Arial"/>
        </w:rPr>
        <w:t>).</w:t>
      </w:r>
    </w:p>
    <w:p w14:paraId="01CE61A9" w14:textId="6679DDC5" w:rsidR="008A16D4" w:rsidRDefault="00D616C5" w:rsidP="008832A8">
      <w:pPr>
        <w:jc w:val="both"/>
        <w:rPr>
          <w:rFonts w:ascii="Arial" w:hAnsi="Arial" w:cs="Arial"/>
          <w:b/>
          <w:bCs/>
        </w:rPr>
      </w:pPr>
      <w:r w:rsidRPr="00FD3253">
        <w:rPr>
          <w:rFonts w:ascii="Arial" w:hAnsi="Arial" w:cs="Arial"/>
        </w:rPr>
        <w:t>Additionally, i</w:t>
      </w:r>
      <w:r w:rsidR="004E3B4F" w:rsidRPr="00FD3253">
        <w:rPr>
          <w:rFonts w:ascii="Arial" w:hAnsi="Arial" w:cs="Arial"/>
        </w:rPr>
        <w:t xml:space="preserve">n the UK, neighbourhood policing teams are ingrained in the fabric of establishing connections with members of the public and important community stakeholders, including religious leaders. As a result of their regular interactions, they are more likely to notice even the slightest changes in conduct or stress, and by cultivating ties with religious leaders, they can ask them for advice and potentially enlist their assistance in creating an intelligence network </w:t>
      </w:r>
      <w:r w:rsidR="004E3B4F" w:rsidRPr="001E4223">
        <w:rPr>
          <w:rFonts w:ascii="Arial" w:hAnsi="Arial" w:cs="Arial"/>
        </w:rPr>
        <w:t>(</w:t>
      </w:r>
      <w:r w:rsidR="00592B31" w:rsidRPr="00592B31">
        <w:rPr>
          <w:rFonts w:ascii="Arial" w:hAnsi="Arial" w:cs="Arial"/>
        </w:rPr>
        <w:t>Clarke</w:t>
      </w:r>
      <w:r w:rsidR="004E0A2D">
        <w:rPr>
          <w:rFonts w:ascii="Arial" w:hAnsi="Arial" w:cs="Arial"/>
        </w:rPr>
        <w:t xml:space="preserve"> and Newman </w:t>
      </w:r>
      <w:r w:rsidR="00592B31" w:rsidRPr="00592B31">
        <w:rPr>
          <w:rFonts w:ascii="Arial" w:hAnsi="Arial" w:cs="Arial"/>
        </w:rPr>
        <w:t>2007</w:t>
      </w:r>
      <w:r w:rsidR="004E3B4F" w:rsidRPr="001E4223">
        <w:rPr>
          <w:rFonts w:ascii="Arial" w:hAnsi="Arial" w:cs="Arial"/>
        </w:rPr>
        <w:t>).</w:t>
      </w:r>
      <w:r w:rsidR="004E3B4F" w:rsidRPr="00FD3253">
        <w:rPr>
          <w:rFonts w:ascii="Arial" w:hAnsi="Arial" w:cs="Arial"/>
          <w:b/>
          <w:bCs/>
        </w:rPr>
        <w:t xml:space="preserve"> </w:t>
      </w:r>
      <w:r w:rsidR="004E3B4F" w:rsidRPr="00FD3253">
        <w:rPr>
          <w:rFonts w:ascii="Arial" w:hAnsi="Arial" w:cs="Arial"/>
        </w:rPr>
        <w:t>This is just one of many arguments in favour of the employment of community policing in the battle against crime—talking frequently with key members of the community is the basis for acquiring crucial information and winning the trust of communities.</w:t>
      </w:r>
      <w:r w:rsidR="00F00592" w:rsidRPr="00FD3253">
        <w:rPr>
          <w:rFonts w:ascii="Arial" w:hAnsi="Arial" w:cs="Arial"/>
        </w:rPr>
        <w:t xml:space="preserve"> As part of the community policing model, neighbourhood police officers or police community support officers are assigned to specific communities. As a result, they may spend a lot of time there getting to know the locals and conversing with them about problems they fear are developing within the community. The approach suggests that police officers should not only be held responsible for reducing crime in their districts, but also for paying close attention to locals' and business owners' concerns and doing whatever is necessary to make things </w:t>
      </w:r>
      <w:r w:rsidR="00F00592" w:rsidRPr="00D418E6">
        <w:rPr>
          <w:rFonts w:ascii="Arial" w:hAnsi="Arial" w:cs="Arial"/>
        </w:rPr>
        <w:t>right (Innes et al., 20</w:t>
      </w:r>
      <w:r w:rsidR="00D418E6" w:rsidRPr="00D418E6">
        <w:rPr>
          <w:rFonts w:ascii="Arial" w:hAnsi="Arial" w:cs="Arial"/>
        </w:rPr>
        <w:t>02</w:t>
      </w:r>
      <w:r w:rsidR="00F00592" w:rsidRPr="00D418E6">
        <w:rPr>
          <w:rFonts w:ascii="Arial" w:hAnsi="Arial" w:cs="Arial"/>
        </w:rPr>
        <w:t xml:space="preserve">). </w:t>
      </w:r>
      <w:r w:rsidRPr="00D418E6">
        <w:rPr>
          <w:rFonts w:ascii="Arial" w:hAnsi="Arial" w:cs="Arial"/>
        </w:rPr>
        <w:t>Police</w:t>
      </w:r>
      <w:r w:rsidRPr="00FD3253">
        <w:rPr>
          <w:rFonts w:ascii="Arial" w:hAnsi="Arial" w:cs="Arial"/>
        </w:rPr>
        <w:t xml:space="preserve"> management is required to select officers who are well-suited to community policing, keep them on the job for long enough to gain the public's trust and become recognisable figures in the area, match officers with neighbourhoods by choosing officers who live nearby or even in the neighbourhood they serve, and ensure that </w:t>
      </w:r>
      <w:r w:rsidRPr="00FD3253">
        <w:rPr>
          <w:rFonts w:ascii="Arial" w:hAnsi="Arial" w:cs="Arial"/>
        </w:rPr>
        <w:lastRenderedPageBreak/>
        <w:t>they have the language skills necessary to interact with minority residents</w:t>
      </w:r>
      <w:r w:rsidRPr="001E4223">
        <w:rPr>
          <w:rFonts w:ascii="Arial" w:hAnsi="Arial" w:cs="Arial"/>
        </w:rPr>
        <w:t xml:space="preserve"> </w:t>
      </w:r>
      <w:r w:rsidR="00F00592" w:rsidRPr="001E4223">
        <w:rPr>
          <w:rFonts w:ascii="Arial" w:hAnsi="Arial" w:cs="Arial"/>
        </w:rPr>
        <w:t>(Clarke and Newman 2007).</w:t>
      </w:r>
      <w:r w:rsidR="008F1FBE" w:rsidRPr="00FD3253">
        <w:rPr>
          <w:rFonts w:ascii="Arial" w:hAnsi="Arial" w:cs="Arial"/>
          <w:b/>
          <w:bCs/>
        </w:rPr>
        <w:t xml:space="preserve"> </w:t>
      </w:r>
    </w:p>
    <w:p w14:paraId="4780F7AA" w14:textId="65854810" w:rsidR="004E3B4F" w:rsidRPr="00FD3253" w:rsidRDefault="008F1FBE" w:rsidP="008832A8">
      <w:pPr>
        <w:jc w:val="both"/>
        <w:rPr>
          <w:rFonts w:ascii="Arial" w:hAnsi="Arial" w:cs="Arial"/>
        </w:rPr>
      </w:pPr>
      <w:r w:rsidRPr="00FD3253">
        <w:rPr>
          <w:rFonts w:ascii="Arial" w:hAnsi="Arial" w:cs="Arial"/>
        </w:rPr>
        <w:t>Furthermore, an instance of where the police have proactively attempted to positively interact with the community is through the media. Police.uk is a website that was created as a long-term programme as a means of the police engaging with the community. College of Policing (2013) states that ‘The national website, police.uk, provides access to information about local policing, crime, and community information so that members of the public can raise concerns or actively participate in combating crime and anti-social behaviour’. As a result of this programme, the community now have a social platform as a means of interacting with the police which allows a new approach of engagement for individuals where they did not have the opportunity before with the other available approaches due to lack of confidence or ability.</w:t>
      </w:r>
    </w:p>
    <w:p w14:paraId="33827FC5" w14:textId="5013002A" w:rsidR="00284A59" w:rsidRDefault="00D616C5" w:rsidP="008832A8">
      <w:pPr>
        <w:jc w:val="both"/>
        <w:rPr>
          <w:rFonts w:ascii="Arial" w:hAnsi="Arial" w:cs="Arial"/>
        </w:rPr>
      </w:pPr>
      <w:r w:rsidRPr="00FD3253">
        <w:rPr>
          <w:rFonts w:ascii="Arial" w:hAnsi="Arial" w:cs="Arial"/>
        </w:rPr>
        <w:t>Moreover, t</w:t>
      </w:r>
      <w:r w:rsidR="008832A8" w:rsidRPr="00FD3253">
        <w:rPr>
          <w:rFonts w:ascii="Arial" w:hAnsi="Arial" w:cs="Arial"/>
        </w:rPr>
        <w:t>he Neighbourhood Policing Programme (NPP), a particular implementation of community policing in the UK, also reflected a political concern that public confidence in law enforcement did not correspond to a decline in crime (Jenny Fleming and Eugene McLaughlin 2012). From the signal crimes perspective, it was partly derived (Innes and Fielding 2002). This implied that various communities would have various perspectives on crime and disorder. Therefore, effective police required strong collaboration with the communities in order to comprehend the signals that crime and disorder transmitted and to effectively react. The effective use of three mechanisms—visibility, community involvement, and problem solving—would be necessary to achieve this (ACPO 2006).</w:t>
      </w:r>
    </w:p>
    <w:p w14:paraId="553A169C" w14:textId="03557255" w:rsidR="00016302" w:rsidRDefault="00097075" w:rsidP="00016302">
      <w:pPr>
        <w:jc w:val="both"/>
        <w:rPr>
          <w:rFonts w:ascii="Arial" w:hAnsi="Arial" w:cs="Arial"/>
        </w:rPr>
      </w:pPr>
      <w:r>
        <w:rPr>
          <w:rFonts w:ascii="Arial" w:hAnsi="Arial" w:cs="Arial"/>
        </w:rPr>
        <w:t>Additionally, e</w:t>
      </w:r>
      <w:r w:rsidR="00016302" w:rsidRPr="0063554B">
        <w:rPr>
          <w:rFonts w:ascii="Arial" w:hAnsi="Arial" w:cs="Arial"/>
        </w:rPr>
        <w:t>ngagement with the community yields information that is used to create intelligence on neighbourhood-specific problems and can be used into local community policing strategies. This should incorporate details from regular police operations, social media, or inquiries.</w:t>
      </w:r>
      <w:r w:rsidR="00016302">
        <w:rPr>
          <w:rFonts w:ascii="Arial" w:hAnsi="Arial" w:cs="Arial"/>
        </w:rPr>
        <w:t xml:space="preserve"> A way in which the College of Policing (2013) have incorporated this is through ‘The Confidence Cycle’, which is illustrated below:</w:t>
      </w:r>
    </w:p>
    <w:p w14:paraId="56444F51" w14:textId="15A3C5FF" w:rsidR="00016302" w:rsidRDefault="00016302" w:rsidP="00016302">
      <w:pPr>
        <w:jc w:val="both"/>
        <w:rPr>
          <w:rFonts w:ascii="Arial" w:hAnsi="Arial" w:cs="Arial"/>
        </w:rPr>
      </w:pPr>
      <w:r>
        <w:rPr>
          <w:noProof/>
        </w:rPr>
        <w:drawing>
          <wp:inline distT="0" distB="0" distL="0" distR="0" wp14:anchorId="46EF8CDF" wp14:editId="73E74398">
            <wp:extent cx="5731510" cy="3169920"/>
            <wp:effectExtent l="0" t="0" r="0" b="0"/>
            <wp:docPr id="2" name="Picture 2" descr="Improving confidence in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roving confidence in polic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69920"/>
                    </a:xfrm>
                    <a:prstGeom prst="rect">
                      <a:avLst/>
                    </a:prstGeom>
                    <a:noFill/>
                    <a:ln>
                      <a:noFill/>
                    </a:ln>
                  </pic:spPr>
                </pic:pic>
              </a:graphicData>
            </a:graphic>
          </wp:inline>
        </w:drawing>
      </w:r>
    </w:p>
    <w:p w14:paraId="232B7527" w14:textId="07F07684" w:rsidR="00016302" w:rsidRDefault="00016302" w:rsidP="008832A8">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(College of Policing 2013)</w:t>
      </w:r>
    </w:p>
    <w:p w14:paraId="13E0309A" w14:textId="79EF94EE" w:rsidR="00016302" w:rsidRPr="00FD3253" w:rsidRDefault="00016302" w:rsidP="008832A8">
      <w:pPr>
        <w:jc w:val="both"/>
        <w:rPr>
          <w:rFonts w:ascii="Arial" w:hAnsi="Arial" w:cs="Arial"/>
        </w:rPr>
      </w:pPr>
      <w:r>
        <w:rPr>
          <w:rFonts w:ascii="Arial" w:hAnsi="Arial" w:cs="Arial"/>
        </w:rPr>
        <w:t>From the image above, it clearly presents that t</w:t>
      </w:r>
      <w:r w:rsidRPr="0063554B">
        <w:rPr>
          <w:rFonts w:ascii="Arial" w:hAnsi="Arial" w:cs="Arial"/>
        </w:rPr>
        <w:t xml:space="preserve">he confidence cycle is the link between community engagement and increased public confidence in the police. It can facilitate a greater willingness for the public to cooperate with the police, thereby enriching intelligence </w:t>
      </w:r>
      <w:r w:rsidRPr="0063554B">
        <w:rPr>
          <w:rFonts w:ascii="Arial" w:hAnsi="Arial" w:cs="Arial"/>
        </w:rPr>
        <w:lastRenderedPageBreak/>
        <w:t>collection.</w:t>
      </w:r>
      <w:r>
        <w:rPr>
          <w:rFonts w:ascii="Arial" w:hAnsi="Arial" w:cs="Arial"/>
        </w:rPr>
        <w:t xml:space="preserve"> </w:t>
      </w:r>
      <w:r w:rsidR="00097075">
        <w:rPr>
          <w:rFonts w:ascii="Arial" w:hAnsi="Arial" w:cs="Arial"/>
        </w:rPr>
        <w:t xml:space="preserve">Furthermore, as detailed from the image above, this is a cycle where there is no final stage of the method. As a result, in order for this strategy to work is through consistency where these orders within the cycle must be actioned. </w:t>
      </w:r>
      <w:r w:rsidR="00097075" w:rsidRPr="00097075">
        <w:rPr>
          <w:rFonts w:ascii="Arial" w:hAnsi="Arial" w:cs="Arial"/>
        </w:rPr>
        <w:t>For instance, the 'neighbourhood priorities' stage can be constantly tackled in order for this cycle to be finished by using police officers' visible presence in the neighbourhood. By having a visible presence, the community is more likely to contact and interact with the police, allowing them to learn about local issues and help the force prioritise them. Without officers present, it is difficult to complete this step of the cycle, which will cause the cycle to fail.</w:t>
      </w:r>
    </w:p>
    <w:p w14:paraId="7ED79220" w14:textId="2BDE81BC" w:rsidR="0063554B" w:rsidRDefault="00D616C5" w:rsidP="00016302">
      <w:pPr>
        <w:jc w:val="both"/>
        <w:rPr>
          <w:rFonts w:ascii="Arial" w:hAnsi="Arial" w:cs="Arial"/>
        </w:rPr>
      </w:pPr>
      <w:r w:rsidRPr="00FD3253">
        <w:rPr>
          <w:rFonts w:ascii="Arial" w:hAnsi="Arial" w:cs="Arial"/>
        </w:rPr>
        <w:t xml:space="preserve">Police personnel should identify communities that may be considered "susceptible" and proactively work to establish relationships with such communities and pertinent partners. When tensions mount, an inquiry starts, or a significant incident is discovered, these connections will serve as a framework and support system. Conversely, failing to engage will undermine community confidence in law enforcement and make positive policing outcomes more difficult to achieve. </w:t>
      </w:r>
      <w:r w:rsidR="001F1574" w:rsidRPr="00FD3253">
        <w:rPr>
          <w:rFonts w:ascii="Arial" w:hAnsi="Arial" w:cs="Arial"/>
        </w:rPr>
        <w:t>The police budget cuts in 2010 were one issue that arose and had an effect on officers' failure to interact with communities. Officers have found themselves detached from neighbourhood work or involved in a larger range of operations as a result of this cut, which has contributed to the fragmentation of neighbourhood policing (Higgins, A. 2018)</w:t>
      </w:r>
      <w:r w:rsidR="00807A4C" w:rsidRPr="00FD3253">
        <w:rPr>
          <w:rFonts w:ascii="Arial" w:hAnsi="Arial" w:cs="Arial"/>
        </w:rPr>
        <w:t xml:space="preserve">. Alongside the failure of community engagement within the police are risks which can result in the community and the police to become rivals. These risks of ineffective engagement include; a loss of public confidence within the community; a loss of legitimacy in the eyes of the public; </w:t>
      </w:r>
      <w:r w:rsidR="00807A4C" w:rsidRPr="00FD3253">
        <w:rPr>
          <w:rFonts w:ascii="Arial" w:eastAsia="Times New Roman" w:hAnsi="Arial" w:cs="Arial"/>
          <w:color w:val="000000"/>
          <w:kern w:val="0"/>
          <w:lang w:eastAsia="en-GB"/>
          <w14:ligatures w14:val="none"/>
        </w:rPr>
        <w:t>a negative impact on strategic policing, as the police are unable to predict changes in community profile, needs and priorities; unrealistic public expectations regarding policing services and lack of awareness of changes in the community and tensions not being identified, leading to a negative impact upon tactical policing (</w:t>
      </w:r>
      <w:r w:rsidR="00807A4C" w:rsidRPr="00FD3253">
        <w:rPr>
          <w:rFonts w:ascii="Arial" w:hAnsi="Arial" w:cs="Arial"/>
        </w:rPr>
        <w:t xml:space="preserve">College of Policing 2013). </w:t>
      </w:r>
      <w:r w:rsidR="001821E8" w:rsidRPr="001821E8">
        <w:rPr>
          <w:rFonts w:ascii="Arial" w:hAnsi="Arial" w:cs="Arial"/>
        </w:rPr>
        <w:t>Therefore, if the police do not interact with communities in an effective manner, it may result in a lack of confidence between the two parties, which may lead to fewer reports of crime and fewer witnesses coming forward to assist with investigations. This might cause animosity between the police and the community to rise, which would harm the community's sense of cohesiveness.</w:t>
      </w:r>
      <w:r w:rsidR="0063554B">
        <w:rPr>
          <w:rFonts w:ascii="Arial" w:hAnsi="Arial" w:cs="Arial"/>
        </w:rPr>
        <w:tab/>
      </w:r>
      <w:r w:rsidR="0063554B">
        <w:rPr>
          <w:rFonts w:ascii="Arial" w:hAnsi="Arial" w:cs="Arial"/>
        </w:rPr>
        <w:tab/>
      </w:r>
      <w:r w:rsidR="0063554B">
        <w:rPr>
          <w:rFonts w:ascii="Arial" w:hAnsi="Arial" w:cs="Arial"/>
        </w:rPr>
        <w:tab/>
      </w:r>
      <w:r w:rsidR="0063554B">
        <w:rPr>
          <w:rFonts w:ascii="Arial" w:hAnsi="Arial" w:cs="Arial"/>
        </w:rPr>
        <w:tab/>
      </w:r>
      <w:r w:rsidR="0063554B">
        <w:rPr>
          <w:rFonts w:ascii="Arial" w:hAnsi="Arial" w:cs="Arial"/>
        </w:rPr>
        <w:tab/>
      </w:r>
      <w:r w:rsidR="0063554B">
        <w:rPr>
          <w:rFonts w:ascii="Arial" w:hAnsi="Arial" w:cs="Arial"/>
        </w:rPr>
        <w:tab/>
      </w:r>
      <w:r w:rsidR="0063554B">
        <w:rPr>
          <w:rFonts w:ascii="Arial" w:hAnsi="Arial" w:cs="Arial"/>
        </w:rPr>
        <w:tab/>
      </w:r>
      <w:r w:rsidR="0063554B">
        <w:rPr>
          <w:rFonts w:ascii="Arial" w:hAnsi="Arial" w:cs="Arial"/>
        </w:rPr>
        <w:tab/>
        <w:t xml:space="preserve"> </w:t>
      </w:r>
    </w:p>
    <w:p w14:paraId="044ED23B" w14:textId="4F254D97" w:rsidR="008128A9" w:rsidRDefault="00AC721E" w:rsidP="00820F75">
      <w:pPr>
        <w:jc w:val="both"/>
        <w:rPr>
          <w:rFonts w:ascii="Arial" w:hAnsi="Arial" w:cs="Arial"/>
        </w:rPr>
      </w:pPr>
      <w:r w:rsidRPr="00FD3253">
        <w:rPr>
          <w:rFonts w:ascii="Arial" w:hAnsi="Arial" w:cs="Arial"/>
        </w:rPr>
        <w:t>All communities must experience community cohesion in order for various groups of people to get along successfully. A sense of belonging to a location, a group, or a community is enabled through community cohesion. People feel safer and more secure in their communities when they get along well with one another in their local community. This improves people's perceptions of poor living conditions, boosts their positive attitudes towards other people and the emergency services that assist them, and, most importantly, increases their overall emotions of happiness and wellbeing NPIA (n.d.). The</w:t>
      </w:r>
      <w:r w:rsidR="00424414" w:rsidRPr="00FD3253">
        <w:rPr>
          <w:rFonts w:ascii="Arial" w:hAnsi="Arial" w:cs="Arial"/>
        </w:rPr>
        <w:t xml:space="preserve"> risks</w:t>
      </w:r>
      <w:r w:rsidRPr="00FD3253">
        <w:rPr>
          <w:rFonts w:ascii="Arial" w:hAnsi="Arial" w:cs="Arial"/>
        </w:rPr>
        <w:t xml:space="preserve"> highlighted above,</w:t>
      </w:r>
      <w:r w:rsidR="00424414" w:rsidRPr="00FD3253">
        <w:rPr>
          <w:rFonts w:ascii="Arial" w:hAnsi="Arial" w:cs="Arial"/>
        </w:rPr>
        <w:t xml:space="preserve"> of ineffective engagement between local communities and the police</w:t>
      </w:r>
      <w:r w:rsidRPr="00FD3253">
        <w:rPr>
          <w:rFonts w:ascii="Arial" w:hAnsi="Arial" w:cs="Arial"/>
        </w:rPr>
        <w:t>,</w:t>
      </w:r>
      <w:r w:rsidR="00424414" w:rsidRPr="00FD3253">
        <w:rPr>
          <w:rFonts w:ascii="Arial" w:hAnsi="Arial" w:cs="Arial"/>
        </w:rPr>
        <w:t xml:space="preserve"> have evidently been proven by case studies to </w:t>
      </w:r>
      <w:r w:rsidR="008714E6" w:rsidRPr="00FD3253">
        <w:rPr>
          <w:rFonts w:ascii="Arial" w:hAnsi="Arial" w:cs="Arial"/>
        </w:rPr>
        <w:t>previously and currently have</w:t>
      </w:r>
      <w:r w:rsidR="00424414" w:rsidRPr="00FD3253">
        <w:rPr>
          <w:rFonts w:ascii="Arial" w:hAnsi="Arial" w:cs="Arial"/>
        </w:rPr>
        <w:t xml:space="preserve"> an impact on the communities cohesion. According to data from the Crime Survey for England and Wales, from 2017–2018 to 2019–2020, there was a decline in trust in the police performing a good or exceptional job, from 62% to 55% (ONS 2020).</w:t>
      </w:r>
      <w:r w:rsidR="00424414" w:rsidRPr="00FD3253">
        <w:rPr>
          <w:rFonts w:ascii="Arial" w:hAnsi="Arial" w:cs="Arial"/>
          <w:b/>
          <w:bCs/>
        </w:rPr>
        <w:t xml:space="preserve"> </w:t>
      </w:r>
      <w:r w:rsidR="00424414" w:rsidRPr="00FD3253">
        <w:rPr>
          <w:rFonts w:ascii="Arial" w:hAnsi="Arial" w:cs="Arial"/>
        </w:rPr>
        <w:t>Events including the murder of Sarah Everard by a police officer, the Stephen Port case, and the influence of the Black Lives Matter movement undermined public trust and confidence in the police (Mynenko and Ditcham 2022). Additionally, there is proof that minority populations have been unfairly targeted, as they have been subjected to greater stops, violence threats, and unfounded accusations of breaching the law (Harris et al. 2022).</w:t>
      </w:r>
      <w:r w:rsidR="00CE53AF" w:rsidRPr="00FD3253">
        <w:rPr>
          <w:rFonts w:ascii="Arial" w:hAnsi="Arial" w:cs="Arial"/>
        </w:rPr>
        <w:t xml:space="preserve"> </w:t>
      </w:r>
      <w:r w:rsidR="00820F75" w:rsidRPr="00FD3253">
        <w:rPr>
          <w:rFonts w:ascii="Arial" w:hAnsi="Arial" w:cs="Arial"/>
        </w:rPr>
        <w:t>These case studies gained a reaction from the community which had an impact on the communities cohesion. For example, ‘’</w:t>
      </w:r>
      <w:r w:rsidR="00820F75" w:rsidRPr="00FD3253">
        <w:rPr>
          <w:rFonts w:ascii="Arial" w:hAnsi="Arial" w:cs="Arial"/>
          <w:shd w:val="clear" w:color="auto" w:fill="FFFFFF"/>
        </w:rPr>
        <w:t>The BLM protests involved more than 250,000 people taking to the streets in the UK alone, prompted by the killing by police in the US of the </w:t>
      </w:r>
      <w:hyperlink r:id="rId7" w:history="1">
        <w:r w:rsidR="00820F75" w:rsidRPr="00FD3253">
          <w:rPr>
            <w:rStyle w:val="Hyperlink"/>
            <w:rFonts w:ascii="Arial" w:hAnsi="Arial" w:cs="Arial"/>
            <w:color w:val="auto"/>
            <w:u w:val="none"/>
            <w:bdr w:val="none" w:sz="0" w:space="0" w:color="auto" w:frame="1"/>
            <w:shd w:val="clear" w:color="auto" w:fill="FFFFFF"/>
          </w:rPr>
          <w:t>unarmed black man George Floyd</w:t>
        </w:r>
      </w:hyperlink>
      <w:r w:rsidR="00820F75" w:rsidRPr="00FD3253">
        <w:rPr>
          <w:rFonts w:ascii="Arial" w:hAnsi="Arial" w:cs="Arial"/>
          <w:shd w:val="clear" w:color="auto" w:fill="FFFFFF"/>
        </w:rPr>
        <w:t xml:space="preserve">’’ </w:t>
      </w:r>
      <w:r w:rsidR="00820F75" w:rsidRPr="00FD3253">
        <w:rPr>
          <w:rFonts w:ascii="Arial" w:hAnsi="Arial" w:cs="Arial"/>
        </w:rPr>
        <w:t xml:space="preserve">The Guardian (2021). </w:t>
      </w:r>
      <w:r w:rsidR="009A5F8E" w:rsidRPr="00FD3253">
        <w:rPr>
          <w:rFonts w:ascii="Arial" w:hAnsi="Arial" w:cs="Arial"/>
        </w:rPr>
        <w:t xml:space="preserve">Following these protests and the publicity surrounding police homicides, the community are growing more distrustful of the police. That could mean </w:t>
      </w:r>
      <w:r w:rsidR="009A5F8E" w:rsidRPr="00FD3253">
        <w:rPr>
          <w:rFonts w:ascii="Arial" w:hAnsi="Arial" w:cs="Arial"/>
        </w:rPr>
        <w:lastRenderedPageBreak/>
        <w:t>that fewer people will call 999 or interact with police on their own initiative, which would lessen tragic interactions between the community and the police</w:t>
      </w:r>
      <w:r w:rsidR="008C1BD7" w:rsidRPr="00FD3253">
        <w:rPr>
          <w:rFonts w:ascii="Arial" w:hAnsi="Arial" w:cs="Arial"/>
        </w:rPr>
        <w:t xml:space="preserve"> (Demsas, J. 2021)</w:t>
      </w:r>
      <w:r w:rsidR="001821E8">
        <w:rPr>
          <w:rFonts w:ascii="Arial" w:hAnsi="Arial" w:cs="Arial"/>
        </w:rPr>
        <w:t>, which is another risk that may awake through ineffective engagement between the police and the community.</w:t>
      </w:r>
    </w:p>
    <w:p w14:paraId="1C634BA1" w14:textId="77777777" w:rsidR="00A20C0C" w:rsidRDefault="005065B5" w:rsidP="00820F75">
      <w:pPr>
        <w:jc w:val="both"/>
        <w:rPr>
          <w:rFonts w:ascii="Arial" w:hAnsi="Arial" w:cs="Arial"/>
        </w:rPr>
      </w:pPr>
      <w:r w:rsidRPr="005065B5">
        <w:rPr>
          <w:rFonts w:ascii="Arial" w:hAnsi="Arial" w:cs="Arial"/>
        </w:rPr>
        <w:t>T</w:t>
      </w:r>
      <w:r>
        <w:rPr>
          <w:rFonts w:ascii="Arial" w:hAnsi="Arial" w:cs="Arial"/>
        </w:rPr>
        <w:t>o conclude, t</w:t>
      </w:r>
      <w:r w:rsidRPr="005065B5">
        <w:rPr>
          <w:rFonts w:ascii="Arial" w:hAnsi="Arial" w:cs="Arial"/>
        </w:rPr>
        <w:t>he involvement between the police and the community is essential for building community trust, which has an impact on crime prevention, as this essay has conclusively shown. This has been accomplished via a number of techniques that are continually evolving, from the visibility of police officers within the community to the social media platform, where a plan has been developed to enable the public to interact with the police in the virtual realm. This essay also discusses case studies that demonstrate how a lack of police involvement during these tumultuous times negatively impacted community cohesion. for example, the BLM protest.</w:t>
      </w:r>
      <w:r w:rsidRPr="005065B5">
        <w:t xml:space="preserve"> </w:t>
      </w:r>
      <w:r w:rsidRPr="005065B5">
        <w:rPr>
          <w:rFonts w:ascii="Arial" w:hAnsi="Arial" w:cs="Arial"/>
        </w:rPr>
        <w:t>This response has led this essay to support the danger associated with inefficient police-community engagement, which ultimately leads to a loss of public confidence in the community and prevents residents from approaching police on their own to report or deter crime. In light of the potential for these threats, forces must effectively utilise the three processes of visibility, community involvement, and problem-solving to sustain a positive sense of community cohesiveness (ACPO 2006).</w:t>
      </w:r>
    </w:p>
    <w:p w14:paraId="586A9E62" w14:textId="7B3787D7" w:rsidR="00C87F7F" w:rsidRPr="00A20C0C" w:rsidRDefault="004D37C4" w:rsidP="00820F75">
      <w:pPr>
        <w:jc w:val="both"/>
        <w:rPr>
          <w:rFonts w:ascii="Arial" w:hAnsi="Arial" w:cs="Arial"/>
        </w:rPr>
      </w:pPr>
      <w:r w:rsidRPr="004D37C4">
        <w:rPr>
          <w:rFonts w:ascii="Arial" w:hAnsi="Arial" w:cs="Arial"/>
          <w:b/>
          <w:bCs/>
        </w:rPr>
        <w:t>WORD COUNT: 1</w:t>
      </w:r>
      <w:r w:rsidR="00355C15">
        <w:rPr>
          <w:rFonts w:ascii="Arial" w:hAnsi="Arial" w:cs="Arial"/>
          <w:b/>
          <w:bCs/>
        </w:rPr>
        <w:t>844</w:t>
      </w:r>
      <w:r w:rsidRPr="004D37C4">
        <w:rPr>
          <w:rFonts w:ascii="Arial" w:hAnsi="Arial" w:cs="Arial"/>
          <w:b/>
          <w:bCs/>
        </w:rPr>
        <w:t xml:space="preserve"> </w:t>
      </w:r>
    </w:p>
    <w:p w14:paraId="6753F47C" w14:textId="77777777" w:rsidR="00910059" w:rsidRDefault="00910059">
      <w:pPr>
        <w:rPr>
          <w:rFonts w:ascii="Arial" w:hAnsi="Arial" w:cs="Arial"/>
          <w:color w:val="333333"/>
        </w:rPr>
      </w:pPr>
    </w:p>
    <w:p w14:paraId="7BF46281" w14:textId="77777777" w:rsidR="00A20C0C" w:rsidRDefault="00A20C0C">
      <w:pPr>
        <w:rPr>
          <w:rFonts w:ascii="Arial" w:hAnsi="Arial" w:cs="Arial"/>
          <w:b/>
          <w:bCs/>
        </w:rPr>
      </w:pPr>
    </w:p>
    <w:p w14:paraId="380F0728" w14:textId="6973DE6E" w:rsidR="00284A59" w:rsidRPr="00A20C0C" w:rsidRDefault="00284A59">
      <w:pPr>
        <w:rPr>
          <w:rFonts w:ascii="Arial" w:hAnsi="Arial" w:cs="Arial"/>
          <w:b/>
          <w:bCs/>
        </w:rPr>
      </w:pPr>
      <w:r w:rsidRPr="000749B6">
        <w:rPr>
          <w:rFonts w:ascii="Arial" w:hAnsi="Arial" w:cs="Arial"/>
          <w:b/>
          <w:bCs/>
        </w:rPr>
        <w:t>BIBLIOGRAPHY</w:t>
      </w:r>
    </w:p>
    <w:p w14:paraId="4A8FCFC4" w14:textId="77777777" w:rsidR="000C3B0D" w:rsidRPr="001E2A76" w:rsidRDefault="000C3B0D" w:rsidP="000C3B0D">
      <w:pPr>
        <w:pStyle w:val="NormalWeb"/>
        <w:jc w:val="both"/>
        <w:rPr>
          <w:rFonts w:ascii="Arial" w:hAnsi="Arial" w:cs="Arial"/>
          <w:sz w:val="22"/>
          <w:szCs w:val="22"/>
        </w:rPr>
      </w:pPr>
      <w:r w:rsidRPr="001E2A76">
        <w:rPr>
          <w:rFonts w:ascii="Arial" w:hAnsi="Arial" w:cs="Arial"/>
          <w:sz w:val="22"/>
          <w:szCs w:val="22"/>
        </w:rPr>
        <w:t>Abrahms, M. (2019). The Strategic Model of Terrorism Revisited. The Oxford Handbook of Terrorism. [online] Available at: https://www.semanticscholar.org/paper/The-Strategic-Model-of-Terrorism-Revisited-Abrahms/0b898e1ba8221767a14e4ed698a5ca8c8a09245 (Accessed: 20 August 2023)</w:t>
      </w:r>
    </w:p>
    <w:p w14:paraId="0A226CF2" w14:textId="00FF648B"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Abrahms, M. and Mroszczyk, J. (2022). The strategic Model of Terrorism. Oxford Research </w:t>
      </w:r>
      <w:r w:rsidR="009B0D24" w:rsidRPr="001E2A76">
        <w:rPr>
          <w:rFonts w:ascii="Arial" w:hAnsi="Arial" w:cs="Arial"/>
          <w:sz w:val="22"/>
          <w:szCs w:val="22"/>
        </w:rPr>
        <w:t>Encyclopaedia</w:t>
      </w:r>
      <w:r w:rsidRPr="001E2A76">
        <w:rPr>
          <w:rFonts w:ascii="Arial" w:hAnsi="Arial" w:cs="Arial"/>
          <w:sz w:val="22"/>
          <w:szCs w:val="22"/>
        </w:rPr>
        <w:t xml:space="preserve"> of International studies. Doi: https://doi.org/10.1093/acrefore/9780190846626.013.697 (Accessed: 20 August 2023)</w:t>
      </w:r>
    </w:p>
    <w:p w14:paraId="65BA321D"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ACPO (2006) ACPO Good Practice guideacpo good practice guide. Available at: https://library.college.police.uk/docs/acpo/digital-evidence-2012.pdf (Accessed: 17 August 2023). </w:t>
      </w:r>
    </w:p>
    <w:p w14:paraId="33217733"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Alcala, M. (2010) Community-based policing, Community-based policing. Available at: https://www.endvawnow.org/en/articles/1095-police-communautaire-.html (Accessed: 19 August 2023). </w:t>
      </w:r>
    </w:p>
    <w:p w14:paraId="25E6B240" w14:textId="77777777" w:rsidR="000C3B0D" w:rsidRPr="00114B44" w:rsidRDefault="000C3B0D" w:rsidP="000C3B0D">
      <w:pPr>
        <w:pStyle w:val="NormalWeb"/>
        <w:jc w:val="both"/>
        <w:rPr>
          <w:rFonts w:ascii="Arial" w:hAnsi="Arial" w:cs="Arial"/>
          <w:sz w:val="22"/>
          <w:szCs w:val="22"/>
        </w:rPr>
      </w:pPr>
      <w:r w:rsidRPr="001E2A76">
        <w:rPr>
          <w:rFonts w:ascii="Arial" w:hAnsi="Arial" w:cs="Arial"/>
          <w:sz w:val="22"/>
          <w:szCs w:val="22"/>
        </w:rPr>
        <w:t>Briggs, R. (2010). Community engagement for counterterrorism: lessons from the United Kingdom. International Affairs (Royal Institute of International Affairs 1944-), [online] 86(4), pp.</w:t>
      </w:r>
      <w:r w:rsidRPr="00114B44">
        <w:rPr>
          <w:rFonts w:ascii="Arial" w:hAnsi="Arial" w:cs="Arial"/>
          <w:sz w:val="22"/>
          <w:szCs w:val="22"/>
        </w:rPr>
        <w:t>971-981. Available at: https://www.jstor.org/stable/40865006 (Accessed: 20 August 2023)</w:t>
      </w:r>
    </w:p>
    <w:p w14:paraId="4A386067" w14:textId="5B500F9D" w:rsidR="00592B31" w:rsidRPr="00114B44" w:rsidRDefault="00592B31" w:rsidP="00592B31">
      <w:pPr>
        <w:pStyle w:val="NormalWeb"/>
        <w:rPr>
          <w:rFonts w:ascii="Arial" w:hAnsi="Arial" w:cs="Arial"/>
          <w:sz w:val="22"/>
          <w:szCs w:val="22"/>
        </w:rPr>
      </w:pPr>
      <w:r w:rsidRPr="00114B44">
        <w:rPr>
          <w:rFonts w:ascii="Arial" w:hAnsi="Arial" w:cs="Arial"/>
          <w:sz w:val="22"/>
          <w:szCs w:val="22"/>
        </w:rPr>
        <w:t>Clarke</w:t>
      </w:r>
      <w:r w:rsidR="00114B44" w:rsidRPr="00114B44">
        <w:rPr>
          <w:rFonts w:ascii="Arial" w:hAnsi="Arial" w:cs="Arial"/>
          <w:sz w:val="22"/>
          <w:szCs w:val="22"/>
        </w:rPr>
        <w:t xml:space="preserve"> and Newman</w:t>
      </w:r>
      <w:r w:rsidRPr="00114B44">
        <w:rPr>
          <w:rFonts w:ascii="Arial" w:hAnsi="Arial" w:cs="Arial"/>
          <w:sz w:val="22"/>
          <w:szCs w:val="22"/>
        </w:rPr>
        <w:t xml:space="preserve"> </w:t>
      </w:r>
      <w:r w:rsidR="00114B44" w:rsidRPr="00114B44">
        <w:rPr>
          <w:rFonts w:ascii="Arial" w:hAnsi="Arial" w:cs="Arial"/>
          <w:sz w:val="22"/>
          <w:szCs w:val="22"/>
        </w:rPr>
        <w:t>(</w:t>
      </w:r>
      <w:r w:rsidRPr="00114B44">
        <w:rPr>
          <w:rFonts w:ascii="Arial" w:hAnsi="Arial" w:cs="Arial"/>
          <w:sz w:val="22"/>
          <w:szCs w:val="22"/>
        </w:rPr>
        <w:t xml:space="preserve">2007) police and the prevention of terrorism, Academic.oup.com. Available at: https://academic.oup.com/policing/article/1/1/9/1533918 (Accessed: 05 September 2023). </w:t>
      </w:r>
    </w:p>
    <w:p w14:paraId="62B203DD" w14:textId="77777777" w:rsidR="00592B31" w:rsidRDefault="00592B31" w:rsidP="000C3B0D">
      <w:pPr>
        <w:pStyle w:val="NormalWeb"/>
        <w:jc w:val="both"/>
        <w:rPr>
          <w:rFonts w:ascii="Arial" w:hAnsi="Arial" w:cs="Arial"/>
          <w:sz w:val="22"/>
          <w:szCs w:val="22"/>
        </w:rPr>
      </w:pPr>
    </w:p>
    <w:p w14:paraId="1E51091C" w14:textId="77777777" w:rsidR="000C3B0D" w:rsidRDefault="000C3B0D" w:rsidP="000C3B0D">
      <w:pPr>
        <w:pStyle w:val="NormalWeb"/>
        <w:jc w:val="both"/>
        <w:rPr>
          <w:rFonts w:ascii="Arial" w:hAnsi="Arial" w:cs="Arial"/>
          <w:sz w:val="22"/>
          <w:szCs w:val="22"/>
        </w:rPr>
      </w:pPr>
      <w:bookmarkStart w:id="0" w:name="_Hlk143453591"/>
      <w:r w:rsidRPr="001E2A76">
        <w:rPr>
          <w:rFonts w:ascii="Arial" w:hAnsi="Arial" w:cs="Arial"/>
          <w:sz w:val="22"/>
          <w:szCs w:val="22"/>
        </w:rPr>
        <w:lastRenderedPageBreak/>
        <w:t xml:space="preserve">College of Policing (2013) </w:t>
      </w:r>
      <w:bookmarkEnd w:id="0"/>
      <w:r w:rsidRPr="001E2A76">
        <w:rPr>
          <w:rFonts w:ascii="Arial" w:hAnsi="Arial" w:cs="Arial"/>
          <w:sz w:val="22"/>
          <w:szCs w:val="22"/>
        </w:rPr>
        <w:t xml:space="preserve">Engagement, College of Policing. Available at: https://www.college.police.uk/app/engagement-and-communication/engagement (Accessed: 17 August 2023). </w:t>
      </w:r>
    </w:p>
    <w:p w14:paraId="25D73211"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David Dalgleish and Andy Myhill (2004) Home Office Research Study 284. Available at: https://citeseerx.ist.psu.edu/document?repid=rep1&amp;type=pdf&amp;doi=c9565faea0e15c7d8ad162d36059289631876d42 (Accessed: 17 August 2023). </w:t>
      </w:r>
    </w:p>
    <w:p w14:paraId="4BA8872C"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Demsas, J. (2021) The effects of Black Lives Matter protests, Vox. Available at: https://www.vox.com/22360290/black-lives-matter-protest-crime-ferguson-effects-murder (Accessed: 20 August 2023). </w:t>
      </w:r>
    </w:p>
    <w:p w14:paraId="1B568A63"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Harris, S. et al. (2022) Web of science. Available at: https://www.webofscience.com/wos/woscc/full-record (Accessed: 20 August 2023). </w:t>
      </w:r>
    </w:p>
    <w:p w14:paraId="6207C4EA" w14:textId="77777777" w:rsidR="000C3B0D" w:rsidRPr="005223A6" w:rsidRDefault="000C3B0D" w:rsidP="000C3B0D">
      <w:r w:rsidRPr="001E2A76">
        <w:rPr>
          <w:rFonts w:ascii="Arial" w:hAnsi="Arial" w:cs="Arial"/>
        </w:rPr>
        <w:t>Higgins, A. (2018) The Future of Neighbourhood Policing, The Police Foundation. Available at: https://www.police-foundation.org.uk/publication/future-neighbourhood-policing/ (Accessed: 17 August 2023).</w:t>
      </w:r>
    </w:p>
    <w:p w14:paraId="5F1A33C0"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History.com Editors (2010) Reaction to 9/11, History.com. Available at: https://www.history.com/topics/21st-century/reaction-to-9-11 (Accessed: 19 August 2023). </w:t>
      </w:r>
    </w:p>
    <w:p w14:paraId="0B40386D"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HM Government (2011). Prevent Strategy. [online] Available at: https://assets.publishing.service.gov.uk/government/uploads/system/uploads/attachment_data/file/97976/prevent-strategy-review.pdf (Accessed: 20 August 2023)</w:t>
      </w:r>
    </w:p>
    <w:p w14:paraId="39C161C0"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HMICFRS (2022) Counter-terrorism policing: An inspection of the police’s contribution to the government’s prevent programme, His Majesty’s Inspectorate of Constabulary and Fire &amp; Rescue Services. Available at: https://www.justiceinspectorates.gov.uk/hmicfrs/publication-html/counter-terrorism-policing-an-inspection-of-the-polices-contribution-to-the-governments-prevent-programme/ (Accessed: 19 August 2023). </w:t>
      </w:r>
    </w:p>
    <w:p w14:paraId="0F00C6B8" w14:textId="77777777" w:rsidR="00E70C14" w:rsidRPr="001E2A76" w:rsidRDefault="00E70C14" w:rsidP="00E70C14">
      <w:pPr>
        <w:pStyle w:val="NormalWeb"/>
        <w:jc w:val="both"/>
        <w:rPr>
          <w:rFonts w:ascii="Arial" w:hAnsi="Arial" w:cs="Arial"/>
          <w:sz w:val="22"/>
          <w:szCs w:val="22"/>
        </w:rPr>
      </w:pPr>
      <w:r w:rsidRPr="001E2A76">
        <w:rPr>
          <w:rFonts w:ascii="Arial" w:hAnsi="Arial" w:cs="Arial"/>
          <w:sz w:val="22"/>
          <w:szCs w:val="22"/>
        </w:rPr>
        <w:t>H</w:t>
      </w:r>
      <w:r>
        <w:rPr>
          <w:rFonts w:ascii="Arial" w:hAnsi="Arial" w:cs="Arial"/>
          <w:sz w:val="22"/>
          <w:szCs w:val="22"/>
        </w:rPr>
        <w:t>ome Office</w:t>
      </w:r>
      <w:r w:rsidRPr="001E2A76">
        <w:rPr>
          <w:rFonts w:ascii="Arial" w:hAnsi="Arial" w:cs="Arial"/>
          <w:sz w:val="22"/>
          <w:szCs w:val="22"/>
        </w:rPr>
        <w:t xml:space="preserve"> (2023) Renewed counter-terrorism strategy to strengthen UK response, GOV.UK. Available at: https://www.gov.uk/government/news/renewed-counter-terrorism-strategy-to-strengthen-the-uks-response (Accessed: 19 August 2023).</w:t>
      </w:r>
    </w:p>
    <w:p w14:paraId="3C43C59C" w14:textId="07D694BB" w:rsidR="00E70C14" w:rsidRDefault="00E70C14" w:rsidP="000C3B0D">
      <w:pPr>
        <w:pStyle w:val="NormalWeb"/>
        <w:jc w:val="both"/>
        <w:rPr>
          <w:rFonts w:ascii="Arial" w:hAnsi="Arial" w:cs="Arial"/>
          <w:sz w:val="22"/>
          <w:szCs w:val="22"/>
        </w:rPr>
      </w:pPr>
      <w:r>
        <w:rPr>
          <w:rFonts w:ascii="Arial" w:hAnsi="Arial" w:cs="Arial"/>
          <w:sz w:val="22"/>
          <w:szCs w:val="22"/>
        </w:rPr>
        <w:t xml:space="preserve">Home Office </w:t>
      </w:r>
      <w:r w:rsidRPr="001E2A76">
        <w:rPr>
          <w:rFonts w:ascii="Arial" w:hAnsi="Arial" w:cs="Arial"/>
          <w:sz w:val="22"/>
          <w:szCs w:val="22"/>
        </w:rPr>
        <w:t xml:space="preserve">(2018) Securing the future: Counter-terrorism strategy published, GOV.UK. Available at: https://www.gov.uk/government/news/securing-the-future-counter-terrorism-strategy-published (Accessed: 20 August 2023). </w:t>
      </w:r>
    </w:p>
    <w:p w14:paraId="4ACFC669"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HO News Team (2021) ‘Factsheet: Provisional Police Funding Settlement 2022/23’, Home Office Media. Available at: https://homeofficemedia.blog.gov.uk/2021/12/16/factsheet-provisional-police-funding-settlement-2022-23/ (Accessed: 20 August 2023). </w:t>
      </w:r>
    </w:p>
    <w:p w14:paraId="1FFB84CF"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Innes and Fielding (2002) Web of science. Available at: https://www.webofscience.com/wos/woscc/basic-search (Accessed: 17 August 2023). </w:t>
      </w:r>
    </w:p>
    <w:p w14:paraId="0F22CACD"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Jenny Fleming and Eugene Mclaughlin (2012) Through a different lens: Researching the rise and fall of New Labour’s ..., Taylor and Francis Online. Available at: https://www.tandfonline.com/doi/full/10.1080/10439463.2012.704921 (Accessed: 17 August 2023). </w:t>
      </w:r>
    </w:p>
    <w:p w14:paraId="44CAC688"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lastRenderedPageBreak/>
        <w:t xml:space="preserve">Loveday, B. (2005) Some thoughts on the accountability of crime and disorder reduction partnerships and the police in response to the White Paper on police reform, building communities, beating crime, Safer Communities. Available at: https://www.emerald.com/insight/content/doi/10.1108/17578043200500017/full/html (Accessed: 17 August 2023). </w:t>
      </w:r>
    </w:p>
    <w:p w14:paraId="322F21C1"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MacQueen, K.M. et al. (2001) What is community? an evidence-based definition for participatory public health, American journal of public health. Available at: https://www.ncbi.nlm.nih.gov/pmc/articles/PMC1446907/ (Accessed: 15 August 2023). </w:t>
      </w:r>
    </w:p>
    <w:p w14:paraId="552EB47D"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Mynenko and Ditcham (2022) Public confidence in the police: A new low for the service, Royal United Services Institute. Available at: https://rusi.org/explore-our-research/publications/commentary/public-confidence-police-new-low-service (Accessed: 20 August 2023). </w:t>
      </w:r>
    </w:p>
    <w:p w14:paraId="7BCF1545"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Netex (2022) Virtual College. Available at: https://www.virtual-college.co.uk/resources/what-is-the-radicalisation-process (Accessed: 20 August 2023). </w:t>
      </w:r>
    </w:p>
    <w:p w14:paraId="526FED8E"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NPIA (n.d.) Cohesion Guide - College of Policing, National Policing Improvement Agency . Available at: https://library.college.police.uk/docs/npia/CohesionGuide.pdf (Accessed: 20 August 2023). </w:t>
      </w:r>
    </w:p>
    <w:p w14:paraId="71912FF3"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ONS (2020) Tell us whether you accept cookies, Crime in England and Wales: Annual supplementary tables - Office for National Statistics. Available at: https://www.ons.gov.uk/peoplepopulationandcommunity/crimeandjustice/datasets/crimeinenglandandwalesannualsupplementarytables (Accessed: 20 August 2023). </w:t>
      </w:r>
    </w:p>
    <w:p w14:paraId="69E97443"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 xml:space="preserve">Scarman, L.G. (1986) Pascal and Francis Bibliographic databases, The Scarman Report. The Brixton Disorders 10-12 April 1981. Available at: https://pascal-francis.inist.fr/vibad/index.php?action=getRecordDetail&amp;idt=12069460 (Accessed: 17 August 2023). </w:t>
      </w:r>
    </w:p>
    <w:p w14:paraId="3C1E1943" w14:textId="77777777" w:rsidR="000C3B0D" w:rsidRDefault="000C3B0D" w:rsidP="000C3B0D">
      <w:pPr>
        <w:pStyle w:val="NormalWeb"/>
        <w:jc w:val="both"/>
        <w:rPr>
          <w:rFonts w:ascii="Arial" w:hAnsi="Arial" w:cs="Arial"/>
          <w:sz w:val="22"/>
          <w:szCs w:val="22"/>
        </w:rPr>
      </w:pPr>
      <w:r w:rsidRPr="001E2A76">
        <w:rPr>
          <w:rFonts w:ascii="Arial" w:hAnsi="Arial" w:cs="Arial"/>
          <w:sz w:val="22"/>
          <w:szCs w:val="22"/>
        </w:rPr>
        <w:t>Schwenkenbecher, A. (2012). What Is Terrorism? Terrorism: A Philosophical Enquiry, pp.38-47. Doi: https://www.policinginstitute.org/wp-content/uploads/2015/06/Sherman-1988-Evidence-Based-Policing.pdf (Accessed: 20 August 2023)</w:t>
      </w:r>
    </w:p>
    <w:p w14:paraId="69BC00E5" w14:textId="60C0DE71" w:rsidR="000C3B0D" w:rsidRDefault="000C3B0D" w:rsidP="000C3B0D">
      <w:pPr>
        <w:pStyle w:val="NormalWeb"/>
        <w:jc w:val="both"/>
        <w:rPr>
          <w:rFonts w:ascii="Arial" w:hAnsi="Arial" w:cs="Arial"/>
          <w:sz w:val="22"/>
          <w:szCs w:val="22"/>
        </w:rPr>
      </w:pPr>
      <w:r w:rsidRPr="001E2A76">
        <w:rPr>
          <w:rFonts w:ascii="Arial" w:hAnsi="Arial" w:cs="Arial"/>
          <w:sz w:val="22"/>
          <w:szCs w:val="22"/>
        </w:rPr>
        <w:t>Shire, M. (2021) Full article: Provocation and attrition strategies in transnational ..., Taylor and</w:t>
      </w:r>
      <w:r w:rsidR="009B0D24">
        <w:rPr>
          <w:rFonts w:ascii="Arial" w:hAnsi="Arial" w:cs="Arial"/>
          <w:sz w:val="22"/>
          <w:szCs w:val="22"/>
        </w:rPr>
        <w:t xml:space="preserve"> </w:t>
      </w:r>
      <w:r w:rsidRPr="001E2A76">
        <w:rPr>
          <w:rFonts w:ascii="Arial" w:hAnsi="Arial" w:cs="Arial"/>
          <w:sz w:val="22"/>
          <w:szCs w:val="22"/>
        </w:rPr>
        <w:t xml:space="preserve">Francis Online. Available at: https://www.tandfonline.com/doi/full/10.1080/09546553.2021.1987896 (Accessed: 19 August 2023). </w:t>
      </w:r>
    </w:p>
    <w:p w14:paraId="6C7B3E0F" w14:textId="77777777" w:rsidR="000C3B0D" w:rsidRPr="001E2A76" w:rsidRDefault="000C3B0D" w:rsidP="000C3B0D">
      <w:pPr>
        <w:pStyle w:val="NormalWeb"/>
        <w:jc w:val="both"/>
        <w:rPr>
          <w:rFonts w:ascii="Arial" w:hAnsi="Arial" w:cs="Arial"/>
          <w:sz w:val="22"/>
          <w:szCs w:val="22"/>
        </w:rPr>
      </w:pPr>
      <w:r w:rsidRPr="001E2A76">
        <w:rPr>
          <w:rFonts w:ascii="Arial" w:hAnsi="Arial" w:cs="Arial"/>
          <w:sz w:val="22"/>
          <w:szCs w:val="22"/>
        </w:rPr>
        <w:t>The Guardian (2021) Racial justice is key to effective policing, says top chief amid legitimacy crisis, The Guardian. Available at: https://www.theguardian.com/uk-news/2021/mar/28/racial-justice-is-key-to-effective-policing-says-npcc-chief-martin-hewitt (Accessed: 20 August 2023).</w:t>
      </w:r>
    </w:p>
    <w:p w14:paraId="4F08C2BB" w14:textId="77777777" w:rsidR="000C3B0D" w:rsidRPr="001E2A76" w:rsidRDefault="000C3B0D" w:rsidP="000C3B0D">
      <w:pPr>
        <w:pStyle w:val="NormalWeb"/>
        <w:jc w:val="both"/>
        <w:rPr>
          <w:rFonts w:ascii="Arial" w:hAnsi="Arial" w:cs="Arial"/>
          <w:sz w:val="22"/>
          <w:szCs w:val="22"/>
        </w:rPr>
      </w:pPr>
      <w:r w:rsidRPr="001E2A76">
        <w:rPr>
          <w:rFonts w:ascii="Arial" w:hAnsi="Arial" w:cs="Arial"/>
          <w:sz w:val="22"/>
          <w:szCs w:val="22"/>
        </w:rPr>
        <w:t xml:space="preserve">Tuffin, R. (2006) Home Office Research Study 296 - UK data service. Available at: https://sp.ukdataservice.ac.uk/doc/7450/mrdoc/pdf/7450_hors296.pdf (Accessed: 17 August 2023). </w:t>
      </w:r>
    </w:p>
    <w:p w14:paraId="12FDB98C" w14:textId="73F9D83A" w:rsidR="00284A59" w:rsidRPr="00170200" w:rsidRDefault="001E2A76" w:rsidP="00170200">
      <w:pPr>
        <w:pStyle w:val="NormalWeb"/>
        <w:jc w:val="both"/>
        <w:rPr>
          <w:rFonts w:ascii="Arial" w:hAnsi="Arial" w:cs="Arial"/>
          <w:sz w:val="22"/>
          <w:szCs w:val="22"/>
        </w:rPr>
      </w:pPr>
      <w:r w:rsidRPr="001E2A76">
        <w:rPr>
          <w:rFonts w:ascii="Arial" w:hAnsi="Arial" w:cs="Arial"/>
          <w:sz w:val="22"/>
          <w:szCs w:val="22"/>
        </w:rPr>
        <w:t xml:space="preserve"> </w:t>
      </w:r>
    </w:p>
    <w:sectPr w:rsidR="00284A59" w:rsidRPr="001702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030D4"/>
    <w:multiLevelType w:val="multilevel"/>
    <w:tmpl w:val="DA52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8D10C3"/>
    <w:multiLevelType w:val="multilevel"/>
    <w:tmpl w:val="91E8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D758BB"/>
    <w:multiLevelType w:val="multilevel"/>
    <w:tmpl w:val="B360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1167147">
    <w:abstractNumId w:val="1"/>
  </w:num>
  <w:num w:numId="2" w16cid:durableId="350842070">
    <w:abstractNumId w:val="0"/>
  </w:num>
  <w:num w:numId="3" w16cid:durableId="343173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524"/>
    <w:rsid w:val="00016302"/>
    <w:rsid w:val="0005207B"/>
    <w:rsid w:val="00072C6C"/>
    <w:rsid w:val="000749B6"/>
    <w:rsid w:val="0007789B"/>
    <w:rsid w:val="00097075"/>
    <w:rsid w:val="000A4253"/>
    <w:rsid w:val="000C3B0D"/>
    <w:rsid w:val="00114B44"/>
    <w:rsid w:val="001216F2"/>
    <w:rsid w:val="00151094"/>
    <w:rsid w:val="00170200"/>
    <w:rsid w:val="001821E8"/>
    <w:rsid w:val="00183AC7"/>
    <w:rsid w:val="0019379D"/>
    <w:rsid w:val="0019391F"/>
    <w:rsid w:val="001E2A76"/>
    <w:rsid w:val="001E4223"/>
    <w:rsid w:val="001F1574"/>
    <w:rsid w:val="001F2889"/>
    <w:rsid w:val="00215079"/>
    <w:rsid w:val="00220258"/>
    <w:rsid w:val="00242E9C"/>
    <w:rsid w:val="002505E1"/>
    <w:rsid w:val="00275669"/>
    <w:rsid w:val="00284A59"/>
    <w:rsid w:val="002D7EF0"/>
    <w:rsid w:val="003071C5"/>
    <w:rsid w:val="00355C15"/>
    <w:rsid w:val="003919DF"/>
    <w:rsid w:val="003F40AD"/>
    <w:rsid w:val="003F63CD"/>
    <w:rsid w:val="00424414"/>
    <w:rsid w:val="00464199"/>
    <w:rsid w:val="00483524"/>
    <w:rsid w:val="0048545D"/>
    <w:rsid w:val="004D0C48"/>
    <w:rsid w:val="004D37C4"/>
    <w:rsid w:val="004E0A2D"/>
    <w:rsid w:val="004E3B4F"/>
    <w:rsid w:val="005065B5"/>
    <w:rsid w:val="005372E2"/>
    <w:rsid w:val="00541088"/>
    <w:rsid w:val="00564485"/>
    <w:rsid w:val="0059152E"/>
    <w:rsid w:val="00592B31"/>
    <w:rsid w:val="005B4726"/>
    <w:rsid w:val="005B4D00"/>
    <w:rsid w:val="00632979"/>
    <w:rsid w:val="0063554B"/>
    <w:rsid w:val="0066692B"/>
    <w:rsid w:val="007A578B"/>
    <w:rsid w:val="007B1692"/>
    <w:rsid w:val="00800FA8"/>
    <w:rsid w:val="00807A4C"/>
    <w:rsid w:val="00810FC4"/>
    <w:rsid w:val="00811D71"/>
    <w:rsid w:val="008128A9"/>
    <w:rsid w:val="00814CB9"/>
    <w:rsid w:val="00820F75"/>
    <w:rsid w:val="00843B73"/>
    <w:rsid w:val="00866419"/>
    <w:rsid w:val="008714E6"/>
    <w:rsid w:val="008832A8"/>
    <w:rsid w:val="008A16D4"/>
    <w:rsid w:val="008C0780"/>
    <w:rsid w:val="008C1BD7"/>
    <w:rsid w:val="008C332C"/>
    <w:rsid w:val="008F1FBE"/>
    <w:rsid w:val="00903538"/>
    <w:rsid w:val="00910059"/>
    <w:rsid w:val="00950F53"/>
    <w:rsid w:val="009A5427"/>
    <w:rsid w:val="009A5F8E"/>
    <w:rsid w:val="009B0D24"/>
    <w:rsid w:val="00A20C0C"/>
    <w:rsid w:val="00AB4447"/>
    <w:rsid w:val="00AC721E"/>
    <w:rsid w:val="00B146A5"/>
    <w:rsid w:val="00B166D8"/>
    <w:rsid w:val="00B577A0"/>
    <w:rsid w:val="00BC0072"/>
    <w:rsid w:val="00BF2FE6"/>
    <w:rsid w:val="00C123C6"/>
    <w:rsid w:val="00C738F5"/>
    <w:rsid w:val="00C87F7F"/>
    <w:rsid w:val="00CE53AF"/>
    <w:rsid w:val="00CF5490"/>
    <w:rsid w:val="00D372D0"/>
    <w:rsid w:val="00D418E6"/>
    <w:rsid w:val="00D616C5"/>
    <w:rsid w:val="00D87DE4"/>
    <w:rsid w:val="00E13558"/>
    <w:rsid w:val="00E3057D"/>
    <w:rsid w:val="00E70C14"/>
    <w:rsid w:val="00E7736F"/>
    <w:rsid w:val="00E81D71"/>
    <w:rsid w:val="00F00592"/>
    <w:rsid w:val="00F6622C"/>
    <w:rsid w:val="00F74A56"/>
    <w:rsid w:val="00FD3253"/>
    <w:rsid w:val="00FE0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B2852"/>
  <w15:chartTrackingRefBased/>
  <w15:docId w15:val="{F16A4E81-C7CA-4915-B01B-2C56EB6E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483524"/>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483524"/>
    <w:rPr>
      <w:rFonts w:ascii="Calibri" w:hAnsi="Calibri"/>
      <w:szCs w:val="21"/>
    </w:rPr>
  </w:style>
  <w:style w:type="character" w:customStyle="1" w:styleId="ref-lnk">
    <w:name w:val="ref-lnk"/>
    <w:basedOn w:val="DefaultParagraphFont"/>
    <w:rsid w:val="00284A59"/>
  </w:style>
  <w:style w:type="character" w:customStyle="1" w:styleId="off-screen">
    <w:name w:val="off-screen"/>
    <w:basedOn w:val="DefaultParagraphFont"/>
    <w:rsid w:val="00284A59"/>
  </w:style>
  <w:style w:type="paragraph" w:styleId="NormalWeb">
    <w:name w:val="Normal (Web)"/>
    <w:basedOn w:val="Normal"/>
    <w:uiPriority w:val="99"/>
    <w:unhideWhenUsed/>
    <w:rsid w:val="00284A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B4D00"/>
    <w:rPr>
      <w:color w:val="0000FF"/>
      <w:u w:val="single"/>
    </w:rPr>
  </w:style>
  <w:style w:type="character" w:customStyle="1" w:styleId="link-badges-affix">
    <w:name w:val="link-badges-affix"/>
    <w:basedOn w:val="DefaultParagraphFont"/>
    <w:rsid w:val="00F74A56"/>
  </w:style>
  <w:style w:type="character" w:customStyle="1" w:styleId="link-badges-affix-inner">
    <w:name w:val="link-badges-affix-inner"/>
    <w:basedOn w:val="DefaultParagraphFont"/>
    <w:rsid w:val="00F74A56"/>
  </w:style>
  <w:style w:type="character" w:styleId="UnresolvedMention">
    <w:name w:val="Unresolved Mention"/>
    <w:basedOn w:val="DefaultParagraphFont"/>
    <w:uiPriority w:val="99"/>
    <w:semiHidden/>
    <w:unhideWhenUsed/>
    <w:rsid w:val="00666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4872">
      <w:bodyDiv w:val="1"/>
      <w:marLeft w:val="0"/>
      <w:marRight w:val="0"/>
      <w:marTop w:val="0"/>
      <w:marBottom w:val="0"/>
      <w:divBdr>
        <w:top w:val="none" w:sz="0" w:space="0" w:color="auto"/>
        <w:left w:val="none" w:sz="0" w:space="0" w:color="auto"/>
        <w:bottom w:val="none" w:sz="0" w:space="0" w:color="auto"/>
        <w:right w:val="none" w:sz="0" w:space="0" w:color="auto"/>
      </w:divBdr>
    </w:div>
    <w:div w:id="207953352">
      <w:bodyDiv w:val="1"/>
      <w:marLeft w:val="0"/>
      <w:marRight w:val="0"/>
      <w:marTop w:val="0"/>
      <w:marBottom w:val="0"/>
      <w:divBdr>
        <w:top w:val="none" w:sz="0" w:space="0" w:color="auto"/>
        <w:left w:val="none" w:sz="0" w:space="0" w:color="auto"/>
        <w:bottom w:val="none" w:sz="0" w:space="0" w:color="auto"/>
        <w:right w:val="none" w:sz="0" w:space="0" w:color="auto"/>
      </w:divBdr>
    </w:div>
    <w:div w:id="289554076">
      <w:bodyDiv w:val="1"/>
      <w:marLeft w:val="0"/>
      <w:marRight w:val="0"/>
      <w:marTop w:val="0"/>
      <w:marBottom w:val="0"/>
      <w:divBdr>
        <w:top w:val="none" w:sz="0" w:space="0" w:color="auto"/>
        <w:left w:val="none" w:sz="0" w:space="0" w:color="auto"/>
        <w:bottom w:val="none" w:sz="0" w:space="0" w:color="auto"/>
        <w:right w:val="none" w:sz="0" w:space="0" w:color="auto"/>
      </w:divBdr>
    </w:div>
    <w:div w:id="305864374">
      <w:bodyDiv w:val="1"/>
      <w:marLeft w:val="0"/>
      <w:marRight w:val="0"/>
      <w:marTop w:val="0"/>
      <w:marBottom w:val="0"/>
      <w:divBdr>
        <w:top w:val="none" w:sz="0" w:space="0" w:color="auto"/>
        <w:left w:val="none" w:sz="0" w:space="0" w:color="auto"/>
        <w:bottom w:val="none" w:sz="0" w:space="0" w:color="auto"/>
        <w:right w:val="none" w:sz="0" w:space="0" w:color="auto"/>
      </w:divBdr>
    </w:div>
    <w:div w:id="318390856">
      <w:bodyDiv w:val="1"/>
      <w:marLeft w:val="0"/>
      <w:marRight w:val="0"/>
      <w:marTop w:val="0"/>
      <w:marBottom w:val="0"/>
      <w:divBdr>
        <w:top w:val="none" w:sz="0" w:space="0" w:color="auto"/>
        <w:left w:val="none" w:sz="0" w:space="0" w:color="auto"/>
        <w:bottom w:val="none" w:sz="0" w:space="0" w:color="auto"/>
        <w:right w:val="none" w:sz="0" w:space="0" w:color="auto"/>
      </w:divBdr>
    </w:div>
    <w:div w:id="570576851">
      <w:bodyDiv w:val="1"/>
      <w:marLeft w:val="0"/>
      <w:marRight w:val="0"/>
      <w:marTop w:val="0"/>
      <w:marBottom w:val="0"/>
      <w:divBdr>
        <w:top w:val="none" w:sz="0" w:space="0" w:color="auto"/>
        <w:left w:val="none" w:sz="0" w:space="0" w:color="auto"/>
        <w:bottom w:val="none" w:sz="0" w:space="0" w:color="auto"/>
        <w:right w:val="none" w:sz="0" w:space="0" w:color="auto"/>
      </w:divBdr>
    </w:div>
    <w:div w:id="868642729">
      <w:bodyDiv w:val="1"/>
      <w:marLeft w:val="0"/>
      <w:marRight w:val="0"/>
      <w:marTop w:val="0"/>
      <w:marBottom w:val="0"/>
      <w:divBdr>
        <w:top w:val="none" w:sz="0" w:space="0" w:color="auto"/>
        <w:left w:val="none" w:sz="0" w:space="0" w:color="auto"/>
        <w:bottom w:val="none" w:sz="0" w:space="0" w:color="auto"/>
        <w:right w:val="none" w:sz="0" w:space="0" w:color="auto"/>
      </w:divBdr>
    </w:div>
    <w:div w:id="1016151549">
      <w:bodyDiv w:val="1"/>
      <w:marLeft w:val="0"/>
      <w:marRight w:val="0"/>
      <w:marTop w:val="0"/>
      <w:marBottom w:val="0"/>
      <w:divBdr>
        <w:top w:val="none" w:sz="0" w:space="0" w:color="auto"/>
        <w:left w:val="none" w:sz="0" w:space="0" w:color="auto"/>
        <w:bottom w:val="none" w:sz="0" w:space="0" w:color="auto"/>
        <w:right w:val="none" w:sz="0" w:space="0" w:color="auto"/>
      </w:divBdr>
    </w:div>
    <w:div w:id="1085225289">
      <w:bodyDiv w:val="1"/>
      <w:marLeft w:val="0"/>
      <w:marRight w:val="0"/>
      <w:marTop w:val="0"/>
      <w:marBottom w:val="0"/>
      <w:divBdr>
        <w:top w:val="none" w:sz="0" w:space="0" w:color="auto"/>
        <w:left w:val="none" w:sz="0" w:space="0" w:color="auto"/>
        <w:bottom w:val="none" w:sz="0" w:space="0" w:color="auto"/>
        <w:right w:val="none" w:sz="0" w:space="0" w:color="auto"/>
      </w:divBdr>
    </w:div>
    <w:div w:id="1244293553">
      <w:bodyDiv w:val="1"/>
      <w:marLeft w:val="0"/>
      <w:marRight w:val="0"/>
      <w:marTop w:val="0"/>
      <w:marBottom w:val="0"/>
      <w:divBdr>
        <w:top w:val="none" w:sz="0" w:space="0" w:color="auto"/>
        <w:left w:val="none" w:sz="0" w:space="0" w:color="auto"/>
        <w:bottom w:val="none" w:sz="0" w:space="0" w:color="auto"/>
        <w:right w:val="none" w:sz="0" w:space="0" w:color="auto"/>
      </w:divBdr>
    </w:div>
    <w:div w:id="1457719096">
      <w:bodyDiv w:val="1"/>
      <w:marLeft w:val="0"/>
      <w:marRight w:val="0"/>
      <w:marTop w:val="0"/>
      <w:marBottom w:val="0"/>
      <w:divBdr>
        <w:top w:val="none" w:sz="0" w:space="0" w:color="auto"/>
        <w:left w:val="none" w:sz="0" w:space="0" w:color="auto"/>
        <w:bottom w:val="none" w:sz="0" w:space="0" w:color="auto"/>
        <w:right w:val="none" w:sz="0" w:space="0" w:color="auto"/>
      </w:divBdr>
    </w:div>
    <w:div w:id="1665282654">
      <w:bodyDiv w:val="1"/>
      <w:marLeft w:val="0"/>
      <w:marRight w:val="0"/>
      <w:marTop w:val="0"/>
      <w:marBottom w:val="0"/>
      <w:divBdr>
        <w:top w:val="none" w:sz="0" w:space="0" w:color="auto"/>
        <w:left w:val="none" w:sz="0" w:space="0" w:color="auto"/>
        <w:bottom w:val="none" w:sz="0" w:space="0" w:color="auto"/>
        <w:right w:val="none" w:sz="0" w:space="0" w:color="auto"/>
      </w:divBdr>
    </w:div>
    <w:div w:id="1728606716">
      <w:bodyDiv w:val="1"/>
      <w:marLeft w:val="0"/>
      <w:marRight w:val="0"/>
      <w:marTop w:val="0"/>
      <w:marBottom w:val="0"/>
      <w:divBdr>
        <w:top w:val="none" w:sz="0" w:space="0" w:color="auto"/>
        <w:left w:val="none" w:sz="0" w:space="0" w:color="auto"/>
        <w:bottom w:val="none" w:sz="0" w:space="0" w:color="auto"/>
        <w:right w:val="none" w:sz="0" w:space="0" w:color="auto"/>
      </w:divBdr>
    </w:div>
    <w:div w:id="1775857222">
      <w:bodyDiv w:val="1"/>
      <w:marLeft w:val="0"/>
      <w:marRight w:val="0"/>
      <w:marTop w:val="0"/>
      <w:marBottom w:val="0"/>
      <w:divBdr>
        <w:top w:val="none" w:sz="0" w:space="0" w:color="auto"/>
        <w:left w:val="none" w:sz="0" w:space="0" w:color="auto"/>
        <w:bottom w:val="none" w:sz="0" w:space="0" w:color="auto"/>
        <w:right w:val="none" w:sz="0" w:space="0" w:color="auto"/>
      </w:divBdr>
    </w:div>
    <w:div w:id="1850634489">
      <w:bodyDiv w:val="1"/>
      <w:marLeft w:val="0"/>
      <w:marRight w:val="0"/>
      <w:marTop w:val="0"/>
      <w:marBottom w:val="0"/>
      <w:divBdr>
        <w:top w:val="none" w:sz="0" w:space="0" w:color="auto"/>
        <w:left w:val="none" w:sz="0" w:space="0" w:color="auto"/>
        <w:bottom w:val="none" w:sz="0" w:space="0" w:color="auto"/>
        <w:right w:val="none" w:sz="0" w:space="0" w:color="auto"/>
      </w:divBdr>
    </w:div>
    <w:div w:id="1872566663">
      <w:bodyDiv w:val="1"/>
      <w:marLeft w:val="0"/>
      <w:marRight w:val="0"/>
      <w:marTop w:val="0"/>
      <w:marBottom w:val="0"/>
      <w:divBdr>
        <w:top w:val="none" w:sz="0" w:space="0" w:color="auto"/>
        <w:left w:val="none" w:sz="0" w:space="0" w:color="auto"/>
        <w:bottom w:val="none" w:sz="0" w:space="0" w:color="auto"/>
        <w:right w:val="none" w:sz="0" w:space="0" w:color="auto"/>
      </w:divBdr>
    </w:div>
    <w:div w:id="1932424492">
      <w:bodyDiv w:val="1"/>
      <w:marLeft w:val="0"/>
      <w:marRight w:val="0"/>
      <w:marTop w:val="0"/>
      <w:marBottom w:val="0"/>
      <w:divBdr>
        <w:top w:val="none" w:sz="0" w:space="0" w:color="auto"/>
        <w:left w:val="none" w:sz="0" w:space="0" w:color="auto"/>
        <w:bottom w:val="none" w:sz="0" w:space="0" w:color="auto"/>
        <w:right w:val="none" w:sz="0" w:space="0" w:color="auto"/>
      </w:divBdr>
    </w:div>
    <w:div w:id="2001545670">
      <w:bodyDiv w:val="1"/>
      <w:marLeft w:val="0"/>
      <w:marRight w:val="0"/>
      <w:marTop w:val="0"/>
      <w:marBottom w:val="0"/>
      <w:divBdr>
        <w:top w:val="none" w:sz="0" w:space="0" w:color="auto"/>
        <w:left w:val="none" w:sz="0" w:space="0" w:color="auto"/>
        <w:bottom w:val="none" w:sz="0" w:space="0" w:color="auto"/>
        <w:right w:val="none" w:sz="0" w:space="0" w:color="auto"/>
      </w:divBdr>
    </w:div>
    <w:div w:id="202566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guardian.com/us-news/2021/mar/27/its-for-the-people-how-george-floyd-square-became-a-symbol-of-resistance-and-heal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B7806-FAF2-4708-BFA2-B30810AB2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9</Pages>
  <Words>4738</Words>
  <Characters>27012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Murdock,Leah swp8140</dc:creator>
  <cp:keywords/>
  <dc:description/>
  <cp:lastModifiedBy>Murdock,Leah swp8140</cp:lastModifiedBy>
  <cp:revision>63</cp:revision>
  <dcterms:created xsi:type="dcterms:W3CDTF">2023-08-19T15:31:00Z</dcterms:created>
  <dcterms:modified xsi:type="dcterms:W3CDTF">2023-09-05T14:44:00Z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2023-08-19T16:52:08Z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074fa340-5cb1-47af-9630-67852ac11ed5</vt:lpwstr>
  </property>
  <property fmtid="{D5CDD505-2E9C-101B-9397-08002B2CF9AE}" pid="8" name="MSIP_Label_66cf8fe5-b7b7-4df7-b38d-1c61ac2f6639_ContentBits">
    <vt:lpwstr>0</vt:lpwstr>
  </property>
</Properties>
</file>