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79BDA4" w14:textId="77777777" w:rsidR="0029685C" w:rsidRDefault="0029685C" w:rsidP="0029685C">
      <w:pPr>
        <w:rPr>
          <w:b/>
          <w:bCs/>
          <w:u w:val="single"/>
        </w:rPr>
      </w:pPr>
      <w:r w:rsidRPr="0029685C">
        <w:rPr>
          <w:b/>
          <w:bCs/>
          <w:u w:val="single"/>
        </w:rPr>
        <w:t>Data Analysis</w:t>
      </w:r>
    </w:p>
    <w:p w14:paraId="21AAE28E" w14:textId="77777777" w:rsidR="001D46BB" w:rsidRDefault="001D46BB" w:rsidP="0029685C">
      <w:pPr>
        <w:rPr>
          <w:b/>
          <w:bCs/>
          <w:u w:val="single"/>
        </w:rPr>
      </w:pPr>
    </w:p>
    <w:p w14:paraId="5740539C" w14:textId="77777777" w:rsidR="001D46BB" w:rsidRDefault="001D46BB" w:rsidP="001D46BB">
      <w:pPr>
        <w:rPr>
          <w:b/>
          <w:bCs/>
          <w:u w:val="single"/>
        </w:rPr>
      </w:pPr>
      <w:r w:rsidRPr="0029685C">
        <w:rPr>
          <w:b/>
          <w:bCs/>
          <w:u w:val="single"/>
        </w:rPr>
        <w:t>Introduction to Data Analysis</w:t>
      </w:r>
    </w:p>
    <w:p w14:paraId="59D46C86" w14:textId="77777777" w:rsidR="001D46BB" w:rsidRPr="0029685C" w:rsidRDefault="001D46BB" w:rsidP="001D46BB">
      <w:pPr>
        <w:rPr>
          <w:b/>
          <w:bCs/>
          <w:u w:val="single"/>
        </w:rPr>
      </w:pPr>
    </w:p>
    <w:p w14:paraId="45543D40" w14:textId="77777777" w:rsidR="001D46BB" w:rsidRDefault="001D46BB" w:rsidP="001D46BB">
      <w:r>
        <w:t>The purpose of this data analysis is to evaluate the responses collected from the survey, which included both quantitative and qualitative questions. The analysis is structured to address the research objectives and to offer insights into the ongoing debate surrounding the routine arming of police officers in the UK. The key research objectives that guided this analysis are:</w:t>
      </w:r>
    </w:p>
    <w:p w14:paraId="4BBEA1A8" w14:textId="77777777" w:rsidR="001D46BB" w:rsidRDefault="001D46BB" w:rsidP="001D46BB"/>
    <w:p w14:paraId="6B4C88F7" w14:textId="77777777" w:rsidR="001D46BB" w:rsidRPr="0029685C" w:rsidRDefault="001D46BB" w:rsidP="001D46BB">
      <w:pPr>
        <w:rPr>
          <w:i/>
          <w:iCs/>
        </w:rPr>
      </w:pPr>
      <w:r w:rsidRPr="0029685C">
        <w:rPr>
          <w:i/>
          <w:iCs/>
        </w:rPr>
        <w:t>Examining the historical and current methods of armed policing in the UK and how firearms have been integrated into policing over time.</w:t>
      </w:r>
    </w:p>
    <w:p w14:paraId="722F4AE3" w14:textId="77777777" w:rsidR="001D46BB" w:rsidRPr="0029685C" w:rsidRDefault="001D46BB" w:rsidP="001D46BB">
      <w:pPr>
        <w:rPr>
          <w:i/>
          <w:iCs/>
        </w:rPr>
      </w:pPr>
    </w:p>
    <w:p w14:paraId="1B58DAAE" w14:textId="77777777" w:rsidR="001D46BB" w:rsidRPr="0029685C" w:rsidRDefault="001D46BB" w:rsidP="001D46BB">
      <w:pPr>
        <w:rPr>
          <w:i/>
          <w:iCs/>
        </w:rPr>
      </w:pPr>
      <w:r w:rsidRPr="0029685C">
        <w:rPr>
          <w:i/>
          <w:iCs/>
        </w:rPr>
        <w:t>Understanding the impact of public perception on the debate surrounding the routine arming of police officers and exploring how public attitudes influence police policy and decision-making.</w:t>
      </w:r>
    </w:p>
    <w:p w14:paraId="3ACA1490" w14:textId="77777777" w:rsidR="001D46BB" w:rsidRPr="0029685C" w:rsidRDefault="001D46BB" w:rsidP="001D46BB">
      <w:pPr>
        <w:rPr>
          <w:i/>
          <w:iCs/>
        </w:rPr>
      </w:pPr>
      <w:r w:rsidRPr="0029685C">
        <w:rPr>
          <w:i/>
          <w:iCs/>
        </w:rPr>
        <w:t>Comparing the UK's approach to armed policing with those of other countries that routinely arm their police officers.</w:t>
      </w:r>
    </w:p>
    <w:p w14:paraId="7583997F" w14:textId="77777777" w:rsidR="001D46BB" w:rsidRPr="0029685C" w:rsidRDefault="001D46BB" w:rsidP="001D46BB">
      <w:pPr>
        <w:rPr>
          <w:i/>
          <w:iCs/>
        </w:rPr>
      </w:pPr>
    </w:p>
    <w:p w14:paraId="54A49E63" w14:textId="77777777" w:rsidR="001D46BB" w:rsidRPr="0029685C" w:rsidRDefault="001D46BB" w:rsidP="001D46BB">
      <w:pPr>
        <w:rPr>
          <w:i/>
          <w:iCs/>
        </w:rPr>
      </w:pPr>
      <w:r w:rsidRPr="0029685C">
        <w:rPr>
          <w:i/>
          <w:iCs/>
        </w:rPr>
        <w:t>Investigating the broader impacts on police accountability, culture, and the use of force, focusing on how routine arming affects police behaviour, interactions with the public, and internal police culture.</w:t>
      </w:r>
    </w:p>
    <w:p w14:paraId="4A5D228B" w14:textId="77777777" w:rsidR="001D46BB" w:rsidRPr="0029685C" w:rsidRDefault="001D46BB" w:rsidP="001D46BB">
      <w:pPr>
        <w:rPr>
          <w:i/>
          <w:iCs/>
        </w:rPr>
      </w:pPr>
    </w:p>
    <w:p w14:paraId="7202FB85" w14:textId="77777777" w:rsidR="001D46BB" w:rsidRDefault="001D46BB" w:rsidP="001D46BB">
      <w:pPr>
        <w:rPr>
          <w:i/>
          <w:iCs/>
        </w:rPr>
      </w:pPr>
      <w:r w:rsidRPr="0029685C">
        <w:rPr>
          <w:i/>
          <w:iCs/>
        </w:rPr>
        <w:t>This analysis begins by evaluating the quantitative data collected from the closed-ended survey questions. The findings from these questions are then complemented with an exploration of the qualitative data, derived from the open-ended responses, to provide a richer understanding of the issue.</w:t>
      </w:r>
    </w:p>
    <w:p w14:paraId="1C788984" w14:textId="77777777" w:rsidR="001D46BB" w:rsidRDefault="001D46BB" w:rsidP="0029685C">
      <w:pPr>
        <w:rPr>
          <w:b/>
          <w:bCs/>
          <w:u w:val="single"/>
        </w:rPr>
      </w:pPr>
    </w:p>
    <w:p w14:paraId="6C09DC18" w14:textId="632FF922" w:rsidR="001D46BB" w:rsidRDefault="00F25712" w:rsidP="0029685C">
      <w:pPr>
        <w:rPr>
          <w:b/>
          <w:bCs/>
          <w:u w:val="single"/>
        </w:rPr>
      </w:pPr>
      <w:r>
        <w:rPr>
          <w:b/>
          <w:bCs/>
          <w:u w:val="single"/>
        </w:rPr>
        <w:t xml:space="preserve">Quantitative survey questions results </w:t>
      </w:r>
    </w:p>
    <w:p w14:paraId="3068AD6B" w14:textId="77777777" w:rsidR="00F25712" w:rsidRPr="0029685C" w:rsidRDefault="00F25712" w:rsidP="0029685C">
      <w:pPr>
        <w:rPr>
          <w:b/>
          <w:bCs/>
          <w:u w:val="single"/>
        </w:rPr>
      </w:pPr>
    </w:p>
    <w:tbl>
      <w:tblPr>
        <w:tblpPr w:leftFromText="180" w:rightFromText="180" w:vertAnchor="text" w:horzAnchor="margin" w:tblpXSpec="center" w:tblpY="31"/>
        <w:tblW w:w="10380" w:type="dxa"/>
        <w:tblLook w:val="04A0" w:firstRow="1" w:lastRow="0" w:firstColumn="1" w:lastColumn="0" w:noHBand="0" w:noVBand="1"/>
      </w:tblPr>
      <w:tblGrid>
        <w:gridCol w:w="670"/>
        <w:gridCol w:w="692"/>
        <w:gridCol w:w="1253"/>
        <w:gridCol w:w="1391"/>
        <w:gridCol w:w="956"/>
        <w:gridCol w:w="1025"/>
        <w:gridCol w:w="1175"/>
        <w:gridCol w:w="1119"/>
        <w:gridCol w:w="1074"/>
        <w:gridCol w:w="1025"/>
      </w:tblGrid>
      <w:tr w:rsidR="001D46BB" w:rsidRPr="001D46BB" w14:paraId="36C7DF05" w14:textId="77777777" w:rsidTr="001D46BB">
        <w:trPr>
          <w:trHeight w:val="630"/>
        </w:trPr>
        <w:tc>
          <w:tcPr>
            <w:tcW w:w="670" w:type="dxa"/>
            <w:tcBorders>
              <w:top w:val="single" w:sz="4" w:space="0" w:color="BFBFBF"/>
              <w:left w:val="single" w:sz="4" w:space="0" w:color="BFBFBF"/>
              <w:bottom w:val="single" w:sz="4" w:space="0" w:color="BFBFBF"/>
              <w:right w:val="single" w:sz="4" w:space="0" w:color="BFBFBF"/>
            </w:tcBorders>
            <w:shd w:val="clear" w:color="000000" w:fill="E8E8E8"/>
            <w:vAlign w:val="center"/>
            <w:hideMark/>
          </w:tcPr>
          <w:p w14:paraId="5F647970" w14:textId="77777777" w:rsidR="001D46BB" w:rsidRPr="001D46BB" w:rsidRDefault="001D46BB" w:rsidP="001D46BB">
            <w:pPr>
              <w:jc w:val="right"/>
              <w:rPr>
                <w:rFonts w:ascii="Calibri" w:eastAsia="Times New Roman" w:hAnsi="Calibri" w:cs="Calibri"/>
                <w:b/>
                <w:bCs/>
                <w:color w:val="000000"/>
                <w:kern w:val="0"/>
                <w:sz w:val="16"/>
                <w:szCs w:val="16"/>
                <w:lang w:eastAsia="en-GB"/>
                <w14:ligatures w14:val="none"/>
              </w:rPr>
            </w:pPr>
            <w:r w:rsidRPr="001D46BB">
              <w:rPr>
                <w:rFonts w:ascii="Calibri" w:eastAsia="Times New Roman" w:hAnsi="Calibri" w:cs="Calibri"/>
                <w:b/>
                <w:bCs/>
                <w:color w:val="000000"/>
                <w:kern w:val="0"/>
                <w:sz w:val="16"/>
                <w:szCs w:val="16"/>
                <w:lang w:eastAsia="en-GB"/>
                <w14:ligatures w14:val="none"/>
              </w:rPr>
              <w:t>Officer No.</w:t>
            </w:r>
          </w:p>
        </w:tc>
        <w:tc>
          <w:tcPr>
            <w:tcW w:w="692" w:type="dxa"/>
            <w:tcBorders>
              <w:top w:val="single" w:sz="4" w:space="0" w:color="BFBFBF"/>
              <w:left w:val="nil"/>
              <w:bottom w:val="single" w:sz="4" w:space="0" w:color="BFBFBF"/>
              <w:right w:val="single" w:sz="4" w:space="0" w:color="BFBFBF"/>
            </w:tcBorders>
            <w:shd w:val="clear" w:color="000000" w:fill="E8E8E8"/>
            <w:vAlign w:val="center"/>
            <w:hideMark/>
          </w:tcPr>
          <w:p w14:paraId="2C9397C1" w14:textId="77777777" w:rsidR="001D46BB" w:rsidRPr="001D46BB" w:rsidRDefault="001D46BB" w:rsidP="001D46BB">
            <w:pPr>
              <w:jc w:val="center"/>
              <w:rPr>
                <w:rFonts w:ascii="Calibri" w:eastAsia="Times New Roman" w:hAnsi="Calibri" w:cs="Calibri"/>
                <w:b/>
                <w:bCs/>
                <w:color w:val="000000"/>
                <w:kern w:val="0"/>
                <w:sz w:val="16"/>
                <w:szCs w:val="16"/>
                <w:lang w:eastAsia="en-GB"/>
                <w14:ligatures w14:val="none"/>
              </w:rPr>
            </w:pPr>
            <w:r w:rsidRPr="001D46BB">
              <w:rPr>
                <w:rFonts w:ascii="Calibri" w:eastAsia="Times New Roman" w:hAnsi="Calibri" w:cs="Calibri"/>
                <w:b/>
                <w:bCs/>
                <w:color w:val="000000"/>
                <w:kern w:val="0"/>
                <w:sz w:val="16"/>
                <w:szCs w:val="16"/>
                <w:lang w:eastAsia="en-GB"/>
                <w14:ligatures w14:val="none"/>
              </w:rPr>
              <w:t>Years of Service</w:t>
            </w:r>
          </w:p>
        </w:tc>
        <w:tc>
          <w:tcPr>
            <w:tcW w:w="1253" w:type="dxa"/>
            <w:tcBorders>
              <w:top w:val="single" w:sz="4" w:space="0" w:color="BFBFBF"/>
              <w:left w:val="nil"/>
              <w:bottom w:val="single" w:sz="4" w:space="0" w:color="BFBFBF"/>
              <w:right w:val="single" w:sz="4" w:space="0" w:color="BFBFBF"/>
            </w:tcBorders>
            <w:shd w:val="clear" w:color="000000" w:fill="E8E8E8"/>
            <w:vAlign w:val="center"/>
            <w:hideMark/>
          </w:tcPr>
          <w:p w14:paraId="35318754" w14:textId="77777777" w:rsidR="001D46BB" w:rsidRPr="001D46BB" w:rsidRDefault="001D46BB" w:rsidP="001D46BB">
            <w:pPr>
              <w:jc w:val="center"/>
              <w:rPr>
                <w:rFonts w:ascii="Calibri" w:eastAsia="Times New Roman" w:hAnsi="Calibri" w:cs="Calibri"/>
                <w:b/>
                <w:bCs/>
                <w:color w:val="000000"/>
                <w:kern w:val="0"/>
                <w:sz w:val="16"/>
                <w:szCs w:val="16"/>
                <w:lang w:eastAsia="en-GB"/>
                <w14:ligatures w14:val="none"/>
              </w:rPr>
            </w:pPr>
            <w:r w:rsidRPr="001D46BB">
              <w:rPr>
                <w:rFonts w:ascii="Calibri" w:eastAsia="Times New Roman" w:hAnsi="Calibri" w:cs="Calibri"/>
                <w:b/>
                <w:bCs/>
                <w:color w:val="000000"/>
                <w:kern w:val="0"/>
                <w:sz w:val="16"/>
                <w:szCs w:val="16"/>
                <w:lang w:eastAsia="en-GB"/>
                <w14:ligatures w14:val="none"/>
              </w:rPr>
              <w:t>Agree/Disagree with Routine Arming</w:t>
            </w:r>
          </w:p>
        </w:tc>
        <w:tc>
          <w:tcPr>
            <w:tcW w:w="1391" w:type="dxa"/>
            <w:tcBorders>
              <w:top w:val="single" w:sz="4" w:space="0" w:color="BFBFBF"/>
              <w:left w:val="nil"/>
              <w:bottom w:val="single" w:sz="4" w:space="0" w:color="BFBFBF"/>
              <w:right w:val="single" w:sz="4" w:space="0" w:color="BFBFBF"/>
            </w:tcBorders>
            <w:shd w:val="clear" w:color="000000" w:fill="E8E8E8"/>
            <w:vAlign w:val="center"/>
            <w:hideMark/>
          </w:tcPr>
          <w:p w14:paraId="48216E8B" w14:textId="77777777" w:rsidR="001D46BB" w:rsidRPr="001D46BB" w:rsidRDefault="001D46BB" w:rsidP="001D46BB">
            <w:pPr>
              <w:jc w:val="center"/>
              <w:rPr>
                <w:rFonts w:ascii="Calibri" w:eastAsia="Times New Roman" w:hAnsi="Calibri" w:cs="Calibri"/>
                <w:b/>
                <w:bCs/>
                <w:color w:val="000000"/>
                <w:kern w:val="0"/>
                <w:sz w:val="16"/>
                <w:szCs w:val="16"/>
                <w:lang w:eastAsia="en-GB"/>
                <w14:ligatures w14:val="none"/>
              </w:rPr>
            </w:pPr>
            <w:r w:rsidRPr="001D46BB">
              <w:rPr>
                <w:rFonts w:ascii="Calibri" w:eastAsia="Times New Roman" w:hAnsi="Calibri" w:cs="Calibri"/>
                <w:b/>
                <w:bCs/>
                <w:color w:val="000000"/>
                <w:kern w:val="0"/>
                <w:sz w:val="16"/>
                <w:szCs w:val="16"/>
                <w:lang w:eastAsia="en-GB"/>
                <w14:ligatures w14:val="none"/>
              </w:rPr>
              <w:t>Knowledge of Armed Policing</w:t>
            </w:r>
          </w:p>
        </w:tc>
        <w:tc>
          <w:tcPr>
            <w:tcW w:w="956" w:type="dxa"/>
            <w:tcBorders>
              <w:top w:val="single" w:sz="4" w:space="0" w:color="BFBFBF"/>
              <w:left w:val="nil"/>
              <w:bottom w:val="single" w:sz="4" w:space="0" w:color="BFBFBF"/>
              <w:right w:val="single" w:sz="4" w:space="0" w:color="BFBFBF"/>
            </w:tcBorders>
            <w:shd w:val="clear" w:color="000000" w:fill="E8E8E8"/>
            <w:vAlign w:val="center"/>
            <w:hideMark/>
          </w:tcPr>
          <w:p w14:paraId="459A99D8" w14:textId="77777777" w:rsidR="001D46BB" w:rsidRPr="001D46BB" w:rsidRDefault="001D46BB" w:rsidP="001D46BB">
            <w:pPr>
              <w:jc w:val="center"/>
              <w:rPr>
                <w:rFonts w:ascii="Calibri" w:eastAsia="Times New Roman" w:hAnsi="Calibri" w:cs="Calibri"/>
                <w:b/>
                <w:bCs/>
                <w:color w:val="000000"/>
                <w:kern w:val="0"/>
                <w:sz w:val="16"/>
                <w:szCs w:val="16"/>
                <w:lang w:eastAsia="en-GB"/>
                <w14:ligatures w14:val="none"/>
              </w:rPr>
            </w:pPr>
            <w:r w:rsidRPr="001D46BB">
              <w:rPr>
                <w:rFonts w:ascii="Calibri" w:eastAsia="Times New Roman" w:hAnsi="Calibri" w:cs="Calibri"/>
                <w:b/>
                <w:bCs/>
                <w:color w:val="000000"/>
                <w:kern w:val="0"/>
                <w:sz w:val="16"/>
                <w:szCs w:val="16"/>
                <w:lang w:eastAsia="en-GB"/>
                <w14:ligatures w14:val="none"/>
              </w:rPr>
              <w:t>Influence of Public Opinion</w:t>
            </w:r>
          </w:p>
        </w:tc>
        <w:tc>
          <w:tcPr>
            <w:tcW w:w="1025" w:type="dxa"/>
            <w:tcBorders>
              <w:top w:val="single" w:sz="4" w:space="0" w:color="BFBFBF"/>
              <w:left w:val="nil"/>
              <w:bottom w:val="single" w:sz="4" w:space="0" w:color="BFBFBF"/>
              <w:right w:val="single" w:sz="4" w:space="0" w:color="BFBFBF"/>
            </w:tcBorders>
            <w:shd w:val="clear" w:color="000000" w:fill="E8E8E8"/>
            <w:vAlign w:val="center"/>
            <w:hideMark/>
          </w:tcPr>
          <w:p w14:paraId="570CDB05" w14:textId="77777777" w:rsidR="001D46BB" w:rsidRPr="001D46BB" w:rsidRDefault="001D46BB" w:rsidP="001D46BB">
            <w:pPr>
              <w:jc w:val="center"/>
              <w:rPr>
                <w:rFonts w:ascii="Calibri" w:eastAsia="Times New Roman" w:hAnsi="Calibri" w:cs="Calibri"/>
                <w:b/>
                <w:bCs/>
                <w:color w:val="000000"/>
                <w:kern w:val="0"/>
                <w:sz w:val="16"/>
                <w:szCs w:val="16"/>
                <w:lang w:eastAsia="en-GB"/>
                <w14:ligatures w14:val="none"/>
              </w:rPr>
            </w:pPr>
            <w:r w:rsidRPr="001D46BB">
              <w:rPr>
                <w:rFonts w:ascii="Calibri" w:eastAsia="Times New Roman" w:hAnsi="Calibri" w:cs="Calibri"/>
                <w:b/>
                <w:bCs/>
                <w:color w:val="000000"/>
                <w:kern w:val="0"/>
                <w:sz w:val="16"/>
                <w:szCs w:val="16"/>
                <w:lang w:eastAsia="en-GB"/>
                <w14:ligatures w14:val="none"/>
              </w:rPr>
              <w:t>Frequency of Firearm Need</w:t>
            </w:r>
          </w:p>
        </w:tc>
        <w:tc>
          <w:tcPr>
            <w:tcW w:w="1175" w:type="dxa"/>
            <w:tcBorders>
              <w:top w:val="single" w:sz="4" w:space="0" w:color="BFBFBF"/>
              <w:left w:val="nil"/>
              <w:bottom w:val="single" w:sz="4" w:space="0" w:color="BFBFBF"/>
              <w:right w:val="single" w:sz="4" w:space="0" w:color="BFBFBF"/>
            </w:tcBorders>
            <w:shd w:val="clear" w:color="000000" w:fill="E8E8E8"/>
            <w:vAlign w:val="center"/>
            <w:hideMark/>
          </w:tcPr>
          <w:p w14:paraId="233B29B5" w14:textId="77777777" w:rsidR="001D46BB" w:rsidRPr="001D46BB" w:rsidRDefault="001D46BB" w:rsidP="001D46BB">
            <w:pPr>
              <w:jc w:val="center"/>
              <w:rPr>
                <w:rFonts w:ascii="Calibri" w:eastAsia="Times New Roman" w:hAnsi="Calibri" w:cs="Calibri"/>
                <w:b/>
                <w:bCs/>
                <w:color w:val="000000"/>
                <w:kern w:val="0"/>
                <w:sz w:val="16"/>
                <w:szCs w:val="16"/>
                <w:lang w:eastAsia="en-GB"/>
                <w14:ligatures w14:val="none"/>
              </w:rPr>
            </w:pPr>
            <w:r w:rsidRPr="001D46BB">
              <w:rPr>
                <w:rFonts w:ascii="Calibri" w:eastAsia="Times New Roman" w:hAnsi="Calibri" w:cs="Calibri"/>
                <w:b/>
                <w:bCs/>
                <w:color w:val="000000"/>
                <w:kern w:val="0"/>
                <w:sz w:val="16"/>
                <w:szCs w:val="16"/>
                <w:lang w:eastAsia="en-GB"/>
                <w14:ligatures w14:val="none"/>
              </w:rPr>
              <w:t>Impact on Accountability</w:t>
            </w:r>
          </w:p>
        </w:tc>
        <w:tc>
          <w:tcPr>
            <w:tcW w:w="1119" w:type="dxa"/>
            <w:tcBorders>
              <w:top w:val="single" w:sz="4" w:space="0" w:color="BFBFBF"/>
              <w:left w:val="nil"/>
              <w:bottom w:val="single" w:sz="4" w:space="0" w:color="BFBFBF"/>
              <w:right w:val="single" w:sz="4" w:space="0" w:color="BFBFBF"/>
            </w:tcBorders>
            <w:shd w:val="clear" w:color="000000" w:fill="E8E8E8"/>
            <w:vAlign w:val="center"/>
            <w:hideMark/>
          </w:tcPr>
          <w:p w14:paraId="2FBBC4E5" w14:textId="77777777" w:rsidR="001D46BB" w:rsidRPr="001D46BB" w:rsidRDefault="001D46BB" w:rsidP="001D46BB">
            <w:pPr>
              <w:jc w:val="center"/>
              <w:rPr>
                <w:rFonts w:ascii="Calibri" w:eastAsia="Times New Roman" w:hAnsi="Calibri" w:cs="Calibri"/>
                <w:b/>
                <w:bCs/>
                <w:color w:val="000000"/>
                <w:kern w:val="0"/>
                <w:sz w:val="16"/>
                <w:szCs w:val="16"/>
                <w:lang w:eastAsia="en-GB"/>
                <w14:ligatures w14:val="none"/>
              </w:rPr>
            </w:pPr>
            <w:r w:rsidRPr="001D46BB">
              <w:rPr>
                <w:rFonts w:ascii="Calibri" w:eastAsia="Times New Roman" w:hAnsi="Calibri" w:cs="Calibri"/>
                <w:b/>
                <w:bCs/>
                <w:color w:val="000000"/>
                <w:kern w:val="0"/>
                <w:sz w:val="16"/>
                <w:szCs w:val="16"/>
                <w:lang w:eastAsia="en-GB"/>
                <w14:ligatures w14:val="none"/>
              </w:rPr>
              <w:t>Escalation Risk</w:t>
            </w:r>
          </w:p>
        </w:tc>
        <w:tc>
          <w:tcPr>
            <w:tcW w:w="1074" w:type="dxa"/>
            <w:tcBorders>
              <w:top w:val="single" w:sz="4" w:space="0" w:color="BFBFBF"/>
              <w:left w:val="nil"/>
              <w:bottom w:val="single" w:sz="4" w:space="0" w:color="BFBFBF"/>
              <w:right w:val="single" w:sz="4" w:space="0" w:color="BFBFBF"/>
            </w:tcBorders>
            <w:shd w:val="clear" w:color="000000" w:fill="E8E8E8"/>
            <w:vAlign w:val="center"/>
            <w:hideMark/>
          </w:tcPr>
          <w:p w14:paraId="517D4B40" w14:textId="77777777" w:rsidR="001D46BB" w:rsidRPr="001D46BB" w:rsidRDefault="001D46BB" w:rsidP="001D46BB">
            <w:pPr>
              <w:jc w:val="center"/>
              <w:rPr>
                <w:rFonts w:ascii="Calibri" w:eastAsia="Times New Roman" w:hAnsi="Calibri" w:cs="Calibri"/>
                <w:b/>
                <w:bCs/>
                <w:color w:val="000000"/>
                <w:kern w:val="0"/>
                <w:sz w:val="16"/>
                <w:szCs w:val="16"/>
                <w:lang w:eastAsia="en-GB"/>
                <w14:ligatures w14:val="none"/>
              </w:rPr>
            </w:pPr>
            <w:r w:rsidRPr="001D46BB">
              <w:rPr>
                <w:rFonts w:ascii="Calibri" w:eastAsia="Times New Roman" w:hAnsi="Calibri" w:cs="Calibri"/>
                <w:b/>
                <w:bCs/>
                <w:color w:val="000000"/>
                <w:kern w:val="0"/>
                <w:sz w:val="16"/>
                <w:szCs w:val="16"/>
                <w:lang w:eastAsia="en-GB"/>
                <w14:ligatures w14:val="none"/>
              </w:rPr>
              <w:t>Impact on Police Culture</w:t>
            </w:r>
          </w:p>
        </w:tc>
        <w:tc>
          <w:tcPr>
            <w:tcW w:w="1025" w:type="dxa"/>
            <w:tcBorders>
              <w:top w:val="single" w:sz="4" w:space="0" w:color="BFBFBF"/>
              <w:left w:val="nil"/>
              <w:bottom w:val="single" w:sz="4" w:space="0" w:color="BFBFBF"/>
              <w:right w:val="single" w:sz="4" w:space="0" w:color="BFBFBF"/>
            </w:tcBorders>
            <w:shd w:val="clear" w:color="000000" w:fill="E8E8E8"/>
            <w:vAlign w:val="center"/>
            <w:hideMark/>
          </w:tcPr>
          <w:p w14:paraId="4EBCA9B8" w14:textId="77777777" w:rsidR="001D46BB" w:rsidRPr="001D46BB" w:rsidRDefault="001D46BB" w:rsidP="001D46BB">
            <w:pPr>
              <w:jc w:val="center"/>
              <w:rPr>
                <w:rFonts w:ascii="Calibri" w:eastAsia="Times New Roman" w:hAnsi="Calibri" w:cs="Calibri"/>
                <w:b/>
                <w:bCs/>
                <w:color w:val="000000"/>
                <w:kern w:val="0"/>
                <w:sz w:val="16"/>
                <w:szCs w:val="16"/>
                <w:lang w:eastAsia="en-GB"/>
                <w14:ligatures w14:val="none"/>
              </w:rPr>
            </w:pPr>
            <w:r w:rsidRPr="001D46BB">
              <w:rPr>
                <w:rFonts w:ascii="Calibri" w:eastAsia="Times New Roman" w:hAnsi="Calibri" w:cs="Calibri"/>
                <w:b/>
                <w:bCs/>
                <w:color w:val="000000"/>
                <w:kern w:val="0"/>
                <w:sz w:val="16"/>
                <w:szCs w:val="16"/>
                <w:lang w:eastAsia="en-GB"/>
                <w14:ligatures w14:val="none"/>
              </w:rPr>
              <w:t>Impact on Use of Force</w:t>
            </w:r>
          </w:p>
        </w:tc>
      </w:tr>
      <w:tr w:rsidR="001D46BB" w:rsidRPr="001D46BB" w14:paraId="598E501F" w14:textId="77777777" w:rsidTr="001D46BB">
        <w:trPr>
          <w:trHeight w:val="420"/>
        </w:trPr>
        <w:tc>
          <w:tcPr>
            <w:tcW w:w="670" w:type="dxa"/>
            <w:tcBorders>
              <w:top w:val="nil"/>
              <w:left w:val="single" w:sz="4" w:space="0" w:color="BFBFBF"/>
              <w:bottom w:val="single" w:sz="4" w:space="0" w:color="BFBFBF"/>
              <w:right w:val="single" w:sz="4" w:space="0" w:color="BFBFBF"/>
            </w:tcBorders>
            <w:shd w:val="clear" w:color="auto" w:fill="auto"/>
            <w:vAlign w:val="center"/>
            <w:hideMark/>
          </w:tcPr>
          <w:p w14:paraId="2CC3A13A" w14:textId="77777777" w:rsidR="001D46BB" w:rsidRPr="001D46BB" w:rsidRDefault="001D46BB" w:rsidP="001D46BB">
            <w:pPr>
              <w:jc w:val="right"/>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1</w:t>
            </w:r>
          </w:p>
        </w:tc>
        <w:tc>
          <w:tcPr>
            <w:tcW w:w="692" w:type="dxa"/>
            <w:tcBorders>
              <w:top w:val="nil"/>
              <w:left w:val="nil"/>
              <w:bottom w:val="single" w:sz="4" w:space="0" w:color="BFBFBF"/>
              <w:right w:val="single" w:sz="4" w:space="0" w:color="BFBFBF"/>
            </w:tcBorders>
            <w:shd w:val="clear" w:color="auto" w:fill="auto"/>
            <w:vAlign w:val="center"/>
            <w:hideMark/>
          </w:tcPr>
          <w:p w14:paraId="680D02D0"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1-5 years</w:t>
            </w:r>
          </w:p>
        </w:tc>
        <w:tc>
          <w:tcPr>
            <w:tcW w:w="1253" w:type="dxa"/>
            <w:tcBorders>
              <w:top w:val="nil"/>
              <w:left w:val="nil"/>
              <w:bottom w:val="single" w:sz="4" w:space="0" w:color="BFBFBF"/>
              <w:right w:val="single" w:sz="4" w:space="0" w:color="BFBFBF"/>
            </w:tcBorders>
            <w:shd w:val="clear" w:color="auto" w:fill="auto"/>
            <w:vAlign w:val="center"/>
            <w:hideMark/>
          </w:tcPr>
          <w:p w14:paraId="5631D01C"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Disagree</w:t>
            </w:r>
          </w:p>
        </w:tc>
        <w:tc>
          <w:tcPr>
            <w:tcW w:w="1391" w:type="dxa"/>
            <w:tcBorders>
              <w:top w:val="nil"/>
              <w:left w:val="nil"/>
              <w:bottom w:val="single" w:sz="4" w:space="0" w:color="BFBFBF"/>
              <w:right w:val="single" w:sz="4" w:space="0" w:color="BFBFBF"/>
            </w:tcBorders>
            <w:shd w:val="clear" w:color="auto" w:fill="auto"/>
            <w:vAlign w:val="center"/>
            <w:hideMark/>
          </w:tcPr>
          <w:p w14:paraId="5009A740"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Somewhat Knowledgeable</w:t>
            </w:r>
          </w:p>
        </w:tc>
        <w:tc>
          <w:tcPr>
            <w:tcW w:w="956" w:type="dxa"/>
            <w:tcBorders>
              <w:top w:val="nil"/>
              <w:left w:val="nil"/>
              <w:bottom w:val="single" w:sz="4" w:space="0" w:color="BFBFBF"/>
              <w:right w:val="single" w:sz="4" w:space="0" w:color="BFBFBF"/>
            </w:tcBorders>
            <w:shd w:val="clear" w:color="auto" w:fill="auto"/>
            <w:vAlign w:val="center"/>
            <w:hideMark/>
          </w:tcPr>
          <w:p w14:paraId="1D621D5E"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Very Much</w:t>
            </w:r>
          </w:p>
        </w:tc>
        <w:tc>
          <w:tcPr>
            <w:tcW w:w="1025" w:type="dxa"/>
            <w:tcBorders>
              <w:top w:val="nil"/>
              <w:left w:val="nil"/>
              <w:bottom w:val="single" w:sz="4" w:space="0" w:color="BFBFBF"/>
              <w:right w:val="single" w:sz="4" w:space="0" w:color="BFBFBF"/>
            </w:tcBorders>
            <w:shd w:val="clear" w:color="auto" w:fill="auto"/>
            <w:vAlign w:val="center"/>
            <w:hideMark/>
          </w:tcPr>
          <w:p w14:paraId="580D4DD4"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Rarely</w:t>
            </w:r>
          </w:p>
        </w:tc>
        <w:tc>
          <w:tcPr>
            <w:tcW w:w="1175" w:type="dxa"/>
            <w:tcBorders>
              <w:top w:val="nil"/>
              <w:left w:val="nil"/>
              <w:bottom w:val="single" w:sz="4" w:space="0" w:color="BFBFBF"/>
              <w:right w:val="single" w:sz="4" w:space="0" w:color="BFBFBF"/>
            </w:tcBorders>
            <w:shd w:val="clear" w:color="auto" w:fill="auto"/>
            <w:vAlign w:val="center"/>
            <w:hideMark/>
          </w:tcPr>
          <w:p w14:paraId="116F9E14"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Slightly Decreases</w:t>
            </w:r>
          </w:p>
        </w:tc>
        <w:tc>
          <w:tcPr>
            <w:tcW w:w="1119" w:type="dxa"/>
            <w:tcBorders>
              <w:top w:val="nil"/>
              <w:left w:val="nil"/>
              <w:bottom w:val="single" w:sz="4" w:space="0" w:color="BFBFBF"/>
              <w:right w:val="single" w:sz="4" w:space="0" w:color="BFBFBF"/>
            </w:tcBorders>
            <w:shd w:val="clear" w:color="auto" w:fill="auto"/>
            <w:vAlign w:val="center"/>
            <w:hideMark/>
          </w:tcPr>
          <w:p w14:paraId="02101380"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Yes, significantly increases the risk</w:t>
            </w:r>
          </w:p>
        </w:tc>
        <w:tc>
          <w:tcPr>
            <w:tcW w:w="1074" w:type="dxa"/>
            <w:tcBorders>
              <w:top w:val="nil"/>
              <w:left w:val="nil"/>
              <w:bottom w:val="single" w:sz="4" w:space="0" w:color="BFBFBF"/>
              <w:right w:val="single" w:sz="4" w:space="0" w:color="BFBFBF"/>
            </w:tcBorders>
            <w:shd w:val="clear" w:color="auto" w:fill="auto"/>
            <w:vAlign w:val="center"/>
            <w:hideMark/>
          </w:tcPr>
          <w:p w14:paraId="3DC8CBC0"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Yes, it would slightly change the culture</w:t>
            </w:r>
          </w:p>
        </w:tc>
        <w:tc>
          <w:tcPr>
            <w:tcW w:w="1025" w:type="dxa"/>
            <w:tcBorders>
              <w:top w:val="nil"/>
              <w:left w:val="nil"/>
              <w:bottom w:val="single" w:sz="4" w:space="0" w:color="BFBFBF"/>
              <w:right w:val="single" w:sz="4" w:space="0" w:color="BFBFBF"/>
            </w:tcBorders>
            <w:shd w:val="clear" w:color="auto" w:fill="auto"/>
            <w:vAlign w:val="center"/>
            <w:hideMark/>
          </w:tcPr>
          <w:p w14:paraId="5B3D4BB5"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Occasionally</w:t>
            </w:r>
          </w:p>
        </w:tc>
      </w:tr>
      <w:tr w:rsidR="001D46BB" w:rsidRPr="001D46BB" w14:paraId="4315936D" w14:textId="77777777" w:rsidTr="001D46BB">
        <w:trPr>
          <w:trHeight w:val="420"/>
        </w:trPr>
        <w:tc>
          <w:tcPr>
            <w:tcW w:w="670" w:type="dxa"/>
            <w:tcBorders>
              <w:top w:val="nil"/>
              <w:left w:val="single" w:sz="4" w:space="0" w:color="BFBFBF"/>
              <w:bottom w:val="single" w:sz="4" w:space="0" w:color="BFBFBF"/>
              <w:right w:val="single" w:sz="4" w:space="0" w:color="BFBFBF"/>
            </w:tcBorders>
            <w:shd w:val="clear" w:color="auto" w:fill="auto"/>
            <w:vAlign w:val="center"/>
            <w:hideMark/>
          </w:tcPr>
          <w:p w14:paraId="43A48848" w14:textId="77777777" w:rsidR="001D46BB" w:rsidRPr="001D46BB" w:rsidRDefault="001D46BB" w:rsidP="001D46BB">
            <w:pPr>
              <w:jc w:val="right"/>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2</w:t>
            </w:r>
          </w:p>
        </w:tc>
        <w:tc>
          <w:tcPr>
            <w:tcW w:w="692" w:type="dxa"/>
            <w:tcBorders>
              <w:top w:val="nil"/>
              <w:left w:val="nil"/>
              <w:bottom w:val="single" w:sz="4" w:space="0" w:color="BFBFBF"/>
              <w:right w:val="single" w:sz="4" w:space="0" w:color="BFBFBF"/>
            </w:tcBorders>
            <w:shd w:val="clear" w:color="auto" w:fill="auto"/>
            <w:vAlign w:val="center"/>
            <w:hideMark/>
          </w:tcPr>
          <w:p w14:paraId="1A0D15E3"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1-5 years</w:t>
            </w:r>
          </w:p>
        </w:tc>
        <w:tc>
          <w:tcPr>
            <w:tcW w:w="1253" w:type="dxa"/>
            <w:tcBorders>
              <w:top w:val="nil"/>
              <w:left w:val="nil"/>
              <w:bottom w:val="single" w:sz="4" w:space="0" w:color="BFBFBF"/>
              <w:right w:val="single" w:sz="4" w:space="0" w:color="BFBFBF"/>
            </w:tcBorders>
            <w:shd w:val="clear" w:color="auto" w:fill="auto"/>
            <w:vAlign w:val="center"/>
            <w:hideMark/>
          </w:tcPr>
          <w:p w14:paraId="030D763E"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Strongly Disagree</w:t>
            </w:r>
          </w:p>
        </w:tc>
        <w:tc>
          <w:tcPr>
            <w:tcW w:w="1391" w:type="dxa"/>
            <w:tcBorders>
              <w:top w:val="nil"/>
              <w:left w:val="nil"/>
              <w:bottom w:val="single" w:sz="4" w:space="0" w:color="BFBFBF"/>
              <w:right w:val="single" w:sz="4" w:space="0" w:color="BFBFBF"/>
            </w:tcBorders>
            <w:shd w:val="clear" w:color="auto" w:fill="auto"/>
            <w:vAlign w:val="center"/>
            <w:hideMark/>
          </w:tcPr>
          <w:p w14:paraId="367DD4A8"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Somewhat Unknowledgeable</w:t>
            </w:r>
          </w:p>
        </w:tc>
        <w:tc>
          <w:tcPr>
            <w:tcW w:w="956" w:type="dxa"/>
            <w:tcBorders>
              <w:top w:val="nil"/>
              <w:left w:val="nil"/>
              <w:bottom w:val="single" w:sz="4" w:space="0" w:color="BFBFBF"/>
              <w:right w:val="single" w:sz="4" w:space="0" w:color="BFBFBF"/>
            </w:tcBorders>
            <w:shd w:val="clear" w:color="auto" w:fill="auto"/>
            <w:vAlign w:val="center"/>
            <w:hideMark/>
          </w:tcPr>
          <w:p w14:paraId="14540A5A"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Somewhat</w:t>
            </w:r>
          </w:p>
        </w:tc>
        <w:tc>
          <w:tcPr>
            <w:tcW w:w="1025" w:type="dxa"/>
            <w:tcBorders>
              <w:top w:val="nil"/>
              <w:left w:val="nil"/>
              <w:bottom w:val="single" w:sz="4" w:space="0" w:color="BFBFBF"/>
              <w:right w:val="single" w:sz="4" w:space="0" w:color="BFBFBF"/>
            </w:tcBorders>
            <w:shd w:val="clear" w:color="auto" w:fill="auto"/>
            <w:vAlign w:val="center"/>
            <w:hideMark/>
          </w:tcPr>
          <w:p w14:paraId="771DD697"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Occasionally</w:t>
            </w:r>
          </w:p>
        </w:tc>
        <w:tc>
          <w:tcPr>
            <w:tcW w:w="1175" w:type="dxa"/>
            <w:tcBorders>
              <w:top w:val="nil"/>
              <w:left w:val="nil"/>
              <w:bottom w:val="single" w:sz="4" w:space="0" w:color="BFBFBF"/>
              <w:right w:val="single" w:sz="4" w:space="0" w:color="BFBFBF"/>
            </w:tcBorders>
            <w:shd w:val="clear" w:color="auto" w:fill="auto"/>
            <w:vAlign w:val="center"/>
            <w:hideMark/>
          </w:tcPr>
          <w:p w14:paraId="4EBE4C07"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Has No Effect</w:t>
            </w:r>
          </w:p>
        </w:tc>
        <w:tc>
          <w:tcPr>
            <w:tcW w:w="1119" w:type="dxa"/>
            <w:tcBorders>
              <w:top w:val="nil"/>
              <w:left w:val="nil"/>
              <w:bottom w:val="single" w:sz="4" w:space="0" w:color="BFBFBF"/>
              <w:right w:val="single" w:sz="4" w:space="0" w:color="BFBFBF"/>
            </w:tcBorders>
            <w:shd w:val="clear" w:color="auto" w:fill="auto"/>
            <w:vAlign w:val="center"/>
            <w:hideMark/>
          </w:tcPr>
          <w:p w14:paraId="7577750B"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Yes, slightly increases the risk</w:t>
            </w:r>
          </w:p>
        </w:tc>
        <w:tc>
          <w:tcPr>
            <w:tcW w:w="1074" w:type="dxa"/>
            <w:tcBorders>
              <w:top w:val="nil"/>
              <w:left w:val="nil"/>
              <w:bottom w:val="single" w:sz="4" w:space="0" w:color="BFBFBF"/>
              <w:right w:val="single" w:sz="4" w:space="0" w:color="BFBFBF"/>
            </w:tcBorders>
            <w:shd w:val="clear" w:color="auto" w:fill="auto"/>
            <w:vAlign w:val="center"/>
            <w:hideMark/>
          </w:tcPr>
          <w:p w14:paraId="02D2124C"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No, it would not change the culture</w:t>
            </w:r>
          </w:p>
        </w:tc>
        <w:tc>
          <w:tcPr>
            <w:tcW w:w="1025" w:type="dxa"/>
            <w:tcBorders>
              <w:top w:val="nil"/>
              <w:left w:val="nil"/>
              <w:bottom w:val="single" w:sz="4" w:space="0" w:color="BFBFBF"/>
              <w:right w:val="single" w:sz="4" w:space="0" w:color="BFBFBF"/>
            </w:tcBorders>
            <w:shd w:val="clear" w:color="auto" w:fill="auto"/>
            <w:vAlign w:val="center"/>
            <w:hideMark/>
          </w:tcPr>
          <w:p w14:paraId="5014A548"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Rarely</w:t>
            </w:r>
          </w:p>
        </w:tc>
      </w:tr>
      <w:tr w:rsidR="001D46BB" w:rsidRPr="001D46BB" w14:paraId="0A0D2A82" w14:textId="77777777" w:rsidTr="001D46BB">
        <w:trPr>
          <w:trHeight w:val="420"/>
        </w:trPr>
        <w:tc>
          <w:tcPr>
            <w:tcW w:w="670" w:type="dxa"/>
            <w:tcBorders>
              <w:top w:val="nil"/>
              <w:left w:val="single" w:sz="4" w:space="0" w:color="BFBFBF"/>
              <w:bottom w:val="single" w:sz="4" w:space="0" w:color="BFBFBF"/>
              <w:right w:val="single" w:sz="4" w:space="0" w:color="BFBFBF"/>
            </w:tcBorders>
            <w:shd w:val="clear" w:color="auto" w:fill="auto"/>
            <w:vAlign w:val="center"/>
            <w:hideMark/>
          </w:tcPr>
          <w:p w14:paraId="2DC58607" w14:textId="77777777" w:rsidR="001D46BB" w:rsidRPr="001D46BB" w:rsidRDefault="001D46BB" w:rsidP="001D46BB">
            <w:pPr>
              <w:jc w:val="right"/>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3</w:t>
            </w:r>
          </w:p>
        </w:tc>
        <w:tc>
          <w:tcPr>
            <w:tcW w:w="692" w:type="dxa"/>
            <w:tcBorders>
              <w:top w:val="nil"/>
              <w:left w:val="nil"/>
              <w:bottom w:val="single" w:sz="4" w:space="0" w:color="BFBFBF"/>
              <w:right w:val="single" w:sz="4" w:space="0" w:color="BFBFBF"/>
            </w:tcBorders>
            <w:shd w:val="clear" w:color="auto" w:fill="auto"/>
            <w:vAlign w:val="center"/>
            <w:hideMark/>
          </w:tcPr>
          <w:p w14:paraId="0DB394AF"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1-5 years</w:t>
            </w:r>
          </w:p>
        </w:tc>
        <w:tc>
          <w:tcPr>
            <w:tcW w:w="1253" w:type="dxa"/>
            <w:tcBorders>
              <w:top w:val="nil"/>
              <w:left w:val="nil"/>
              <w:bottom w:val="single" w:sz="4" w:space="0" w:color="BFBFBF"/>
              <w:right w:val="single" w:sz="4" w:space="0" w:color="BFBFBF"/>
            </w:tcBorders>
            <w:shd w:val="clear" w:color="auto" w:fill="auto"/>
            <w:vAlign w:val="center"/>
            <w:hideMark/>
          </w:tcPr>
          <w:p w14:paraId="3D5BC4C2"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Agree</w:t>
            </w:r>
          </w:p>
        </w:tc>
        <w:tc>
          <w:tcPr>
            <w:tcW w:w="1391" w:type="dxa"/>
            <w:tcBorders>
              <w:top w:val="nil"/>
              <w:left w:val="nil"/>
              <w:bottom w:val="single" w:sz="4" w:space="0" w:color="BFBFBF"/>
              <w:right w:val="single" w:sz="4" w:space="0" w:color="BFBFBF"/>
            </w:tcBorders>
            <w:shd w:val="clear" w:color="auto" w:fill="auto"/>
            <w:vAlign w:val="center"/>
            <w:hideMark/>
          </w:tcPr>
          <w:p w14:paraId="04980F63"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Neutral</w:t>
            </w:r>
          </w:p>
        </w:tc>
        <w:tc>
          <w:tcPr>
            <w:tcW w:w="956" w:type="dxa"/>
            <w:tcBorders>
              <w:top w:val="nil"/>
              <w:left w:val="nil"/>
              <w:bottom w:val="single" w:sz="4" w:space="0" w:color="BFBFBF"/>
              <w:right w:val="single" w:sz="4" w:space="0" w:color="BFBFBF"/>
            </w:tcBorders>
            <w:shd w:val="clear" w:color="auto" w:fill="auto"/>
            <w:vAlign w:val="center"/>
            <w:hideMark/>
          </w:tcPr>
          <w:p w14:paraId="5892F253"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Somewhat</w:t>
            </w:r>
          </w:p>
        </w:tc>
        <w:tc>
          <w:tcPr>
            <w:tcW w:w="1025" w:type="dxa"/>
            <w:tcBorders>
              <w:top w:val="nil"/>
              <w:left w:val="nil"/>
              <w:bottom w:val="single" w:sz="4" w:space="0" w:color="BFBFBF"/>
              <w:right w:val="single" w:sz="4" w:space="0" w:color="BFBFBF"/>
            </w:tcBorders>
            <w:shd w:val="clear" w:color="auto" w:fill="auto"/>
            <w:vAlign w:val="center"/>
            <w:hideMark/>
          </w:tcPr>
          <w:p w14:paraId="18673E2F"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Occasionally</w:t>
            </w:r>
          </w:p>
        </w:tc>
        <w:tc>
          <w:tcPr>
            <w:tcW w:w="1175" w:type="dxa"/>
            <w:tcBorders>
              <w:top w:val="nil"/>
              <w:left w:val="nil"/>
              <w:bottom w:val="single" w:sz="4" w:space="0" w:color="BFBFBF"/>
              <w:right w:val="single" w:sz="4" w:space="0" w:color="BFBFBF"/>
            </w:tcBorders>
            <w:shd w:val="clear" w:color="auto" w:fill="auto"/>
            <w:vAlign w:val="center"/>
            <w:hideMark/>
          </w:tcPr>
          <w:p w14:paraId="4BC9575B"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Slightly Increases</w:t>
            </w:r>
          </w:p>
        </w:tc>
        <w:tc>
          <w:tcPr>
            <w:tcW w:w="1119" w:type="dxa"/>
            <w:tcBorders>
              <w:top w:val="nil"/>
              <w:left w:val="nil"/>
              <w:bottom w:val="single" w:sz="4" w:space="0" w:color="BFBFBF"/>
              <w:right w:val="single" w:sz="4" w:space="0" w:color="BFBFBF"/>
            </w:tcBorders>
            <w:shd w:val="clear" w:color="auto" w:fill="auto"/>
            <w:vAlign w:val="center"/>
            <w:hideMark/>
          </w:tcPr>
          <w:p w14:paraId="06292670"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Yes, slightly increases the risk</w:t>
            </w:r>
          </w:p>
        </w:tc>
        <w:tc>
          <w:tcPr>
            <w:tcW w:w="1074" w:type="dxa"/>
            <w:tcBorders>
              <w:top w:val="nil"/>
              <w:left w:val="nil"/>
              <w:bottom w:val="single" w:sz="4" w:space="0" w:color="BFBFBF"/>
              <w:right w:val="single" w:sz="4" w:space="0" w:color="BFBFBF"/>
            </w:tcBorders>
            <w:shd w:val="clear" w:color="auto" w:fill="auto"/>
            <w:vAlign w:val="center"/>
            <w:hideMark/>
          </w:tcPr>
          <w:p w14:paraId="73B44B22"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Yes, it would slightly change the culture</w:t>
            </w:r>
          </w:p>
        </w:tc>
        <w:tc>
          <w:tcPr>
            <w:tcW w:w="1025" w:type="dxa"/>
            <w:tcBorders>
              <w:top w:val="nil"/>
              <w:left w:val="nil"/>
              <w:bottom w:val="single" w:sz="4" w:space="0" w:color="BFBFBF"/>
              <w:right w:val="single" w:sz="4" w:space="0" w:color="BFBFBF"/>
            </w:tcBorders>
            <w:shd w:val="clear" w:color="auto" w:fill="auto"/>
            <w:vAlign w:val="center"/>
            <w:hideMark/>
          </w:tcPr>
          <w:p w14:paraId="66B35D3F"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Occasionally</w:t>
            </w:r>
          </w:p>
        </w:tc>
      </w:tr>
      <w:tr w:rsidR="001D46BB" w:rsidRPr="001D46BB" w14:paraId="2350D5BA" w14:textId="77777777" w:rsidTr="001D46BB">
        <w:trPr>
          <w:trHeight w:val="420"/>
        </w:trPr>
        <w:tc>
          <w:tcPr>
            <w:tcW w:w="670" w:type="dxa"/>
            <w:tcBorders>
              <w:top w:val="nil"/>
              <w:left w:val="single" w:sz="4" w:space="0" w:color="BFBFBF"/>
              <w:bottom w:val="single" w:sz="4" w:space="0" w:color="BFBFBF"/>
              <w:right w:val="single" w:sz="4" w:space="0" w:color="BFBFBF"/>
            </w:tcBorders>
            <w:shd w:val="clear" w:color="auto" w:fill="auto"/>
            <w:vAlign w:val="center"/>
            <w:hideMark/>
          </w:tcPr>
          <w:p w14:paraId="362470EE" w14:textId="77777777" w:rsidR="001D46BB" w:rsidRPr="001D46BB" w:rsidRDefault="001D46BB" w:rsidP="001D46BB">
            <w:pPr>
              <w:jc w:val="right"/>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4</w:t>
            </w:r>
          </w:p>
        </w:tc>
        <w:tc>
          <w:tcPr>
            <w:tcW w:w="692" w:type="dxa"/>
            <w:tcBorders>
              <w:top w:val="nil"/>
              <w:left w:val="nil"/>
              <w:bottom w:val="single" w:sz="4" w:space="0" w:color="BFBFBF"/>
              <w:right w:val="single" w:sz="4" w:space="0" w:color="BFBFBF"/>
            </w:tcBorders>
            <w:shd w:val="clear" w:color="auto" w:fill="auto"/>
            <w:vAlign w:val="center"/>
            <w:hideMark/>
          </w:tcPr>
          <w:p w14:paraId="2F0D1AAD"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1-5 years</w:t>
            </w:r>
          </w:p>
        </w:tc>
        <w:tc>
          <w:tcPr>
            <w:tcW w:w="1253" w:type="dxa"/>
            <w:tcBorders>
              <w:top w:val="nil"/>
              <w:left w:val="nil"/>
              <w:bottom w:val="single" w:sz="4" w:space="0" w:color="BFBFBF"/>
              <w:right w:val="single" w:sz="4" w:space="0" w:color="BFBFBF"/>
            </w:tcBorders>
            <w:shd w:val="clear" w:color="auto" w:fill="auto"/>
            <w:vAlign w:val="center"/>
            <w:hideMark/>
          </w:tcPr>
          <w:p w14:paraId="24C52BE0"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Disagree</w:t>
            </w:r>
          </w:p>
        </w:tc>
        <w:tc>
          <w:tcPr>
            <w:tcW w:w="1391" w:type="dxa"/>
            <w:tcBorders>
              <w:top w:val="nil"/>
              <w:left w:val="nil"/>
              <w:bottom w:val="single" w:sz="4" w:space="0" w:color="BFBFBF"/>
              <w:right w:val="single" w:sz="4" w:space="0" w:color="BFBFBF"/>
            </w:tcBorders>
            <w:shd w:val="clear" w:color="auto" w:fill="auto"/>
            <w:vAlign w:val="center"/>
            <w:hideMark/>
          </w:tcPr>
          <w:p w14:paraId="3B30FFBA"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Somewhat Knowledgeable</w:t>
            </w:r>
          </w:p>
        </w:tc>
        <w:tc>
          <w:tcPr>
            <w:tcW w:w="956" w:type="dxa"/>
            <w:tcBorders>
              <w:top w:val="nil"/>
              <w:left w:val="nil"/>
              <w:bottom w:val="single" w:sz="4" w:space="0" w:color="BFBFBF"/>
              <w:right w:val="single" w:sz="4" w:space="0" w:color="BFBFBF"/>
            </w:tcBorders>
            <w:shd w:val="clear" w:color="auto" w:fill="auto"/>
            <w:vAlign w:val="center"/>
            <w:hideMark/>
          </w:tcPr>
          <w:p w14:paraId="61CF43C2"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Not Much</w:t>
            </w:r>
          </w:p>
        </w:tc>
        <w:tc>
          <w:tcPr>
            <w:tcW w:w="1025" w:type="dxa"/>
            <w:tcBorders>
              <w:top w:val="nil"/>
              <w:left w:val="nil"/>
              <w:bottom w:val="single" w:sz="4" w:space="0" w:color="BFBFBF"/>
              <w:right w:val="single" w:sz="4" w:space="0" w:color="BFBFBF"/>
            </w:tcBorders>
            <w:shd w:val="clear" w:color="auto" w:fill="auto"/>
            <w:vAlign w:val="center"/>
            <w:hideMark/>
          </w:tcPr>
          <w:p w14:paraId="6767445D"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Rarely</w:t>
            </w:r>
          </w:p>
        </w:tc>
        <w:tc>
          <w:tcPr>
            <w:tcW w:w="1175" w:type="dxa"/>
            <w:tcBorders>
              <w:top w:val="nil"/>
              <w:left w:val="nil"/>
              <w:bottom w:val="single" w:sz="4" w:space="0" w:color="BFBFBF"/>
              <w:right w:val="single" w:sz="4" w:space="0" w:color="BFBFBF"/>
            </w:tcBorders>
            <w:shd w:val="clear" w:color="auto" w:fill="auto"/>
            <w:vAlign w:val="center"/>
            <w:hideMark/>
          </w:tcPr>
          <w:p w14:paraId="7FB68A49"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Slightly Decreases</w:t>
            </w:r>
          </w:p>
        </w:tc>
        <w:tc>
          <w:tcPr>
            <w:tcW w:w="1119" w:type="dxa"/>
            <w:tcBorders>
              <w:top w:val="nil"/>
              <w:left w:val="nil"/>
              <w:bottom w:val="single" w:sz="4" w:space="0" w:color="BFBFBF"/>
              <w:right w:val="single" w:sz="4" w:space="0" w:color="BFBFBF"/>
            </w:tcBorders>
            <w:shd w:val="clear" w:color="auto" w:fill="auto"/>
            <w:vAlign w:val="center"/>
            <w:hideMark/>
          </w:tcPr>
          <w:p w14:paraId="18E3FEF2"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Yes, significantly increases the risk</w:t>
            </w:r>
          </w:p>
        </w:tc>
        <w:tc>
          <w:tcPr>
            <w:tcW w:w="1074" w:type="dxa"/>
            <w:tcBorders>
              <w:top w:val="nil"/>
              <w:left w:val="nil"/>
              <w:bottom w:val="single" w:sz="4" w:space="0" w:color="BFBFBF"/>
              <w:right w:val="single" w:sz="4" w:space="0" w:color="BFBFBF"/>
            </w:tcBorders>
            <w:shd w:val="clear" w:color="auto" w:fill="auto"/>
            <w:vAlign w:val="center"/>
            <w:hideMark/>
          </w:tcPr>
          <w:p w14:paraId="7DB83718"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No, it would not change the culture</w:t>
            </w:r>
          </w:p>
        </w:tc>
        <w:tc>
          <w:tcPr>
            <w:tcW w:w="1025" w:type="dxa"/>
            <w:tcBorders>
              <w:top w:val="nil"/>
              <w:left w:val="nil"/>
              <w:bottom w:val="single" w:sz="4" w:space="0" w:color="BFBFBF"/>
              <w:right w:val="single" w:sz="4" w:space="0" w:color="BFBFBF"/>
            </w:tcBorders>
            <w:shd w:val="clear" w:color="auto" w:fill="auto"/>
            <w:vAlign w:val="center"/>
            <w:hideMark/>
          </w:tcPr>
          <w:p w14:paraId="1F2681DE"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Rarely</w:t>
            </w:r>
          </w:p>
        </w:tc>
      </w:tr>
      <w:tr w:rsidR="001D46BB" w:rsidRPr="001D46BB" w14:paraId="7C32714F" w14:textId="77777777" w:rsidTr="001D46BB">
        <w:trPr>
          <w:trHeight w:val="420"/>
        </w:trPr>
        <w:tc>
          <w:tcPr>
            <w:tcW w:w="670" w:type="dxa"/>
            <w:tcBorders>
              <w:top w:val="nil"/>
              <w:left w:val="single" w:sz="4" w:space="0" w:color="BFBFBF"/>
              <w:bottom w:val="single" w:sz="4" w:space="0" w:color="BFBFBF"/>
              <w:right w:val="single" w:sz="4" w:space="0" w:color="BFBFBF"/>
            </w:tcBorders>
            <w:shd w:val="clear" w:color="auto" w:fill="auto"/>
            <w:vAlign w:val="center"/>
            <w:hideMark/>
          </w:tcPr>
          <w:p w14:paraId="6F23FD42" w14:textId="77777777" w:rsidR="001D46BB" w:rsidRPr="001D46BB" w:rsidRDefault="001D46BB" w:rsidP="001D46BB">
            <w:pPr>
              <w:jc w:val="right"/>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5</w:t>
            </w:r>
          </w:p>
        </w:tc>
        <w:tc>
          <w:tcPr>
            <w:tcW w:w="692" w:type="dxa"/>
            <w:tcBorders>
              <w:top w:val="nil"/>
              <w:left w:val="nil"/>
              <w:bottom w:val="single" w:sz="4" w:space="0" w:color="BFBFBF"/>
              <w:right w:val="single" w:sz="4" w:space="0" w:color="BFBFBF"/>
            </w:tcBorders>
            <w:shd w:val="clear" w:color="auto" w:fill="auto"/>
            <w:vAlign w:val="center"/>
            <w:hideMark/>
          </w:tcPr>
          <w:p w14:paraId="52B7D220"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1-5 years</w:t>
            </w:r>
          </w:p>
        </w:tc>
        <w:tc>
          <w:tcPr>
            <w:tcW w:w="1253" w:type="dxa"/>
            <w:tcBorders>
              <w:top w:val="nil"/>
              <w:left w:val="nil"/>
              <w:bottom w:val="single" w:sz="4" w:space="0" w:color="BFBFBF"/>
              <w:right w:val="single" w:sz="4" w:space="0" w:color="BFBFBF"/>
            </w:tcBorders>
            <w:shd w:val="clear" w:color="auto" w:fill="auto"/>
            <w:vAlign w:val="center"/>
            <w:hideMark/>
          </w:tcPr>
          <w:p w14:paraId="7104E6EB"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Strongly Disagree</w:t>
            </w:r>
          </w:p>
        </w:tc>
        <w:tc>
          <w:tcPr>
            <w:tcW w:w="1391" w:type="dxa"/>
            <w:tcBorders>
              <w:top w:val="nil"/>
              <w:left w:val="nil"/>
              <w:bottom w:val="single" w:sz="4" w:space="0" w:color="BFBFBF"/>
              <w:right w:val="single" w:sz="4" w:space="0" w:color="BFBFBF"/>
            </w:tcBorders>
            <w:shd w:val="clear" w:color="auto" w:fill="auto"/>
            <w:vAlign w:val="center"/>
            <w:hideMark/>
          </w:tcPr>
          <w:p w14:paraId="641BC8A5"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Very Unknowledgeable</w:t>
            </w:r>
          </w:p>
        </w:tc>
        <w:tc>
          <w:tcPr>
            <w:tcW w:w="956" w:type="dxa"/>
            <w:tcBorders>
              <w:top w:val="nil"/>
              <w:left w:val="nil"/>
              <w:bottom w:val="single" w:sz="4" w:space="0" w:color="BFBFBF"/>
              <w:right w:val="single" w:sz="4" w:space="0" w:color="BFBFBF"/>
            </w:tcBorders>
            <w:shd w:val="clear" w:color="auto" w:fill="auto"/>
            <w:vAlign w:val="center"/>
            <w:hideMark/>
          </w:tcPr>
          <w:p w14:paraId="18ED44C6"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Not Much</w:t>
            </w:r>
          </w:p>
        </w:tc>
        <w:tc>
          <w:tcPr>
            <w:tcW w:w="1025" w:type="dxa"/>
            <w:tcBorders>
              <w:top w:val="nil"/>
              <w:left w:val="nil"/>
              <w:bottom w:val="single" w:sz="4" w:space="0" w:color="BFBFBF"/>
              <w:right w:val="single" w:sz="4" w:space="0" w:color="BFBFBF"/>
            </w:tcBorders>
            <w:shd w:val="clear" w:color="auto" w:fill="auto"/>
            <w:vAlign w:val="center"/>
            <w:hideMark/>
          </w:tcPr>
          <w:p w14:paraId="617429CF"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Never</w:t>
            </w:r>
          </w:p>
        </w:tc>
        <w:tc>
          <w:tcPr>
            <w:tcW w:w="1175" w:type="dxa"/>
            <w:tcBorders>
              <w:top w:val="nil"/>
              <w:left w:val="nil"/>
              <w:bottom w:val="single" w:sz="4" w:space="0" w:color="BFBFBF"/>
              <w:right w:val="single" w:sz="4" w:space="0" w:color="BFBFBF"/>
            </w:tcBorders>
            <w:shd w:val="clear" w:color="auto" w:fill="auto"/>
            <w:vAlign w:val="center"/>
            <w:hideMark/>
          </w:tcPr>
          <w:p w14:paraId="4074C7C9"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Has No Effect</w:t>
            </w:r>
          </w:p>
        </w:tc>
        <w:tc>
          <w:tcPr>
            <w:tcW w:w="1119" w:type="dxa"/>
            <w:tcBorders>
              <w:top w:val="nil"/>
              <w:left w:val="nil"/>
              <w:bottom w:val="single" w:sz="4" w:space="0" w:color="BFBFBF"/>
              <w:right w:val="single" w:sz="4" w:space="0" w:color="BFBFBF"/>
            </w:tcBorders>
            <w:shd w:val="clear" w:color="auto" w:fill="auto"/>
            <w:vAlign w:val="center"/>
            <w:hideMark/>
          </w:tcPr>
          <w:p w14:paraId="5B213ED6"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No, it has no impact on the risk</w:t>
            </w:r>
          </w:p>
        </w:tc>
        <w:tc>
          <w:tcPr>
            <w:tcW w:w="1074" w:type="dxa"/>
            <w:tcBorders>
              <w:top w:val="nil"/>
              <w:left w:val="nil"/>
              <w:bottom w:val="single" w:sz="4" w:space="0" w:color="BFBFBF"/>
              <w:right w:val="single" w:sz="4" w:space="0" w:color="BFBFBF"/>
            </w:tcBorders>
            <w:shd w:val="clear" w:color="auto" w:fill="auto"/>
            <w:vAlign w:val="center"/>
            <w:hideMark/>
          </w:tcPr>
          <w:p w14:paraId="25748943"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No, it would not change the culture</w:t>
            </w:r>
          </w:p>
        </w:tc>
        <w:tc>
          <w:tcPr>
            <w:tcW w:w="1025" w:type="dxa"/>
            <w:tcBorders>
              <w:top w:val="nil"/>
              <w:left w:val="nil"/>
              <w:bottom w:val="single" w:sz="4" w:space="0" w:color="BFBFBF"/>
              <w:right w:val="single" w:sz="4" w:space="0" w:color="BFBFBF"/>
            </w:tcBorders>
            <w:shd w:val="clear" w:color="auto" w:fill="auto"/>
            <w:vAlign w:val="center"/>
            <w:hideMark/>
          </w:tcPr>
          <w:p w14:paraId="02C289F0"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Never</w:t>
            </w:r>
          </w:p>
        </w:tc>
      </w:tr>
      <w:tr w:rsidR="001D46BB" w:rsidRPr="001D46BB" w14:paraId="04D9347C" w14:textId="77777777" w:rsidTr="001D46BB">
        <w:trPr>
          <w:trHeight w:val="420"/>
        </w:trPr>
        <w:tc>
          <w:tcPr>
            <w:tcW w:w="670" w:type="dxa"/>
            <w:tcBorders>
              <w:top w:val="nil"/>
              <w:left w:val="single" w:sz="4" w:space="0" w:color="BFBFBF"/>
              <w:bottom w:val="single" w:sz="4" w:space="0" w:color="BFBFBF"/>
              <w:right w:val="single" w:sz="4" w:space="0" w:color="BFBFBF"/>
            </w:tcBorders>
            <w:shd w:val="clear" w:color="auto" w:fill="auto"/>
            <w:vAlign w:val="center"/>
            <w:hideMark/>
          </w:tcPr>
          <w:p w14:paraId="3631DB96" w14:textId="77777777" w:rsidR="001D46BB" w:rsidRPr="001D46BB" w:rsidRDefault="001D46BB" w:rsidP="001D46BB">
            <w:pPr>
              <w:jc w:val="right"/>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6</w:t>
            </w:r>
          </w:p>
        </w:tc>
        <w:tc>
          <w:tcPr>
            <w:tcW w:w="692" w:type="dxa"/>
            <w:tcBorders>
              <w:top w:val="nil"/>
              <w:left w:val="nil"/>
              <w:bottom w:val="single" w:sz="4" w:space="0" w:color="BFBFBF"/>
              <w:right w:val="single" w:sz="4" w:space="0" w:color="BFBFBF"/>
            </w:tcBorders>
            <w:shd w:val="clear" w:color="auto" w:fill="auto"/>
            <w:vAlign w:val="center"/>
            <w:hideMark/>
          </w:tcPr>
          <w:p w14:paraId="31C1EC06"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1-5 years</w:t>
            </w:r>
          </w:p>
        </w:tc>
        <w:tc>
          <w:tcPr>
            <w:tcW w:w="1253" w:type="dxa"/>
            <w:tcBorders>
              <w:top w:val="nil"/>
              <w:left w:val="nil"/>
              <w:bottom w:val="single" w:sz="4" w:space="0" w:color="BFBFBF"/>
              <w:right w:val="single" w:sz="4" w:space="0" w:color="BFBFBF"/>
            </w:tcBorders>
            <w:shd w:val="clear" w:color="auto" w:fill="auto"/>
            <w:vAlign w:val="center"/>
            <w:hideMark/>
          </w:tcPr>
          <w:p w14:paraId="7788768C"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Disagree</w:t>
            </w:r>
          </w:p>
        </w:tc>
        <w:tc>
          <w:tcPr>
            <w:tcW w:w="1391" w:type="dxa"/>
            <w:tcBorders>
              <w:top w:val="nil"/>
              <w:left w:val="nil"/>
              <w:bottom w:val="single" w:sz="4" w:space="0" w:color="BFBFBF"/>
              <w:right w:val="single" w:sz="4" w:space="0" w:color="BFBFBF"/>
            </w:tcBorders>
            <w:shd w:val="clear" w:color="auto" w:fill="auto"/>
            <w:vAlign w:val="center"/>
            <w:hideMark/>
          </w:tcPr>
          <w:p w14:paraId="4938C6EE"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Neutral</w:t>
            </w:r>
          </w:p>
        </w:tc>
        <w:tc>
          <w:tcPr>
            <w:tcW w:w="956" w:type="dxa"/>
            <w:tcBorders>
              <w:top w:val="nil"/>
              <w:left w:val="nil"/>
              <w:bottom w:val="single" w:sz="4" w:space="0" w:color="BFBFBF"/>
              <w:right w:val="single" w:sz="4" w:space="0" w:color="BFBFBF"/>
            </w:tcBorders>
            <w:shd w:val="clear" w:color="auto" w:fill="auto"/>
            <w:vAlign w:val="center"/>
            <w:hideMark/>
          </w:tcPr>
          <w:p w14:paraId="22346BDC"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Very Much</w:t>
            </w:r>
          </w:p>
        </w:tc>
        <w:tc>
          <w:tcPr>
            <w:tcW w:w="1025" w:type="dxa"/>
            <w:tcBorders>
              <w:top w:val="nil"/>
              <w:left w:val="nil"/>
              <w:bottom w:val="single" w:sz="4" w:space="0" w:color="BFBFBF"/>
              <w:right w:val="single" w:sz="4" w:space="0" w:color="BFBFBF"/>
            </w:tcBorders>
            <w:shd w:val="clear" w:color="auto" w:fill="auto"/>
            <w:vAlign w:val="center"/>
            <w:hideMark/>
          </w:tcPr>
          <w:p w14:paraId="501A90C4"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Rarely</w:t>
            </w:r>
          </w:p>
        </w:tc>
        <w:tc>
          <w:tcPr>
            <w:tcW w:w="1175" w:type="dxa"/>
            <w:tcBorders>
              <w:top w:val="nil"/>
              <w:left w:val="nil"/>
              <w:bottom w:val="single" w:sz="4" w:space="0" w:color="BFBFBF"/>
              <w:right w:val="single" w:sz="4" w:space="0" w:color="BFBFBF"/>
            </w:tcBorders>
            <w:shd w:val="clear" w:color="auto" w:fill="auto"/>
            <w:vAlign w:val="center"/>
            <w:hideMark/>
          </w:tcPr>
          <w:p w14:paraId="263091BC"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Slightly Decreases</w:t>
            </w:r>
          </w:p>
        </w:tc>
        <w:tc>
          <w:tcPr>
            <w:tcW w:w="1119" w:type="dxa"/>
            <w:tcBorders>
              <w:top w:val="nil"/>
              <w:left w:val="nil"/>
              <w:bottom w:val="single" w:sz="4" w:space="0" w:color="BFBFBF"/>
              <w:right w:val="single" w:sz="4" w:space="0" w:color="BFBFBF"/>
            </w:tcBorders>
            <w:shd w:val="clear" w:color="auto" w:fill="auto"/>
            <w:vAlign w:val="center"/>
            <w:hideMark/>
          </w:tcPr>
          <w:p w14:paraId="3053ADAB"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Yes, slightly increases the risk</w:t>
            </w:r>
          </w:p>
        </w:tc>
        <w:tc>
          <w:tcPr>
            <w:tcW w:w="1074" w:type="dxa"/>
            <w:tcBorders>
              <w:top w:val="nil"/>
              <w:left w:val="nil"/>
              <w:bottom w:val="single" w:sz="4" w:space="0" w:color="BFBFBF"/>
              <w:right w:val="single" w:sz="4" w:space="0" w:color="BFBFBF"/>
            </w:tcBorders>
            <w:shd w:val="clear" w:color="auto" w:fill="auto"/>
            <w:vAlign w:val="center"/>
            <w:hideMark/>
          </w:tcPr>
          <w:p w14:paraId="153A40D5"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Yes, it would slightly change the culture</w:t>
            </w:r>
          </w:p>
        </w:tc>
        <w:tc>
          <w:tcPr>
            <w:tcW w:w="1025" w:type="dxa"/>
            <w:tcBorders>
              <w:top w:val="nil"/>
              <w:left w:val="nil"/>
              <w:bottom w:val="single" w:sz="4" w:space="0" w:color="BFBFBF"/>
              <w:right w:val="single" w:sz="4" w:space="0" w:color="BFBFBF"/>
            </w:tcBorders>
            <w:shd w:val="clear" w:color="auto" w:fill="auto"/>
            <w:vAlign w:val="center"/>
            <w:hideMark/>
          </w:tcPr>
          <w:p w14:paraId="76D5D855"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Rarely</w:t>
            </w:r>
          </w:p>
        </w:tc>
      </w:tr>
      <w:tr w:rsidR="001D46BB" w:rsidRPr="001D46BB" w14:paraId="0DC5CFC4" w14:textId="77777777" w:rsidTr="001D46BB">
        <w:trPr>
          <w:trHeight w:val="420"/>
        </w:trPr>
        <w:tc>
          <w:tcPr>
            <w:tcW w:w="670" w:type="dxa"/>
            <w:tcBorders>
              <w:top w:val="nil"/>
              <w:left w:val="single" w:sz="4" w:space="0" w:color="BFBFBF"/>
              <w:bottom w:val="single" w:sz="4" w:space="0" w:color="BFBFBF"/>
              <w:right w:val="single" w:sz="4" w:space="0" w:color="BFBFBF"/>
            </w:tcBorders>
            <w:shd w:val="clear" w:color="auto" w:fill="auto"/>
            <w:vAlign w:val="center"/>
            <w:hideMark/>
          </w:tcPr>
          <w:p w14:paraId="1BBF396A" w14:textId="77777777" w:rsidR="001D46BB" w:rsidRPr="001D46BB" w:rsidRDefault="001D46BB" w:rsidP="001D46BB">
            <w:pPr>
              <w:jc w:val="right"/>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7</w:t>
            </w:r>
          </w:p>
        </w:tc>
        <w:tc>
          <w:tcPr>
            <w:tcW w:w="692" w:type="dxa"/>
            <w:tcBorders>
              <w:top w:val="nil"/>
              <w:left w:val="nil"/>
              <w:bottom w:val="single" w:sz="4" w:space="0" w:color="BFBFBF"/>
              <w:right w:val="single" w:sz="4" w:space="0" w:color="BFBFBF"/>
            </w:tcBorders>
            <w:shd w:val="clear" w:color="auto" w:fill="auto"/>
            <w:vAlign w:val="center"/>
            <w:hideMark/>
          </w:tcPr>
          <w:p w14:paraId="120A4C1C"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1-5 years</w:t>
            </w:r>
          </w:p>
        </w:tc>
        <w:tc>
          <w:tcPr>
            <w:tcW w:w="1253" w:type="dxa"/>
            <w:tcBorders>
              <w:top w:val="nil"/>
              <w:left w:val="nil"/>
              <w:bottom w:val="single" w:sz="4" w:space="0" w:color="BFBFBF"/>
              <w:right w:val="single" w:sz="4" w:space="0" w:color="BFBFBF"/>
            </w:tcBorders>
            <w:shd w:val="clear" w:color="auto" w:fill="auto"/>
            <w:vAlign w:val="center"/>
            <w:hideMark/>
          </w:tcPr>
          <w:p w14:paraId="30169548"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Strongly Disagree</w:t>
            </w:r>
          </w:p>
        </w:tc>
        <w:tc>
          <w:tcPr>
            <w:tcW w:w="1391" w:type="dxa"/>
            <w:tcBorders>
              <w:top w:val="nil"/>
              <w:left w:val="nil"/>
              <w:bottom w:val="single" w:sz="4" w:space="0" w:color="BFBFBF"/>
              <w:right w:val="single" w:sz="4" w:space="0" w:color="BFBFBF"/>
            </w:tcBorders>
            <w:shd w:val="clear" w:color="auto" w:fill="auto"/>
            <w:vAlign w:val="center"/>
            <w:hideMark/>
          </w:tcPr>
          <w:p w14:paraId="6D69AD17"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Somewhat Knowledgeable</w:t>
            </w:r>
          </w:p>
        </w:tc>
        <w:tc>
          <w:tcPr>
            <w:tcW w:w="956" w:type="dxa"/>
            <w:tcBorders>
              <w:top w:val="nil"/>
              <w:left w:val="nil"/>
              <w:bottom w:val="single" w:sz="4" w:space="0" w:color="BFBFBF"/>
              <w:right w:val="single" w:sz="4" w:space="0" w:color="BFBFBF"/>
            </w:tcBorders>
            <w:shd w:val="clear" w:color="auto" w:fill="auto"/>
            <w:vAlign w:val="center"/>
            <w:hideMark/>
          </w:tcPr>
          <w:p w14:paraId="0A224591"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Very Much</w:t>
            </w:r>
          </w:p>
        </w:tc>
        <w:tc>
          <w:tcPr>
            <w:tcW w:w="1025" w:type="dxa"/>
            <w:tcBorders>
              <w:top w:val="nil"/>
              <w:left w:val="nil"/>
              <w:bottom w:val="single" w:sz="4" w:space="0" w:color="BFBFBF"/>
              <w:right w:val="single" w:sz="4" w:space="0" w:color="BFBFBF"/>
            </w:tcBorders>
            <w:shd w:val="clear" w:color="auto" w:fill="auto"/>
            <w:vAlign w:val="center"/>
            <w:hideMark/>
          </w:tcPr>
          <w:p w14:paraId="5FD3890A"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Rarely</w:t>
            </w:r>
          </w:p>
        </w:tc>
        <w:tc>
          <w:tcPr>
            <w:tcW w:w="1175" w:type="dxa"/>
            <w:tcBorders>
              <w:top w:val="nil"/>
              <w:left w:val="nil"/>
              <w:bottom w:val="single" w:sz="4" w:space="0" w:color="BFBFBF"/>
              <w:right w:val="single" w:sz="4" w:space="0" w:color="BFBFBF"/>
            </w:tcBorders>
            <w:shd w:val="clear" w:color="auto" w:fill="auto"/>
            <w:vAlign w:val="center"/>
            <w:hideMark/>
          </w:tcPr>
          <w:p w14:paraId="513D3BC5"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Slightly Decreases</w:t>
            </w:r>
          </w:p>
        </w:tc>
        <w:tc>
          <w:tcPr>
            <w:tcW w:w="1119" w:type="dxa"/>
            <w:tcBorders>
              <w:top w:val="nil"/>
              <w:left w:val="nil"/>
              <w:bottom w:val="single" w:sz="4" w:space="0" w:color="BFBFBF"/>
              <w:right w:val="single" w:sz="4" w:space="0" w:color="BFBFBF"/>
            </w:tcBorders>
            <w:shd w:val="clear" w:color="auto" w:fill="auto"/>
            <w:vAlign w:val="center"/>
            <w:hideMark/>
          </w:tcPr>
          <w:p w14:paraId="352AC710"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No, it has no impact on the risk</w:t>
            </w:r>
          </w:p>
        </w:tc>
        <w:tc>
          <w:tcPr>
            <w:tcW w:w="1074" w:type="dxa"/>
            <w:tcBorders>
              <w:top w:val="nil"/>
              <w:left w:val="nil"/>
              <w:bottom w:val="single" w:sz="4" w:space="0" w:color="BFBFBF"/>
              <w:right w:val="single" w:sz="4" w:space="0" w:color="BFBFBF"/>
            </w:tcBorders>
            <w:shd w:val="clear" w:color="auto" w:fill="auto"/>
            <w:vAlign w:val="center"/>
            <w:hideMark/>
          </w:tcPr>
          <w:p w14:paraId="45238A21"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Yes, it would slightly change the culture</w:t>
            </w:r>
          </w:p>
        </w:tc>
        <w:tc>
          <w:tcPr>
            <w:tcW w:w="1025" w:type="dxa"/>
            <w:tcBorders>
              <w:top w:val="nil"/>
              <w:left w:val="nil"/>
              <w:bottom w:val="single" w:sz="4" w:space="0" w:color="BFBFBF"/>
              <w:right w:val="single" w:sz="4" w:space="0" w:color="BFBFBF"/>
            </w:tcBorders>
            <w:shd w:val="clear" w:color="auto" w:fill="auto"/>
            <w:vAlign w:val="center"/>
            <w:hideMark/>
          </w:tcPr>
          <w:p w14:paraId="7F76DB3E"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Occasionally</w:t>
            </w:r>
          </w:p>
        </w:tc>
      </w:tr>
      <w:tr w:rsidR="001D46BB" w:rsidRPr="001D46BB" w14:paraId="25B5BE2C" w14:textId="77777777" w:rsidTr="001D46BB">
        <w:trPr>
          <w:trHeight w:val="420"/>
        </w:trPr>
        <w:tc>
          <w:tcPr>
            <w:tcW w:w="670" w:type="dxa"/>
            <w:tcBorders>
              <w:top w:val="nil"/>
              <w:left w:val="single" w:sz="4" w:space="0" w:color="BFBFBF"/>
              <w:bottom w:val="single" w:sz="4" w:space="0" w:color="BFBFBF"/>
              <w:right w:val="single" w:sz="4" w:space="0" w:color="BFBFBF"/>
            </w:tcBorders>
            <w:shd w:val="clear" w:color="auto" w:fill="auto"/>
            <w:vAlign w:val="center"/>
            <w:hideMark/>
          </w:tcPr>
          <w:p w14:paraId="78C03797" w14:textId="77777777" w:rsidR="001D46BB" w:rsidRPr="001D46BB" w:rsidRDefault="001D46BB" w:rsidP="001D46BB">
            <w:pPr>
              <w:jc w:val="right"/>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8</w:t>
            </w:r>
          </w:p>
        </w:tc>
        <w:tc>
          <w:tcPr>
            <w:tcW w:w="692" w:type="dxa"/>
            <w:tcBorders>
              <w:top w:val="nil"/>
              <w:left w:val="nil"/>
              <w:bottom w:val="single" w:sz="4" w:space="0" w:color="BFBFBF"/>
              <w:right w:val="single" w:sz="4" w:space="0" w:color="BFBFBF"/>
            </w:tcBorders>
            <w:shd w:val="clear" w:color="auto" w:fill="auto"/>
            <w:vAlign w:val="center"/>
            <w:hideMark/>
          </w:tcPr>
          <w:p w14:paraId="01218E33"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6-10 years</w:t>
            </w:r>
          </w:p>
        </w:tc>
        <w:tc>
          <w:tcPr>
            <w:tcW w:w="1253" w:type="dxa"/>
            <w:tcBorders>
              <w:top w:val="nil"/>
              <w:left w:val="nil"/>
              <w:bottom w:val="single" w:sz="4" w:space="0" w:color="BFBFBF"/>
              <w:right w:val="single" w:sz="4" w:space="0" w:color="BFBFBF"/>
            </w:tcBorders>
            <w:shd w:val="clear" w:color="auto" w:fill="auto"/>
            <w:vAlign w:val="center"/>
            <w:hideMark/>
          </w:tcPr>
          <w:p w14:paraId="7F58F531"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Disagree</w:t>
            </w:r>
          </w:p>
        </w:tc>
        <w:tc>
          <w:tcPr>
            <w:tcW w:w="1391" w:type="dxa"/>
            <w:tcBorders>
              <w:top w:val="nil"/>
              <w:left w:val="nil"/>
              <w:bottom w:val="single" w:sz="4" w:space="0" w:color="BFBFBF"/>
              <w:right w:val="single" w:sz="4" w:space="0" w:color="BFBFBF"/>
            </w:tcBorders>
            <w:shd w:val="clear" w:color="auto" w:fill="auto"/>
            <w:vAlign w:val="center"/>
            <w:hideMark/>
          </w:tcPr>
          <w:p w14:paraId="12C361A0"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Somewhat Knowledgeable</w:t>
            </w:r>
          </w:p>
        </w:tc>
        <w:tc>
          <w:tcPr>
            <w:tcW w:w="956" w:type="dxa"/>
            <w:tcBorders>
              <w:top w:val="nil"/>
              <w:left w:val="nil"/>
              <w:bottom w:val="single" w:sz="4" w:space="0" w:color="BFBFBF"/>
              <w:right w:val="single" w:sz="4" w:space="0" w:color="BFBFBF"/>
            </w:tcBorders>
            <w:shd w:val="clear" w:color="auto" w:fill="auto"/>
            <w:vAlign w:val="center"/>
            <w:hideMark/>
          </w:tcPr>
          <w:p w14:paraId="6C84E9B3"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Somewhat</w:t>
            </w:r>
          </w:p>
        </w:tc>
        <w:tc>
          <w:tcPr>
            <w:tcW w:w="1025" w:type="dxa"/>
            <w:tcBorders>
              <w:top w:val="nil"/>
              <w:left w:val="nil"/>
              <w:bottom w:val="single" w:sz="4" w:space="0" w:color="BFBFBF"/>
              <w:right w:val="single" w:sz="4" w:space="0" w:color="BFBFBF"/>
            </w:tcBorders>
            <w:shd w:val="clear" w:color="auto" w:fill="auto"/>
            <w:vAlign w:val="center"/>
            <w:hideMark/>
          </w:tcPr>
          <w:p w14:paraId="4206692B"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Occasionally</w:t>
            </w:r>
          </w:p>
        </w:tc>
        <w:tc>
          <w:tcPr>
            <w:tcW w:w="1175" w:type="dxa"/>
            <w:tcBorders>
              <w:top w:val="nil"/>
              <w:left w:val="nil"/>
              <w:bottom w:val="single" w:sz="4" w:space="0" w:color="BFBFBF"/>
              <w:right w:val="single" w:sz="4" w:space="0" w:color="BFBFBF"/>
            </w:tcBorders>
            <w:shd w:val="clear" w:color="auto" w:fill="auto"/>
            <w:vAlign w:val="center"/>
            <w:hideMark/>
          </w:tcPr>
          <w:p w14:paraId="0AFD7B41"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Slightly Decreases</w:t>
            </w:r>
          </w:p>
        </w:tc>
        <w:tc>
          <w:tcPr>
            <w:tcW w:w="1119" w:type="dxa"/>
            <w:tcBorders>
              <w:top w:val="nil"/>
              <w:left w:val="nil"/>
              <w:bottom w:val="single" w:sz="4" w:space="0" w:color="BFBFBF"/>
              <w:right w:val="single" w:sz="4" w:space="0" w:color="BFBFBF"/>
            </w:tcBorders>
            <w:shd w:val="clear" w:color="auto" w:fill="auto"/>
            <w:vAlign w:val="center"/>
            <w:hideMark/>
          </w:tcPr>
          <w:p w14:paraId="396E1DEB"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 xml:space="preserve">Yes, significantly </w:t>
            </w:r>
            <w:r w:rsidRPr="001D46BB">
              <w:rPr>
                <w:rFonts w:ascii="Calibri" w:eastAsia="Times New Roman" w:hAnsi="Calibri" w:cs="Calibri"/>
                <w:color w:val="000000"/>
                <w:kern w:val="0"/>
                <w:sz w:val="16"/>
                <w:szCs w:val="16"/>
                <w:lang w:eastAsia="en-GB"/>
                <w14:ligatures w14:val="none"/>
              </w:rPr>
              <w:lastRenderedPageBreak/>
              <w:t>increases the risk</w:t>
            </w:r>
          </w:p>
        </w:tc>
        <w:tc>
          <w:tcPr>
            <w:tcW w:w="1074" w:type="dxa"/>
            <w:tcBorders>
              <w:top w:val="nil"/>
              <w:left w:val="nil"/>
              <w:bottom w:val="single" w:sz="4" w:space="0" w:color="BFBFBF"/>
              <w:right w:val="single" w:sz="4" w:space="0" w:color="BFBFBF"/>
            </w:tcBorders>
            <w:shd w:val="clear" w:color="auto" w:fill="auto"/>
            <w:vAlign w:val="center"/>
            <w:hideMark/>
          </w:tcPr>
          <w:p w14:paraId="507E87C7"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lastRenderedPageBreak/>
              <w:t>No, it would not change the culture</w:t>
            </w:r>
          </w:p>
        </w:tc>
        <w:tc>
          <w:tcPr>
            <w:tcW w:w="1025" w:type="dxa"/>
            <w:tcBorders>
              <w:top w:val="nil"/>
              <w:left w:val="nil"/>
              <w:bottom w:val="single" w:sz="4" w:space="0" w:color="BFBFBF"/>
              <w:right w:val="single" w:sz="4" w:space="0" w:color="BFBFBF"/>
            </w:tcBorders>
            <w:shd w:val="clear" w:color="auto" w:fill="auto"/>
            <w:vAlign w:val="center"/>
            <w:hideMark/>
          </w:tcPr>
          <w:p w14:paraId="212BBB1B"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Occasionally</w:t>
            </w:r>
          </w:p>
        </w:tc>
      </w:tr>
      <w:tr w:rsidR="001D46BB" w:rsidRPr="001D46BB" w14:paraId="41BF7250" w14:textId="77777777" w:rsidTr="001D46BB">
        <w:trPr>
          <w:trHeight w:val="420"/>
        </w:trPr>
        <w:tc>
          <w:tcPr>
            <w:tcW w:w="670" w:type="dxa"/>
            <w:tcBorders>
              <w:top w:val="nil"/>
              <w:left w:val="single" w:sz="4" w:space="0" w:color="BFBFBF"/>
              <w:bottom w:val="single" w:sz="4" w:space="0" w:color="BFBFBF"/>
              <w:right w:val="single" w:sz="4" w:space="0" w:color="BFBFBF"/>
            </w:tcBorders>
            <w:shd w:val="clear" w:color="auto" w:fill="auto"/>
            <w:vAlign w:val="center"/>
            <w:hideMark/>
          </w:tcPr>
          <w:p w14:paraId="484D5CC6" w14:textId="77777777" w:rsidR="001D46BB" w:rsidRPr="001D46BB" w:rsidRDefault="001D46BB" w:rsidP="001D46BB">
            <w:pPr>
              <w:jc w:val="right"/>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9</w:t>
            </w:r>
          </w:p>
        </w:tc>
        <w:tc>
          <w:tcPr>
            <w:tcW w:w="692" w:type="dxa"/>
            <w:tcBorders>
              <w:top w:val="nil"/>
              <w:left w:val="nil"/>
              <w:bottom w:val="single" w:sz="4" w:space="0" w:color="BFBFBF"/>
              <w:right w:val="single" w:sz="4" w:space="0" w:color="BFBFBF"/>
            </w:tcBorders>
            <w:shd w:val="clear" w:color="auto" w:fill="auto"/>
            <w:vAlign w:val="center"/>
            <w:hideMark/>
          </w:tcPr>
          <w:p w14:paraId="5AECFA02"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6-10 years</w:t>
            </w:r>
          </w:p>
        </w:tc>
        <w:tc>
          <w:tcPr>
            <w:tcW w:w="1253" w:type="dxa"/>
            <w:tcBorders>
              <w:top w:val="nil"/>
              <w:left w:val="nil"/>
              <w:bottom w:val="single" w:sz="4" w:space="0" w:color="BFBFBF"/>
              <w:right w:val="single" w:sz="4" w:space="0" w:color="BFBFBF"/>
            </w:tcBorders>
            <w:shd w:val="clear" w:color="auto" w:fill="auto"/>
            <w:vAlign w:val="center"/>
            <w:hideMark/>
          </w:tcPr>
          <w:p w14:paraId="50401603"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Disagree</w:t>
            </w:r>
          </w:p>
        </w:tc>
        <w:tc>
          <w:tcPr>
            <w:tcW w:w="1391" w:type="dxa"/>
            <w:tcBorders>
              <w:top w:val="nil"/>
              <w:left w:val="nil"/>
              <w:bottom w:val="single" w:sz="4" w:space="0" w:color="BFBFBF"/>
              <w:right w:val="single" w:sz="4" w:space="0" w:color="BFBFBF"/>
            </w:tcBorders>
            <w:shd w:val="clear" w:color="auto" w:fill="auto"/>
            <w:vAlign w:val="center"/>
            <w:hideMark/>
          </w:tcPr>
          <w:p w14:paraId="45995186"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Somewhat Unknowledgeable</w:t>
            </w:r>
          </w:p>
        </w:tc>
        <w:tc>
          <w:tcPr>
            <w:tcW w:w="956" w:type="dxa"/>
            <w:tcBorders>
              <w:top w:val="nil"/>
              <w:left w:val="nil"/>
              <w:bottom w:val="single" w:sz="4" w:space="0" w:color="BFBFBF"/>
              <w:right w:val="single" w:sz="4" w:space="0" w:color="BFBFBF"/>
            </w:tcBorders>
            <w:shd w:val="clear" w:color="auto" w:fill="auto"/>
            <w:vAlign w:val="center"/>
            <w:hideMark/>
          </w:tcPr>
          <w:p w14:paraId="25D952C1"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Neutral</w:t>
            </w:r>
          </w:p>
        </w:tc>
        <w:tc>
          <w:tcPr>
            <w:tcW w:w="1025" w:type="dxa"/>
            <w:tcBorders>
              <w:top w:val="nil"/>
              <w:left w:val="nil"/>
              <w:bottom w:val="single" w:sz="4" w:space="0" w:color="BFBFBF"/>
              <w:right w:val="single" w:sz="4" w:space="0" w:color="BFBFBF"/>
            </w:tcBorders>
            <w:shd w:val="clear" w:color="auto" w:fill="auto"/>
            <w:vAlign w:val="center"/>
            <w:hideMark/>
          </w:tcPr>
          <w:p w14:paraId="1D487E1F"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Rarely</w:t>
            </w:r>
          </w:p>
        </w:tc>
        <w:tc>
          <w:tcPr>
            <w:tcW w:w="1175" w:type="dxa"/>
            <w:tcBorders>
              <w:top w:val="nil"/>
              <w:left w:val="nil"/>
              <w:bottom w:val="single" w:sz="4" w:space="0" w:color="BFBFBF"/>
              <w:right w:val="single" w:sz="4" w:space="0" w:color="BFBFBF"/>
            </w:tcBorders>
            <w:shd w:val="clear" w:color="auto" w:fill="auto"/>
            <w:vAlign w:val="center"/>
            <w:hideMark/>
          </w:tcPr>
          <w:p w14:paraId="011B3419"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Has No Effect</w:t>
            </w:r>
          </w:p>
        </w:tc>
        <w:tc>
          <w:tcPr>
            <w:tcW w:w="1119" w:type="dxa"/>
            <w:tcBorders>
              <w:top w:val="nil"/>
              <w:left w:val="nil"/>
              <w:bottom w:val="single" w:sz="4" w:space="0" w:color="BFBFBF"/>
              <w:right w:val="single" w:sz="4" w:space="0" w:color="BFBFBF"/>
            </w:tcBorders>
            <w:shd w:val="clear" w:color="auto" w:fill="auto"/>
            <w:vAlign w:val="center"/>
            <w:hideMark/>
          </w:tcPr>
          <w:p w14:paraId="0BAA457A"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Yes, slightly increases the risk</w:t>
            </w:r>
          </w:p>
        </w:tc>
        <w:tc>
          <w:tcPr>
            <w:tcW w:w="1074" w:type="dxa"/>
            <w:tcBorders>
              <w:top w:val="nil"/>
              <w:left w:val="nil"/>
              <w:bottom w:val="single" w:sz="4" w:space="0" w:color="BFBFBF"/>
              <w:right w:val="single" w:sz="4" w:space="0" w:color="BFBFBF"/>
            </w:tcBorders>
            <w:shd w:val="clear" w:color="auto" w:fill="auto"/>
            <w:vAlign w:val="center"/>
            <w:hideMark/>
          </w:tcPr>
          <w:p w14:paraId="1E381B1C"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Yes, it would slightly change the culture</w:t>
            </w:r>
          </w:p>
        </w:tc>
        <w:tc>
          <w:tcPr>
            <w:tcW w:w="1025" w:type="dxa"/>
            <w:tcBorders>
              <w:top w:val="nil"/>
              <w:left w:val="nil"/>
              <w:bottom w:val="single" w:sz="4" w:space="0" w:color="BFBFBF"/>
              <w:right w:val="single" w:sz="4" w:space="0" w:color="BFBFBF"/>
            </w:tcBorders>
            <w:shd w:val="clear" w:color="auto" w:fill="auto"/>
            <w:vAlign w:val="center"/>
            <w:hideMark/>
          </w:tcPr>
          <w:p w14:paraId="6974D294"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Rarely</w:t>
            </w:r>
          </w:p>
        </w:tc>
      </w:tr>
      <w:tr w:rsidR="001D46BB" w:rsidRPr="001D46BB" w14:paraId="48B0C17A" w14:textId="77777777" w:rsidTr="001D46BB">
        <w:trPr>
          <w:trHeight w:val="420"/>
        </w:trPr>
        <w:tc>
          <w:tcPr>
            <w:tcW w:w="670" w:type="dxa"/>
            <w:tcBorders>
              <w:top w:val="nil"/>
              <w:left w:val="single" w:sz="4" w:space="0" w:color="BFBFBF"/>
              <w:bottom w:val="single" w:sz="4" w:space="0" w:color="BFBFBF"/>
              <w:right w:val="single" w:sz="4" w:space="0" w:color="BFBFBF"/>
            </w:tcBorders>
            <w:shd w:val="clear" w:color="auto" w:fill="auto"/>
            <w:vAlign w:val="center"/>
            <w:hideMark/>
          </w:tcPr>
          <w:p w14:paraId="6891307D" w14:textId="77777777" w:rsidR="001D46BB" w:rsidRPr="001D46BB" w:rsidRDefault="001D46BB" w:rsidP="001D46BB">
            <w:pPr>
              <w:jc w:val="right"/>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10</w:t>
            </w:r>
          </w:p>
        </w:tc>
        <w:tc>
          <w:tcPr>
            <w:tcW w:w="692" w:type="dxa"/>
            <w:tcBorders>
              <w:top w:val="nil"/>
              <w:left w:val="nil"/>
              <w:bottom w:val="single" w:sz="4" w:space="0" w:color="BFBFBF"/>
              <w:right w:val="single" w:sz="4" w:space="0" w:color="BFBFBF"/>
            </w:tcBorders>
            <w:shd w:val="clear" w:color="auto" w:fill="auto"/>
            <w:vAlign w:val="center"/>
            <w:hideMark/>
          </w:tcPr>
          <w:p w14:paraId="24FE2BEA"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6-10 years</w:t>
            </w:r>
          </w:p>
        </w:tc>
        <w:tc>
          <w:tcPr>
            <w:tcW w:w="1253" w:type="dxa"/>
            <w:tcBorders>
              <w:top w:val="nil"/>
              <w:left w:val="nil"/>
              <w:bottom w:val="single" w:sz="4" w:space="0" w:color="BFBFBF"/>
              <w:right w:val="single" w:sz="4" w:space="0" w:color="BFBFBF"/>
            </w:tcBorders>
            <w:shd w:val="clear" w:color="auto" w:fill="auto"/>
            <w:vAlign w:val="center"/>
            <w:hideMark/>
          </w:tcPr>
          <w:p w14:paraId="45E77731"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Disagree</w:t>
            </w:r>
          </w:p>
        </w:tc>
        <w:tc>
          <w:tcPr>
            <w:tcW w:w="1391" w:type="dxa"/>
            <w:tcBorders>
              <w:top w:val="nil"/>
              <w:left w:val="nil"/>
              <w:bottom w:val="single" w:sz="4" w:space="0" w:color="BFBFBF"/>
              <w:right w:val="single" w:sz="4" w:space="0" w:color="BFBFBF"/>
            </w:tcBorders>
            <w:shd w:val="clear" w:color="auto" w:fill="auto"/>
            <w:vAlign w:val="center"/>
            <w:hideMark/>
          </w:tcPr>
          <w:p w14:paraId="5BD45BB4"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Somewhat Knowledgeable</w:t>
            </w:r>
          </w:p>
        </w:tc>
        <w:tc>
          <w:tcPr>
            <w:tcW w:w="956" w:type="dxa"/>
            <w:tcBorders>
              <w:top w:val="nil"/>
              <w:left w:val="nil"/>
              <w:bottom w:val="single" w:sz="4" w:space="0" w:color="BFBFBF"/>
              <w:right w:val="single" w:sz="4" w:space="0" w:color="BFBFBF"/>
            </w:tcBorders>
            <w:shd w:val="clear" w:color="auto" w:fill="auto"/>
            <w:vAlign w:val="center"/>
            <w:hideMark/>
          </w:tcPr>
          <w:p w14:paraId="7CCEFE79"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Very Much</w:t>
            </w:r>
          </w:p>
        </w:tc>
        <w:tc>
          <w:tcPr>
            <w:tcW w:w="1025" w:type="dxa"/>
            <w:tcBorders>
              <w:top w:val="nil"/>
              <w:left w:val="nil"/>
              <w:bottom w:val="single" w:sz="4" w:space="0" w:color="BFBFBF"/>
              <w:right w:val="single" w:sz="4" w:space="0" w:color="BFBFBF"/>
            </w:tcBorders>
            <w:shd w:val="clear" w:color="auto" w:fill="auto"/>
            <w:vAlign w:val="center"/>
            <w:hideMark/>
          </w:tcPr>
          <w:p w14:paraId="2C05725A"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Rarely</w:t>
            </w:r>
          </w:p>
        </w:tc>
        <w:tc>
          <w:tcPr>
            <w:tcW w:w="1175" w:type="dxa"/>
            <w:tcBorders>
              <w:top w:val="nil"/>
              <w:left w:val="nil"/>
              <w:bottom w:val="single" w:sz="4" w:space="0" w:color="BFBFBF"/>
              <w:right w:val="single" w:sz="4" w:space="0" w:color="BFBFBF"/>
            </w:tcBorders>
            <w:shd w:val="clear" w:color="auto" w:fill="auto"/>
            <w:vAlign w:val="center"/>
            <w:hideMark/>
          </w:tcPr>
          <w:p w14:paraId="6800AD0D"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Slightly Decreases</w:t>
            </w:r>
          </w:p>
        </w:tc>
        <w:tc>
          <w:tcPr>
            <w:tcW w:w="1119" w:type="dxa"/>
            <w:tcBorders>
              <w:top w:val="nil"/>
              <w:left w:val="nil"/>
              <w:bottom w:val="single" w:sz="4" w:space="0" w:color="BFBFBF"/>
              <w:right w:val="single" w:sz="4" w:space="0" w:color="BFBFBF"/>
            </w:tcBorders>
            <w:shd w:val="clear" w:color="auto" w:fill="auto"/>
            <w:vAlign w:val="center"/>
            <w:hideMark/>
          </w:tcPr>
          <w:p w14:paraId="7CFBBB10"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No, it has no impact on the risk</w:t>
            </w:r>
          </w:p>
        </w:tc>
        <w:tc>
          <w:tcPr>
            <w:tcW w:w="1074" w:type="dxa"/>
            <w:tcBorders>
              <w:top w:val="nil"/>
              <w:left w:val="nil"/>
              <w:bottom w:val="single" w:sz="4" w:space="0" w:color="BFBFBF"/>
              <w:right w:val="single" w:sz="4" w:space="0" w:color="BFBFBF"/>
            </w:tcBorders>
            <w:shd w:val="clear" w:color="auto" w:fill="auto"/>
            <w:vAlign w:val="center"/>
            <w:hideMark/>
          </w:tcPr>
          <w:p w14:paraId="604451DE"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Yes, it would slightly change the culture</w:t>
            </w:r>
          </w:p>
        </w:tc>
        <w:tc>
          <w:tcPr>
            <w:tcW w:w="1025" w:type="dxa"/>
            <w:tcBorders>
              <w:top w:val="nil"/>
              <w:left w:val="nil"/>
              <w:bottom w:val="single" w:sz="4" w:space="0" w:color="BFBFBF"/>
              <w:right w:val="single" w:sz="4" w:space="0" w:color="BFBFBF"/>
            </w:tcBorders>
            <w:shd w:val="clear" w:color="auto" w:fill="auto"/>
            <w:vAlign w:val="center"/>
            <w:hideMark/>
          </w:tcPr>
          <w:p w14:paraId="380591A2"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Rarely</w:t>
            </w:r>
          </w:p>
        </w:tc>
      </w:tr>
      <w:tr w:rsidR="001D46BB" w:rsidRPr="001D46BB" w14:paraId="00BC6A6D" w14:textId="77777777" w:rsidTr="001D46BB">
        <w:trPr>
          <w:trHeight w:val="420"/>
        </w:trPr>
        <w:tc>
          <w:tcPr>
            <w:tcW w:w="670" w:type="dxa"/>
            <w:tcBorders>
              <w:top w:val="nil"/>
              <w:left w:val="single" w:sz="4" w:space="0" w:color="BFBFBF"/>
              <w:bottom w:val="single" w:sz="4" w:space="0" w:color="BFBFBF"/>
              <w:right w:val="single" w:sz="4" w:space="0" w:color="BFBFBF"/>
            </w:tcBorders>
            <w:shd w:val="clear" w:color="auto" w:fill="auto"/>
            <w:vAlign w:val="center"/>
            <w:hideMark/>
          </w:tcPr>
          <w:p w14:paraId="3FFB460E" w14:textId="77777777" w:rsidR="001D46BB" w:rsidRPr="001D46BB" w:rsidRDefault="001D46BB" w:rsidP="001D46BB">
            <w:pPr>
              <w:jc w:val="right"/>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11</w:t>
            </w:r>
          </w:p>
        </w:tc>
        <w:tc>
          <w:tcPr>
            <w:tcW w:w="692" w:type="dxa"/>
            <w:tcBorders>
              <w:top w:val="nil"/>
              <w:left w:val="nil"/>
              <w:bottom w:val="single" w:sz="4" w:space="0" w:color="BFBFBF"/>
              <w:right w:val="single" w:sz="4" w:space="0" w:color="BFBFBF"/>
            </w:tcBorders>
            <w:shd w:val="clear" w:color="auto" w:fill="auto"/>
            <w:vAlign w:val="center"/>
            <w:hideMark/>
          </w:tcPr>
          <w:p w14:paraId="25BB4DAC"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6-10 years</w:t>
            </w:r>
          </w:p>
        </w:tc>
        <w:tc>
          <w:tcPr>
            <w:tcW w:w="1253" w:type="dxa"/>
            <w:tcBorders>
              <w:top w:val="nil"/>
              <w:left w:val="nil"/>
              <w:bottom w:val="single" w:sz="4" w:space="0" w:color="BFBFBF"/>
              <w:right w:val="single" w:sz="4" w:space="0" w:color="BFBFBF"/>
            </w:tcBorders>
            <w:shd w:val="clear" w:color="auto" w:fill="auto"/>
            <w:vAlign w:val="center"/>
            <w:hideMark/>
          </w:tcPr>
          <w:p w14:paraId="1D9F7702"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Agree</w:t>
            </w:r>
          </w:p>
        </w:tc>
        <w:tc>
          <w:tcPr>
            <w:tcW w:w="1391" w:type="dxa"/>
            <w:tcBorders>
              <w:top w:val="nil"/>
              <w:left w:val="nil"/>
              <w:bottom w:val="single" w:sz="4" w:space="0" w:color="BFBFBF"/>
              <w:right w:val="single" w:sz="4" w:space="0" w:color="BFBFBF"/>
            </w:tcBorders>
            <w:shd w:val="clear" w:color="auto" w:fill="auto"/>
            <w:vAlign w:val="center"/>
            <w:hideMark/>
          </w:tcPr>
          <w:p w14:paraId="09A5520F"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Very Knowledgeable</w:t>
            </w:r>
          </w:p>
        </w:tc>
        <w:tc>
          <w:tcPr>
            <w:tcW w:w="956" w:type="dxa"/>
            <w:tcBorders>
              <w:top w:val="nil"/>
              <w:left w:val="nil"/>
              <w:bottom w:val="single" w:sz="4" w:space="0" w:color="BFBFBF"/>
              <w:right w:val="single" w:sz="4" w:space="0" w:color="BFBFBF"/>
            </w:tcBorders>
            <w:shd w:val="clear" w:color="auto" w:fill="auto"/>
            <w:vAlign w:val="center"/>
            <w:hideMark/>
          </w:tcPr>
          <w:p w14:paraId="2649C41F"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Very Much</w:t>
            </w:r>
          </w:p>
        </w:tc>
        <w:tc>
          <w:tcPr>
            <w:tcW w:w="1025" w:type="dxa"/>
            <w:tcBorders>
              <w:top w:val="nil"/>
              <w:left w:val="nil"/>
              <w:bottom w:val="single" w:sz="4" w:space="0" w:color="BFBFBF"/>
              <w:right w:val="single" w:sz="4" w:space="0" w:color="BFBFBF"/>
            </w:tcBorders>
            <w:shd w:val="clear" w:color="auto" w:fill="auto"/>
            <w:vAlign w:val="center"/>
            <w:hideMark/>
          </w:tcPr>
          <w:p w14:paraId="76F5955A"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Occasionally</w:t>
            </w:r>
          </w:p>
        </w:tc>
        <w:tc>
          <w:tcPr>
            <w:tcW w:w="1175" w:type="dxa"/>
            <w:tcBorders>
              <w:top w:val="nil"/>
              <w:left w:val="nil"/>
              <w:bottom w:val="single" w:sz="4" w:space="0" w:color="BFBFBF"/>
              <w:right w:val="single" w:sz="4" w:space="0" w:color="BFBFBF"/>
            </w:tcBorders>
            <w:shd w:val="clear" w:color="auto" w:fill="auto"/>
            <w:vAlign w:val="center"/>
            <w:hideMark/>
          </w:tcPr>
          <w:p w14:paraId="466F9176"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Slightly Increases</w:t>
            </w:r>
          </w:p>
        </w:tc>
        <w:tc>
          <w:tcPr>
            <w:tcW w:w="1119" w:type="dxa"/>
            <w:tcBorders>
              <w:top w:val="nil"/>
              <w:left w:val="nil"/>
              <w:bottom w:val="single" w:sz="4" w:space="0" w:color="BFBFBF"/>
              <w:right w:val="single" w:sz="4" w:space="0" w:color="BFBFBF"/>
            </w:tcBorders>
            <w:shd w:val="clear" w:color="auto" w:fill="auto"/>
            <w:vAlign w:val="center"/>
            <w:hideMark/>
          </w:tcPr>
          <w:p w14:paraId="412C27C5"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Yes, slightly increases the risk</w:t>
            </w:r>
          </w:p>
        </w:tc>
        <w:tc>
          <w:tcPr>
            <w:tcW w:w="1074" w:type="dxa"/>
            <w:tcBorders>
              <w:top w:val="nil"/>
              <w:left w:val="nil"/>
              <w:bottom w:val="single" w:sz="4" w:space="0" w:color="BFBFBF"/>
              <w:right w:val="single" w:sz="4" w:space="0" w:color="BFBFBF"/>
            </w:tcBorders>
            <w:shd w:val="clear" w:color="auto" w:fill="auto"/>
            <w:vAlign w:val="center"/>
            <w:hideMark/>
          </w:tcPr>
          <w:p w14:paraId="55FE8A7B"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Yes, it would slightly change the culture</w:t>
            </w:r>
          </w:p>
        </w:tc>
        <w:tc>
          <w:tcPr>
            <w:tcW w:w="1025" w:type="dxa"/>
            <w:tcBorders>
              <w:top w:val="nil"/>
              <w:left w:val="nil"/>
              <w:bottom w:val="single" w:sz="4" w:space="0" w:color="BFBFBF"/>
              <w:right w:val="single" w:sz="4" w:space="0" w:color="BFBFBF"/>
            </w:tcBorders>
            <w:shd w:val="clear" w:color="auto" w:fill="auto"/>
            <w:vAlign w:val="center"/>
            <w:hideMark/>
          </w:tcPr>
          <w:p w14:paraId="21136953"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Occasionally</w:t>
            </w:r>
          </w:p>
        </w:tc>
      </w:tr>
      <w:tr w:rsidR="001D46BB" w:rsidRPr="001D46BB" w14:paraId="1F598EC8" w14:textId="77777777" w:rsidTr="001D46BB">
        <w:trPr>
          <w:trHeight w:val="420"/>
        </w:trPr>
        <w:tc>
          <w:tcPr>
            <w:tcW w:w="670" w:type="dxa"/>
            <w:tcBorders>
              <w:top w:val="nil"/>
              <w:left w:val="single" w:sz="4" w:space="0" w:color="BFBFBF"/>
              <w:bottom w:val="single" w:sz="4" w:space="0" w:color="BFBFBF"/>
              <w:right w:val="single" w:sz="4" w:space="0" w:color="BFBFBF"/>
            </w:tcBorders>
            <w:shd w:val="clear" w:color="auto" w:fill="auto"/>
            <w:vAlign w:val="center"/>
            <w:hideMark/>
          </w:tcPr>
          <w:p w14:paraId="574B7FD5" w14:textId="77777777" w:rsidR="001D46BB" w:rsidRPr="001D46BB" w:rsidRDefault="001D46BB" w:rsidP="001D46BB">
            <w:pPr>
              <w:jc w:val="right"/>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12</w:t>
            </w:r>
          </w:p>
        </w:tc>
        <w:tc>
          <w:tcPr>
            <w:tcW w:w="692" w:type="dxa"/>
            <w:tcBorders>
              <w:top w:val="nil"/>
              <w:left w:val="nil"/>
              <w:bottom w:val="single" w:sz="4" w:space="0" w:color="BFBFBF"/>
              <w:right w:val="single" w:sz="4" w:space="0" w:color="BFBFBF"/>
            </w:tcBorders>
            <w:shd w:val="clear" w:color="auto" w:fill="auto"/>
            <w:vAlign w:val="center"/>
            <w:hideMark/>
          </w:tcPr>
          <w:p w14:paraId="0673FCFA"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6-10 years</w:t>
            </w:r>
          </w:p>
        </w:tc>
        <w:tc>
          <w:tcPr>
            <w:tcW w:w="1253" w:type="dxa"/>
            <w:tcBorders>
              <w:top w:val="nil"/>
              <w:left w:val="nil"/>
              <w:bottom w:val="single" w:sz="4" w:space="0" w:color="BFBFBF"/>
              <w:right w:val="single" w:sz="4" w:space="0" w:color="BFBFBF"/>
            </w:tcBorders>
            <w:shd w:val="clear" w:color="auto" w:fill="auto"/>
            <w:vAlign w:val="center"/>
            <w:hideMark/>
          </w:tcPr>
          <w:p w14:paraId="2ABCC5A8"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Strongly Disagree</w:t>
            </w:r>
          </w:p>
        </w:tc>
        <w:tc>
          <w:tcPr>
            <w:tcW w:w="1391" w:type="dxa"/>
            <w:tcBorders>
              <w:top w:val="nil"/>
              <w:left w:val="nil"/>
              <w:bottom w:val="single" w:sz="4" w:space="0" w:color="BFBFBF"/>
              <w:right w:val="single" w:sz="4" w:space="0" w:color="BFBFBF"/>
            </w:tcBorders>
            <w:shd w:val="clear" w:color="auto" w:fill="auto"/>
            <w:vAlign w:val="center"/>
            <w:hideMark/>
          </w:tcPr>
          <w:p w14:paraId="26F798C5"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Somewhat Knowledgeable</w:t>
            </w:r>
          </w:p>
        </w:tc>
        <w:tc>
          <w:tcPr>
            <w:tcW w:w="956" w:type="dxa"/>
            <w:tcBorders>
              <w:top w:val="nil"/>
              <w:left w:val="nil"/>
              <w:bottom w:val="single" w:sz="4" w:space="0" w:color="BFBFBF"/>
              <w:right w:val="single" w:sz="4" w:space="0" w:color="BFBFBF"/>
            </w:tcBorders>
            <w:shd w:val="clear" w:color="auto" w:fill="auto"/>
            <w:vAlign w:val="center"/>
            <w:hideMark/>
          </w:tcPr>
          <w:p w14:paraId="03AC9623"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Somewhat</w:t>
            </w:r>
          </w:p>
        </w:tc>
        <w:tc>
          <w:tcPr>
            <w:tcW w:w="1025" w:type="dxa"/>
            <w:tcBorders>
              <w:top w:val="nil"/>
              <w:left w:val="nil"/>
              <w:bottom w:val="single" w:sz="4" w:space="0" w:color="BFBFBF"/>
              <w:right w:val="single" w:sz="4" w:space="0" w:color="BFBFBF"/>
            </w:tcBorders>
            <w:shd w:val="clear" w:color="auto" w:fill="auto"/>
            <w:vAlign w:val="center"/>
            <w:hideMark/>
          </w:tcPr>
          <w:p w14:paraId="0F0864A8"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Occasionally</w:t>
            </w:r>
          </w:p>
        </w:tc>
        <w:tc>
          <w:tcPr>
            <w:tcW w:w="1175" w:type="dxa"/>
            <w:tcBorders>
              <w:top w:val="nil"/>
              <w:left w:val="nil"/>
              <w:bottom w:val="single" w:sz="4" w:space="0" w:color="BFBFBF"/>
              <w:right w:val="single" w:sz="4" w:space="0" w:color="BFBFBF"/>
            </w:tcBorders>
            <w:shd w:val="clear" w:color="auto" w:fill="auto"/>
            <w:vAlign w:val="center"/>
            <w:hideMark/>
          </w:tcPr>
          <w:p w14:paraId="500A2D63"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Slightly Decreases</w:t>
            </w:r>
          </w:p>
        </w:tc>
        <w:tc>
          <w:tcPr>
            <w:tcW w:w="1119" w:type="dxa"/>
            <w:tcBorders>
              <w:top w:val="nil"/>
              <w:left w:val="nil"/>
              <w:bottom w:val="single" w:sz="4" w:space="0" w:color="BFBFBF"/>
              <w:right w:val="single" w:sz="4" w:space="0" w:color="BFBFBF"/>
            </w:tcBorders>
            <w:shd w:val="clear" w:color="auto" w:fill="auto"/>
            <w:vAlign w:val="center"/>
            <w:hideMark/>
          </w:tcPr>
          <w:p w14:paraId="317C1D30"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Yes, significantly increases the risk</w:t>
            </w:r>
          </w:p>
        </w:tc>
        <w:tc>
          <w:tcPr>
            <w:tcW w:w="1074" w:type="dxa"/>
            <w:tcBorders>
              <w:top w:val="nil"/>
              <w:left w:val="nil"/>
              <w:bottom w:val="single" w:sz="4" w:space="0" w:color="BFBFBF"/>
              <w:right w:val="single" w:sz="4" w:space="0" w:color="BFBFBF"/>
            </w:tcBorders>
            <w:shd w:val="clear" w:color="auto" w:fill="auto"/>
            <w:vAlign w:val="center"/>
            <w:hideMark/>
          </w:tcPr>
          <w:p w14:paraId="01787556"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No, it would not change the culture</w:t>
            </w:r>
          </w:p>
        </w:tc>
        <w:tc>
          <w:tcPr>
            <w:tcW w:w="1025" w:type="dxa"/>
            <w:tcBorders>
              <w:top w:val="nil"/>
              <w:left w:val="nil"/>
              <w:bottom w:val="single" w:sz="4" w:space="0" w:color="BFBFBF"/>
              <w:right w:val="single" w:sz="4" w:space="0" w:color="BFBFBF"/>
            </w:tcBorders>
            <w:shd w:val="clear" w:color="auto" w:fill="auto"/>
            <w:vAlign w:val="center"/>
            <w:hideMark/>
          </w:tcPr>
          <w:p w14:paraId="053A0EE1"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Rarely</w:t>
            </w:r>
          </w:p>
        </w:tc>
      </w:tr>
      <w:tr w:rsidR="001D46BB" w:rsidRPr="001D46BB" w14:paraId="7963BAE2" w14:textId="77777777" w:rsidTr="001D46BB">
        <w:trPr>
          <w:trHeight w:val="420"/>
        </w:trPr>
        <w:tc>
          <w:tcPr>
            <w:tcW w:w="670" w:type="dxa"/>
            <w:tcBorders>
              <w:top w:val="nil"/>
              <w:left w:val="single" w:sz="4" w:space="0" w:color="BFBFBF"/>
              <w:bottom w:val="single" w:sz="4" w:space="0" w:color="BFBFBF"/>
              <w:right w:val="single" w:sz="4" w:space="0" w:color="BFBFBF"/>
            </w:tcBorders>
            <w:shd w:val="clear" w:color="auto" w:fill="auto"/>
            <w:vAlign w:val="center"/>
            <w:hideMark/>
          </w:tcPr>
          <w:p w14:paraId="49C740BE" w14:textId="77777777" w:rsidR="001D46BB" w:rsidRPr="001D46BB" w:rsidRDefault="001D46BB" w:rsidP="001D46BB">
            <w:pPr>
              <w:jc w:val="right"/>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13</w:t>
            </w:r>
          </w:p>
        </w:tc>
        <w:tc>
          <w:tcPr>
            <w:tcW w:w="692" w:type="dxa"/>
            <w:tcBorders>
              <w:top w:val="nil"/>
              <w:left w:val="nil"/>
              <w:bottom w:val="single" w:sz="4" w:space="0" w:color="BFBFBF"/>
              <w:right w:val="single" w:sz="4" w:space="0" w:color="BFBFBF"/>
            </w:tcBorders>
            <w:shd w:val="clear" w:color="auto" w:fill="auto"/>
            <w:vAlign w:val="center"/>
            <w:hideMark/>
          </w:tcPr>
          <w:p w14:paraId="7C0B8868"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11-15 years</w:t>
            </w:r>
          </w:p>
        </w:tc>
        <w:tc>
          <w:tcPr>
            <w:tcW w:w="1253" w:type="dxa"/>
            <w:tcBorders>
              <w:top w:val="nil"/>
              <w:left w:val="nil"/>
              <w:bottom w:val="single" w:sz="4" w:space="0" w:color="BFBFBF"/>
              <w:right w:val="single" w:sz="4" w:space="0" w:color="BFBFBF"/>
            </w:tcBorders>
            <w:shd w:val="clear" w:color="auto" w:fill="auto"/>
            <w:vAlign w:val="center"/>
            <w:hideMark/>
          </w:tcPr>
          <w:p w14:paraId="617CFBF5"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Agree</w:t>
            </w:r>
          </w:p>
        </w:tc>
        <w:tc>
          <w:tcPr>
            <w:tcW w:w="1391" w:type="dxa"/>
            <w:tcBorders>
              <w:top w:val="nil"/>
              <w:left w:val="nil"/>
              <w:bottom w:val="single" w:sz="4" w:space="0" w:color="BFBFBF"/>
              <w:right w:val="single" w:sz="4" w:space="0" w:color="BFBFBF"/>
            </w:tcBorders>
            <w:shd w:val="clear" w:color="auto" w:fill="auto"/>
            <w:vAlign w:val="center"/>
            <w:hideMark/>
          </w:tcPr>
          <w:p w14:paraId="12DAE1B7"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Very Knowledgeable</w:t>
            </w:r>
          </w:p>
        </w:tc>
        <w:tc>
          <w:tcPr>
            <w:tcW w:w="956" w:type="dxa"/>
            <w:tcBorders>
              <w:top w:val="nil"/>
              <w:left w:val="nil"/>
              <w:bottom w:val="single" w:sz="4" w:space="0" w:color="BFBFBF"/>
              <w:right w:val="single" w:sz="4" w:space="0" w:color="BFBFBF"/>
            </w:tcBorders>
            <w:shd w:val="clear" w:color="auto" w:fill="auto"/>
            <w:vAlign w:val="center"/>
            <w:hideMark/>
          </w:tcPr>
          <w:p w14:paraId="7211D8AF"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Very Much</w:t>
            </w:r>
          </w:p>
        </w:tc>
        <w:tc>
          <w:tcPr>
            <w:tcW w:w="1025" w:type="dxa"/>
            <w:tcBorders>
              <w:top w:val="nil"/>
              <w:left w:val="nil"/>
              <w:bottom w:val="single" w:sz="4" w:space="0" w:color="BFBFBF"/>
              <w:right w:val="single" w:sz="4" w:space="0" w:color="BFBFBF"/>
            </w:tcBorders>
            <w:shd w:val="clear" w:color="auto" w:fill="auto"/>
            <w:vAlign w:val="center"/>
            <w:hideMark/>
          </w:tcPr>
          <w:p w14:paraId="31B29C0C"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Occasionally</w:t>
            </w:r>
          </w:p>
        </w:tc>
        <w:tc>
          <w:tcPr>
            <w:tcW w:w="1175" w:type="dxa"/>
            <w:tcBorders>
              <w:top w:val="nil"/>
              <w:left w:val="nil"/>
              <w:bottom w:val="single" w:sz="4" w:space="0" w:color="BFBFBF"/>
              <w:right w:val="single" w:sz="4" w:space="0" w:color="BFBFBF"/>
            </w:tcBorders>
            <w:shd w:val="clear" w:color="auto" w:fill="auto"/>
            <w:vAlign w:val="center"/>
            <w:hideMark/>
          </w:tcPr>
          <w:p w14:paraId="2C19568C"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Slightly Increases</w:t>
            </w:r>
          </w:p>
        </w:tc>
        <w:tc>
          <w:tcPr>
            <w:tcW w:w="1119" w:type="dxa"/>
            <w:tcBorders>
              <w:top w:val="nil"/>
              <w:left w:val="nil"/>
              <w:bottom w:val="single" w:sz="4" w:space="0" w:color="BFBFBF"/>
              <w:right w:val="single" w:sz="4" w:space="0" w:color="BFBFBF"/>
            </w:tcBorders>
            <w:shd w:val="clear" w:color="auto" w:fill="auto"/>
            <w:vAlign w:val="center"/>
            <w:hideMark/>
          </w:tcPr>
          <w:p w14:paraId="6319F8B2"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Yes, slightly increases the risk</w:t>
            </w:r>
          </w:p>
        </w:tc>
        <w:tc>
          <w:tcPr>
            <w:tcW w:w="1074" w:type="dxa"/>
            <w:tcBorders>
              <w:top w:val="nil"/>
              <w:left w:val="nil"/>
              <w:bottom w:val="single" w:sz="4" w:space="0" w:color="BFBFBF"/>
              <w:right w:val="single" w:sz="4" w:space="0" w:color="BFBFBF"/>
            </w:tcBorders>
            <w:shd w:val="clear" w:color="auto" w:fill="auto"/>
            <w:vAlign w:val="center"/>
            <w:hideMark/>
          </w:tcPr>
          <w:p w14:paraId="7666BB92"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Yes, it would slightly change the culture</w:t>
            </w:r>
          </w:p>
        </w:tc>
        <w:tc>
          <w:tcPr>
            <w:tcW w:w="1025" w:type="dxa"/>
            <w:tcBorders>
              <w:top w:val="nil"/>
              <w:left w:val="nil"/>
              <w:bottom w:val="single" w:sz="4" w:space="0" w:color="BFBFBF"/>
              <w:right w:val="single" w:sz="4" w:space="0" w:color="BFBFBF"/>
            </w:tcBorders>
            <w:shd w:val="clear" w:color="auto" w:fill="auto"/>
            <w:vAlign w:val="center"/>
            <w:hideMark/>
          </w:tcPr>
          <w:p w14:paraId="5E36DA5B"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Occasionally</w:t>
            </w:r>
          </w:p>
        </w:tc>
      </w:tr>
      <w:tr w:rsidR="001D46BB" w:rsidRPr="001D46BB" w14:paraId="4BDA97B3" w14:textId="77777777" w:rsidTr="001D46BB">
        <w:trPr>
          <w:trHeight w:val="420"/>
        </w:trPr>
        <w:tc>
          <w:tcPr>
            <w:tcW w:w="670" w:type="dxa"/>
            <w:tcBorders>
              <w:top w:val="nil"/>
              <w:left w:val="single" w:sz="4" w:space="0" w:color="BFBFBF"/>
              <w:bottom w:val="single" w:sz="4" w:space="0" w:color="BFBFBF"/>
              <w:right w:val="single" w:sz="4" w:space="0" w:color="BFBFBF"/>
            </w:tcBorders>
            <w:shd w:val="clear" w:color="auto" w:fill="auto"/>
            <w:vAlign w:val="center"/>
            <w:hideMark/>
          </w:tcPr>
          <w:p w14:paraId="02056A8A" w14:textId="77777777" w:rsidR="001D46BB" w:rsidRPr="001D46BB" w:rsidRDefault="001D46BB" w:rsidP="001D46BB">
            <w:pPr>
              <w:jc w:val="right"/>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14</w:t>
            </w:r>
          </w:p>
        </w:tc>
        <w:tc>
          <w:tcPr>
            <w:tcW w:w="692" w:type="dxa"/>
            <w:tcBorders>
              <w:top w:val="nil"/>
              <w:left w:val="nil"/>
              <w:bottom w:val="single" w:sz="4" w:space="0" w:color="BFBFBF"/>
              <w:right w:val="single" w:sz="4" w:space="0" w:color="BFBFBF"/>
            </w:tcBorders>
            <w:shd w:val="clear" w:color="auto" w:fill="auto"/>
            <w:vAlign w:val="center"/>
            <w:hideMark/>
          </w:tcPr>
          <w:p w14:paraId="24D4DC1E"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1-5 years</w:t>
            </w:r>
          </w:p>
        </w:tc>
        <w:tc>
          <w:tcPr>
            <w:tcW w:w="1253" w:type="dxa"/>
            <w:tcBorders>
              <w:top w:val="nil"/>
              <w:left w:val="nil"/>
              <w:bottom w:val="single" w:sz="4" w:space="0" w:color="BFBFBF"/>
              <w:right w:val="single" w:sz="4" w:space="0" w:color="BFBFBF"/>
            </w:tcBorders>
            <w:shd w:val="clear" w:color="auto" w:fill="auto"/>
            <w:vAlign w:val="center"/>
            <w:hideMark/>
          </w:tcPr>
          <w:p w14:paraId="150D3648"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Strongly Disagree</w:t>
            </w:r>
          </w:p>
        </w:tc>
        <w:tc>
          <w:tcPr>
            <w:tcW w:w="1391" w:type="dxa"/>
            <w:tcBorders>
              <w:top w:val="nil"/>
              <w:left w:val="nil"/>
              <w:bottom w:val="single" w:sz="4" w:space="0" w:color="BFBFBF"/>
              <w:right w:val="single" w:sz="4" w:space="0" w:color="BFBFBF"/>
            </w:tcBorders>
            <w:shd w:val="clear" w:color="auto" w:fill="auto"/>
            <w:vAlign w:val="center"/>
            <w:hideMark/>
          </w:tcPr>
          <w:p w14:paraId="36E8284C"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Somewhat Unknowledgeable</w:t>
            </w:r>
          </w:p>
        </w:tc>
        <w:tc>
          <w:tcPr>
            <w:tcW w:w="956" w:type="dxa"/>
            <w:tcBorders>
              <w:top w:val="nil"/>
              <w:left w:val="nil"/>
              <w:bottom w:val="single" w:sz="4" w:space="0" w:color="BFBFBF"/>
              <w:right w:val="single" w:sz="4" w:space="0" w:color="BFBFBF"/>
            </w:tcBorders>
            <w:shd w:val="clear" w:color="auto" w:fill="auto"/>
            <w:vAlign w:val="center"/>
            <w:hideMark/>
          </w:tcPr>
          <w:p w14:paraId="035EB1AC"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Neutral</w:t>
            </w:r>
          </w:p>
        </w:tc>
        <w:tc>
          <w:tcPr>
            <w:tcW w:w="1025" w:type="dxa"/>
            <w:tcBorders>
              <w:top w:val="nil"/>
              <w:left w:val="nil"/>
              <w:bottom w:val="single" w:sz="4" w:space="0" w:color="BFBFBF"/>
              <w:right w:val="single" w:sz="4" w:space="0" w:color="BFBFBF"/>
            </w:tcBorders>
            <w:shd w:val="clear" w:color="auto" w:fill="auto"/>
            <w:vAlign w:val="center"/>
            <w:hideMark/>
          </w:tcPr>
          <w:p w14:paraId="62D2C097"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Never</w:t>
            </w:r>
          </w:p>
        </w:tc>
        <w:tc>
          <w:tcPr>
            <w:tcW w:w="1175" w:type="dxa"/>
            <w:tcBorders>
              <w:top w:val="nil"/>
              <w:left w:val="nil"/>
              <w:bottom w:val="single" w:sz="4" w:space="0" w:color="BFBFBF"/>
              <w:right w:val="single" w:sz="4" w:space="0" w:color="BFBFBF"/>
            </w:tcBorders>
            <w:shd w:val="clear" w:color="auto" w:fill="auto"/>
            <w:vAlign w:val="center"/>
            <w:hideMark/>
          </w:tcPr>
          <w:p w14:paraId="4A334808"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Has No Effect</w:t>
            </w:r>
          </w:p>
        </w:tc>
        <w:tc>
          <w:tcPr>
            <w:tcW w:w="1119" w:type="dxa"/>
            <w:tcBorders>
              <w:top w:val="nil"/>
              <w:left w:val="nil"/>
              <w:bottom w:val="single" w:sz="4" w:space="0" w:color="BFBFBF"/>
              <w:right w:val="single" w:sz="4" w:space="0" w:color="BFBFBF"/>
            </w:tcBorders>
            <w:shd w:val="clear" w:color="auto" w:fill="auto"/>
            <w:vAlign w:val="center"/>
            <w:hideMark/>
          </w:tcPr>
          <w:p w14:paraId="2C5F3951"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No, it has no impact on the risk</w:t>
            </w:r>
          </w:p>
        </w:tc>
        <w:tc>
          <w:tcPr>
            <w:tcW w:w="1074" w:type="dxa"/>
            <w:tcBorders>
              <w:top w:val="nil"/>
              <w:left w:val="nil"/>
              <w:bottom w:val="single" w:sz="4" w:space="0" w:color="BFBFBF"/>
              <w:right w:val="single" w:sz="4" w:space="0" w:color="BFBFBF"/>
            </w:tcBorders>
            <w:shd w:val="clear" w:color="auto" w:fill="auto"/>
            <w:vAlign w:val="center"/>
            <w:hideMark/>
          </w:tcPr>
          <w:p w14:paraId="5C26AD2B"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No, it would not change the culture</w:t>
            </w:r>
          </w:p>
        </w:tc>
        <w:tc>
          <w:tcPr>
            <w:tcW w:w="1025" w:type="dxa"/>
            <w:tcBorders>
              <w:top w:val="nil"/>
              <w:left w:val="nil"/>
              <w:bottom w:val="single" w:sz="4" w:space="0" w:color="BFBFBF"/>
              <w:right w:val="single" w:sz="4" w:space="0" w:color="BFBFBF"/>
            </w:tcBorders>
            <w:shd w:val="clear" w:color="auto" w:fill="auto"/>
            <w:vAlign w:val="center"/>
            <w:hideMark/>
          </w:tcPr>
          <w:p w14:paraId="52CE352B"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Never</w:t>
            </w:r>
          </w:p>
        </w:tc>
      </w:tr>
      <w:tr w:rsidR="001D46BB" w:rsidRPr="001D46BB" w14:paraId="3A58B915" w14:textId="77777777" w:rsidTr="001D46BB">
        <w:trPr>
          <w:trHeight w:val="420"/>
        </w:trPr>
        <w:tc>
          <w:tcPr>
            <w:tcW w:w="670" w:type="dxa"/>
            <w:tcBorders>
              <w:top w:val="nil"/>
              <w:left w:val="single" w:sz="4" w:space="0" w:color="BFBFBF"/>
              <w:bottom w:val="single" w:sz="4" w:space="0" w:color="BFBFBF"/>
              <w:right w:val="single" w:sz="4" w:space="0" w:color="BFBFBF"/>
            </w:tcBorders>
            <w:shd w:val="clear" w:color="auto" w:fill="auto"/>
            <w:vAlign w:val="center"/>
            <w:hideMark/>
          </w:tcPr>
          <w:p w14:paraId="1BFA8925" w14:textId="77777777" w:rsidR="001D46BB" w:rsidRPr="001D46BB" w:rsidRDefault="001D46BB" w:rsidP="001D46BB">
            <w:pPr>
              <w:jc w:val="right"/>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15</w:t>
            </w:r>
          </w:p>
        </w:tc>
        <w:tc>
          <w:tcPr>
            <w:tcW w:w="692" w:type="dxa"/>
            <w:tcBorders>
              <w:top w:val="nil"/>
              <w:left w:val="nil"/>
              <w:bottom w:val="single" w:sz="4" w:space="0" w:color="BFBFBF"/>
              <w:right w:val="single" w:sz="4" w:space="0" w:color="BFBFBF"/>
            </w:tcBorders>
            <w:shd w:val="clear" w:color="auto" w:fill="auto"/>
            <w:vAlign w:val="center"/>
            <w:hideMark/>
          </w:tcPr>
          <w:p w14:paraId="756BFF1E"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6-10 years</w:t>
            </w:r>
          </w:p>
        </w:tc>
        <w:tc>
          <w:tcPr>
            <w:tcW w:w="1253" w:type="dxa"/>
            <w:tcBorders>
              <w:top w:val="nil"/>
              <w:left w:val="nil"/>
              <w:bottom w:val="single" w:sz="4" w:space="0" w:color="BFBFBF"/>
              <w:right w:val="single" w:sz="4" w:space="0" w:color="BFBFBF"/>
            </w:tcBorders>
            <w:shd w:val="clear" w:color="auto" w:fill="auto"/>
            <w:vAlign w:val="center"/>
            <w:hideMark/>
          </w:tcPr>
          <w:p w14:paraId="4B272852"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Disagree</w:t>
            </w:r>
          </w:p>
        </w:tc>
        <w:tc>
          <w:tcPr>
            <w:tcW w:w="1391" w:type="dxa"/>
            <w:tcBorders>
              <w:top w:val="nil"/>
              <w:left w:val="nil"/>
              <w:bottom w:val="single" w:sz="4" w:space="0" w:color="BFBFBF"/>
              <w:right w:val="single" w:sz="4" w:space="0" w:color="BFBFBF"/>
            </w:tcBorders>
            <w:shd w:val="clear" w:color="auto" w:fill="auto"/>
            <w:vAlign w:val="center"/>
            <w:hideMark/>
          </w:tcPr>
          <w:p w14:paraId="3842A689"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Somewhat Knowledgeable</w:t>
            </w:r>
          </w:p>
        </w:tc>
        <w:tc>
          <w:tcPr>
            <w:tcW w:w="956" w:type="dxa"/>
            <w:tcBorders>
              <w:top w:val="nil"/>
              <w:left w:val="nil"/>
              <w:bottom w:val="single" w:sz="4" w:space="0" w:color="BFBFBF"/>
              <w:right w:val="single" w:sz="4" w:space="0" w:color="BFBFBF"/>
            </w:tcBorders>
            <w:shd w:val="clear" w:color="auto" w:fill="auto"/>
            <w:vAlign w:val="center"/>
            <w:hideMark/>
          </w:tcPr>
          <w:p w14:paraId="6FFB99F4"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Not Much</w:t>
            </w:r>
          </w:p>
        </w:tc>
        <w:tc>
          <w:tcPr>
            <w:tcW w:w="1025" w:type="dxa"/>
            <w:tcBorders>
              <w:top w:val="nil"/>
              <w:left w:val="nil"/>
              <w:bottom w:val="single" w:sz="4" w:space="0" w:color="BFBFBF"/>
              <w:right w:val="single" w:sz="4" w:space="0" w:color="BFBFBF"/>
            </w:tcBorders>
            <w:shd w:val="clear" w:color="auto" w:fill="auto"/>
            <w:vAlign w:val="center"/>
            <w:hideMark/>
          </w:tcPr>
          <w:p w14:paraId="224E0AB9"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Rarely</w:t>
            </w:r>
          </w:p>
        </w:tc>
        <w:tc>
          <w:tcPr>
            <w:tcW w:w="1175" w:type="dxa"/>
            <w:tcBorders>
              <w:top w:val="nil"/>
              <w:left w:val="nil"/>
              <w:bottom w:val="single" w:sz="4" w:space="0" w:color="BFBFBF"/>
              <w:right w:val="single" w:sz="4" w:space="0" w:color="BFBFBF"/>
            </w:tcBorders>
            <w:shd w:val="clear" w:color="auto" w:fill="auto"/>
            <w:vAlign w:val="center"/>
            <w:hideMark/>
          </w:tcPr>
          <w:p w14:paraId="26FE1009"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Slightly Decreases</w:t>
            </w:r>
          </w:p>
        </w:tc>
        <w:tc>
          <w:tcPr>
            <w:tcW w:w="1119" w:type="dxa"/>
            <w:tcBorders>
              <w:top w:val="nil"/>
              <w:left w:val="nil"/>
              <w:bottom w:val="single" w:sz="4" w:space="0" w:color="BFBFBF"/>
              <w:right w:val="single" w:sz="4" w:space="0" w:color="BFBFBF"/>
            </w:tcBorders>
            <w:shd w:val="clear" w:color="auto" w:fill="auto"/>
            <w:vAlign w:val="center"/>
            <w:hideMark/>
          </w:tcPr>
          <w:p w14:paraId="7BB9DEEA"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Yes, slightly increases the risk</w:t>
            </w:r>
          </w:p>
        </w:tc>
        <w:tc>
          <w:tcPr>
            <w:tcW w:w="1074" w:type="dxa"/>
            <w:tcBorders>
              <w:top w:val="nil"/>
              <w:left w:val="nil"/>
              <w:bottom w:val="single" w:sz="4" w:space="0" w:color="BFBFBF"/>
              <w:right w:val="single" w:sz="4" w:space="0" w:color="BFBFBF"/>
            </w:tcBorders>
            <w:shd w:val="clear" w:color="auto" w:fill="auto"/>
            <w:vAlign w:val="center"/>
            <w:hideMark/>
          </w:tcPr>
          <w:p w14:paraId="24A9B94F"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Yes, it would slightly change the culture</w:t>
            </w:r>
          </w:p>
        </w:tc>
        <w:tc>
          <w:tcPr>
            <w:tcW w:w="1025" w:type="dxa"/>
            <w:tcBorders>
              <w:top w:val="nil"/>
              <w:left w:val="nil"/>
              <w:bottom w:val="single" w:sz="4" w:space="0" w:color="BFBFBF"/>
              <w:right w:val="single" w:sz="4" w:space="0" w:color="BFBFBF"/>
            </w:tcBorders>
            <w:shd w:val="clear" w:color="auto" w:fill="auto"/>
            <w:vAlign w:val="center"/>
            <w:hideMark/>
          </w:tcPr>
          <w:p w14:paraId="1E36E0BF"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Occasionally</w:t>
            </w:r>
          </w:p>
        </w:tc>
      </w:tr>
      <w:tr w:rsidR="001D46BB" w:rsidRPr="001D46BB" w14:paraId="7FE561A0" w14:textId="77777777" w:rsidTr="001D46BB">
        <w:trPr>
          <w:trHeight w:val="420"/>
        </w:trPr>
        <w:tc>
          <w:tcPr>
            <w:tcW w:w="670" w:type="dxa"/>
            <w:tcBorders>
              <w:top w:val="nil"/>
              <w:left w:val="single" w:sz="4" w:space="0" w:color="BFBFBF"/>
              <w:bottom w:val="single" w:sz="4" w:space="0" w:color="BFBFBF"/>
              <w:right w:val="single" w:sz="4" w:space="0" w:color="BFBFBF"/>
            </w:tcBorders>
            <w:shd w:val="clear" w:color="auto" w:fill="auto"/>
            <w:vAlign w:val="center"/>
            <w:hideMark/>
          </w:tcPr>
          <w:p w14:paraId="78C12F38" w14:textId="77777777" w:rsidR="001D46BB" w:rsidRPr="001D46BB" w:rsidRDefault="001D46BB" w:rsidP="001D46BB">
            <w:pPr>
              <w:jc w:val="right"/>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16</w:t>
            </w:r>
          </w:p>
        </w:tc>
        <w:tc>
          <w:tcPr>
            <w:tcW w:w="692" w:type="dxa"/>
            <w:tcBorders>
              <w:top w:val="nil"/>
              <w:left w:val="nil"/>
              <w:bottom w:val="single" w:sz="4" w:space="0" w:color="BFBFBF"/>
              <w:right w:val="single" w:sz="4" w:space="0" w:color="BFBFBF"/>
            </w:tcBorders>
            <w:shd w:val="clear" w:color="auto" w:fill="auto"/>
            <w:vAlign w:val="center"/>
            <w:hideMark/>
          </w:tcPr>
          <w:p w14:paraId="263D7A52"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11-15 years</w:t>
            </w:r>
          </w:p>
        </w:tc>
        <w:tc>
          <w:tcPr>
            <w:tcW w:w="1253" w:type="dxa"/>
            <w:tcBorders>
              <w:top w:val="nil"/>
              <w:left w:val="nil"/>
              <w:bottom w:val="single" w:sz="4" w:space="0" w:color="BFBFBF"/>
              <w:right w:val="single" w:sz="4" w:space="0" w:color="BFBFBF"/>
            </w:tcBorders>
            <w:shd w:val="clear" w:color="auto" w:fill="auto"/>
            <w:vAlign w:val="center"/>
            <w:hideMark/>
          </w:tcPr>
          <w:p w14:paraId="1F8A62C0"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Disagree</w:t>
            </w:r>
          </w:p>
        </w:tc>
        <w:tc>
          <w:tcPr>
            <w:tcW w:w="1391" w:type="dxa"/>
            <w:tcBorders>
              <w:top w:val="nil"/>
              <w:left w:val="nil"/>
              <w:bottom w:val="single" w:sz="4" w:space="0" w:color="BFBFBF"/>
              <w:right w:val="single" w:sz="4" w:space="0" w:color="BFBFBF"/>
            </w:tcBorders>
            <w:shd w:val="clear" w:color="auto" w:fill="auto"/>
            <w:vAlign w:val="center"/>
            <w:hideMark/>
          </w:tcPr>
          <w:p w14:paraId="1AFB13C1"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Neutral</w:t>
            </w:r>
          </w:p>
        </w:tc>
        <w:tc>
          <w:tcPr>
            <w:tcW w:w="956" w:type="dxa"/>
            <w:tcBorders>
              <w:top w:val="nil"/>
              <w:left w:val="nil"/>
              <w:bottom w:val="single" w:sz="4" w:space="0" w:color="BFBFBF"/>
              <w:right w:val="single" w:sz="4" w:space="0" w:color="BFBFBF"/>
            </w:tcBorders>
            <w:shd w:val="clear" w:color="auto" w:fill="auto"/>
            <w:vAlign w:val="center"/>
            <w:hideMark/>
          </w:tcPr>
          <w:p w14:paraId="2D3188D7"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Very Much</w:t>
            </w:r>
          </w:p>
        </w:tc>
        <w:tc>
          <w:tcPr>
            <w:tcW w:w="1025" w:type="dxa"/>
            <w:tcBorders>
              <w:top w:val="nil"/>
              <w:left w:val="nil"/>
              <w:bottom w:val="single" w:sz="4" w:space="0" w:color="BFBFBF"/>
              <w:right w:val="single" w:sz="4" w:space="0" w:color="BFBFBF"/>
            </w:tcBorders>
            <w:shd w:val="clear" w:color="auto" w:fill="auto"/>
            <w:vAlign w:val="center"/>
            <w:hideMark/>
          </w:tcPr>
          <w:p w14:paraId="605B5CA5"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Rarely</w:t>
            </w:r>
          </w:p>
        </w:tc>
        <w:tc>
          <w:tcPr>
            <w:tcW w:w="1175" w:type="dxa"/>
            <w:tcBorders>
              <w:top w:val="nil"/>
              <w:left w:val="nil"/>
              <w:bottom w:val="single" w:sz="4" w:space="0" w:color="BFBFBF"/>
              <w:right w:val="single" w:sz="4" w:space="0" w:color="BFBFBF"/>
            </w:tcBorders>
            <w:shd w:val="clear" w:color="auto" w:fill="auto"/>
            <w:vAlign w:val="center"/>
            <w:hideMark/>
          </w:tcPr>
          <w:p w14:paraId="2BFE1D27"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Slightly Decreases</w:t>
            </w:r>
          </w:p>
        </w:tc>
        <w:tc>
          <w:tcPr>
            <w:tcW w:w="1119" w:type="dxa"/>
            <w:tcBorders>
              <w:top w:val="nil"/>
              <w:left w:val="nil"/>
              <w:bottom w:val="single" w:sz="4" w:space="0" w:color="BFBFBF"/>
              <w:right w:val="single" w:sz="4" w:space="0" w:color="BFBFBF"/>
            </w:tcBorders>
            <w:shd w:val="clear" w:color="auto" w:fill="auto"/>
            <w:vAlign w:val="center"/>
            <w:hideMark/>
          </w:tcPr>
          <w:p w14:paraId="4EB13AA2"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Yes, slightly increases the risk</w:t>
            </w:r>
          </w:p>
        </w:tc>
        <w:tc>
          <w:tcPr>
            <w:tcW w:w="1074" w:type="dxa"/>
            <w:tcBorders>
              <w:top w:val="nil"/>
              <w:left w:val="nil"/>
              <w:bottom w:val="single" w:sz="4" w:space="0" w:color="BFBFBF"/>
              <w:right w:val="single" w:sz="4" w:space="0" w:color="BFBFBF"/>
            </w:tcBorders>
            <w:shd w:val="clear" w:color="auto" w:fill="auto"/>
            <w:vAlign w:val="center"/>
            <w:hideMark/>
          </w:tcPr>
          <w:p w14:paraId="00232E0D"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No, it would not change the culture</w:t>
            </w:r>
          </w:p>
        </w:tc>
        <w:tc>
          <w:tcPr>
            <w:tcW w:w="1025" w:type="dxa"/>
            <w:tcBorders>
              <w:top w:val="nil"/>
              <w:left w:val="nil"/>
              <w:bottom w:val="single" w:sz="4" w:space="0" w:color="BFBFBF"/>
              <w:right w:val="single" w:sz="4" w:space="0" w:color="BFBFBF"/>
            </w:tcBorders>
            <w:shd w:val="clear" w:color="auto" w:fill="auto"/>
            <w:vAlign w:val="center"/>
            <w:hideMark/>
          </w:tcPr>
          <w:p w14:paraId="60AA49FD"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Rarely</w:t>
            </w:r>
          </w:p>
        </w:tc>
      </w:tr>
      <w:tr w:rsidR="001D46BB" w:rsidRPr="001D46BB" w14:paraId="4CD1D074" w14:textId="77777777" w:rsidTr="001D46BB">
        <w:trPr>
          <w:trHeight w:val="420"/>
        </w:trPr>
        <w:tc>
          <w:tcPr>
            <w:tcW w:w="670" w:type="dxa"/>
            <w:tcBorders>
              <w:top w:val="nil"/>
              <w:left w:val="single" w:sz="4" w:space="0" w:color="BFBFBF"/>
              <w:bottom w:val="single" w:sz="4" w:space="0" w:color="BFBFBF"/>
              <w:right w:val="single" w:sz="4" w:space="0" w:color="BFBFBF"/>
            </w:tcBorders>
            <w:shd w:val="clear" w:color="auto" w:fill="auto"/>
            <w:vAlign w:val="center"/>
            <w:hideMark/>
          </w:tcPr>
          <w:p w14:paraId="1DDF22E0" w14:textId="77777777" w:rsidR="001D46BB" w:rsidRPr="001D46BB" w:rsidRDefault="001D46BB" w:rsidP="001D46BB">
            <w:pPr>
              <w:jc w:val="right"/>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17</w:t>
            </w:r>
          </w:p>
        </w:tc>
        <w:tc>
          <w:tcPr>
            <w:tcW w:w="692" w:type="dxa"/>
            <w:tcBorders>
              <w:top w:val="nil"/>
              <w:left w:val="nil"/>
              <w:bottom w:val="single" w:sz="4" w:space="0" w:color="BFBFBF"/>
              <w:right w:val="single" w:sz="4" w:space="0" w:color="BFBFBF"/>
            </w:tcBorders>
            <w:shd w:val="clear" w:color="auto" w:fill="auto"/>
            <w:vAlign w:val="center"/>
            <w:hideMark/>
          </w:tcPr>
          <w:p w14:paraId="1449A6A5"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6-10 years</w:t>
            </w:r>
          </w:p>
        </w:tc>
        <w:tc>
          <w:tcPr>
            <w:tcW w:w="1253" w:type="dxa"/>
            <w:tcBorders>
              <w:top w:val="nil"/>
              <w:left w:val="nil"/>
              <w:bottom w:val="single" w:sz="4" w:space="0" w:color="BFBFBF"/>
              <w:right w:val="single" w:sz="4" w:space="0" w:color="BFBFBF"/>
            </w:tcBorders>
            <w:shd w:val="clear" w:color="auto" w:fill="auto"/>
            <w:vAlign w:val="center"/>
            <w:hideMark/>
          </w:tcPr>
          <w:p w14:paraId="688AD56A"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Strongly Disagree</w:t>
            </w:r>
          </w:p>
        </w:tc>
        <w:tc>
          <w:tcPr>
            <w:tcW w:w="1391" w:type="dxa"/>
            <w:tcBorders>
              <w:top w:val="nil"/>
              <w:left w:val="nil"/>
              <w:bottom w:val="single" w:sz="4" w:space="0" w:color="BFBFBF"/>
              <w:right w:val="single" w:sz="4" w:space="0" w:color="BFBFBF"/>
            </w:tcBorders>
            <w:shd w:val="clear" w:color="auto" w:fill="auto"/>
            <w:vAlign w:val="center"/>
            <w:hideMark/>
          </w:tcPr>
          <w:p w14:paraId="312A3CAB"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Very Unknowledgeable</w:t>
            </w:r>
          </w:p>
        </w:tc>
        <w:tc>
          <w:tcPr>
            <w:tcW w:w="956" w:type="dxa"/>
            <w:tcBorders>
              <w:top w:val="nil"/>
              <w:left w:val="nil"/>
              <w:bottom w:val="single" w:sz="4" w:space="0" w:color="BFBFBF"/>
              <w:right w:val="single" w:sz="4" w:space="0" w:color="BFBFBF"/>
            </w:tcBorders>
            <w:shd w:val="clear" w:color="auto" w:fill="auto"/>
            <w:vAlign w:val="center"/>
            <w:hideMark/>
          </w:tcPr>
          <w:p w14:paraId="3C663AF2"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Not Much</w:t>
            </w:r>
          </w:p>
        </w:tc>
        <w:tc>
          <w:tcPr>
            <w:tcW w:w="1025" w:type="dxa"/>
            <w:tcBorders>
              <w:top w:val="nil"/>
              <w:left w:val="nil"/>
              <w:bottom w:val="single" w:sz="4" w:space="0" w:color="BFBFBF"/>
              <w:right w:val="single" w:sz="4" w:space="0" w:color="BFBFBF"/>
            </w:tcBorders>
            <w:shd w:val="clear" w:color="auto" w:fill="auto"/>
            <w:vAlign w:val="center"/>
            <w:hideMark/>
          </w:tcPr>
          <w:p w14:paraId="38F0330D"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Never</w:t>
            </w:r>
          </w:p>
        </w:tc>
        <w:tc>
          <w:tcPr>
            <w:tcW w:w="1175" w:type="dxa"/>
            <w:tcBorders>
              <w:top w:val="nil"/>
              <w:left w:val="nil"/>
              <w:bottom w:val="single" w:sz="4" w:space="0" w:color="BFBFBF"/>
              <w:right w:val="single" w:sz="4" w:space="0" w:color="BFBFBF"/>
            </w:tcBorders>
            <w:shd w:val="clear" w:color="auto" w:fill="auto"/>
            <w:vAlign w:val="center"/>
            <w:hideMark/>
          </w:tcPr>
          <w:p w14:paraId="71E34B18"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Has No Effect</w:t>
            </w:r>
          </w:p>
        </w:tc>
        <w:tc>
          <w:tcPr>
            <w:tcW w:w="1119" w:type="dxa"/>
            <w:tcBorders>
              <w:top w:val="nil"/>
              <w:left w:val="nil"/>
              <w:bottom w:val="single" w:sz="4" w:space="0" w:color="BFBFBF"/>
              <w:right w:val="single" w:sz="4" w:space="0" w:color="BFBFBF"/>
            </w:tcBorders>
            <w:shd w:val="clear" w:color="auto" w:fill="auto"/>
            <w:vAlign w:val="center"/>
            <w:hideMark/>
          </w:tcPr>
          <w:p w14:paraId="37C4BB99"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No, it has no impact on the risk</w:t>
            </w:r>
          </w:p>
        </w:tc>
        <w:tc>
          <w:tcPr>
            <w:tcW w:w="1074" w:type="dxa"/>
            <w:tcBorders>
              <w:top w:val="nil"/>
              <w:left w:val="nil"/>
              <w:bottom w:val="single" w:sz="4" w:space="0" w:color="BFBFBF"/>
              <w:right w:val="single" w:sz="4" w:space="0" w:color="BFBFBF"/>
            </w:tcBorders>
            <w:shd w:val="clear" w:color="auto" w:fill="auto"/>
            <w:vAlign w:val="center"/>
            <w:hideMark/>
          </w:tcPr>
          <w:p w14:paraId="115DBB5F"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No, it would not change the culture</w:t>
            </w:r>
          </w:p>
        </w:tc>
        <w:tc>
          <w:tcPr>
            <w:tcW w:w="1025" w:type="dxa"/>
            <w:tcBorders>
              <w:top w:val="nil"/>
              <w:left w:val="nil"/>
              <w:bottom w:val="single" w:sz="4" w:space="0" w:color="BFBFBF"/>
              <w:right w:val="single" w:sz="4" w:space="0" w:color="BFBFBF"/>
            </w:tcBorders>
            <w:shd w:val="clear" w:color="auto" w:fill="auto"/>
            <w:vAlign w:val="center"/>
            <w:hideMark/>
          </w:tcPr>
          <w:p w14:paraId="53E9D65F"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Never</w:t>
            </w:r>
          </w:p>
        </w:tc>
      </w:tr>
      <w:tr w:rsidR="001D46BB" w:rsidRPr="001D46BB" w14:paraId="34DE0DF0" w14:textId="77777777" w:rsidTr="001D46BB">
        <w:trPr>
          <w:trHeight w:val="420"/>
        </w:trPr>
        <w:tc>
          <w:tcPr>
            <w:tcW w:w="670" w:type="dxa"/>
            <w:tcBorders>
              <w:top w:val="nil"/>
              <w:left w:val="single" w:sz="4" w:space="0" w:color="BFBFBF"/>
              <w:bottom w:val="single" w:sz="4" w:space="0" w:color="BFBFBF"/>
              <w:right w:val="single" w:sz="4" w:space="0" w:color="BFBFBF"/>
            </w:tcBorders>
            <w:shd w:val="clear" w:color="auto" w:fill="auto"/>
            <w:vAlign w:val="center"/>
            <w:hideMark/>
          </w:tcPr>
          <w:p w14:paraId="2836D918" w14:textId="77777777" w:rsidR="001D46BB" w:rsidRPr="001D46BB" w:rsidRDefault="001D46BB" w:rsidP="001D46BB">
            <w:pPr>
              <w:jc w:val="right"/>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18</w:t>
            </w:r>
          </w:p>
        </w:tc>
        <w:tc>
          <w:tcPr>
            <w:tcW w:w="692" w:type="dxa"/>
            <w:tcBorders>
              <w:top w:val="nil"/>
              <w:left w:val="nil"/>
              <w:bottom w:val="single" w:sz="4" w:space="0" w:color="BFBFBF"/>
              <w:right w:val="single" w:sz="4" w:space="0" w:color="BFBFBF"/>
            </w:tcBorders>
            <w:shd w:val="clear" w:color="auto" w:fill="auto"/>
            <w:vAlign w:val="center"/>
            <w:hideMark/>
          </w:tcPr>
          <w:p w14:paraId="5B333739"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11-15 years</w:t>
            </w:r>
          </w:p>
        </w:tc>
        <w:tc>
          <w:tcPr>
            <w:tcW w:w="1253" w:type="dxa"/>
            <w:tcBorders>
              <w:top w:val="nil"/>
              <w:left w:val="nil"/>
              <w:bottom w:val="single" w:sz="4" w:space="0" w:color="BFBFBF"/>
              <w:right w:val="single" w:sz="4" w:space="0" w:color="BFBFBF"/>
            </w:tcBorders>
            <w:shd w:val="clear" w:color="auto" w:fill="auto"/>
            <w:vAlign w:val="center"/>
            <w:hideMark/>
          </w:tcPr>
          <w:p w14:paraId="56DA66D0"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Disagree</w:t>
            </w:r>
          </w:p>
        </w:tc>
        <w:tc>
          <w:tcPr>
            <w:tcW w:w="1391" w:type="dxa"/>
            <w:tcBorders>
              <w:top w:val="nil"/>
              <w:left w:val="nil"/>
              <w:bottom w:val="single" w:sz="4" w:space="0" w:color="BFBFBF"/>
              <w:right w:val="single" w:sz="4" w:space="0" w:color="BFBFBF"/>
            </w:tcBorders>
            <w:shd w:val="clear" w:color="auto" w:fill="auto"/>
            <w:vAlign w:val="center"/>
            <w:hideMark/>
          </w:tcPr>
          <w:p w14:paraId="13A722FD"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Somewhat Knowledgeable</w:t>
            </w:r>
          </w:p>
        </w:tc>
        <w:tc>
          <w:tcPr>
            <w:tcW w:w="956" w:type="dxa"/>
            <w:tcBorders>
              <w:top w:val="nil"/>
              <w:left w:val="nil"/>
              <w:bottom w:val="single" w:sz="4" w:space="0" w:color="BFBFBF"/>
              <w:right w:val="single" w:sz="4" w:space="0" w:color="BFBFBF"/>
            </w:tcBorders>
            <w:shd w:val="clear" w:color="auto" w:fill="auto"/>
            <w:vAlign w:val="center"/>
            <w:hideMark/>
          </w:tcPr>
          <w:p w14:paraId="0DF60D32"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Somewhat</w:t>
            </w:r>
          </w:p>
        </w:tc>
        <w:tc>
          <w:tcPr>
            <w:tcW w:w="1025" w:type="dxa"/>
            <w:tcBorders>
              <w:top w:val="nil"/>
              <w:left w:val="nil"/>
              <w:bottom w:val="single" w:sz="4" w:space="0" w:color="BFBFBF"/>
              <w:right w:val="single" w:sz="4" w:space="0" w:color="BFBFBF"/>
            </w:tcBorders>
            <w:shd w:val="clear" w:color="auto" w:fill="auto"/>
            <w:vAlign w:val="center"/>
            <w:hideMark/>
          </w:tcPr>
          <w:p w14:paraId="3364DD01"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Rarely</w:t>
            </w:r>
          </w:p>
        </w:tc>
        <w:tc>
          <w:tcPr>
            <w:tcW w:w="1175" w:type="dxa"/>
            <w:tcBorders>
              <w:top w:val="nil"/>
              <w:left w:val="nil"/>
              <w:bottom w:val="single" w:sz="4" w:space="0" w:color="BFBFBF"/>
              <w:right w:val="single" w:sz="4" w:space="0" w:color="BFBFBF"/>
            </w:tcBorders>
            <w:shd w:val="clear" w:color="auto" w:fill="auto"/>
            <w:vAlign w:val="center"/>
            <w:hideMark/>
          </w:tcPr>
          <w:p w14:paraId="3F7F3ECA"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Slightly Decreases</w:t>
            </w:r>
          </w:p>
        </w:tc>
        <w:tc>
          <w:tcPr>
            <w:tcW w:w="1119" w:type="dxa"/>
            <w:tcBorders>
              <w:top w:val="nil"/>
              <w:left w:val="nil"/>
              <w:bottom w:val="single" w:sz="4" w:space="0" w:color="BFBFBF"/>
              <w:right w:val="single" w:sz="4" w:space="0" w:color="BFBFBF"/>
            </w:tcBorders>
            <w:shd w:val="clear" w:color="auto" w:fill="auto"/>
            <w:vAlign w:val="center"/>
            <w:hideMark/>
          </w:tcPr>
          <w:p w14:paraId="0F98938B"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Yes, significantly increases the risk</w:t>
            </w:r>
          </w:p>
        </w:tc>
        <w:tc>
          <w:tcPr>
            <w:tcW w:w="1074" w:type="dxa"/>
            <w:tcBorders>
              <w:top w:val="nil"/>
              <w:left w:val="nil"/>
              <w:bottom w:val="single" w:sz="4" w:space="0" w:color="BFBFBF"/>
              <w:right w:val="single" w:sz="4" w:space="0" w:color="BFBFBF"/>
            </w:tcBorders>
            <w:shd w:val="clear" w:color="auto" w:fill="auto"/>
            <w:vAlign w:val="center"/>
            <w:hideMark/>
          </w:tcPr>
          <w:p w14:paraId="6B60EBE6"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Yes, it would slightly change the culture</w:t>
            </w:r>
          </w:p>
        </w:tc>
        <w:tc>
          <w:tcPr>
            <w:tcW w:w="1025" w:type="dxa"/>
            <w:tcBorders>
              <w:top w:val="nil"/>
              <w:left w:val="nil"/>
              <w:bottom w:val="single" w:sz="4" w:space="0" w:color="BFBFBF"/>
              <w:right w:val="single" w:sz="4" w:space="0" w:color="BFBFBF"/>
            </w:tcBorders>
            <w:shd w:val="clear" w:color="auto" w:fill="auto"/>
            <w:vAlign w:val="center"/>
            <w:hideMark/>
          </w:tcPr>
          <w:p w14:paraId="0046BD6F"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Rarely</w:t>
            </w:r>
          </w:p>
        </w:tc>
      </w:tr>
      <w:tr w:rsidR="001D46BB" w:rsidRPr="001D46BB" w14:paraId="34AA3980" w14:textId="77777777" w:rsidTr="001D46BB">
        <w:trPr>
          <w:trHeight w:val="420"/>
        </w:trPr>
        <w:tc>
          <w:tcPr>
            <w:tcW w:w="670" w:type="dxa"/>
            <w:tcBorders>
              <w:top w:val="nil"/>
              <w:left w:val="single" w:sz="4" w:space="0" w:color="BFBFBF"/>
              <w:bottom w:val="single" w:sz="4" w:space="0" w:color="BFBFBF"/>
              <w:right w:val="single" w:sz="4" w:space="0" w:color="BFBFBF"/>
            </w:tcBorders>
            <w:shd w:val="clear" w:color="auto" w:fill="auto"/>
            <w:vAlign w:val="center"/>
            <w:hideMark/>
          </w:tcPr>
          <w:p w14:paraId="45C97606" w14:textId="77777777" w:rsidR="001D46BB" w:rsidRPr="001D46BB" w:rsidRDefault="001D46BB" w:rsidP="001D46BB">
            <w:pPr>
              <w:jc w:val="right"/>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19</w:t>
            </w:r>
          </w:p>
        </w:tc>
        <w:tc>
          <w:tcPr>
            <w:tcW w:w="692" w:type="dxa"/>
            <w:tcBorders>
              <w:top w:val="nil"/>
              <w:left w:val="nil"/>
              <w:bottom w:val="single" w:sz="4" w:space="0" w:color="BFBFBF"/>
              <w:right w:val="single" w:sz="4" w:space="0" w:color="BFBFBF"/>
            </w:tcBorders>
            <w:shd w:val="clear" w:color="auto" w:fill="auto"/>
            <w:vAlign w:val="center"/>
            <w:hideMark/>
          </w:tcPr>
          <w:p w14:paraId="5CC19121"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1-5 years</w:t>
            </w:r>
          </w:p>
        </w:tc>
        <w:tc>
          <w:tcPr>
            <w:tcW w:w="1253" w:type="dxa"/>
            <w:tcBorders>
              <w:top w:val="nil"/>
              <w:left w:val="nil"/>
              <w:bottom w:val="single" w:sz="4" w:space="0" w:color="BFBFBF"/>
              <w:right w:val="single" w:sz="4" w:space="0" w:color="BFBFBF"/>
            </w:tcBorders>
            <w:shd w:val="clear" w:color="auto" w:fill="auto"/>
            <w:vAlign w:val="center"/>
            <w:hideMark/>
          </w:tcPr>
          <w:p w14:paraId="08E98DBC"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Disagree</w:t>
            </w:r>
          </w:p>
        </w:tc>
        <w:tc>
          <w:tcPr>
            <w:tcW w:w="1391" w:type="dxa"/>
            <w:tcBorders>
              <w:top w:val="nil"/>
              <w:left w:val="nil"/>
              <w:bottom w:val="single" w:sz="4" w:space="0" w:color="BFBFBF"/>
              <w:right w:val="single" w:sz="4" w:space="0" w:color="BFBFBF"/>
            </w:tcBorders>
            <w:shd w:val="clear" w:color="auto" w:fill="auto"/>
            <w:vAlign w:val="center"/>
            <w:hideMark/>
          </w:tcPr>
          <w:p w14:paraId="02EF2A9C"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Somewhat Knowledgeable</w:t>
            </w:r>
          </w:p>
        </w:tc>
        <w:tc>
          <w:tcPr>
            <w:tcW w:w="956" w:type="dxa"/>
            <w:tcBorders>
              <w:top w:val="nil"/>
              <w:left w:val="nil"/>
              <w:bottom w:val="single" w:sz="4" w:space="0" w:color="BFBFBF"/>
              <w:right w:val="single" w:sz="4" w:space="0" w:color="BFBFBF"/>
            </w:tcBorders>
            <w:shd w:val="clear" w:color="auto" w:fill="auto"/>
            <w:vAlign w:val="center"/>
            <w:hideMark/>
          </w:tcPr>
          <w:p w14:paraId="2C4256D3"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Not Much</w:t>
            </w:r>
          </w:p>
        </w:tc>
        <w:tc>
          <w:tcPr>
            <w:tcW w:w="1025" w:type="dxa"/>
            <w:tcBorders>
              <w:top w:val="nil"/>
              <w:left w:val="nil"/>
              <w:bottom w:val="single" w:sz="4" w:space="0" w:color="BFBFBF"/>
              <w:right w:val="single" w:sz="4" w:space="0" w:color="BFBFBF"/>
            </w:tcBorders>
            <w:shd w:val="clear" w:color="auto" w:fill="auto"/>
            <w:vAlign w:val="center"/>
            <w:hideMark/>
          </w:tcPr>
          <w:p w14:paraId="0809A052"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Rarely</w:t>
            </w:r>
          </w:p>
        </w:tc>
        <w:tc>
          <w:tcPr>
            <w:tcW w:w="1175" w:type="dxa"/>
            <w:tcBorders>
              <w:top w:val="nil"/>
              <w:left w:val="nil"/>
              <w:bottom w:val="single" w:sz="4" w:space="0" w:color="BFBFBF"/>
              <w:right w:val="single" w:sz="4" w:space="0" w:color="BFBFBF"/>
            </w:tcBorders>
            <w:shd w:val="clear" w:color="auto" w:fill="auto"/>
            <w:vAlign w:val="center"/>
            <w:hideMark/>
          </w:tcPr>
          <w:p w14:paraId="74580EBA"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Slightly Decreases</w:t>
            </w:r>
          </w:p>
        </w:tc>
        <w:tc>
          <w:tcPr>
            <w:tcW w:w="1119" w:type="dxa"/>
            <w:tcBorders>
              <w:top w:val="nil"/>
              <w:left w:val="nil"/>
              <w:bottom w:val="single" w:sz="4" w:space="0" w:color="BFBFBF"/>
              <w:right w:val="single" w:sz="4" w:space="0" w:color="BFBFBF"/>
            </w:tcBorders>
            <w:shd w:val="clear" w:color="auto" w:fill="auto"/>
            <w:vAlign w:val="center"/>
            <w:hideMark/>
          </w:tcPr>
          <w:p w14:paraId="7139E476"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Yes, slightly increases the risk</w:t>
            </w:r>
          </w:p>
        </w:tc>
        <w:tc>
          <w:tcPr>
            <w:tcW w:w="1074" w:type="dxa"/>
            <w:tcBorders>
              <w:top w:val="nil"/>
              <w:left w:val="nil"/>
              <w:bottom w:val="single" w:sz="4" w:space="0" w:color="BFBFBF"/>
              <w:right w:val="single" w:sz="4" w:space="0" w:color="BFBFBF"/>
            </w:tcBorders>
            <w:shd w:val="clear" w:color="auto" w:fill="auto"/>
            <w:vAlign w:val="center"/>
            <w:hideMark/>
          </w:tcPr>
          <w:p w14:paraId="54FE7C7A"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No, it would not change the culture</w:t>
            </w:r>
          </w:p>
        </w:tc>
        <w:tc>
          <w:tcPr>
            <w:tcW w:w="1025" w:type="dxa"/>
            <w:tcBorders>
              <w:top w:val="nil"/>
              <w:left w:val="nil"/>
              <w:bottom w:val="single" w:sz="4" w:space="0" w:color="BFBFBF"/>
              <w:right w:val="single" w:sz="4" w:space="0" w:color="BFBFBF"/>
            </w:tcBorders>
            <w:shd w:val="clear" w:color="auto" w:fill="auto"/>
            <w:vAlign w:val="center"/>
            <w:hideMark/>
          </w:tcPr>
          <w:p w14:paraId="41FA26AB"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Rarely</w:t>
            </w:r>
          </w:p>
        </w:tc>
      </w:tr>
      <w:tr w:rsidR="001D46BB" w:rsidRPr="001D46BB" w14:paraId="07EFBE48" w14:textId="77777777" w:rsidTr="001D46BB">
        <w:trPr>
          <w:trHeight w:val="420"/>
        </w:trPr>
        <w:tc>
          <w:tcPr>
            <w:tcW w:w="670" w:type="dxa"/>
            <w:tcBorders>
              <w:top w:val="nil"/>
              <w:left w:val="single" w:sz="4" w:space="0" w:color="BFBFBF"/>
              <w:bottom w:val="single" w:sz="4" w:space="0" w:color="BFBFBF"/>
              <w:right w:val="single" w:sz="4" w:space="0" w:color="BFBFBF"/>
            </w:tcBorders>
            <w:shd w:val="clear" w:color="auto" w:fill="auto"/>
            <w:vAlign w:val="center"/>
            <w:hideMark/>
          </w:tcPr>
          <w:p w14:paraId="016CB301" w14:textId="77777777" w:rsidR="001D46BB" w:rsidRPr="001D46BB" w:rsidRDefault="001D46BB" w:rsidP="001D46BB">
            <w:pPr>
              <w:jc w:val="right"/>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20</w:t>
            </w:r>
          </w:p>
        </w:tc>
        <w:tc>
          <w:tcPr>
            <w:tcW w:w="692" w:type="dxa"/>
            <w:tcBorders>
              <w:top w:val="nil"/>
              <w:left w:val="nil"/>
              <w:bottom w:val="single" w:sz="4" w:space="0" w:color="BFBFBF"/>
              <w:right w:val="single" w:sz="4" w:space="0" w:color="BFBFBF"/>
            </w:tcBorders>
            <w:shd w:val="clear" w:color="auto" w:fill="auto"/>
            <w:vAlign w:val="center"/>
            <w:hideMark/>
          </w:tcPr>
          <w:p w14:paraId="421BD620"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6-10 years</w:t>
            </w:r>
          </w:p>
        </w:tc>
        <w:tc>
          <w:tcPr>
            <w:tcW w:w="1253" w:type="dxa"/>
            <w:tcBorders>
              <w:top w:val="nil"/>
              <w:left w:val="nil"/>
              <w:bottom w:val="single" w:sz="4" w:space="0" w:color="BFBFBF"/>
              <w:right w:val="single" w:sz="4" w:space="0" w:color="BFBFBF"/>
            </w:tcBorders>
            <w:shd w:val="clear" w:color="auto" w:fill="auto"/>
            <w:vAlign w:val="center"/>
            <w:hideMark/>
          </w:tcPr>
          <w:p w14:paraId="40F25C46"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Disagree</w:t>
            </w:r>
          </w:p>
        </w:tc>
        <w:tc>
          <w:tcPr>
            <w:tcW w:w="1391" w:type="dxa"/>
            <w:tcBorders>
              <w:top w:val="nil"/>
              <w:left w:val="nil"/>
              <w:bottom w:val="single" w:sz="4" w:space="0" w:color="BFBFBF"/>
              <w:right w:val="single" w:sz="4" w:space="0" w:color="BFBFBF"/>
            </w:tcBorders>
            <w:shd w:val="clear" w:color="auto" w:fill="auto"/>
            <w:vAlign w:val="center"/>
            <w:hideMark/>
          </w:tcPr>
          <w:p w14:paraId="2CCAB5C8"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Very Knowledgeable</w:t>
            </w:r>
          </w:p>
        </w:tc>
        <w:tc>
          <w:tcPr>
            <w:tcW w:w="956" w:type="dxa"/>
            <w:tcBorders>
              <w:top w:val="nil"/>
              <w:left w:val="nil"/>
              <w:bottom w:val="single" w:sz="4" w:space="0" w:color="BFBFBF"/>
              <w:right w:val="single" w:sz="4" w:space="0" w:color="BFBFBF"/>
            </w:tcBorders>
            <w:shd w:val="clear" w:color="auto" w:fill="auto"/>
            <w:vAlign w:val="center"/>
            <w:hideMark/>
          </w:tcPr>
          <w:p w14:paraId="77AC9704"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Somewhat</w:t>
            </w:r>
          </w:p>
        </w:tc>
        <w:tc>
          <w:tcPr>
            <w:tcW w:w="1025" w:type="dxa"/>
            <w:tcBorders>
              <w:top w:val="nil"/>
              <w:left w:val="nil"/>
              <w:bottom w:val="single" w:sz="4" w:space="0" w:color="BFBFBF"/>
              <w:right w:val="single" w:sz="4" w:space="0" w:color="BFBFBF"/>
            </w:tcBorders>
            <w:shd w:val="clear" w:color="auto" w:fill="auto"/>
            <w:vAlign w:val="center"/>
            <w:hideMark/>
          </w:tcPr>
          <w:p w14:paraId="332A5ABB"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Occasionally</w:t>
            </w:r>
          </w:p>
        </w:tc>
        <w:tc>
          <w:tcPr>
            <w:tcW w:w="1175" w:type="dxa"/>
            <w:tcBorders>
              <w:top w:val="nil"/>
              <w:left w:val="nil"/>
              <w:bottom w:val="single" w:sz="4" w:space="0" w:color="BFBFBF"/>
              <w:right w:val="single" w:sz="4" w:space="0" w:color="BFBFBF"/>
            </w:tcBorders>
            <w:shd w:val="clear" w:color="auto" w:fill="auto"/>
            <w:vAlign w:val="center"/>
            <w:hideMark/>
          </w:tcPr>
          <w:p w14:paraId="7AE78F86"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Slightly Decreases</w:t>
            </w:r>
          </w:p>
        </w:tc>
        <w:tc>
          <w:tcPr>
            <w:tcW w:w="1119" w:type="dxa"/>
            <w:tcBorders>
              <w:top w:val="nil"/>
              <w:left w:val="nil"/>
              <w:bottom w:val="single" w:sz="4" w:space="0" w:color="BFBFBF"/>
              <w:right w:val="single" w:sz="4" w:space="0" w:color="BFBFBF"/>
            </w:tcBorders>
            <w:shd w:val="clear" w:color="auto" w:fill="auto"/>
            <w:vAlign w:val="center"/>
            <w:hideMark/>
          </w:tcPr>
          <w:p w14:paraId="2079EE7C"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Yes, significantly increases the risk</w:t>
            </w:r>
          </w:p>
        </w:tc>
        <w:tc>
          <w:tcPr>
            <w:tcW w:w="1074" w:type="dxa"/>
            <w:tcBorders>
              <w:top w:val="nil"/>
              <w:left w:val="nil"/>
              <w:bottom w:val="single" w:sz="4" w:space="0" w:color="BFBFBF"/>
              <w:right w:val="single" w:sz="4" w:space="0" w:color="BFBFBF"/>
            </w:tcBorders>
            <w:shd w:val="clear" w:color="auto" w:fill="auto"/>
            <w:vAlign w:val="center"/>
            <w:hideMark/>
          </w:tcPr>
          <w:p w14:paraId="00BEC69E"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No, it would not change the culture</w:t>
            </w:r>
          </w:p>
        </w:tc>
        <w:tc>
          <w:tcPr>
            <w:tcW w:w="1025" w:type="dxa"/>
            <w:tcBorders>
              <w:top w:val="nil"/>
              <w:left w:val="nil"/>
              <w:bottom w:val="single" w:sz="4" w:space="0" w:color="BFBFBF"/>
              <w:right w:val="single" w:sz="4" w:space="0" w:color="BFBFBF"/>
            </w:tcBorders>
            <w:shd w:val="clear" w:color="auto" w:fill="auto"/>
            <w:vAlign w:val="center"/>
            <w:hideMark/>
          </w:tcPr>
          <w:p w14:paraId="31D65E63" w14:textId="77777777" w:rsidR="001D46BB" w:rsidRPr="001D46BB" w:rsidRDefault="001D46BB" w:rsidP="001D46BB">
            <w:pPr>
              <w:rPr>
                <w:rFonts w:ascii="Calibri" w:eastAsia="Times New Roman" w:hAnsi="Calibri" w:cs="Calibri"/>
                <w:color w:val="000000"/>
                <w:kern w:val="0"/>
                <w:sz w:val="16"/>
                <w:szCs w:val="16"/>
                <w:lang w:eastAsia="en-GB"/>
                <w14:ligatures w14:val="none"/>
              </w:rPr>
            </w:pPr>
            <w:r w:rsidRPr="001D46BB">
              <w:rPr>
                <w:rFonts w:ascii="Calibri" w:eastAsia="Times New Roman" w:hAnsi="Calibri" w:cs="Calibri"/>
                <w:color w:val="000000"/>
                <w:kern w:val="0"/>
                <w:sz w:val="16"/>
                <w:szCs w:val="16"/>
                <w:lang w:eastAsia="en-GB"/>
                <w14:ligatures w14:val="none"/>
              </w:rPr>
              <w:t>Occasionally</w:t>
            </w:r>
          </w:p>
        </w:tc>
      </w:tr>
    </w:tbl>
    <w:p w14:paraId="1A2FAE4B" w14:textId="77777777" w:rsidR="0029685C" w:rsidRPr="0029685C" w:rsidRDefault="0029685C" w:rsidP="0029685C">
      <w:pPr>
        <w:rPr>
          <w:i/>
          <w:iCs/>
          <w:u w:val="single"/>
        </w:rPr>
      </w:pPr>
    </w:p>
    <w:p w14:paraId="323E345C" w14:textId="77777777" w:rsidR="0029685C" w:rsidRPr="0029685C" w:rsidRDefault="0029685C" w:rsidP="0029685C">
      <w:pPr>
        <w:rPr>
          <w:b/>
          <w:bCs/>
          <w:u w:val="single"/>
        </w:rPr>
      </w:pPr>
      <w:r w:rsidRPr="0029685C">
        <w:rPr>
          <w:b/>
          <w:bCs/>
          <w:u w:val="single"/>
        </w:rPr>
        <w:t>Quantitative Data Analysis</w:t>
      </w:r>
    </w:p>
    <w:p w14:paraId="11AE1E11" w14:textId="77777777" w:rsidR="0029685C" w:rsidRDefault="0029685C" w:rsidP="0029685C"/>
    <w:p w14:paraId="176B8158" w14:textId="77777777" w:rsidR="0029685C" w:rsidRDefault="0029685C" w:rsidP="0029685C">
      <w:r>
        <w:t>The quantitative section of the survey focused on capturing measurable insights into police officers' opinions on routine arming, the influence of public perception, and the perceived impact of firearms on police accountability and culture.</w:t>
      </w:r>
    </w:p>
    <w:p w14:paraId="124DD13B" w14:textId="77777777" w:rsidR="0029685C" w:rsidRDefault="0029685C" w:rsidP="0029685C"/>
    <w:p w14:paraId="4E608A1E" w14:textId="77777777" w:rsidR="0029685C" w:rsidRDefault="0029685C" w:rsidP="0029685C">
      <w:r>
        <w:t>1. Police officers' agreement with routine arming:</w:t>
      </w:r>
    </w:p>
    <w:p w14:paraId="689F77E3" w14:textId="56807918" w:rsidR="0029685C" w:rsidRDefault="0029685C" w:rsidP="0029685C"/>
    <w:p w14:paraId="01A16197" w14:textId="1A6920CB" w:rsidR="0029685C" w:rsidRDefault="0029685C" w:rsidP="0029685C">
      <w:r>
        <w:t>The survey results show a significant majority of respondents disagreeing with the statement that police officers should be routinely armed in the UK. Of the 20 responses, 15 (75%) selected either "Disagree" or "Strongly Disagree." In contrast, only 3 officers (15%) agreed with routine arming, selecting either "Agree" or "Strongly Agree."</w:t>
      </w:r>
      <w:r w:rsidR="00F25712">
        <w:t xml:space="preserve"> </w:t>
      </w:r>
      <w:r>
        <w:t>This demonstrates that the majority of South Wales Police officers do not support the idea of routinely arming officers, with concerns centred around the risks it poses to police culture and public interactions.</w:t>
      </w:r>
    </w:p>
    <w:p w14:paraId="272995FB" w14:textId="77777777" w:rsidR="0029685C" w:rsidRDefault="0029685C" w:rsidP="0029685C"/>
    <w:p w14:paraId="195E6110" w14:textId="77777777" w:rsidR="00F25712" w:rsidRDefault="00F25712" w:rsidP="0029685C"/>
    <w:p w14:paraId="2DF104F5" w14:textId="4E1BBE3F" w:rsidR="001D46BB" w:rsidRDefault="0029685C" w:rsidP="0029685C">
      <w:r>
        <w:lastRenderedPageBreak/>
        <w:t>2. Knowledge of the history of armed policing:</w:t>
      </w:r>
    </w:p>
    <w:p w14:paraId="123C1A56" w14:textId="77777777" w:rsidR="0029685C" w:rsidRDefault="0029685C" w:rsidP="0029685C"/>
    <w:p w14:paraId="79AF5AF8" w14:textId="44B18B85" w:rsidR="0029685C" w:rsidRDefault="0029685C" w:rsidP="0029685C">
      <w:r>
        <w:t>A majority of respondents (12 out of 20, or 60%) rated themselves as either "Somewhat Knowledgeable" or "Very Knowledgeable" about the history of armed policing in the UK. This indicates that most officers have a reasonable understanding of how firearms have been integrated into policing practices, which may shape their opinions on the issue.</w:t>
      </w:r>
    </w:p>
    <w:p w14:paraId="140948CE" w14:textId="77777777" w:rsidR="0029685C" w:rsidRDefault="0029685C" w:rsidP="0029685C"/>
    <w:p w14:paraId="097A54AF" w14:textId="65826599" w:rsidR="001D46BB" w:rsidRDefault="0029685C" w:rsidP="0029685C">
      <w:r>
        <w:t>3. Influence of public opinion on policy decisions:</w:t>
      </w:r>
    </w:p>
    <w:p w14:paraId="2D4E2770" w14:textId="77777777" w:rsidR="001D46BB" w:rsidRDefault="001D46BB" w:rsidP="0029685C"/>
    <w:p w14:paraId="7D116ADF" w14:textId="77777777" w:rsidR="0029685C" w:rsidRDefault="0029685C" w:rsidP="0029685C">
      <w:r>
        <w:t>A significant portion of officers (18 out of 20, or 90%) believed that public opinion plays a role in influencing police policy on armed policing. Specifically, 12 officers (60%) answered "Very Much" or "Somewhat," highlighting the importance of public perception in shaping policies on firearms in policing.</w:t>
      </w:r>
    </w:p>
    <w:p w14:paraId="7373740C" w14:textId="77777777" w:rsidR="001D46BB" w:rsidRDefault="001D46BB" w:rsidP="0029685C"/>
    <w:p w14:paraId="3094FB35" w14:textId="75CAAD06" w:rsidR="001D46BB" w:rsidRDefault="0029685C" w:rsidP="0029685C">
      <w:r>
        <w:t>4. Frequency of encounters requiring firearms:</w:t>
      </w:r>
    </w:p>
    <w:p w14:paraId="563025C1" w14:textId="77777777" w:rsidR="0029685C" w:rsidRDefault="0029685C" w:rsidP="0029685C"/>
    <w:p w14:paraId="10254FFC" w14:textId="77777777" w:rsidR="0029685C" w:rsidRDefault="0029685C" w:rsidP="0029685C">
      <w:r>
        <w:t>Most officers (15 out of 20, or 75%) stated that they rarely or never encounter situations where having a firearm would be essential to their role. This suggests that many officers feel that routine arming is unnecessary for their daily tasks, supporting the majority opinion against arming.</w:t>
      </w:r>
    </w:p>
    <w:p w14:paraId="027A2096" w14:textId="77777777" w:rsidR="0029685C" w:rsidRDefault="0029685C" w:rsidP="0029685C"/>
    <w:p w14:paraId="11627D91" w14:textId="2CFC48D2" w:rsidR="001D46BB" w:rsidRDefault="0029685C" w:rsidP="0029685C">
      <w:r>
        <w:t>5. Impact of routine arming on police accountability:</w:t>
      </w:r>
    </w:p>
    <w:p w14:paraId="32D92117" w14:textId="77777777" w:rsidR="001D46BB" w:rsidRDefault="001D46BB" w:rsidP="0029685C"/>
    <w:p w14:paraId="1EC75B2D" w14:textId="5592192F" w:rsidR="0029685C" w:rsidRDefault="0029685C" w:rsidP="0029685C">
      <w:r>
        <w:t xml:space="preserve">The majority (14 out of 20, or 70%) of respondents indicated that they believe routine arming would either "Slightly" or "Strongly Decrease" police accountability. </w:t>
      </w:r>
      <w:proofErr w:type="gramStart"/>
      <w:r w:rsidR="00F25712">
        <w:t>This highlights</w:t>
      </w:r>
      <w:proofErr w:type="gramEnd"/>
      <w:r w:rsidR="00F25712">
        <w:t xml:space="preserve"> </w:t>
      </w:r>
      <w:r>
        <w:t>concerns that the presence of firearms could lead to excessive use of force or a shift in police behaviour, reducing transparency and public trust.</w:t>
      </w:r>
    </w:p>
    <w:p w14:paraId="61017F66" w14:textId="77777777" w:rsidR="0029685C" w:rsidRDefault="0029685C" w:rsidP="0029685C"/>
    <w:p w14:paraId="118152C9" w14:textId="77777777" w:rsidR="0029685C" w:rsidRDefault="0029685C" w:rsidP="0029685C">
      <w:r>
        <w:t>6. Risk of escalation due to firearms:</w:t>
      </w:r>
    </w:p>
    <w:p w14:paraId="5F19B412" w14:textId="77777777" w:rsidR="001D46BB" w:rsidRDefault="001D46BB" w:rsidP="0029685C"/>
    <w:p w14:paraId="3B18A3DF" w14:textId="77777777" w:rsidR="0029685C" w:rsidRDefault="0029685C" w:rsidP="0029685C">
      <w:r>
        <w:t>Most officers (16 out of 20, or 80%) agreed that firearms significantly or slightly increase the risk of escalation in public encounters. This aligns with the concerns that routine arming could exacerbate tense situations and make confrontations more dangerous for both officers and the public.</w:t>
      </w:r>
    </w:p>
    <w:p w14:paraId="3B5363F3" w14:textId="77777777" w:rsidR="0029685C" w:rsidRDefault="0029685C" w:rsidP="0029685C"/>
    <w:p w14:paraId="7941806F" w14:textId="77777777" w:rsidR="0029685C" w:rsidRDefault="0029685C" w:rsidP="0029685C"/>
    <w:p w14:paraId="092E3520" w14:textId="3904691E" w:rsidR="0029685C" w:rsidRPr="0029685C" w:rsidRDefault="0029685C" w:rsidP="0029685C">
      <w:pPr>
        <w:rPr>
          <w:b/>
          <w:bCs/>
        </w:rPr>
      </w:pPr>
      <w:r w:rsidRPr="0029685C">
        <w:rPr>
          <w:b/>
          <w:bCs/>
        </w:rPr>
        <w:t>Qualitative Data Analysis</w:t>
      </w:r>
    </w:p>
    <w:p w14:paraId="66FEB37B" w14:textId="77777777" w:rsidR="0029685C" w:rsidRDefault="0029685C" w:rsidP="0029685C"/>
    <w:p w14:paraId="4CB8C9EA" w14:textId="47A6BB76" w:rsidR="0029685C" w:rsidRDefault="0029685C" w:rsidP="0029685C">
      <w:r>
        <w:t>The qualitative responses provided deeper insights into the officers' personal experiences and opinions regarding armed policing. While many responses mirrored the quantitative findings, offering support for the idea that routine arming is unnecessary</w:t>
      </w:r>
      <w:r w:rsidR="00AD7DA1">
        <w:t xml:space="preserve">, could </w:t>
      </w:r>
      <w:r>
        <w:t xml:space="preserve">potentially </w:t>
      </w:r>
      <w:r w:rsidR="00AD7DA1">
        <w:t>impact police and public relations and open up to an increase in violent incidents. S</w:t>
      </w:r>
      <w:r>
        <w:t>everal officers did express a differing viewpoint, particularly those who supported the idea of routine arming.</w:t>
      </w:r>
    </w:p>
    <w:p w14:paraId="3BAAE5FE" w14:textId="77777777" w:rsidR="008F6E90" w:rsidRDefault="008F6E90" w:rsidP="0029685C"/>
    <w:p w14:paraId="3C24C2F7" w14:textId="6B4B1D2B" w:rsidR="0029685C" w:rsidRDefault="0029685C" w:rsidP="0029685C">
      <w:r>
        <w:t>1. Comfort with carrying a firearm:</w:t>
      </w:r>
    </w:p>
    <w:p w14:paraId="695856AB" w14:textId="77777777" w:rsidR="0029685C" w:rsidRDefault="0029685C" w:rsidP="0029685C"/>
    <w:p w14:paraId="7D01CF42" w14:textId="12140A6D" w:rsidR="0029685C" w:rsidRDefault="0029685C" w:rsidP="0029685C">
      <w:r>
        <w:t xml:space="preserve">A significant portion of officers expressed discomfort with the idea of carrying a firearm on duty. Common concerns were related to the potential for misuse, lack of training, and the psychological burden of carrying a weapon. One officer stated, "I </w:t>
      </w:r>
      <w:r w:rsidR="007A270D">
        <w:t xml:space="preserve">would not </w:t>
      </w:r>
      <w:r>
        <w:t>feel comfortable carrying a firear</w:t>
      </w:r>
      <w:r w:rsidR="007A270D">
        <w:t xml:space="preserve">m </w:t>
      </w:r>
      <w:r>
        <w:t>there's a risk that it could escalate situations unnecessarily."</w:t>
      </w:r>
    </w:p>
    <w:p w14:paraId="497921D2" w14:textId="77777777" w:rsidR="0029685C" w:rsidRDefault="0029685C" w:rsidP="0029685C"/>
    <w:p w14:paraId="47133F18" w14:textId="6E7B232D" w:rsidR="0029685C" w:rsidRDefault="0029685C" w:rsidP="0029685C">
      <w:r>
        <w:lastRenderedPageBreak/>
        <w:t>However, officers in Favour of routine arming offered differing views. Officer 3 responded, "I believe that carrying a firearm would make me feel safer and more prepared to respond to dangerous situations."</w:t>
      </w:r>
    </w:p>
    <w:p w14:paraId="48685256" w14:textId="77777777" w:rsidR="0029685C" w:rsidRDefault="0029685C" w:rsidP="0029685C"/>
    <w:p w14:paraId="652B862E" w14:textId="77777777" w:rsidR="0029685C" w:rsidRDefault="0029685C" w:rsidP="0029685C">
      <w:r>
        <w:t>2. Impact on interactions with the public:</w:t>
      </w:r>
    </w:p>
    <w:p w14:paraId="51C783DA" w14:textId="77777777" w:rsidR="0029685C" w:rsidRDefault="0029685C" w:rsidP="0029685C"/>
    <w:p w14:paraId="6E1A26AC" w14:textId="14E81C05" w:rsidR="0029685C" w:rsidRDefault="0029685C" w:rsidP="0029685C">
      <w:r>
        <w:t>Many officers believed that carrying a firearm would alter their approach to interacting with the public. As one officer commented, "Carrying a firearm would likely make me more cautious in my interactions</w:t>
      </w:r>
      <w:r w:rsidR="007A270D">
        <w:t xml:space="preserve">, </w:t>
      </w:r>
      <w:r>
        <w:t xml:space="preserve">there's a psychological </w:t>
      </w:r>
      <w:r w:rsidR="007A270D">
        <w:t>distance</w:t>
      </w:r>
      <w:r>
        <w:t xml:space="preserve"> that comes with being armed, and it could affect how I relate to people." Another officer, supporting routine arming, responded, "I think carrying a firearm would instil confidence in my role, especially when dealing with aggressive individuals</w:t>
      </w:r>
      <w:r w:rsidR="007A270D">
        <w:t xml:space="preserve"> which is becoming more frequent</w:t>
      </w:r>
      <w:r>
        <w:t>."</w:t>
      </w:r>
    </w:p>
    <w:p w14:paraId="7C4A8493" w14:textId="77777777" w:rsidR="0029685C" w:rsidRDefault="0029685C" w:rsidP="0029685C"/>
    <w:p w14:paraId="51CCF16A" w14:textId="77777777" w:rsidR="0029685C" w:rsidRDefault="0029685C" w:rsidP="0029685C">
      <w:r>
        <w:t>3. Routine arming improving effectiveness:</w:t>
      </w:r>
    </w:p>
    <w:p w14:paraId="3E564CA5" w14:textId="77777777" w:rsidR="0029685C" w:rsidRDefault="0029685C" w:rsidP="0029685C"/>
    <w:p w14:paraId="28A2FB43" w14:textId="3CD3A139" w:rsidR="0029685C" w:rsidRDefault="0029685C" w:rsidP="0029685C">
      <w:r>
        <w:t>Officers who disagreed with routine arming often cited concerns about its potential to escalate situations. "Armed policing may make officers feel more inclined to use their weapon, even when it's not necessary," one officer explained.</w:t>
      </w:r>
      <w:r w:rsidR="00F25712">
        <w:t xml:space="preserve"> </w:t>
      </w:r>
      <w:r>
        <w:t>In contrast, those in favour of routine arming argued that it could enhance police effectiveness in certain situations. Officer 3 remarked, "There are times when having a firearm would be crucial in dealing with high-risk situations</w:t>
      </w:r>
      <w:r w:rsidR="007A270D">
        <w:t>. Firearms officers are few and far between, sometimes at least 30 minutes away from you”</w:t>
      </w:r>
    </w:p>
    <w:p w14:paraId="0F8E0399" w14:textId="77777777" w:rsidR="0029685C" w:rsidRDefault="0029685C" w:rsidP="0029685C"/>
    <w:p w14:paraId="562CB848" w14:textId="77777777" w:rsidR="0029685C" w:rsidRDefault="0029685C" w:rsidP="0029685C">
      <w:r>
        <w:t>4. Escalation of encounters:</w:t>
      </w:r>
    </w:p>
    <w:p w14:paraId="0CA688BD" w14:textId="77777777" w:rsidR="0029685C" w:rsidRDefault="0029685C" w:rsidP="0029685C"/>
    <w:p w14:paraId="6BD86152" w14:textId="4E7BD228" w:rsidR="0029685C" w:rsidRDefault="0029685C" w:rsidP="0029685C">
      <w:r>
        <w:t>A common theme in the qualitative responses was the concern that routine arming increases the likelihood of escalated violence. As one officer put it, "When people see an officer with a weapon, they might respond more aggressively or defensively, which increases the risk of violence</w:t>
      </w:r>
      <w:r w:rsidR="007A270D">
        <w:t>, or increases the likelihood of people not wanting to approach police with concerns in the first place</w:t>
      </w:r>
      <w:r>
        <w:t>" Officers in favour of arming were less concerned, with one stating, "If officers are well-trained, firearms are an essential tool for ensuring public safety in dangerous situations.</w:t>
      </w:r>
      <w:r w:rsidR="007A270D">
        <w:t xml:space="preserve"> I will attend calls involving knives at least once a set of shifts.</w:t>
      </w:r>
      <w:r>
        <w:t>"</w:t>
      </w:r>
    </w:p>
    <w:p w14:paraId="671A7C80" w14:textId="77777777" w:rsidR="0029685C" w:rsidRDefault="0029685C" w:rsidP="0029685C"/>
    <w:p w14:paraId="7E27221F" w14:textId="77777777" w:rsidR="0029685C" w:rsidRDefault="0029685C" w:rsidP="0029685C">
      <w:r>
        <w:t>5. Accountability of armed police officers:</w:t>
      </w:r>
    </w:p>
    <w:p w14:paraId="3E55077B" w14:textId="77777777" w:rsidR="0029685C" w:rsidRDefault="0029685C" w:rsidP="0029685C"/>
    <w:p w14:paraId="5F0CDC36" w14:textId="74A8ABD0" w:rsidR="0029685C" w:rsidRDefault="0029685C" w:rsidP="0029685C">
      <w:r>
        <w:t xml:space="preserve">Many officers believed that armed policing would require strict accountability measures to prevent misuse. "I think we would need more robust oversight to ensure that armed officers are held accountable for their actions," said one officer. However, Officer 11, in favour of routine arming, commented, "I believe that if the use of firearms is regulated properly, it can be a valuable tool for ensuring </w:t>
      </w:r>
      <w:r w:rsidR="007A270D">
        <w:t xml:space="preserve">public and officer </w:t>
      </w:r>
      <w:r>
        <w:t>safety."</w:t>
      </w:r>
    </w:p>
    <w:p w14:paraId="0B68FE5A" w14:textId="77777777" w:rsidR="0029685C" w:rsidRDefault="0029685C" w:rsidP="0029685C"/>
    <w:p w14:paraId="55F28A67" w14:textId="77777777" w:rsidR="0029685C" w:rsidRDefault="0029685C" w:rsidP="0029685C">
      <w:pPr>
        <w:rPr>
          <w:b/>
          <w:bCs/>
          <w:u w:val="single"/>
        </w:rPr>
      </w:pPr>
      <w:r w:rsidRPr="0029685C">
        <w:rPr>
          <w:b/>
          <w:bCs/>
          <w:u w:val="single"/>
        </w:rPr>
        <w:t>Comparison Between Quantitative and Qualitative Data</w:t>
      </w:r>
    </w:p>
    <w:p w14:paraId="57C4193D" w14:textId="77777777" w:rsidR="0029685C" w:rsidRPr="0029685C" w:rsidRDefault="0029685C" w:rsidP="0029685C">
      <w:pPr>
        <w:rPr>
          <w:b/>
          <w:bCs/>
          <w:u w:val="single"/>
        </w:rPr>
      </w:pPr>
    </w:p>
    <w:p w14:paraId="54B464BD" w14:textId="3C4534E1" w:rsidR="0029685C" w:rsidRDefault="0029685C" w:rsidP="0029685C">
      <w:r>
        <w:t xml:space="preserve">The integration of both quantitative and qualitative data allows for a comprehensive understanding of the debate surrounding the routine arming of police officers in the UK. While the quantitative data shows a clear majority of officers opposing routine arming, the qualitative responses provide </w:t>
      </w:r>
      <w:r w:rsidR="007A270D">
        <w:t xml:space="preserve">deeper </w:t>
      </w:r>
      <w:r>
        <w:t>insights into the reasons behind this opposition, such as concerns about the risk of escalation, police accountability, and the impact on public interactions.</w:t>
      </w:r>
    </w:p>
    <w:p w14:paraId="27897FE7" w14:textId="77777777" w:rsidR="0029685C" w:rsidRDefault="0029685C" w:rsidP="0029685C"/>
    <w:p w14:paraId="60FC8134" w14:textId="39F0924E" w:rsidR="0029685C" w:rsidRDefault="0029685C" w:rsidP="0029685C">
      <w:r>
        <w:t xml:space="preserve">For example, in response to the quantitative question on whether firearms increase the risk of escalation in encounters with the public, the majority (80%) of officers agreed that firearms would escalate situations. This finding is supported by the qualitative responses, with many </w:t>
      </w:r>
      <w:r>
        <w:lastRenderedPageBreak/>
        <w:t>officers emphasi</w:t>
      </w:r>
      <w:r w:rsidR="007A270D">
        <w:t>s</w:t>
      </w:r>
      <w:r>
        <w:t>ing the psychological impact of being armed and how it could change their behaviour with the public</w:t>
      </w:r>
      <w:r w:rsidR="007A270D">
        <w:t xml:space="preserve"> and their approachability.</w:t>
      </w:r>
    </w:p>
    <w:p w14:paraId="575E3C7A" w14:textId="2FA32481" w:rsidR="0029685C" w:rsidRDefault="0029685C" w:rsidP="0029685C">
      <w:r>
        <w:t xml:space="preserve">However, a small minority of officers (3 out of 20) expressed support for routine arming, citing the potential for increased safety and effectiveness in certain dangerous situations. This aligns with the views of those who believe that firearms could be a necessary tool for officers to handle high-risk </w:t>
      </w:r>
      <w:r w:rsidR="007A270D">
        <w:t xml:space="preserve">and violent </w:t>
      </w:r>
      <w:r>
        <w:t>situations</w:t>
      </w:r>
      <w:r w:rsidR="007A270D">
        <w:t xml:space="preserve"> which are on the rise.</w:t>
      </w:r>
    </w:p>
    <w:p w14:paraId="5542FC3F" w14:textId="77777777" w:rsidR="0029685C" w:rsidRDefault="0029685C" w:rsidP="0029685C"/>
    <w:p w14:paraId="05D3D442" w14:textId="77777777" w:rsidR="0029685C" w:rsidRPr="0029685C" w:rsidRDefault="0029685C" w:rsidP="0029685C">
      <w:pPr>
        <w:rPr>
          <w:b/>
          <w:bCs/>
          <w:u w:val="single"/>
        </w:rPr>
      </w:pPr>
      <w:r w:rsidRPr="0029685C">
        <w:rPr>
          <w:b/>
          <w:bCs/>
          <w:u w:val="single"/>
        </w:rPr>
        <w:t>Summary of Key Findings</w:t>
      </w:r>
    </w:p>
    <w:p w14:paraId="3552532D" w14:textId="77777777" w:rsidR="0029685C" w:rsidRDefault="0029685C" w:rsidP="0029685C"/>
    <w:p w14:paraId="2A829383" w14:textId="77777777" w:rsidR="0029685C" w:rsidRDefault="0029685C" w:rsidP="0029685C">
      <w:r>
        <w:t>The majority of officers (75%) are against routine arming, citing concerns about the risks of escalation, changes in police culture, and the potential for reduced accountability.</w:t>
      </w:r>
    </w:p>
    <w:p w14:paraId="6E61D085" w14:textId="2BA8B72A" w:rsidR="0029685C" w:rsidRDefault="0029685C" w:rsidP="0029685C">
      <w:r>
        <w:t>Officers' knowledge of the history of armed policing is generally positive, indicating a degree of understanding of how firearms have been integrated into UK policing practices.</w:t>
      </w:r>
    </w:p>
    <w:p w14:paraId="3989668B" w14:textId="77777777" w:rsidR="0029685C" w:rsidRDefault="0029685C" w:rsidP="0029685C">
      <w:r>
        <w:t>Public opinion is believed to significantly influence policy decisions regarding armed policing.</w:t>
      </w:r>
    </w:p>
    <w:p w14:paraId="62801D04" w14:textId="562070AC" w:rsidR="00F25712" w:rsidRDefault="0029685C" w:rsidP="0029685C">
      <w:r>
        <w:t>Routine arming is thought to negatively impact police accountability by both the majority of officers and through the qualitative data.</w:t>
      </w:r>
      <w:r w:rsidR="00F25712">
        <w:t xml:space="preserve"> </w:t>
      </w:r>
      <w:r>
        <w:t>A small group of officers (15%) support routine arming, emphasi</w:t>
      </w:r>
      <w:r w:rsidR="001F4A95">
        <w:t>s</w:t>
      </w:r>
      <w:r>
        <w:t>ing the safety and effectiveness it could provide in dangerous situations</w:t>
      </w:r>
      <w:r w:rsidR="001F4A95">
        <w:t xml:space="preserve"> as violence against police and knife related incidents are </w:t>
      </w:r>
      <w:r w:rsidR="007A270D">
        <w:t>increasing</w:t>
      </w:r>
      <w:r>
        <w:t>.</w:t>
      </w:r>
      <w:r w:rsidR="00F25712">
        <w:t xml:space="preserve"> </w:t>
      </w:r>
    </w:p>
    <w:p w14:paraId="3A06A5A4" w14:textId="30AFC75E" w:rsidR="0029685C" w:rsidRDefault="0029685C" w:rsidP="0029685C">
      <w:r>
        <w:t>Overall, the comparison between the quantitative and qualitative data reveals a strong preference against routine arming, though it acknowledges the complexities and differing perspectives on the issue.</w:t>
      </w:r>
    </w:p>
    <w:p w14:paraId="5F0B02CB" w14:textId="67D47D50" w:rsidR="0042405A" w:rsidRDefault="0042405A" w:rsidP="0042405A"/>
    <w:sectPr w:rsidR="004240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E631DDB"/>
    <w:multiLevelType w:val="hybridMultilevel"/>
    <w:tmpl w:val="E04EA7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982505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405A"/>
    <w:rsid w:val="001D46BB"/>
    <w:rsid w:val="001F4A95"/>
    <w:rsid w:val="0029685C"/>
    <w:rsid w:val="002A7D60"/>
    <w:rsid w:val="0039522B"/>
    <w:rsid w:val="0042405A"/>
    <w:rsid w:val="00552592"/>
    <w:rsid w:val="006838E1"/>
    <w:rsid w:val="007A270D"/>
    <w:rsid w:val="008F6E90"/>
    <w:rsid w:val="00AD7DA1"/>
    <w:rsid w:val="00C363AD"/>
    <w:rsid w:val="00CC3413"/>
    <w:rsid w:val="00F10075"/>
    <w:rsid w:val="00F257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4C622E"/>
  <w15:chartTrackingRefBased/>
  <w15:docId w15:val="{A0305F19-CC95-444B-B89B-AF61526F5B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40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40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40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40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40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405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405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405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405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40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40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40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40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40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40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40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40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405A"/>
    <w:rPr>
      <w:rFonts w:eastAsiaTheme="majorEastAsia" w:cstheme="majorBidi"/>
      <w:color w:val="272727" w:themeColor="text1" w:themeTint="D8"/>
    </w:rPr>
  </w:style>
  <w:style w:type="paragraph" w:styleId="Title">
    <w:name w:val="Title"/>
    <w:basedOn w:val="Normal"/>
    <w:next w:val="Normal"/>
    <w:link w:val="TitleChar"/>
    <w:uiPriority w:val="10"/>
    <w:qFormat/>
    <w:rsid w:val="0042405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40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40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40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405A"/>
    <w:pPr>
      <w:spacing w:before="160"/>
      <w:jc w:val="center"/>
    </w:pPr>
    <w:rPr>
      <w:i/>
      <w:iCs/>
      <w:color w:val="404040" w:themeColor="text1" w:themeTint="BF"/>
    </w:rPr>
  </w:style>
  <w:style w:type="character" w:customStyle="1" w:styleId="QuoteChar">
    <w:name w:val="Quote Char"/>
    <w:basedOn w:val="DefaultParagraphFont"/>
    <w:link w:val="Quote"/>
    <w:uiPriority w:val="29"/>
    <w:rsid w:val="0042405A"/>
    <w:rPr>
      <w:i/>
      <w:iCs/>
      <w:color w:val="404040" w:themeColor="text1" w:themeTint="BF"/>
    </w:rPr>
  </w:style>
  <w:style w:type="paragraph" w:styleId="ListParagraph">
    <w:name w:val="List Paragraph"/>
    <w:basedOn w:val="Normal"/>
    <w:uiPriority w:val="34"/>
    <w:qFormat/>
    <w:rsid w:val="0042405A"/>
    <w:pPr>
      <w:ind w:left="720"/>
      <w:contextualSpacing/>
    </w:pPr>
  </w:style>
  <w:style w:type="character" w:styleId="IntenseEmphasis">
    <w:name w:val="Intense Emphasis"/>
    <w:basedOn w:val="DefaultParagraphFont"/>
    <w:uiPriority w:val="21"/>
    <w:qFormat/>
    <w:rsid w:val="0042405A"/>
    <w:rPr>
      <w:i/>
      <w:iCs/>
      <w:color w:val="0F4761" w:themeColor="accent1" w:themeShade="BF"/>
    </w:rPr>
  </w:style>
  <w:style w:type="paragraph" w:styleId="IntenseQuote">
    <w:name w:val="Intense Quote"/>
    <w:basedOn w:val="Normal"/>
    <w:next w:val="Normal"/>
    <w:link w:val="IntenseQuoteChar"/>
    <w:uiPriority w:val="30"/>
    <w:qFormat/>
    <w:rsid w:val="004240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405A"/>
    <w:rPr>
      <w:i/>
      <w:iCs/>
      <w:color w:val="0F4761" w:themeColor="accent1" w:themeShade="BF"/>
    </w:rPr>
  </w:style>
  <w:style w:type="character" w:styleId="IntenseReference">
    <w:name w:val="Intense Reference"/>
    <w:basedOn w:val="DefaultParagraphFont"/>
    <w:uiPriority w:val="32"/>
    <w:qFormat/>
    <w:rsid w:val="0042405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6733090">
      <w:bodyDiv w:val="1"/>
      <w:marLeft w:val="0"/>
      <w:marRight w:val="0"/>
      <w:marTop w:val="0"/>
      <w:marBottom w:val="0"/>
      <w:divBdr>
        <w:top w:val="none" w:sz="0" w:space="0" w:color="auto"/>
        <w:left w:val="none" w:sz="0" w:space="0" w:color="auto"/>
        <w:bottom w:val="none" w:sz="0" w:space="0" w:color="auto"/>
        <w:right w:val="none" w:sz="0" w:space="0" w:color="auto"/>
      </w:divBdr>
    </w:div>
    <w:div w:id="391583204">
      <w:bodyDiv w:val="1"/>
      <w:marLeft w:val="0"/>
      <w:marRight w:val="0"/>
      <w:marTop w:val="0"/>
      <w:marBottom w:val="0"/>
      <w:divBdr>
        <w:top w:val="none" w:sz="0" w:space="0" w:color="auto"/>
        <w:left w:val="none" w:sz="0" w:space="0" w:color="auto"/>
        <w:bottom w:val="none" w:sz="0" w:space="0" w:color="auto"/>
        <w:right w:val="none" w:sz="0" w:space="0" w:color="auto"/>
      </w:divBdr>
    </w:div>
    <w:div w:id="584532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5</Pages>
  <Words>1996</Words>
  <Characters>11381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Hain,William swp8371</dc:creator>
  <cp:keywords/>
  <dc:description/>
  <cp:lastModifiedBy>Hain,William swp8371</cp:lastModifiedBy>
  <cp:revision>2</cp:revision>
  <dcterms:created xsi:type="dcterms:W3CDTF">2025-02-05T10:50:00Z</dcterms:created>
  <dcterms:modified xsi:type="dcterms:W3CDTF">2025-02-05T10:50:00Z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2025-01-31T14:23:01Z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7e393591-8cec-48d0-857b-5fa133269442</vt:lpwstr>
  </property>
  <property fmtid="{D5CDD505-2E9C-101B-9397-08002B2CF9AE}" pid="8" name="MSIP_Label_66cf8fe5-b7b7-4df7-b38d-1c61ac2f6639_ContentBits">
    <vt:lpwstr>0</vt:lpwstr>
  </property>
</Properties>
</file>