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702BEC" w14:textId="5A25F807" w:rsidR="00D744D2" w:rsidRPr="00D744D2" w:rsidRDefault="00D744D2" w:rsidP="00D744D2">
      <w:pPr>
        <w:spacing w:line="360" w:lineRule="auto"/>
        <w:rPr>
          <w:rFonts w:ascii="Arial" w:hAnsi="Arial" w:cs="Arial"/>
        </w:rPr>
      </w:pPr>
      <w:r w:rsidRPr="00D744D2">
        <w:rPr>
          <w:rFonts w:ascii="Arial" w:hAnsi="Arial" w:cs="Arial"/>
          <w:b/>
          <w:bCs/>
        </w:rPr>
        <w:t>Research Project</w:t>
      </w:r>
      <w:r w:rsidR="00185B01">
        <w:rPr>
          <w:rFonts w:ascii="Arial" w:hAnsi="Arial" w:cs="Arial"/>
          <w:b/>
          <w:bCs/>
        </w:rPr>
        <w:t xml:space="preserve"> Question</w:t>
      </w:r>
      <w:r w:rsidRPr="00D744D2">
        <w:rPr>
          <w:rFonts w:ascii="Arial" w:hAnsi="Arial" w:cs="Arial"/>
          <w:b/>
          <w:bCs/>
        </w:rPr>
        <w:t>:</w:t>
      </w:r>
    </w:p>
    <w:p w14:paraId="6C51FCDC" w14:textId="77777777" w:rsidR="00D744D2" w:rsidRPr="00D744D2" w:rsidRDefault="00D744D2" w:rsidP="00D744D2">
      <w:pPr>
        <w:spacing w:line="360" w:lineRule="auto"/>
        <w:rPr>
          <w:rFonts w:ascii="Arial" w:hAnsi="Arial" w:cs="Arial"/>
        </w:rPr>
      </w:pPr>
      <w:r w:rsidRPr="00D744D2">
        <w:rPr>
          <w:rFonts w:ascii="Arial" w:hAnsi="Arial" w:cs="Arial"/>
        </w:rPr>
        <w:t xml:space="preserve">A critical comparative analysis of the approaches of South Wales Police and </w:t>
      </w:r>
      <w:proofErr w:type="gramStart"/>
      <w:r w:rsidRPr="00D744D2">
        <w:rPr>
          <w:rFonts w:ascii="Arial" w:hAnsi="Arial" w:cs="Arial"/>
        </w:rPr>
        <w:t>An</w:t>
      </w:r>
      <w:proofErr w:type="gramEnd"/>
      <w:r w:rsidRPr="00D744D2">
        <w:rPr>
          <w:rFonts w:ascii="Arial" w:hAnsi="Arial" w:cs="Arial"/>
        </w:rPr>
        <w:t xml:space="preserve"> Garda Síochána in Ireland to hostage and crisis negotiation, examining key aspects of practitioner recruitment, professional development, operational practice, technological integration, and post-incident support, with recommendations for best practice development.</w:t>
      </w:r>
    </w:p>
    <w:p w14:paraId="205E74FE" w14:textId="77777777" w:rsidR="00D744D2" w:rsidRPr="00D744D2" w:rsidRDefault="00D744D2" w:rsidP="00D744D2">
      <w:pPr>
        <w:spacing w:line="360" w:lineRule="auto"/>
        <w:rPr>
          <w:rFonts w:ascii="Arial" w:hAnsi="Arial" w:cs="Arial"/>
        </w:rPr>
      </w:pPr>
      <w:r w:rsidRPr="00D744D2">
        <w:rPr>
          <w:rFonts w:ascii="Arial" w:hAnsi="Arial" w:cs="Arial"/>
          <w:b/>
          <w:bCs/>
        </w:rPr>
        <w:t xml:space="preserve">Abstract </w:t>
      </w:r>
    </w:p>
    <w:p w14:paraId="34BC1874" w14:textId="77777777" w:rsidR="0052441B" w:rsidRPr="0052441B" w:rsidRDefault="0052441B" w:rsidP="0052441B">
      <w:pPr>
        <w:spacing w:line="360" w:lineRule="auto"/>
        <w:rPr>
          <w:rFonts w:ascii="Arial" w:hAnsi="Arial" w:cs="Arial"/>
        </w:rPr>
      </w:pPr>
      <w:r w:rsidRPr="0052441B">
        <w:rPr>
          <w:rFonts w:ascii="Arial" w:hAnsi="Arial" w:cs="Arial"/>
        </w:rPr>
        <w:t>This dissertation addresses a European evidence gap in police hostage and crisis negotiation amid rising mental</w:t>
      </w:r>
      <w:r w:rsidRPr="0052441B">
        <w:rPr>
          <w:rFonts w:ascii="Arial" w:hAnsi="Arial" w:cs="Arial"/>
        </w:rPr>
        <w:noBreakHyphen/>
        <w:t xml:space="preserve">health demand and public scrutiny. It examines how South Wales Police (SWP) and </w:t>
      </w:r>
      <w:proofErr w:type="gramStart"/>
      <w:r w:rsidRPr="0052441B">
        <w:rPr>
          <w:rFonts w:ascii="Arial" w:hAnsi="Arial" w:cs="Arial"/>
        </w:rPr>
        <w:t>An</w:t>
      </w:r>
      <w:proofErr w:type="gramEnd"/>
      <w:r w:rsidRPr="0052441B">
        <w:rPr>
          <w:rFonts w:ascii="Arial" w:hAnsi="Arial" w:cs="Arial"/>
        </w:rPr>
        <w:t xml:space="preserve"> Garda Síochána (AGS) select, develop, deploy, and support negotiators, identifying areas for improvement. The aim is to propose actionable recommendations across recruitment, training, operations, technology, and post</w:t>
      </w:r>
      <w:r w:rsidRPr="0052441B">
        <w:rPr>
          <w:rFonts w:ascii="Arial" w:hAnsi="Arial" w:cs="Arial"/>
        </w:rPr>
        <w:noBreakHyphen/>
        <w:t>incident learning.</w:t>
      </w:r>
    </w:p>
    <w:p w14:paraId="2F02E8D1" w14:textId="77777777" w:rsidR="0052441B" w:rsidRPr="0052441B" w:rsidRDefault="0052441B" w:rsidP="0052441B">
      <w:pPr>
        <w:spacing w:line="360" w:lineRule="auto"/>
        <w:rPr>
          <w:rFonts w:ascii="Arial" w:hAnsi="Arial" w:cs="Arial"/>
        </w:rPr>
      </w:pPr>
      <w:r w:rsidRPr="0052441B">
        <w:rPr>
          <w:rFonts w:ascii="Arial" w:hAnsi="Arial" w:cs="Arial"/>
        </w:rPr>
        <w:t>This two</w:t>
      </w:r>
      <w:r w:rsidRPr="0052441B">
        <w:rPr>
          <w:rFonts w:ascii="Arial" w:hAnsi="Arial" w:cs="Arial"/>
        </w:rPr>
        <w:noBreakHyphen/>
        <w:t>case study uses expert questionnaires (one per service) collected in October 2025. Closed items are summarised descriptively, while open responses undergo thematic analysis interpreted through the Behavioural Influence Stairway Model. Findings reveal a shared, communication</w:t>
      </w:r>
      <w:r w:rsidRPr="0052441B">
        <w:rPr>
          <w:rFonts w:ascii="Arial" w:hAnsi="Arial" w:cs="Arial"/>
        </w:rPr>
        <w:noBreakHyphen/>
        <w:t>led doctrine focused on credibility, empathy, and the deliberate use of time. SWP emphasises standardisation, psychologist</w:t>
      </w:r>
      <w:r w:rsidRPr="0052441B">
        <w:rPr>
          <w:rFonts w:ascii="Arial" w:hAnsi="Arial" w:cs="Arial"/>
        </w:rPr>
        <w:noBreakHyphen/>
        <w:t>led selection, and real</w:t>
      </w:r>
      <w:r w:rsidRPr="0052441B">
        <w:rPr>
          <w:rFonts w:ascii="Arial" w:hAnsi="Arial" w:cs="Arial"/>
        </w:rPr>
        <w:noBreakHyphen/>
        <w:t>time intelligence; AGS conducts daily joint training, values prior operational experience, and treats body</w:t>
      </w:r>
      <w:r w:rsidRPr="0052441B">
        <w:rPr>
          <w:rFonts w:ascii="Arial" w:hAnsi="Arial" w:cs="Arial"/>
        </w:rPr>
        <w:noBreakHyphen/>
        <w:t>worn video with caution. Both services offer robust welfare, though debrief insights are not always converted into practical changes.</w:t>
      </w:r>
    </w:p>
    <w:p w14:paraId="1DAA6921" w14:textId="1BA5F092" w:rsidR="0052441B" w:rsidRPr="0052441B" w:rsidRDefault="0052441B" w:rsidP="0052441B">
      <w:pPr>
        <w:spacing w:line="360" w:lineRule="auto"/>
        <w:rPr>
          <w:rFonts w:ascii="Arial" w:hAnsi="Arial" w:cs="Arial"/>
        </w:rPr>
      </w:pPr>
      <w:r w:rsidRPr="0052441B">
        <w:rPr>
          <w:rFonts w:ascii="Arial" w:hAnsi="Arial" w:cs="Arial"/>
        </w:rPr>
        <w:t>The research advocates clear selection rubrics, developmental recertification, a negotiation</w:t>
      </w:r>
      <w:r w:rsidRPr="0052441B">
        <w:rPr>
          <w:rFonts w:ascii="Arial" w:hAnsi="Arial" w:cs="Arial"/>
        </w:rPr>
        <w:noBreakHyphen/>
        <w:t>first doctrine, and a rapport</w:t>
      </w:r>
      <w:r w:rsidRPr="0052441B">
        <w:rPr>
          <w:rFonts w:ascii="Arial" w:hAnsi="Arial" w:cs="Arial"/>
        </w:rPr>
        <w:noBreakHyphen/>
        <w:t>first approach to technology. Despite a small, cross</w:t>
      </w:r>
      <w:r w:rsidRPr="0052441B">
        <w:rPr>
          <w:rFonts w:ascii="Arial" w:hAnsi="Arial" w:cs="Arial"/>
        </w:rPr>
        <w:noBreakHyphen/>
        <w:t>sectional sample, the recommendations aim to enhance safety, decision quality, practitioner well</w:t>
      </w:r>
      <w:r w:rsidRPr="0052441B">
        <w:rPr>
          <w:rFonts w:ascii="Arial" w:hAnsi="Arial" w:cs="Arial"/>
        </w:rPr>
        <w:noBreakHyphen/>
        <w:t>being, and public legitimacy. Methodologically, the study adopts a pragmatic two</w:t>
      </w:r>
      <w:r w:rsidRPr="0052441B">
        <w:rPr>
          <w:rFonts w:ascii="Arial" w:hAnsi="Arial" w:cs="Arial"/>
        </w:rPr>
        <w:noBreakHyphen/>
        <w:t>case design with expert questionnaires and thematic analysis, so findings are tied directly to clear, pre</w:t>
      </w:r>
      <w:r w:rsidRPr="0052441B">
        <w:rPr>
          <w:rFonts w:ascii="Arial" w:hAnsi="Arial" w:cs="Arial"/>
        </w:rPr>
        <w:noBreakHyphen/>
        <w:t>set criteria. A negotiation</w:t>
      </w:r>
      <w:r w:rsidRPr="0052441B">
        <w:rPr>
          <w:rFonts w:ascii="Arial" w:hAnsi="Arial" w:cs="Arial"/>
        </w:rPr>
        <w:noBreakHyphen/>
        <w:t>first, psychology</w:t>
      </w:r>
      <w:r w:rsidRPr="0052441B">
        <w:rPr>
          <w:rFonts w:ascii="Arial" w:hAnsi="Arial" w:cs="Arial"/>
        </w:rPr>
        <w:noBreakHyphen/>
        <w:t>informed approach</w:t>
      </w:r>
      <w:r>
        <w:rPr>
          <w:rFonts w:ascii="Arial" w:hAnsi="Arial" w:cs="Arial"/>
        </w:rPr>
        <w:t xml:space="preserve">, </w:t>
      </w:r>
      <w:r w:rsidRPr="0052441B">
        <w:rPr>
          <w:rFonts w:ascii="Arial" w:hAnsi="Arial" w:cs="Arial"/>
        </w:rPr>
        <w:t>supported by clear selection, developmental assessment, and proportionate technology governance</w:t>
      </w:r>
      <w:r>
        <w:rPr>
          <w:rFonts w:ascii="Arial" w:hAnsi="Arial" w:cs="Arial"/>
        </w:rPr>
        <w:t xml:space="preserve">, </w:t>
      </w:r>
      <w:r w:rsidRPr="0052441B">
        <w:rPr>
          <w:rFonts w:ascii="Arial" w:hAnsi="Arial" w:cs="Arial"/>
        </w:rPr>
        <w:t>is proposed as cross</w:t>
      </w:r>
      <w:r w:rsidRPr="0052441B">
        <w:rPr>
          <w:rFonts w:ascii="Arial" w:hAnsi="Arial" w:cs="Arial"/>
        </w:rPr>
        <w:noBreakHyphen/>
        <w:t>jurisdictional best practice for SWP and AGS.</w:t>
      </w:r>
    </w:p>
    <w:p w14:paraId="37E93BF5" w14:textId="77777777" w:rsidR="00D744D2" w:rsidRPr="00D744D2" w:rsidRDefault="00D744D2" w:rsidP="00D744D2">
      <w:pPr>
        <w:spacing w:line="360" w:lineRule="auto"/>
        <w:rPr>
          <w:rFonts w:ascii="Arial" w:hAnsi="Arial" w:cs="Arial"/>
        </w:rPr>
      </w:pPr>
      <w:r w:rsidRPr="00D744D2">
        <w:rPr>
          <w:rFonts w:ascii="Arial" w:hAnsi="Arial" w:cs="Arial"/>
          <w:b/>
          <w:bCs/>
        </w:rPr>
        <w:t>Chapter One: Introduction</w:t>
      </w:r>
    </w:p>
    <w:p w14:paraId="09ADF129" w14:textId="77777777" w:rsidR="00D744D2" w:rsidRPr="00D744D2" w:rsidRDefault="00D744D2" w:rsidP="00D744D2">
      <w:pPr>
        <w:spacing w:line="360" w:lineRule="auto"/>
        <w:rPr>
          <w:rFonts w:ascii="Arial" w:hAnsi="Arial" w:cs="Arial"/>
        </w:rPr>
      </w:pPr>
      <w:r w:rsidRPr="00D744D2">
        <w:rPr>
          <w:rFonts w:ascii="Arial" w:hAnsi="Arial" w:cs="Arial"/>
          <w:b/>
          <w:bCs/>
        </w:rPr>
        <w:t>1.1 Background</w:t>
      </w:r>
    </w:p>
    <w:p w14:paraId="71096C7C" w14:textId="77777777" w:rsidR="00D744D2" w:rsidRPr="00D744D2" w:rsidRDefault="00D744D2" w:rsidP="00D744D2">
      <w:pPr>
        <w:spacing w:line="360" w:lineRule="auto"/>
        <w:rPr>
          <w:rFonts w:ascii="Arial" w:hAnsi="Arial" w:cs="Arial"/>
        </w:rPr>
      </w:pPr>
      <w:r w:rsidRPr="00D744D2">
        <w:rPr>
          <w:rFonts w:ascii="Arial" w:hAnsi="Arial" w:cs="Arial"/>
        </w:rPr>
        <w:t xml:space="preserve">As Johnson </w:t>
      </w:r>
      <w:r w:rsidRPr="00D744D2">
        <w:rPr>
          <w:rFonts w:ascii="Arial" w:hAnsi="Arial" w:cs="Arial"/>
          <w:i/>
          <w:iCs/>
        </w:rPr>
        <w:t>et al</w:t>
      </w:r>
      <w:r w:rsidRPr="00D744D2">
        <w:rPr>
          <w:rFonts w:ascii="Arial" w:hAnsi="Arial" w:cs="Arial"/>
        </w:rPr>
        <w:t xml:space="preserve">. (2018), and Grubb </w:t>
      </w:r>
      <w:r w:rsidRPr="00D744D2">
        <w:rPr>
          <w:rFonts w:ascii="Arial" w:hAnsi="Arial" w:cs="Arial"/>
          <w:i/>
          <w:iCs/>
        </w:rPr>
        <w:t>et al</w:t>
      </w:r>
      <w:r w:rsidRPr="00D744D2">
        <w:rPr>
          <w:rFonts w:ascii="Arial" w:hAnsi="Arial" w:cs="Arial"/>
        </w:rPr>
        <w:t xml:space="preserve">. (2017), show, effective crisis negotiators combine strong interpersonal communication (e.g., active listening, empathy), psychological resilience, and the ability to make decisions under pressure. The UK’s official negotiator role </w:t>
      </w:r>
      <w:r w:rsidRPr="00D744D2">
        <w:rPr>
          <w:rFonts w:ascii="Arial" w:hAnsi="Arial" w:cs="Arial"/>
        </w:rPr>
        <w:lastRenderedPageBreak/>
        <w:t xml:space="preserve">profile likewise emphasises operational discipline, risk assessment, and intelligent deployment in high-stress scenarios (College of Policing, 2025). These traits are essential when lives are at stake. This dissertation addresses a pronounced gap in hostage/crisis negotiation research: a geographical bias that has led to a disproportionate focus on U.S.-based models and a lack of comparative work within Europe. The absence of systematic analysis between UK and Irish jurisdictions is a significant oversight, particularly given their geographical proximity, shared cultural features, and similar operational challenges. Within both South Wales Police and </w:t>
      </w:r>
      <w:proofErr w:type="gramStart"/>
      <w:r w:rsidRPr="00D744D2">
        <w:rPr>
          <w:rFonts w:ascii="Arial" w:hAnsi="Arial" w:cs="Arial"/>
        </w:rPr>
        <w:t>An</w:t>
      </w:r>
      <w:proofErr w:type="gramEnd"/>
      <w:r w:rsidRPr="00D744D2">
        <w:rPr>
          <w:rFonts w:ascii="Arial" w:hAnsi="Arial" w:cs="Arial"/>
        </w:rPr>
        <w:t xml:space="preserve"> Garda Síochána, negotiators are tasked with preserving life and preventing harm, facilitating the safe release of hostages or individuals at risk, gathering intelligence to support operational resolution, and providing professional support to operational commanders during critical incidents.</w:t>
      </w:r>
    </w:p>
    <w:p w14:paraId="1193D2E7" w14:textId="77777777" w:rsidR="00D744D2" w:rsidRPr="00D744D2" w:rsidRDefault="00D744D2" w:rsidP="00D744D2">
      <w:pPr>
        <w:spacing w:line="360" w:lineRule="auto"/>
        <w:rPr>
          <w:rFonts w:ascii="Arial" w:hAnsi="Arial" w:cs="Arial"/>
        </w:rPr>
      </w:pPr>
      <w:r w:rsidRPr="00D744D2">
        <w:rPr>
          <w:rFonts w:ascii="Arial" w:hAnsi="Arial" w:cs="Arial"/>
          <w:b/>
          <w:bCs/>
        </w:rPr>
        <w:t xml:space="preserve">1.2 Research Rationale </w:t>
      </w:r>
    </w:p>
    <w:p w14:paraId="6F0E9326" w14:textId="77777777" w:rsidR="00D744D2" w:rsidRPr="00D744D2" w:rsidRDefault="00D744D2" w:rsidP="00D744D2">
      <w:pPr>
        <w:spacing w:line="360" w:lineRule="auto"/>
        <w:rPr>
          <w:rFonts w:ascii="Arial" w:hAnsi="Arial" w:cs="Arial"/>
        </w:rPr>
      </w:pPr>
      <w:r w:rsidRPr="00D744D2">
        <w:rPr>
          <w:rFonts w:ascii="Arial" w:hAnsi="Arial" w:cs="Arial"/>
        </w:rPr>
        <w:t xml:space="preserve">Existing literature focuses on single-jurisdiction case studies, which limits the identification of transferable best practices (Grubb, 2016). By directly comparing South Wales Police and </w:t>
      </w:r>
      <w:proofErr w:type="gramStart"/>
      <w:r w:rsidRPr="00D744D2">
        <w:rPr>
          <w:rFonts w:ascii="Arial" w:hAnsi="Arial" w:cs="Arial"/>
        </w:rPr>
        <w:t>An</w:t>
      </w:r>
      <w:proofErr w:type="gramEnd"/>
      <w:r w:rsidRPr="00D744D2">
        <w:rPr>
          <w:rFonts w:ascii="Arial" w:hAnsi="Arial" w:cs="Arial"/>
        </w:rPr>
        <w:t xml:space="preserve"> Garda Síochána, this research project provides the first detailed cross-jurisdictional analysis that considers both formal structures. The current challenges faced by police underscore the need for a comparison of approaches. Operationally, both forces face increasingly complex challenges, including terrorism, armed criminality, domestic violence, and mental-health-related crises. These situations call for negotiators who can handle the tactical demands of an incident and who are carefully chosen, properly trained, and supported with approaches grounded in evidence. The evolving operational environment underscores the importance of undertaking this comparative dissertation. </w:t>
      </w:r>
    </w:p>
    <w:p w14:paraId="1D301197" w14:textId="77777777" w:rsidR="00D744D2" w:rsidRPr="00D744D2" w:rsidRDefault="00D744D2" w:rsidP="00D744D2">
      <w:pPr>
        <w:spacing w:line="360" w:lineRule="auto"/>
        <w:rPr>
          <w:rFonts w:ascii="Arial" w:hAnsi="Arial" w:cs="Arial"/>
        </w:rPr>
      </w:pPr>
      <w:r w:rsidRPr="00D744D2">
        <w:rPr>
          <w:rFonts w:ascii="Arial" w:hAnsi="Arial" w:cs="Arial"/>
        </w:rPr>
        <w:t xml:space="preserve">In recent years, both SWP and AGS have experienced a marked shift in crisis negotiation, with mental-health-related incidents now representing a significant proportion of cases. Within AGS, such incidents account for approximately 43% of all crisis negotiation callouts (O’Keeffe, 2021), while in Wales, 350 suspected suicides were recorded between 2023 and 2024, with 65% of those individuals previously known to police (Aneurin Bevan University Health Board, 2024). </w:t>
      </w:r>
    </w:p>
    <w:p w14:paraId="581FA033" w14:textId="77777777" w:rsidR="00D744D2" w:rsidRPr="00D744D2" w:rsidRDefault="00D744D2" w:rsidP="00D744D2">
      <w:pPr>
        <w:spacing w:line="360" w:lineRule="auto"/>
        <w:rPr>
          <w:rFonts w:ascii="Arial" w:hAnsi="Arial" w:cs="Arial"/>
        </w:rPr>
      </w:pPr>
      <w:r w:rsidRPr="00D744D2">
        <w:rPr>
          <w:rFonts w:ascii="Arial" w:hAnsi="Arial" w:cs="Arial"/>
        </w:rPr>
        <w:t xml:space="preserve">As Clugston </w:t>
      </w:r>
      <w:r w:rsidRPr="00D744D2">
        <w:rPr>
          <w:rFonts w:ascii="Arial" w:hAnsi="Arial" w:cs="Arial"/>
          <w:i/>
          <w:iCs/>
        </w:rPr>
        <w:t>et al</w:t>
      </w:r>
      <w:r w:rsidRPr="00D744D2">
        <w:rPr>
          <w:rFonts w:ascii="Arial" w:hAnsi="Arial" w:cs="Arial"/>
        </w:rPr>
        <w:t xml:space="preserve">. (2023), observe, the transition from predominantly hostage-related incidents to those involving individuals in acute mental distress has created new demands on negotiators, requiring enhanced psychological, interpersonal, and de-escalation skills. This shift makes a structured comparison between the two police services both timely and necessary. </w:t>
      </w:r>
    </w:p>
    <w:p w14:paraId="5051B645" w14:textId="77777777" w:rsidR="00D744D2" w:rsidRPr="00D744D2" w:rsidRDefault="00D744D2" w:rsidP="00D744D2">
      <w:pPr>
        <w:spacing w:line="360" w:lineRule="auto"/>
        <w:rPr>
          <w:rFonts w:ascii="Arial" w:hAnsi="Arial" w:cs="Arial"/>
        </w:rPr>
      </w:pPr>
      <w:r w:rsidRPr="00D744D2">
        <w:rPr>
          <w:rFonts w:ascii="Arial" w:hAnsi="Arial" w:cs="Arial"/>
        </w:rPr>
        <w:t xml:space="preserve">Public order and protest contexts in Ireland sharpen the need for negotiation-first approaches that protect European Convention on Human Rights (ECHR)-aligned rights and </w:t>
      </w:r>
      <w:r w:rsidRPr="00D744D2">
        <w:rPr>
          <w:rFonts w:ascii="Arial" w:hAnsi="Arial" w:cs="Arial"/>
        </w:rPr>
        <w:lastRenderedPageBreak/>
        <w:t>sustain legitimacy. Evidence of governance and transparency gaps, such as limited publication of use-of-force data, reliance on informal processes, and inconsistent mobilisation, heightens the risk of being seen as taking sides in sensitive events, underscoring the need for negotiated engagement and proportionate, rights-compliant policing (</w:t>
      </w:r>
      <w:proofErr w:type="spellStart"/>
      <w:r w:rsidRPr="00D744D2">
        <w:rPr>
          <w:rFonts w:ascii="Arial" w:hAnsi="Arial" w:cs="Arial"/>
        </w:rPr>
        <w:t>Shieber</w:t>
      </w:r>
      <w:proofErr w:type="spellEnd"/>
      <w:r w:rsidRPr="00D744D2">
        <w:rPr>
          <w:rFonts w:ascii="Arial" w:hAnsi="Arial" w:cs="Arial"/>
        </w:rPr>
        <w:t xml:space="preserve">, 2019). </w:t>
      </w:r>
    </w:p>
    <w:p w14:paraId="69CA4490" w14:textId="54A07D79" w:rsidR="00D744D2" w:rsidRPr="00D744D2" w:rsidRDefault="00D744D2" w:rsidP="00D744D2">
      <w:pPr>
        <w:spacing w:line="360" w:lineRule="auto"/>
        <w:rPr>
          <w:rFonts w:ascii="Arial" w:hAnsi="Arial" w:cs="Arial"/>
        </w:rPr>
      </w:pPr>
      <w:r w:rsidRPr="00D744D2">
        <w:rPr>
          <w:rFonts w:ascii="Arial" w:hAnsi="Arial" w:cs="Arial"/>
        </w:rPr>
        <w:t>This dissertation is timely because it examines how negotiation practice, decision-making, and organisational learning uphold human rights commitments in two neighbouring services facing similar pressures. Today, incidents unfold publicly and at speed, so careful information handling, clear inter</w:t>
      </w:r>
      <w:r w:rsidRPr="00D744D2">
        <w:rPr>
          <w:rFonts w:ascii="Arial" w:hAnsi="Arial" w:cs="Arial"/>
        </w:rPr>
        <w:noBreakHyphen/>
        <w:t>agency agreements, and the ability for negotiators to slow the pace are critical for safety and legitimacy (</w:t>
      </w:r>
      <w:proofErr w:type="spellStart"/>
      <w:r w:rsidRPr="00D744D2">
        <w:rPr>
          <w:rFonts w:ascii="Arial" w:hAnsi="Arial" w:cs="Arial"/>
        </w:rPr>
        <w:t>Santifort</w:t>
      </w:r>
      <w:proofErr w:type="spellEnd"/>
      <w:r w:rsidRPr="00D744D2">
        <w:rPr>
          <w:rFonts w:ascii="Arial" w:hAnsi="Arial" w:cs="Arial"/>
        </w:rPr>
        <w:t xml:space="preserve"> and Sandler, 2012; Das, 2022). Combined with rising mental</w:t>
      </w:r>
      <w:r w:rsidRPr="00D744D2">
        <w:rPr>
          <w:rFonts w:ascii="Arial" w:hAnsi="Arial" w:cs="Arial"/>
        </w:rPr>
        <w:noBreakHyphen/>
      </w:r>
      <w:r>
        <w:rPr>
          <w:rFonts w:ascii="Arial" w:hAnsi="Arial" w:cs="Arial"/>
        </w:rPr>
        <w:t>health-related</w:t>
      </w:r>
      <w:r w:rsidRPr="00D744D2">
        <w:rPr>
          <w:rFonts w:ascii="Arial" w:hAnsi="Arial" w:cs="Arial"/>
        </w:rPr>
        <w:t xml:space="preserve"> demand, these pressures make a UK–Ireland comparison both necessary and useful.</w:t>
      </w:r>
    </w:p>
    <w:p w14:paraId="0FB53DCE" w14:textId="77777777" w:rsidR="00D744D2" w:rsidRPr="00D744D2" w:rsidRDefault="00D744D2" w:rsidP="00D744D2">
      <w:pPr>
        <w:spacing w:line="360" w:lineRule="auto"/>
        <w:rPr>
          <w:rFonts w:ascii="Arial" w:hAnsi="Arial" w:cs="Arial"/>
        </w:rPr>
      </w:pPr>
      <w:r w:rsidRPr="00D744D2">
        <w:rPr>
          <w:rFonts w:ascii="Arial" w:hAnsi="Arial" w:cs="Arial"/>
          <w:b/>
          <w:bCs/>
        </w:rPr>
        <w:t>1.3 Aim and Objectives</w:t>
      </w:r>
    </w:p>
    <w:p w14:paraId="3710B41F" w14:textId="77777777" w:rsidR="00D744D2" w:rsidRPr="00D744D2" w:rsidRDefault="00D744D2" w:rsidP="00D744D2">
      <w:pPr>
        <w:spacing w:line="360" w:lineRule="auto"/>
        <w:rPr>
          <w:rFonts w:ascii="Arial" w:hAnsi="Arial" w:cs="Arial"/>
        </w:rPr>
      </w:pPr>
      <w:r w:rsidRPr="00D744D2">
        <w:rPr>
          <w:rFonts w:ascii="Arial" w:hAnsi="Arial" w:cs="Arial"/>
          <w:b/>
          <w:bCs/>
        </w:rPr>
        <w:t xml:space="preserve">1.3.1 Aim </w:t>
      </w:r>
    </w:p>
    <w:p w14:paraId="16DACA27" w14:textId="77777777" w:rsidR="00D744D2" w:rsidRPr="00D744D2" w:rsidRDefault="00D744D2" w:rsidP="00D744D2">
      <w:pPr>
        <w:spacing w:line="360" w:lineRule="auto"/>
        <w:rPr>
          <w:rFonts w:ascii="Arial" w:hAnsi="Arial" w:cs="Arial"/>
        </w:rPr>
      </w:pPr>
      <w:r w:rsidRPr="00D744D2">
        <w:rPr>
          <w:rFonts w:ascii="Arial" w:hAnsi="Arial" w:cs="Arial"/>
        </w:rPr>
        <w:t>The aim of this dissertation is to conduct a critical comparative analysis of hostage and crisis negotiation approaches in SWP and AGS, identifying strengths, weaknesses, and opportunities for improvement across practitioner recruitment, professional development, operational practice, technological integration, and post-incident support, with the goal of developing evidence-based recommendations for best practice.</w:t>
      </w:r>
    </w:p>
    <w:p w14:paraId="6289F92E" w14:textId="77777777" w:rsidR="00D744D2" w:rsidRPr="00D744D2" w:rsidRDefault="00D744D2" w:rsidP="00D744D2">
      <w:pPr>
        <w:spacing w:line="360" w:lineRule="auto"/>
        <w:rPr>
          <w:rFonts w:ascii="Arial" w:hAnsi="Arial" w:cs="Arial"/>
        </w:rPr>
      </w:pPr>
      <w:r w:rsidRPr="00D744D2">
        <w:rPr>
          <w:rFonts w:ascii="Arial" w:hAnsi="Arial" w:cs="Arial"/>
          <w:b/>
          <w:bCs/>
        </w:rPr>
        <w:t xml:space="preserve">1.3.2 Objectives </w:t>
      </w:r>
    </w:p>
    <w:p w14:paraId="622950B2" w14:textId="77777777" w:rsidR="00D744D2" w:rsidRPr="00D744D2" w:rsidRDefault="00D744D2" w:rsidP="00D744D2">
      <w:pPr>
        <w:spacing w:line="360" w:lineRule="auto"/>
        <w:rPr>
          <w:rFonts w:ascii="Arial" w:hAnsi="Arial" w:cs="Arial"/>
        </w:rPr>
      </w:pPr>
      <w:r w:rsidRPr="00D744D2">
        <w:rPr>
          <w:rFonts w:ascii="Arial" w:hAnsi="Arial" w:cs="Arial"/>
        </w:rPr>
        <w:t xml:space="preserve">Objective 1: Compare practitioner selection criteria, recruitment processes, and assessment methods. </w:t>
      </w:r>
    </w:p>
    <w:p w14:paraId="6609A796" w14:textId="77777777" w:rsidR="00D744D2" w:rsidRPr="00D744D2" w:rsidRDefault="00D744D2" w:rsidP="00D744D2">
      <w:pPr>
        <w:spacing w:line="360" w:lineRule="auto"/>
        <w:rPr>
          <w:rFonts w:ascii="Arial" w:hAnsi="Arial" w:cs="Arial"/>
        </w:rPr>
      </w:pPr>
      <w:r w:rsidRPr="00D744D2">
        <w:rPr>
          <w:rFonts w:ascii="Arial" w:hAnsi="Arial" w:cs="Arial"/>
        </w:rPr>
        <w:t xml:space="preserve">Objective 2: Evaluate training structures, course content, and certification for role readiness. Objective 3: Analyse operating procedures, decision-making frameworks, and tactical approaches across crisis scenarios. </w:t>
      </w:r>
    </w:p>
    <w:p w14:paraId="1B6F070D" w14:textId="77777777" w:rsidR="00D744D2" w:rsidRPr="00D744D2" w:rsidRDefault="00D744D2" w:rsidP="00D744D2">
      <w:pPr>
        <w:spacing w:line="360" w:lineRule="auto"/>
        <w:rPr>
          <w:rFonts w:ascii="Arial" w:hAnsi="Arial" w:cs="Arial"/>
        </w:rPr>
      </w:pPr>
      <w:r w:rsidRPr="00D744D2">
        <w:rPr>
          <w:rFonts w:ascii="Arial" w:hAnsi="Arial" w:cs="Arial"/>
        </w:rPr>
        <w:t xml:space="preserve">Objective 4: Assess the adoption and use of communication technologies, analytical tools, and information systems. </w:t>
      </w:r>
    </w:p>
    <w:p w14:paraId="0D6E443C" w14:textId="77777777" w:rsidR="00D744D2" w:rsidRPr="00D744D2" w:rsidRDefault="00D744D2" w:rsidP="00D744D2">
      <w:pPr>
        <w:spacing w:line="360" w:lineRule="auto"/>
        <w:rPr>
          <w:rFonts w:ascii="Arial" w:hAnsi="Arial" w:cs="Arial"/>
        </w:rPr>
      </w:pPr>
      <w:r w:rsidRPr="00D744D2">
        <w:rPr>
          <w:rFonts w:ascii="Arial" w:hAnsi="Arial" w:cs="Arial"/>
        </w:rPr>
        <w:t>Objective 5: Examine debriefing, evaluation, and organisational learning processes to support practitioner welfare and continuous improvement.</w:t>
      </w:r>
    </w:p>
    <w:p w14:paraId="5A3C6259" w14:textId="77777777" w:rsidR="00D744D2" w:rsidRPr="00D744D2" w:rsidRDefault="00D744D2" w:rsidP="00D744D2">
      <w:pPr>
        <w:spacing w:line="360" w:lineRule="auto"/>
        <w:rPr>
          <w:rFonts w:ascii="Arial" w:hAnsi="Arial" w:cs="Arial"/>
        </w:rPr>
      </w:pPr>
      <w:r w:rsidRPr="00D744D2">
        <w:rPr>
          <w:rFonts w:ascii="Arial" w:hAnsi="Arial" w:cs="Arial"/>
          <w:b/>
          <w:bCs/>
        </w:rPr>
        <w:t xml:space="preserve">1.4 Research Structure </w:t>
      </w:r>
    </w:p>
    <w:p w14:paraId="5995E525" w14:textId="0AA5397B" w:rsidR="00D744D2" w:rsidRPr="00D744D2" w:rsidRDefault="00D744D2" w:rsidP="00D744D2">
      <w:pPr>
        <w:spacing w:line="360" w:lineRule="auto"/>
        <w:rPr>
          <w:rFonts w:ascii="Arial" w:hAnsi="Arial" w:cs="Arial"/>
        </w:rPr>
      </w:pPr>
      <w:r w:rsidRPr="00D744D2">
        <w:rPr>
          <w:rFonts w:ascii="Arial" w:hAnsi="Arial" w:cs="Arial"/>
        </w:rPr>
        <w:t xml:space="preserve">Chapter One introduces the dissertation and outlines the background and rationale, the research question, and the aim with five objectives. It also notes two data sources: primary </w:t>
      </w:r>
      <w:r w:rsidRPr="00D744D2">
        <w:rPr>
          <w:rFonts w:ascii="Arial" w:hAnsi="Arial" w:cs="Arial"/>
        </w:rPr>
        <w:lastRenderedPageBreak/>
        <w:t xml:space="preserve">data from structured questionnaires completed by qualified negotiators in South Wales Police and </w:t>
      </w:r>
      <w:proofErr w:type="gramStart"/>
      <w:r w:rsidRPr="00D744D2">
        <w:rPr>
          <w:rFonts w:ascii="Arial" w:hAnsi="Arial" w:cs="Arial"/>
        </w:rPr>
        <w:t>An</w:t>
      </w:r>
      <w:proofErr w:type="gramEnd"/>
      <w:r w:rsidRPr="00D744D2">
        <w:rPr>
          <w:rFonts w:ascii="Arial" w:hAnsi="Arial" w:cs="Arial"/>
        </w:rPr>
        <w:t xml:space="preserve"> Garda Síochána, and secondary sources comprising scholarly literature, official guidance, and relevant reports. Historical context and jurisdictional development are integrated into the literature review and analysis rather than presented as a separate chapter. Chapter Two presents the literature review, organised around the five objectives—practitioner recruitment, professional development, operational practice, technological integration, and post-incident support- and synthesises key negotiation frameworks, BISM, tactical empathy, time-based de-escalation, and criteria for comparison. Chapter Three details the research method, philosophy and approach, comparative case dissertation design, data collection and analysis, ethics, and limitations. Chapter Four </w:t>
      </w:r>
      <w:proofErr w:type="gramStart"/>
      <w:r w:rsidRPr="00D744D2">
        <w:rPr>
          <w:rFonts w:ascii="Arial" w:hAnsi="Arial" w:cs="Arial"/>
        </w:rPr>
        <w:t>presents</w:t>
      </w:r>
      <w:proofErr w:type="gramEnd"/>
      <w:r w:rsidRPr="00D744D2">
        <w:rPr>
          <w:rFonts w:ascii="Arial" w:hAnsi="Arial" w:cs="Arial"/>
        </w:rPr>
        <w:t xml:space="preserve"> findings by objective and compares cases side-by-side. Chapter Five synthesises conclusions and recommendations.</w:t>
      </w:r>
    </w:p>
    <w:p w14:paraId="66849D19" w14:textId="77777777" w:rsidR="00D744D2" w:rsidRPr="00D744D2" w:rsidRDefault="00D744D2" w:rsidP="00D744D2">
      <w:pPr>
        <w:spacing w:line="360" w:lineRule="auto"/>
        <w:rPr>
          <w:rFonts w:ascii="Arial" w:hAnsi="Arial" w:cs="Arial"/>
        </w:rPr>
      </w:pPr>
      <w:r w:rsidRPr="00D744D2">
        <w:rPr>
          <w:rFonts w:ascii="Arial" w:hAnsi="Arial" w:cs="Arial"/>
          <w:b/>
          <w:bCs/>
        </w:rPr>
        <w:t xml:space="preserve">1.5 Conclusion </w:t>
      </w:r>
    </w:p>
    <w:p w14:paraId="3B1DEFB1" w14:textId="6CF2032E" w:rsidR="006D3532" w:rsidRDefault="006D3532" w:rsidP="00D744D2">
      <w:pPr>
        <w:spacing w:line="360" w:lineRule="auto"/>
        <w:rPr>
          <w:rFonts w:ascii="Arial" w:hAnsi="Arial" w:cs="Arial"/>
        </w:rPr>
      </w:pPr>
      <w:r w:rsidRPr="006D3532">
        <w:rPr>
          <w:rFonts w:ascii="Arial" w:hAnsi="Arial" w:cs="Arial"/>
        </w:rPr>
        <w:t>Chapter One sets out the case for a UK–Ireland comparison of crisis negotiation, identifies the research gap, and states the research question, aim, and five objectives. Chapter Two reviews the literature and establishes the evaluative criteria applied in this study. Chapter Three details the methodology. Chapter Four presents and compares the findings by objective, and, finally, Chapter Five synthesises conclusions and evidence-based recommendations, noting limitations and priorities for future research. Together, these chapters provide a clear line of sight from the research question to the evaluative criteria and findings, supporting a rigorous and replicable UK–Ireland, cross-jurisdictional comparison.</w:t>
      </w:r>
    </w:p>
    <w:p w14:paraId="71A15774" w14:textId="77777777" w:rsidR="00D744D2" w:rsidRPr="00D744D2" w:rsidRDefault="00D744D2" w:rsidP="00D744D2">
      <w:pPr>
        <w:spacing w:line="360" w:lineRule="auto"/>
        <w:rPr>
          <w:rFonts w:ascii="Arial" w:hAnsi="Arial" w:cs="Arial"/>
        </w:rPr>
      </w:pPr>
      <w:r w:rsidRPr="00D744D2">
        <w:rPr>
          <w:rFonts w:ascii="Arial" w:hAnsi="Arial" w:cs="Arial"/>
          <w:b/>
          <w:bCs/>
        </w:rPr>
        <w:t>Chapter Two: Literature Review</w:t>
      </w:r>
    </w:p>
    <w:p w14:paraId="55A4ED75" w14:textId="77777777" w:rsidR="00D744D2" w:rsidRPr="00D744D2" w:rsidRDefault="00D744D2" w:rsidP="00D744D2">
      <w:pPr>
        <w:spacing w:line="360" w:lineRule="auto"/>
        <w:rPr>
          <w:rFonts w:ascii="Arial" w:hAnsi="Arial" w:cs="Arial"/>
        </w:rPr>
      </w:pPr>
      <w:r w:rsidRPr="00D744D2">
        <w:rPr>
          <w:rFonts w:ascii="Arial" w:hAnsi="Arial" w:cs="Arial"/>
          <w:b/>
          <w:bCs/>
        </w:rPr>
        <w:t xml:space="preserve">2.1 Introduction </w:t>
      </w:r>
    </w:p>
    <w:p w14:paraId="68699EFF" w14:textId="77777777" w:rsidR="00541AAB" w:rsidRPr="00541AAB" w:rsidRDefault="00541AAB" w:rsidP="00541AAB">
      <w:pPr>
        <w:spacing w:line="360" w:lineRule="auto"/>
        <w:rPr>
          <w:rFonts w:ascii="Arial" w:hAnsi="Arial" w:cs="Arial"/>
        </w:rPr>
      </w:pPr>
      <w:r w:rsidRPr="00541AAB">
        <w:rPr>
          <w:rFonts w:ascii="Arial" w:hAnsi="Arial" w:cs="Arial"/>
        </w:rPr>
        <w:t xml:space="preserve">The purpose of this chapter is to review authoritative literature on crisis and hostage negotiation with a focus on two neighbouring jurisdictions: South Wales Police (SWP) and </w:t>
      </w:r>
      <w:proofErr w:type="gramStart"/>
      <w:r w:rsidRPr="00541AAB">
        <w:rPr>
          <w:rFonts w:ascii="Arial" w:hAnsi="Arial" w:cs="Arial"/>
        </w:rPr>
        <w:t>An</w:t>
      </w:r>
      <w:proofErr w:type="gramEnd"/>
      <w:r w:rsidRPr="00541AAB">
        <w:rPr>
          <w:rFonts w:ascii="Arial" w:hAnsi="Arial" w:cs="Arial"/>
        </w:rPr>
        <w:t xml:space="preserve"> Garda Síochána (AGS). The review is organised around five domains that mirror the dissertation’s objectives: practitioner recruitment, professional development, operational practice, technological integration, and post-incident support. It also sets out the evaluative criteria used later in the comparative analysis. Where helpful, short historical anchors from the UK and Ireland are included to explain why current systems look the way they do.</w:t>
      </w:r>
    </w:p>
    <w:p w14:paraId="3705950C" w14:textId="77777777" w:rsidR="00541AAB" w:rsidRPr="00541AAB" w:rsidRDefault="00541AAB" w:rsidP="00541AAB">
      <w:pPr>
        <w:spacing w:line="360" w:lineRule="auto"/>
        <w:rPr>
          <w:rFonts w:ascii="Arial" w:hAnsi="Arial" w:cs="Arial"/>
        </w:rPr>
      </w:pPr>
      <w:r w:rsidRPr="00541AAB">
        <w:rPr>
          <w:rFonts w:ascii="Arial" w:hAnsi="Arial" w:cs="Arial"/>
        </w:rPr>
        <w:t>Sources were identified via the UWTSD online library and Google Scholar, supplemented by official guidance and inquiry reports. Core search terms included “crisis negotiation,” “hostage negotiation,” “Behavioural Influence Stairway Model,” “tactical empathy,” “time</w:t>
      </w:r>
      <w:r w:rsidRPr="00541AAB">
        <w:rPr>
          <w:rFonts w:ascii="Arial" w:hAnsi="Arial" w:cs="Arial"/>
        </w:rPr>
        <w:noBreakHyphen/>
        <w:t>based de</w:t>
      </w:r>
      <w:r w:rsidRPr="00541AAB">
        <w:rPr>
          <w:rFonts w:ascii="Arial" w:hAnsi="Arial" w:cs="Arial"/>
        </w:rPr>
        <w:noBreakHyphen/>
        <w:t>escalation,” “public order Ireland ECHR,” “body</w:t>
      </w:r>
      <w:r w:rsidRPr="00541AAB">
        <w:rPr>
          <w:rFonts w:ascii="Arial" w:hAnsi="Arial" w:cs="Arial"/>
        </w:rPr>
        <w:noBreakHyphen/>
        <w:t xml:space="preserve">worn video in negotiation,” </w:t>
      </w:r>
      <w:r w:rsidRPr="00541AAB">
        <w:rPr>
          <w:rFonts w:ascii="Arial" w:hAnsi="Arial" w:cs="Arial"/>
        </w:rPr>
        <w:lastRenderedPageBreak/>
        <w:t>“negotiation technology governance,” and “post</w:t>
      </w:r>
      <w:r w:rsidRPr="00541AAB">
        <w:rPr>
          <w:rFonts w:ascii="Arial" w:hAnsi="Arial" w:cs="Arial"/>
        </w:rPr>
        <w:noBreakHyphen/>
        <w:t>incident learning in policing.” The chapter synthesises current knowledge, highlights convergences and gaps relevant to SWP and AGS, and derives criteria to guide the cross</w:t>
      </w:r>
      <w:r w:rsidRPr="00541AAB">
        <w:rPr>
          <w:rFonts w:ascii="Arial" w:hAnsi="Arial" w:cs="Arial"/>
        </w:rPr>
        <w:noBreakHyphen/>
        <w:t>case comparison.</w:t>
      </w:r>
    </w:p>
    <w:p w14:paraId="6C33C33A" w14:textId="77777777" w:rsidR="00541AAB" w:rsidRPr="00541AAB" w:rsidRDefault="00541AAB" w:rsidP="00541AAB">
      <w:pPr>
        <w:spacing w:line="360" w:lineRule="auto"/>
        <w:rPr>
          <w:rFonts w:ascii="Arial" w:hAnsi="Arial" w:cs="Arial"/>
        </w:rPr>
      </w:pPr>
      <w:r w:rsidRPr="00541AAB">
        <w:rPr>
          <w:rFonts w:ascii="Arial" w:hAnsi="Arial" w:cs="Arial"/>
        </w:rPr>
        <w:t>The review draws primarily on practitioner</w:t>
      </w:r>
      <w:r w:rsidRPr="00541AAB">
        <w:rPr>
          <w:rFonts w:ascii="Arial" w:hAnsi="Arial" w:cs="Arial"/>
        </w:rPr>
        <w:noBreakHyphen/>
        <w:t>authored books and official guidance, supplemented by inquiry reports and selected academic literature, and links these materials directly to the five evaluative criteria used later in the analysis.</w:t>
      </w:r>
    </w:p>
    <w:p w14:paraId="0AEEED3A" w14:textId="77777777" w:rsidR="00D744D2" w:rsidRPr="00D744D2" w:rsidRDefault="00D744D2" w:rsidP="00D744D2">
      <w:pPr>
        <w:spacing w:line="360" w:lineRule="auto"/>
        <w:rPr>
          <w:rFonts w:ascii="Arial" w:hAnsi="Arial" w:cs="Arial"/>
        </w:rPr>
      </w:pPr>
      <w:r w:rsidRPr="00D744D2">
        <w:rPr>
          <w:rFonts w:ascii="Arial" w:hAnsi="Arial" w:cs="Arial"/>
          <w:b/>
          <w:bCs/>
        </w:rPr>
        <w:t xml:space="preserve">2.2 Defining Crisis/Hostage Negotiation and Scope </w:t>
      </w:r>
    </w:p>
    <w:p w14:paraId="0B0F8185" w14:textId="7C8C3D91" w:rsidR="00D744D2" w:rsidRPr="00D744D2" w:rsidRDefault="00D744D2" w:rsidP="00D744D2">
      <w:pPr>
        <w:spacing w:line="360" w:lineRule="auto"/>
        <w:rPr>
          <w:rFonts w:ascii="Arial" w:hAnsi="Arial" w:cs="Arial"/>
        </w:rPr>
      </w:pPr>
      <w:r w:rsidRPr="00D744D2">
        <w:rPr>
          <w:rFonts w:ascii="Arial" w:hAnsi="Arial" w:cs="Arial"/>
        </w:rPr>
        <w:t xml:space="preserve">Modern crisis and hostage negotiation is a </w:t>
      </w:r>
      <w:r>
        <w:rPr>
          <w:rFonts w:ascii="Arial" w:hAnsi="Arial" w:cs="Arial"/>
        </w:rPr>
        <w:t>life-preserving, communication-led practice grounded in psychology, ethics, and structured decision-making</w:t>
      </w:r>
      <w:r w:rsidRPr="00D744D2">
        <w:rPr>
          <w:rFonts w:ascii="Arial" w:hAnsi="Arial" w:cs="Arial"/>
        </w:rPr>
        <w:t xml:space="preserve">. Negotiators aim to reduce risk, stabilise emotion, and enable safe outcomes by using time, empathy, and credible options rather than coercion (Vecchi </w:t>
      </w:r>
      <w:r w:rsidRPr="00D744D2">
        <w:rPr>
          <w:rFonts w:ascii="Arial" w:hAnsi="Arial" w:cs="Arial"/>
          <w:i/>
          <w:iCs/>
        </w:rPr>
        <w:t>et al</w:t>
      </w:r>
      <w:r w:rsidRPr="00D744D2">
        <w:rPr>
          <w:rFonts w:ascii="Arial" w:hAnsi="Arial" w:cs="Arial"/>
        </w:rPr>
        <w:t xml:space="preserve">., 2005; Ireland and Vecchi, 2009; </w:t>
      </w:r>
      <w:proofErr w:type="spellStart"/>
      <w:r w:rsidRPr="00D744D2">
        <w:rPr>
          <w:rFonts w:ascii="Arial" w:hAnsi="Arial" w:cs="Arial"/>
        </w:rPr>
        <w:t>Noesner</w:t>
      </w:r>
      <w:proofErr w:type="spellEnd"/>
      <w:r w:rsidRPr="00D744D2">
        <w:rPr>
          <w:rFonts w:ascii="Arial" w:hAnsi="Arial" w:cs="Arial"/>
        </w:rPr>
        <w:t>, 2010). The role now extends well beyond “classic” hostage situations to include suicide intervention, mental</w:t>
      </w:r>
      <w:r w:rsidRPr="00D744D2">
        <w:rPr>
          <w:rFonts w:ascii="Arial" w:hAnsi="Arial" w:cs="Arial"/>
        </w:rPr>
        <w:noBreakHyphen/>
      </w:r>
      <w:r>
        <w:rPr>
          <w:rFonts w:ascii="Arial" w:hAnsi="Arial" w:cs="Arial"/>
        </w:rPr>
        <w:t>health-led</w:t>
      </w:r>
      <w:r w:rsidRPr="00D744D2">
        <w:rPr>
          <w:rFonts w:ascii="Arial" w:hAnsi="Arial" w:cs="Arial"/>
        </w:rPr>
        <w:t xml:space="preserve"> crises, and sensitive public order contexts—settings that place a premium on legitimacy, proportionality, and human rights compliance (</w:t>
      </w:r>
      <w:proofErr w:type="spellStart"/>
      <w:r w:rsidRPr="00D744D2">
        <w:rPr>
          <w:rFonts w:ascii="Arial" w:hAnsi="Arial" w:cs="Arial"/>
        </w:rPr>
        <w:t>Shieber</w:t>
      </w:r>
      <w:proofErr w:type="spellEnd"/>
      <w:r w:rsidRPr="00D744D2">
        <w:rPr>
          <w:rFonts w:ascii="Arial" w:hAnsi="Arial" w:cs="Arial"/>
        </w:rPr>
        <w:t>, 2019).</w:t>
      </w:r>
    </w:p>
    <w:p w14:paraId="6CE88EAD" w14:textId="77777777" w:rsidR="00D744D2" w:rsidRPr="00D744D2" w:rsidRDefault="00D744D2" w:rsidP="00D744D2">
      <w:pPr>
        <w:spacing w:line="360" w:lineRule="auto"/>
        <w:rPr>
          <w:rFonts w:ascii="Arial" w:hAnsi="Arial" w:cs="Arial"/>
        </w:rPr>
      </w:pPr>
      <w:r w:rsidRPr="00D744D2">
        <w:rPr>
          <w:rFonts w:ascii="Arial" w:hAnsi="Arial" w:cs="Arial"/>
          <w:b/>
          <w:bCs/>
        </w:rPr>
        <w:t xml:space="preserve">2.3 Theoretical Foundations </w:t>
      </w:r>
    </w:p>
    <w:p w14:paraId="710C5B88" w14:textId="77777777" w:rsidR="00B445C6" w:rsidRDefault="00D744D2" w:rsidP="00D744D2">
      <w:pPr>
        <w:spacing w:line="360" w:lineRule="auto"/>
        <w:rPr>
          <w:rFonts w:ascii="Arial" w:hAnsi="Arial" w:cs="Arial"/>
        </w:rPr>
      </w:pPr>
      <w:r w:rsidRPr="00D744D2">
        <w:rPr>
          <w:rFonts w:ascii="Arial" w:hAnsi="Arial" w:cs="Arial"/>
        </w:rPr>
        <w:t xml:space="preserve">Two families of ideas shape contemporary practice. First, the Behavioural Influence Stairway Model (BISM) sequences influence through listening, empathy, rapport, and workable options leading to behavioural change (Vecchi </w:t>
      </w:r>
      <w:r w:rsidRPr="00D744D2">
        <w:rPr>
          <w:rFonts w:ascii="Arial" w:hAnsi="Arial" w:cs="Arial"/>
          <w:i/>
          <w:iCs/>
        </w:rPr>
        <w:t>et al</w:t>
      </w:r>
      <w:r w:rsidRPr="00D744D2">
        <w:rPr>
          <w:rFonts w:ascii="Arial" w:hAnsi="Arial" w:cs="Arial"/>
        </w:rPr>
        <w:t xml:space="preserve">., 2005; Ireland and Vecchi, 2009). Second, complementary theories explain why that sequence works: ethos, pathos, and logos (credibility, emotion, and reason) help negotiators build trust, lower arousal, and present realistic next steps (Rapp, 2002). </w:t>
      </w:r>
    </w:p>
    <w:p w14:paraId="31BAE05A" w14:textId="77777777" w:rsidR="00B445C6" w:rsidRDefault="00D744D2" w:rsidP="00D744D2">
      <w:pPr>
        <w:spacing w:line="360" w:lineRule="auto"/>
        <w:rPr>
          <w:rFonts w:ascii="Arial" w:hAnsi="Arial" w:cs="Arial"/>
        </w:rPr>
      </w:pPr>
      <w:r w:rsidRPr="00D744D2">
        <w:rPr>
          <w:rFonts w:ascii="Arial" w:hAnsi="Arial" w:cs="Arial"/>
        </w:rPr>
        <w:t>In practice, tactical empathy operationalises the “emotion” component through careful listening, emotion</w:t>
      </w:r>
      <w:r w:rsidRPr="00D744D2">
        <w:rPr>
          <w:rFonts w:ascii="Arial" w:hAnsi="Arial" w:cs="Arial"/>
        </w:rPr>
        <w:noBreakHyphen/>
        <w:t>labelling, and summarising (Voss, 2016), while deliberate use of time protects safety and decision quality (Noesner, 2010). Mindset and reflective practice strengthen judgement under pressure and sustain learning after incidents (Walker, 2023). Together, these ideas underpin the criteria later applied to recruitment, training, operations, technology, and learning.</w:t>
      </w:r>
      <w:r w:rsidR="00C81026">
        <w:rPr>
          <w:rFonts w:ascii="Arial" w:hAnsi="Arial" w:cs="Arial"/>
        </w:rPr>
        <w:t xml:space="preserve"> </w:t>
      </w:r>
    </w:p>
    <w:p w14:paraId="30B66801" w14:textId="022071D0" w:rsidR="00D744D2" w:rsidRPr="00D744D2" w:rsidRDefault="00C81026" w:rsidP="00D744D2">
      <w:pPr>
        <w:spacing w:line="360" w:lineRule="auto"/>
        <w:rPr>
          <w:rFonts w:ascii="Arial" w:hAnsi="Arial" w:cs="Arial"/>
        </w:rPr>
      </w:pPr>
      <w:r w:rsidRPr="00C81026">
        <w:rPr>
          <w:rFonts w:ascii="Arial" w:hAnsi="Arial" w:cs="Arial"/>
        </w:rPr>
        <w:t>These frameworks provide not only a conceptual basis for comparison but also operational benchmarks against which observed practices in SWP and AGS can be critically appraised.</w:t>
      </w:r>
    </w:p>
    <w:p w14:paraId="60C0AA3B" w14:textId="77777777" w:rsidR="00D744D2" w:rsidRPr="00D744D2" w:rsidRDefault="00D744D2" w:rsidP="00D744D2">
      <w:pPr>
        <w:spacing w:line="360" w:lineRule="auto"/>
        <w:rPr>
          <w:rFonts w:ascii="Arial" w:hAnsi="Arial" w:cs="Arial"/>
        </w:rPr>
      </w:pPr>
      <w:r w:rsidRPr="00D744D2">
        <w:rPr>
          <w:rFonts w:ascii="Arial" w:hAnsi="Arial" w:cs="Arial"/>
          <w:b/>
          <w:bCs/>
        </w:rPr>
        <w:t xml:space="preserve">2.4 Historical and Jurisdictional Context </w:t>
      </w:r>
    </w:p>
    <w:p w14:paraId="5A4F784B" w14:textId="29EECDE5" w:rsidR="00D744D2" w:rsidRPr="00D744D2" w:rsidRDefault="00D744D2" w:rsidP="00D744D2">
      <w:pPr>
        <w:spacing w:line="360" w:lineRule="auto"/>
        <w:rPr>
          <w:rFonts w:ascii="Arial" w:hAnsi="Arial" w:cs="Arial"/>
        </w:rPr>
      </w:pPr>
      <w:r w:rsidRPr="00D744D2">
        <w:rPr>
          <w:rFonts w:ascii="Arial" w:hAnsi="Arial" w:cs="Arial"/>
        </w:rPr>
        <w:t xml:space="preserve">Historically, coercion dominated crisis resolution; contemporary policing has shifted decisively towards psychologically informed, </w:t>
      </w:r>
      <w:r>
        <w:rPr>
          <w:rFonts w:ascii="Arial" w:hAnsi="Arial" w:cs="Arial"/>
        </w:rPr>
        <w:t xml:space="preserve">negotiation-first approaches that emphasise life </w:t>
      </w:r>
      <w:r>
        <w:rPr>
          <w:rFonts w:ascii="Arial" w:hAnsi="Arial" w:cs="Arial"/>
        </w:rPr>
        <w:lastRenderedPageBreak/>
        <w:t>preservation, legitimacy, and structured follow-up</w:t>
      </w:r>
      <w:r w:rsidRPr="00D744D2">
        <w:rPr>
          <w:rFonts w:ascii="Arial" w:hAnsi="Arial" w:cs="Arial"/>
        </w:rPr>
        <w:t xml:space="preserve"> (Kosto, 2012; Raffield, 2019). Key events accelerated that shift. In the UK, the Balcombe Street (1975) and Iranian Embassy (1980) sieges consolidated doctrine, clarified command, and embedded specialist training (Moysey, 2004; Purcell, 2024). In Ireland, the </w:t>
      </w:r>
      <w:proofErr w:type="spellStart"/>
      <w:r w:rsidRPr="00D744D2">
        <w:rPr>
          <w:rFonts w:ascii="Arial" w:hAnsi="Arial" w:cs="Arial"/>
        </w:rPr>
        <w:t>Abbeylara</w:t>
      </w:r>
      <w:proofErr w:type="spellEnd"/>
      <w:r w:rsidRPr="00D744D2">
        <w:rPr>
          <w:rFonts w:ascii="Arial" w:hAnsi="Arial" w:cs="Arial"/>
        </w:rPr>
        <w:t xml:space="preserve"> incident (2000) and the subsequent Barr Tribunal (2006) drove reforms in training, mental</w:t>
      </w:r>
      <w:r>
        <w:rPr>
          <w:rFonts w:ascii="Arial" w:hAnsi="Arial" w:cs="Arial"/>
        </w:rPr>
        <w:t xml:space="preserve"> health interfaces, and dedicated communications support, embedding closer day-to-day working</w:t>
      </w:r>
      <w:r w:rsidRPr="00D744D2">
        <w:rPr>
          <w:rFonts w:ascii="Arial" w:hAnsi="Arial" w:cs="Arial"/>
        </w:rPr>
        <w:t xml:space="preserve"> across specialist units. These different reform pathways</w:t>
      </w:r>
      <w:r>
        <w:rPr>
          <w:rFonts w:ascii="Arial" w:hAnsi="Arial" w:cs="Arial"/>
        </w:rPr>
        <w:t xml:space="preserve">, UK siege-era standardisation and Ireland’s tribunal-led integration, </w:t>
      </w:r>
      <w:r w:rsidRPr="00D744D2">
        <w:rPr>
          <w:rFonts w:ascii="Arial" w:hAnsi="Arial" w:cs="Arial"/>
        </w:rPr>
        <w:t>continue to shape how SWP and AGS recruit, train, and operate today.</w:t>
      </w:r>
    </w:p>
    <w:p w14:paraId="35C6AD70" w14:textId="77777777" w:rsidR="00D744D2" w:rsidRPr="00D744D2" w:rsidRDefault="00D744D2" w:rsidP="00D744D2">
      <w:pPr>
        <w:spacing w:line="360" w:lineRule="auto"/>
        <w:rPr>
          <w:rFonts w:ascii="Arial" w:hAnsi="Arial" w:cs="Arial"/>
        </w:rPr>
      </w:pPr>
      <w:r w:rsidRPr="00D744D2">
        <w:rPr>
          <w:rFonts w:ascii="Arial" w:hAnsi="Arial" w:cs="Arial"/>
          <w:b/>
          <w:bCs/>
        </w:rPr>
        <w:t xml:space="preserve">2.5 Practitioner Recruitment (Objective 1) </w:t>
      </w:r>
    </w:p>
    <w:p w14:paraId="21F87383" w14:textId="2892D6C5" w:rsidR="00D744D2" w:rsidRPr="00D744D2" w:rsidRDefault="00D744D2" w:rsidP="00D744D2">
      <w:pPr>
        <w:spacing w:line="360" w:lineRule="auto"/>
        <w:rPr>
          <w:rFonts w:ascii="Arial" w:hAnsi="Arial" w:cs="Arial"/>
        </w:rPr>
      </w:pPr>
      <w:r w:rsidRPr="00D744D2">
        <w:rPr>
          <w:rFonts w:ascii="Arial" w:hAnsi="Arial" w:cs="Arial"/>
        </w:rPr>
        <w:t xml:space="preserve">The literature supports selecting for interpersonal competence, listening, empathy, emotional regulation, credibility, and sound judgement under pressure (Johnson </w:t>
      </w:r>
      <w:r w:rsidRPr="00D744D2">
        <w:rPr>
          <w:rFonts w:ascii="Arial" w:hAnsi="Arial" w:cs="Arial"/>
          <w:i/>
          <w:iCs/>
        </w:rPr>
        <w:t>et al</w:t>
      </w:r>
      <w:r w:rsidRPr="00D744D2">
        <w:rPr>
          <w:rFonts w:ascii="Arial" w:hAnsi="Arial" w:cs="Arial"/>
        </w:rPr>
        <w:t xml:space="preserve">., 2018; Grubb </w:t>
      </w:r>
      <w:r w:rsidRPr="00D744D2">
        <w:rPr>
          <w:rFonts w:ascii="Arial" w:hAnsi="Arial" w:cs="Arial"/>
          <w:i/>
          <w:iCs/>
        </w:rPr>
        <w:t>et al</w:t>
      </w:r>
      <w:r w:rsidRPr="00D744D2">
        <w:rPr>
          <w:rFonts w:ascii="Arial" w:hAnsi="Arial" w:cs="Arial"/>
        </w:rPr>
        <w:t xml:space="preserve">., 2017). </w:t>
      </w:r>
      <w:r>
        <w:rPr>
          <w:rFonts w:ascii="Arial" w:hAnsi="Arial" w:cs="Arial"/>
        </w:rPr>
        <w:t>Scenario-based</w:t>
      </w:r>
      <w:r w:rsidRPr="00D744D2">
        <w:rPr>
          <w:rFonts w:ascii="Arial" w:hAnsi="Arial" w:cs="Arial"/>
        </w:rPr>
        <w:t xml:space="preserve"> assessments and behavioural interviews help reveal these attributes, while psychological screening can identify resilience and risk factors. Although validated European tools are limited, clarity and consistency in standards, attention to mental</w:t>
      </w:r>
      <w:r w:rsidRPr="00D744D2">
        <w:rPr>
          <w:rFonts w:ascii="Arial" w:hAnsi="Arial" w:cs="Arial"/>
        </w:rPr>
        <w:noBreakHyphen/>
        <w:t>health awareness, and recognition of relevant operational experience are widely recommended.</w:t>
      </w:r>
    </w:p>
    <w:p w14:paraId="5374298D" w14:textId="2DC76FA0" w:rsidR="00D744D2" w:rsidRPr="00D744D2" w:rsidRDefault="00D744D2" w:rsidP="00D744D2">
      <w:pPr>
        <w:spacing w:line="360" w:lineRule="auto"/>
        <w:rPr>
          <w:rFonts w:ascii="Arial" w:hAnsi="Arial" w:cs="Arial"/>
        </w:rPr>
      </w:pPr>
      <w:r w:rsidRPr="00D744D2">
        <w:rPr>
          <w:rFonts w:ascii="Arial" w:hAnsi="Arial" w:cs="Arial"/>
        </w:rPr>
        <w:t xml:space="preserve">Recent practitioner evidence aligns with these criteria. In SWP, recruitment follows a structured pathway, including expression of interest, assessment, and a </w:t>
      </w:r>
      <w:r>
        <w:rPr>
          <w:rFonts w:ascii="Arial" w:hAnsi="Arial" w:cs="Arial"/>
        </w:rPr>
        <w:t>psychologist-led</w:t>
      </w:r>
      <w:r w:rsidRPr="00D744D2">
        <w:rPr>
          <w:rFonts w:ascii="Arial" w:hAnsi="Arial" w:cs="Arial"/>
        </w:rPr>
        <w:t xml:space="preserve"> interview, and is rated highly effective. Interviews have previously identified risk factors such as limited support networks or traumatic experiences. Tenure is in place, and the role is recognised as a specialist role. In AGS, divisional officers recommend three candidates per training place for central review. Selection priorities include communication, psychological resilience, mental</w:t>
      </w:r>
      <w:r w:rsidRPr="00D744D2">
        <w:rPr>
          <w:rFonts w:ascii="Arial" w:hAnsi="Arial" w:cs="Arial"/>
        </w:rPr>
        <w:noBreakHyphen/>
        <w:t xml:space="preserve">health awareness, and prior operational experience. A </w:t>
      </w:r>
      <w:r>
        <w:rPr>
          <w:rFonts w:ascii="Arial" w:hAnsi="Arial" w:cs="Arial"/>
        </w:rPr>
        <w:t>pre-selection</w:t>
      </w:r>
      <w:r w:rsidRPr="00D744D2">
        <w:rPr>
          <w:rFonts w:ascii="Arial" w:hAnsi="Arial" w:cs="Arial"/>
        </w:rPr>
        <w:t xml:space="preserve"> scenario is proposed to strengthen assessment, and tenure is also in place. These patterns support the literature’s emphasis on clear standards, scenario/behavioural testing, and appropriate psychological screening.</w:t>
      </w:r>
    </w:p>
    <w:p w14:paraId="2A6AF292" w14:textId="77777777" w:rsidR="00D744D2" w:rsidRPr="00D744D2" w:rsidRDefault="00D744D2" w:rsidP="00D744D2">
      <w:pPr>
        <w:spacing w:line="360" w:lineRule="auto"/>
        <w:rPr>
          <w:rFonts w:ascii="Arial" w:hAnsi="Arial" w:cs="Arial"/>
        </w:rPr>
      </w:pPr>
      <w:r w:rsidRPr="00D744D2">
        <w:rPr>
          <w:rFonts w:ascii="Arial" w:hAnsi="Arial" w:cs="Arial"/>
          <w:b/>
          <w:bCs/>
        </w:rPr>
        <w:t xml:space="preserve">2.6 Professional Development (Objective 2) </w:t>
      </w:r>
    </w:p>
    <w:p w14:paraId="63E8978A" w14:textId="715B83BC" w:rsidR="00D744D2" w:rsidRPr="00D744D2" w:rsidRDefault="00D744D2" w:rsidP="00D744D2">
      <w:pPr>
        <w:spacing w:line="360" w:lineRule="auto"/>
        <w:rPr>
          <w:rFonts w:ascii="Arial" w:hAnsi="Arial" w:cs="Arial"/>
        </w:rPr>
      </w:pPr>
      <w:r w:rsidRPr="00D744D2">
        <w:rPr>
          <w:rFonts w:ascii="Arial" w:hAnsi="Arial" w:cs="Arial"/>
        </w:rPr>
        <w:t xml:space="preserve">Training has moved from </w:t>
      </w:r>
      <w:r>
        <w:rPr>
          <w:rFonts w:ascii="Arial" w:hAnsi="Arial" w:cs="Arial"/>
        </w:rPr>
        <w:t>tactics-dominated content to communication-led</w:t>
      </w:r>
      <w:r w:rsidRPr="00D744D2">
        <w:rPr>
          <w:rFonts w:ascii="Arial" w:hAnsi="Arial" w:cs="Arial"/>
        </w:rPr>
        <w:t xml:space="preserve">, psychologically informed curricula aligned to BISM, tactical empathy, and deliberate pacing (McMains, 2014). Effective programmes combine classroom </w:t>
      </w:r>
      <w:r>
        <w:rPr>
          <w:rFonts w:ascii="Arial" w:hAnsi="Arial" w:cs="Arial"/>
        </w:rPr>
        <w:t xml:space="preserve">instruction with coached simulations, observed feedback, and regular recertification; they also include specific mental </w:t>
      </w:r>
      <w:r w:rsidRPr="00D744D2">
        <w:rPr>
          <w:rFonts w:ascii="Arial" w:hAnsi="Arial" w:cs="Arial"/>
        </w:rPr>
        <w:t>health content, particularly suicide intervention, and aim to link training outcomes to field performance (Alexander and Klein, 2010).</w:t>
      </w:r>
    </w:p>
    <w:p w14:paraId="6D0A746D" w14:textId="7EEE7BCC" w:rsidR="00D744D2" w:rsidRPr="00D744D2" w:rsidRDefault="00D744D2" w:rsidP="00D744D2">
      <w:pPr>
        <w:spacing w:line="360" w:lineRule="auto"/>
        <w:rPr>
          <w:rFonts w:ascii="Arial" w:hAnsi="Arial" w:cs="Arial"/>
        </w:rPr>
      </w:pPr>
      <w:r w:rsidRPr="00D744D2">
        <w:rPr>
          <w:rFonts w:ascii="Arial" w:hAnsi="Arial" w:cs="Arial"/>
        </w:rPr>
        <w:lastRenderedPageBreak/>
        <w:t>Both police services report comprehensive initial training, strong CPD, and yearly assessment. SWP describes “highly comprehensive” and “seamlessly integrated” training with realistic scenario testing and exploration of virtual reality, plus joint CPD with neighbouring forces, for example, Red Centre/Op Illicium. AGS describes “highly comprehensive” and “well integrated” training with minor gaps, the introduction of working</w:t>
      </w:r>
      <w:r w:rsidRPr="00D744D2">
        <w:rPr>
          <w:rFonts w:ascii="Arial" w:hAnsi="Arial" w:cs="Arial"/>
        </w:rPr>
        <w:noBreakHyphen/>
        <w:t>at</w:t>
      </w:r>
      <w:r w:rsidRPr="00D744D2">
        <w:rPr>
          <w:rFonts w:ascii="Arial" w:hAnsi="Arial" w:cs="Arial"/>
        </w:rPr>
        <w:noBreakHyphen/>
        <w:t>height modules delivered with the Emergency Response Unit (ERU) rope</w:t>
      </w:r>
      <w:r w:rsidRPr="00D744D2">
        <w:rPr>
          <w:rFonts w:ascii="Arial" w:hAnsi="Arial" w:cs="Arial"/>
        </w:rPr>
        <w:noBreakHyphen/>
        <w:t xml:space="preserve">access team, and a proposed negotiator deployment card to standardise </w:t>
      </w:r>
      <w:r>
        <w:rPr>
          <w:rFonts w:ascii="Arial" w:hAnsi="Arial" w:cs="Arial"/>
        </w:rPr>
        <w:t>callouts</w:t>
      </w:r>
      <w:r w:rsidRPr="00D744D2">
        <w:rPr>
          <w:rFonts w:ascii="Arial" w:hAnsi="Arial" w:cs="Arial"/>
        </w:rPr>
        <w:t xml:space="preserve">. The AGS respondent noted that recertification can slip into compliance rather than developmental refresh, observing that some </w:t>
      </w:r>
      <w:r>
        <w:rPr>
          <w:rFonts w:ascii="Arial" w:hAnsi="Arial" w:cs="Arial"/>
        </w:rPr>
        <w:t>long-time</w:t>
      </w:r>
      <w:r w:rsidRPr="00D744D2">
        <w:rPr>
          <w:rFonts w:ascii="Arial" w:hAnsi="Arial" w:cs="Arial"/>
        </w:rPr>
        <w:t xml:space="preserve"> cadre members may develop different practices over time. Therefore, observed practice with coached feedback and clear rubrics is important to keep learning active and aligned with field performance. </w:t>
      </w:r>
    </w:p>
    <w:p w14:paraId="45217DFF" w14:textId="77777777" w:rsidR="00D744D2" w:rsidRPr="00D744D2" w:rsidRDefault="00D744D2" w:rsidP="00D744D2">
      <w:pPr>
        <w:spacing w:line="360" w:lineRule="auto"/>
        <w:rPr>
          <w:rFonts w:ascii="Arial" w:hAnsi="Arial" w:cs="Arial"/>
        </w:rPr>
      </w:pPr>
      <w:r w:rsidRPr="00D744D2">
        <w:rPr>
          <w:rFonts w:ascii="Arial" w:hAnsi="Arial" w:cs="Arial"/>
          <w:b/>
          <w:bCs/>
        </w:rPr>
        <w:t xml:space="preserve">2.7 Operational Practice (Objective 3) </w:t>
      </w:r>
    </w:p>
    <w:p w14:paraId="30EB77FA" w14:textId="554C5B13" w:rsidR="00D744D2" w:rsidRPr="00D744D2" w:rsidRDefault="00D744D2" w:rsidP="00D744D2">
      <w:pPr>
        <w:spacing w:line="360" w:lineRule="auto"/>
        <w:rPr>
          <w:rFonts w:ascii="Arial" w:hAnsi="Arial" w:cs="Arial"/>
        </w:rPr>
      </w:pPr>
      <w:r w:rsidRPr="00D744D2">
        <w:rPr>
          <w:rFonts w:ascii="Arial" w:hAnsi="Arial" w:cs="Arial"/>
        </w:rPr>
        <w:t xml:space="preserve">The negotiation-first doctrine uses time to </w:t>
      </w:r>
      <w:r>
        <w:rPr>
          <w:rFonts w:ascii="Arial" w:hAnsi="Arial" w:cs="Arial"/>
        </w:rPr>
        <w:t>de-escalate</w:t>
      </w:r>
      <w:r w:rsidRPr="00D744D2">
        <w:rPr>
          <w:rFonts w:ascii="Arial" w:hAnsi="Arial" w:cs="Arial"/>
        </w:rPr>
        <w:t xml:space="preserve">, gather intelligence, and protect life, with clear roles for commanders and negotiators and explicit thresholds for any tactical shift (Noesner, 2010). </w:t>
      </w:r>
      <w:r>
        <w:rPr>
          <w:rFonts w:ascii="Arial" w:hAnsi="Arial" w:cs="Arial"/>
        </w:rPr>
        <w:t>Over-scripted</w:t>
      </w:r>
      <w:r w:rsidRPr="00D744D2">
        <w:rPr>
          <w:rFonts w:ascii="Arial" w:hAnsi="Arial" w:cs="Arial"/>
        </w:rPr>
        <w:t xml:space="preserve"> approaches can fail where psychosis, intoxication, or neurodiversity are present, with flexible adaptations and timely clinical inputs being advised (McMains, 2014; Walker, 2023). </w:t>
      </w:r>
    </w:p>
    <w:p w14:paraId="54669194" w14:textId="693979F2" w:rsidR="00D744D2" w:rsidRPr="00D744D2" w:rsidRDefault="00D744D2" w:rsidP="00D744D2">
      <w:pPr>
        <w:spacing w:line="360" w:lineRule="auto"/>
        <w:rPr>
          <w:rFonts w:ascii="Arial" w:hAnsi="Arial" w:cs="Arial"/>
        </w:rPr>
      </w:pPr>
      <w:r w:rsidRPr="00D744D2">
        <w:rPr>
          <w:rFonts w:ascii="Arial" w:hAnsi="Arial" w:cs="Arial"/>
        </w:rPr>
        <w:t xml:space="preserve">Organisational design differs across the two cases. In South Wales Police (SWP), practice emphasises highly standardised protocols and a dedicated 24/7 </w:t>
      </w:r>
      <w:r>
        <w:rPr>
          <w:rFonts w:ascii="Arial" w:hAnsi="Arial" w:cs="Arial"/>
        </w:rPr>
        <w:t>on-call</w:t>
      </w:r>
      <w:r w:rsidRPr="00D744D2">
        <w:rPr>
          <w:rFonts w:ascii="Arial" w:hAnsi="Arial" w:cs="Arial"/>
        </w:rPr>
        <w:t xml:space="preserve"> negotiator rota, supported by a negotiator vehicle and comprehensive access to historical information via a negotiator returns system. In </w:t>
      </w:r>
      <w:proofErr w:type="gramStart"/>
      <w:r w:rsidRPr="00D744D2">
        <w:rPr>
          <w:rFonts w:ascii="Arial" w:hAnsi="Arial" w:cs="Arial"/>
        </w:rPr>
        <w:t>An</w:t>
      </w:r>
      <w:proofErr w:type="gramEnd"/>
      <w:r w:rsidRPr="00D744D2">
        <w:rPr>
          <w:rFonts w:ascii="Arial" w:hAnsi="Arial" w:cs="Arial"/>
        </w:rPr>
        <w:t xml:space="preserve"> Garda Síochána (AGS), practice centres on a </w:t>
      </w:r>
      <w:r>
        <w:rPr>
          <w:rFonts w:ascii="Arial" w:hAnsi="Arial" w:cs="Arial"/>
        </w:rPr>
        <w:t>full-time</w:t>
      </w:r>
      <w:r w:rsidRPr="00D744D2">
        <w:rPr>
          <w:rFonts w:ascii="Arial" w:hAnsi="Arial" w:cs="Arial"/>
        </w:rPr>
        <w:t xml:space="preserve"> embedded unit of four within Special Tactics and Operations Command (STOC), integrated day</w:t>
      </w:r>
      <w:r w:rsidRPr="00D744D2">
        <w:rPr>
          <w:rFonts w:ascii="Arial" w:hAnsi="Arial" w:cs="Arial"/>
        </w:rPr>
        <w:noBreakHyphen/>
        <w:t>to</w:t>
      </w:r>
      <w:r w:rsidRPr="00D744D2">
        <w:rPr>
          <w:rFonts w:ascii="Arial" w:hAnsi="Arial" w:cs="Arial"/>
        </w:rPr>
        <w:noBreakHyphen/>
        <w:t>day with the Armed Support Unit (ASU) and the Emergency Response Unit (ERU). Coverage includes a 24/7 National Negotiation Unit (NNU) presence, with regional negotiators responding individually on a voluntary basis. Coordination is described by the respondent as “excellent” and “seamless,” with practitioner discretion applied within agreed parameters.</w:t>
      </w:r>
    </w:p>
    <w:p w14:paraId="7DEBB9D9" w14:textId="77777777" w:rsidR="00D744D2" w:rsidRPr="00D744D2" w:rsidRDefault="00D744D2" w:rsidP="00D744D2">
      <w:pPr>
        <w:spacing w:line="360" w:lineRule="auto"/>
        <w:rPr>
          <w:rFonts w:ascii="Arial" w:hAnsi="Arial" w:cs="Arial"/>
        </w:rPr>
      </w:pPr>
      <w:r w:rsidRPr="00D744D2">
        <w:rPr>
          <w:rFonts w:ascii="Arial" w:hAnsi="Arial" w:cs="Arial"/>
          <w:b/>
          <w:bCs/>
        </w:rPr>
        <w:t xml:space="preserve">2.8 Technological Integration (Objective 4) </w:t>
      </w:r>
    </w:p>
    <w:p w14:paraId="5745A6ED" w14:textId="49B3F62C" w:rsidR="00D744D2" w:rsidRPr="00D744D2" w:rsidRDefault="00D744D2" w:rsidP="00D744D2">
      <w:pPr>
        <w:spacing w:line="360" w:lineRule="auto"/>
        <w:rPr>
          <w:rFonts w:ascii="Arial" w:hAnsi="Arial" w:cs="Arial"/>
        </w:rPr>
      </w:pPr>
      <w:r w:rsidRPr="00D744D2">
        <w:rPr>
          <w:rFonts w:ascii="Arial" w:hAnsi="Arial" w:cs="Arial"/>
        </w:rPr>
        <w:t>Technology should support, not overshadow, the human skills at the heart of negotiation—especially trust</w:t>
      </w:r>
      <w:r w:rsidRPr="00D744D2">
        <w:rPr>
          <w:rFonts w:ascii="Arial" w:hAnsi="Arial" w:cs="Arial"/>
        </w:rPr>
        <w:noBreakHyphen/>
        <w:t xml:space="preserve">building (Shinder, 2009). Reliable </w:t>
      </w:r>
      <w:r>
        <w:rPr>
          <w:rFonts w:ascii="Arial" w:hAnsi="Arial" w:cs="Arial"/>
        </w:rPr>
        <w:t>communication, integrated with real-time intelligence and secure recording, can enhance coordination and post-incident</w:t>
      </w:r>
      <w:r w:rsidRPr="00D744D2">
        <w:rPr>
          <w:rFonts w:ascii="Arial" w:hAnsi="Arial" w:cs="Arial"/>
        </w:rPr>
        <w:t xml:space="preserve"> learning, provided governance protects privacy, disclosure duties, and legitimacy (ICO, 2024). </w:t>
      </w:r>
      <w:r>
        <w:rPr>
          <w:rFonts w:ascii="Arial" w:hAnsi="Arial" w:cs="Arial"/>
        </w:rPr>
        <w:t>Body-worn</w:t>
      </w:r>
      <w:r w:rsidRPr="00D744D2">
        <w:rPr>
          <w:rFonts w:ascii="Arial" w:hAnsi="Arial" w:cs="Arial"/>
        </w:rPr>
        <w:t xml:space="preserve"> video (BWV) can be operationally useful but may inhibit rapport or invite unhelpful remote involvement; covert or less intrusive options may reduce those risks. Emerging tools, such as live streaming, collaborative platforms, </w:t>
      </w:r>
      <w:r>
        <w:rPr>
          <w:rFonts w:ascii="Arial" w:hAnsi="Arial" w:cs="Arial"/>
        </w:rPr>
        <w:t>Wi-Fi audio-video</w:t>
      </w:r>
      <w:r w:rsidRPr="00D744D2">
        <w:rPr>
          <w:rFonts w:ascii="Arial" w:hAnsi="Arial" w:cs="Arial"/>
        </w:rPr>
        <w:t xml:space="preserve"> devices, and availability </w:t>
      </w:r>
      <w:r w:rsidRPr="00D744D2">
        <w:rPr>
          <w:rFonts w:ascii="Arial" w:hAnsi="Arial" w:cs="Arial"/>
        </w:rPr>
        <w:lastRenderedPageBreak/>
        <w:t>apps, should be assessed for reliability, redundancy, auditability, and their impact on pacing and empathy (Kennedy, 2025).</w:t>
      </w:r>
    </w:p>
    <w:p w14:paraId="2621BDEC" w14:textId="3B4B5E49" w:rsidR="00D744D2" w:rsidRPr="00D744D2" w:rsidRDefault="00D744D2" w:rsidP="00D744D2">
      <w:pPr>
        <w:spacing w:line="360" w:lineRule="auto"/>
        <w:rPr>
          <w:rFonts w:ascii="Arial" w:hAnsi="Arial" w:cs="Arial"/>
        </w:rPr>
      </w:pPr>
      <w:r>
        <w:rPr>
          <w:rFonts w:ascii="Arial" w:hAnsi="Arial" w:cs="Arial"/>
        </w:rPr>
        <w:t>At South Wales Police (SWP), practitioners report the active use of live streaming and Microsoft Teams to support real-time</w:t>
      </w:r>
      <w:r w:rsidRPr="00D744D2">
        <w:rPr>
          <w:rFonts w:ascii="Arial" w:hAnsi="Arial" w:cs="Arial"/>
        </w:rPr>
        <w:t xml:space="preserve"> coordination. BWV is rated effective for situational awareness but is noted as a potential barrier to rapport and as a trigger for unhelpful remote involvement (for example, Tactical Firearms Commander (TFC) or Force Incident Manager (FIM) observing in). Battery life is cited as a practical constraint. SWP also reports mobile command capability, reliable access to </w:t>
      </w:r>
      <w:r>
        <w:rPr>
          <w:rFonts w:ascii="Arial" w:hAnsi="Arial" w:cs="Arial"/>
        </w:rPr>
        <w:t>real-time</w:t>
      </w:r>
      <w:r w:rsidRPr="00D744D2">
        <w:rPr>
          <w:rFonts w:ascii="Arial" w:hAnsi="Arial" w:cs="Arial"/>
        </w:rPr>
        <w:t xml:space="preserve"> intelligence, strong access to historical information via a negotiator returns system and identifies drones as beneficial for incidents at height.</w:t>
      </w:r>
    </w:p>
    <w:p w14:paraId="777FC8D1" w14:textId="3BE04DF3" w:rsidR="00D744D2" w:rsidRPr="00D744D2" w:rsidRDefault="00D744D2" w:rsidP="00D744D2">
      <w:pPr>
        <w:spacing w:line="360" w:lineRule="auto"/>
        <w:rPr>
          <w:rFonts w:ascii="Arial" w:hAnsi="Arial" w:cs="Arial"/>
        </w:rPr>
      </w:pPr>
      <w:r w:rsidRPr="00D744D2">
        <w:rPr>
          <w:rFonts w:ascii="Arial" w:hAnsi="Arial" w:cs="Arial"/>
        </w:rPr>
        <w:t xml:space="preserve">In </w:t>
      </w:r>
      <w:proofErr w:type="gramStart"/>
      <w:r w:rsidRPr="00D744D2">
        <w:rPr>
          <w:rFonts w:ascii="Arial" w:hAnsi="Arial" w:cs="Arial"/>
        </w:rPr>
        <w:t>An</w:t>
      </w:r>
      <w:proofErr w:type="gramEnd"/>
      <w:r w:rsidRPr="00D744D2">
        <w:rPr>
          <w:rFonts w:ascii="Arial" w:hAnsi="Arial" w:cs="Arial"/>
        </w:rPr>
        <w:t xml:space="preserve"> Garda Síochána (AGS), practitioners report BWV trials with limited perceived effectiveness and note that visible indicators, such as a blinking recording light, may alarm paranoid subjects, strengthening the case for covert or less intrusive options. AGS uses PULSE and a negotiator database to record Hostage/Barricade/Siege (HBS) incidents, with CLIO being introduced to improve information access. The service is exploring a </w:t>
      </w:r>
      <w:r>
        <w:rPr>
          <w:rFonts w:ascii="Arial" w:hAnsi="Arial" w:cs="Arial"/>
        </w:rPr>
        <w:t>Wi-Fi audio–video “ball” for situational awareness and is interested in a real-time availability app aligned with</w:t>
      </w:r>
      <w:r w:rsidRPr="00D744D2">
        <w:rPr>
          <w:rFonts w:ascii="Arial" w:hAnsi="Arial" w:cs="Arial"/>
        </w:rPr>
        <w:t xml:space="preserve"> current Dutch practice. Mobile command units and digital communication platforms are also in use.</w:t>
      </w:r>
    </w:p>
    <w:p w14:paraId="7C480211" w14:textId="77777777" w:rsidR="00D744D2" w:rsidRPr="00D744D2" w:rsidRDefault="00D744D2" w:rsidP="00D744D2">
      <w:pPr>
        <w:spacing w:line="360" w:lineRule="auto"/>
        <w:rPr>
          <w:rFonts w:ascii="Arial" w:hAnsi="Arial" w:cs="Arial"/>
        </w:rPr>
      </w:pPr>
      <w:r w:rsidRPr="00D744D2">
        <w:rPr>
          <w:rFonts w:ascii="Arial" w:hAnsi="Arial" w:cs="Arial"/>
        </w:rPr>
        <w:t>Taken together, these choices are evaluated for reliability and redundancy of communications, auditability and governance of any recording, and their effect on rapport and pacing during live negotiations. The analysis treats tools as enabling when they strengthen listening, empathy, and time protection, and as problematic when they risk inhibiting trust or encouraging counterproductive remote direction.</w:t>
      </w:r>
    </w:p>
    <w:p w14:paraId="71844806" w14:textId="77777777" w:rsidR="00D744D2" w:rsidRPr="00D744D2" w:rsidRDefault="00D744D2" w:rsidP="00D744D2">
      <w:pPr>
        <w:spacing w:line="360" w:lineRule="auto"/>
        <w:rPr>
          <w:rFonts w:ascii="Arial" w:hAnsi="Arial" w:cs="Arial"/>
        </w:rPr>
      </w:pPr>
      <w:r w:rsidRPr="00D744D2">
        <w:rPr>
          <w:rFonts w:ascii="Arial" w:hAnsi="Arial" w:cs="Arial"/>
          <w:b/>
          <w:bCs/>
        </w:rPr>
        <w:t>2.9 Post</w:t>
      </w:r>
      <w:r w:rsidRPr="00D744D2">
        <w:rPr>
          <w:rFonts w:ascii="Arial" w:hAnsi="Arial" w:cs="Arial"/>
          <w:b/>
          <w:bCs/>
        </w:rPr>
        <w:noBreakHyphen/>
        <w:t xml:space="preserve">Incident Support and Organisational Learning (Objective 5) </w:t>
      </w:r>
    </w:p>
    <w:p w14:paraId="7ACC0623" w14:textId="2A743FE2" w:rsidR="00D744D2" w:rsidRPr="00D744D2" w:rsidRDefault="00D744D2" w:rsidP="00D744D2">
      <w:pPr>
        <w:spacing w:line="360" w:lineRule="auto"/>
        <w:rPr>
          <w:rFonts w:ascii="Arial" w:hAnsi="Arial" w:cs="Arial"/>
        </w:rPr>
      </w:pPr>
      <w:r w:rsidRPr="00D744D2">
        <w:rPr>
          <w:rFonts w:ascii="Arial" w:hAnsi="Arial" w:cs="Arial"/>
        </w:rPr>
        <w:t xml:space="preserve">The literature distinguishes between two intertwined needs after critical incidents: organisational learning and psychological welfare. Effective systems provide structured operational debriefs, predictable access to counselling and peer support, and mechanisms that turn lessons into doctrine, training, and system change rather than leaving them as informal insights (Vecchi </w:t>
      </w:r>
      <w:r w:rsidRPr="00D744D2">
        <w:rPr>
          <w:rFonts w:ascii="Arial" w:hAnsi="Arial" w:cs="Arial"/>
          <w:i/>
          <w:iCs/>
        </w:rPr>
        <w:t>et al</w:t>
      </w:r>
      <w:r w:rsidRPr="00D744D2">
        <w:rPr>
          <w:rFonts w:ascii="Arial" w:hAnsi="Arial" w:cs="Arial"/>
        </w:rPr>
        <w:t xml:space="preserve">., 2019). In the Irish context, </w:t>
      </w:r>
      <w:r>
        <w:rPr>
          <w:rFonts w:ascii="Arial" w:hAnsi="Arial" w:cs="Arial"/>
        </w:rPr>
        <w:t>inquiry-driven</w:t>
      </w:r>
      <w:r w:rsidRPr="00D744D2">
        <w:rPr>
          <w:rFonts w:ascii="Arial" w:hAnsi="Arial" w:cs="Arial"/>
        </w:rPr>
        <w:t xml:space="preserve"> reform has shown how external oversight can hard</w:t>
      </w:r>
      <w:r w:rsidRPr="00D744D2">
        <w:rPr>
          <w:rFonts w:ascii="Arial" w:hAnsi="Arial" w:cs="Arial"/>
        </w:rPr>
        <w:noBreakHyphen/>
        <w:t>wire learning into policy and practice (Barr Tribunal, 2006). In a mental</w:t>
      </w:r>
      <w:r>
        <w:rPr>
          <w:rFonts w:ascii="Arial" w:hAnsi="Arial" w:cs="Arial"/>
        </w:rPr>
        <w:t xml:space="preserve"> health-led</w:t>
      </w:r>
      <w:r w:rsidRPr="00D744D2">
        <w:rPr>
          <w:rFonts w:ascii="Arial" w:hAnsi="Arial" w:cs="Arial"/>
        </w:rPr>
        <w:t xml:space="preserve"> demand environment, both welfare safeguards and visible “lessons</w:t>
      </w:r>
      <w:r w:rsidRPr="00D744D2">
        <w:rPr>
          <w:rFonts w:ascii="Arial" w:hAnsi="Arial" w:cs="Arial"/>
        </w:rPr>
        <w:noBreakHyphen/>
        <w:t>to</w:t>
      </w:r>
      <w:r w:rsidRPr="00D744D2">
        <w:rPr>
          <w:rFonts w:ascii="Arial" w:hAnsi="Arial" w:cs="Arial"/>
        </w:rPr>
        <w:noBreakHyphen/>
        <w:t>doctrine” loops are central to practitioner resilience and public legitimacy.</w:t>
      </w:r>
    </w:p>
    <w:p w14:paraId="00146594" w14:textId="55F7538D" w:rsidR="00D744D2" w:rsidRPr="00D744D2" w:rsidRDefault="00D744D2" w:rsidP="00D744D2">
      <w:pPr>
        <w:spacing w:line="360" w:lineRule="auto"/>
        <w:rPr>
          <w:rFonts w:ascii="Arial" w:hAnsi="Arial" w:cs="Arial"/>
        </w:rPr>
      </w:pPr>
      <w:r w:rsidRPr="00D744D2">
        <w:rPr>
          <w:rFonts w:ascii="Arial" w:hAnsi="Arial" w:cs="Arial"/>
        </w:rPr>
        <w:t xml:space="preserve">In South Wales Police (SWP), the respondent describes that comprehensive welfare provision, counselling, and peer support are available, and reports “comprehensive </w:t>
      </w:r>
      <w:r w:rsidRPr="00D744D2">
        <w:rPr>
          <w:rFonts w:ascii="Arial" w:hAnsi="Arial" w:cs="Arial"/>
        </w:rPr>
        <w:lastRenderedPageBreak/>
        <w:t xml:space="preserve">debriefing from traumatic incidents.” Support for victims, families, and affected communities is rated as “generally effective but could be enhanced.” However, the application of lessons is described as “limited with few implemented changes.” A </w:t>
      </w:r>
      <w:r>
        <w:rPr>
          <w:rFonts w:ascii="Arial" w:hAnsi="Arial" w:cs="Arial"/>
        </w:rPr>
        <w:t>close-knit</w:t>
      </w:r>
      <w:r w:rsidRPr="00D744D2">
        <w:rPr>
          <w:rFonts w:ascii="Arial" w:hAnsi="Arial" w:cs="Arial"/>
        </w:rPr>
        <w:t xml:space="preserve"> cadre is identified as a strength that enhances informal support, but the data suggest that formal learning loops (tracking actions through to updates in doctrine, training, and systems) remain underdeveloped.</w:t>
      </w:r>
    </w:p>
    <w:p w14:paraId="298991CB" w14:textId="637BC192" w:rsidR="00D744D2" w:rsidRPr="00D744D2" w:rsidRDefault="00D744D2" w:rsidP="00D744D2">
      <w:pPr>
        <w:spacing w:line="360" w:lineRule="auto"/>
        <w:rPr>
          <w:rFonts w:ascii="Arial" w:hAnsi="Arial" w:cs="Arial"/>
        </w:rPr>
      </w:pPr>
      <w:r w:rsidRPr="00D744D2">
        <w:rPr>
          <w:rFonts w:ascii="Arial" w:hAnsi="Arial" w:cs="Arial"/>
        </w:rPr>
        <w:t xml:space="preserve">In </w:t>
      </w:r>
      <w:proofErr w:type="gramStart"/>
      <w:r w:rsidRPr="00D744D2">
        <w:rPr>
          <w:rFonts w:ascii="Arial" w:hAnsi="Arial" w:cs="Arial"/>
        </w:rPr>
        <w:t>An</w:t>
      </w:r>
      <w:proofErr w:type="gramEnd"/>
      <w:r w:rsidRPr="00D744D2">
        <w:rPr>
          <w:rFonts w:ascii="Arial" w:hAnsi="Arial" w:cs="Arial"/>
        </w:rPr>
        <w:t xml:space="preserve"> Garda Síochána (AGS), the respondent likewise reports comprehensive welfare, counselling, peer support, routine debriefs, and rates debriefing as “generally effective but could be enhanced.” Support to victims, families, and communities is also judged “generally effective but could be enhanced.” As with SWP, AGS reports “limited learning with few implemented changes.” A specific improvement is proposed: appointing an external welfare </w:t>
      </w:r>
      <w:proofErr w:type="gramStart"/>
      <w:r w:rsidRPr="00D744D2">
        <w:rPr>
          <w:rFonts w:ascii="Arial" w:hAnsi="Arial" w:cs="Arial"/>
        </w:rPr>
        <w:t>lead</w:t>
      </w:r>
      <w:proofErr w:type="gramEnd"/>
      <w:r w:rsidRPr="00D744D2">
        <w:rPr>
          <w:rFonts w:ascii="Arial" w:hAnsi="Arial" w:cs="Arial"/>
        </w:rPr>
        <w:t xml:space="preserve"> to avoid conflicts of interest where National Negotiation Unit (NNU) staff were involved in the incident. Established practice includes unit debriefs, peer</w:t>
      </w:r>
      <w:r w:rsidRPr="00D744D2">
        <w:rPr>
          <w:rFonts w:ascii="Arial" w:hAnsi="Arial" w:cs="Arial"/>
        </w:rPr>
        <w:noBreakHyphen/>
        <w:t xml:space="preserve">support </w:t>
      </w:r>
      <w:r>
        <w:rPr>
          <w:rFonts w:ascii="Arial" w:hAnsi="Arial" w:cs="Arial"/>
        </w:rPr>
        <w:t>check-ups, and welfare check-ups, supported by strong day-to-day</w:t>
      </w:r>
      <w:r w:rsidRPr="00D744D2">
        <w:rPr>
          <w:rFonts w:ascii="Arial" w:hAnsi="Arial" w:cs="Arial"/>
        </w:rPr>
        <w:t xml:space="preserve"> relationships across units.</w:t>
      </w:r>
    </w:p>
    <w:p w14:paraId="1DAAE6FA" w14:textId="77777777" w:rsidR="00D744D2" w:rsidRPr="00D744D2" w:rsidRDefault="00D744D2" w:rsidP="00D744D2">
      <w:pPr>
        <w:spacing w:line="360" w:lineRule="auto"/>
        <w:rPr>
          <w:rFonts w:ascii="Arial" w:hAnsi="Arial" w:cs="Arial"/>
        </w:rPr>
      </w:pPr>
      <w:r w:rsidRPr="00D744D2">
        <w:rPr>
          <w:rFonts w:ascii="Arial" w:hAnsi="Arial" w:cs="Arial"/>
          <w:b/>
          <w:bCs/>
        </w:rPr>
        <w:t xml:space="preserve">2.10 Synthesis and Evaluative Criteria for the Dissertation </w:t>
      </w:r>
    </w:p>
    <w:p w14:paraId="406BB7D9" w14:textId="77777777" w:rsidR="00D744D2" w:rsidRPr="00D744D2" w:rsidRDefault="00D744D2" w:rsidP="00D744D2">
      <w:pPr>
        <w:spacing w:line="360" w:lineRule="auto"/>
        <w:rPr>
          <w:rFonts w:ascii="Arial" w:hAnsi="Arial" w:cs="Arial"/>
        </w:rPr>
      </w:pPr>
      <w:r w:rsidRPr="00D744D2">
        <w:rPr>
          <w:rFonts w:ascii="Arial" w:hAnsi="Arial" w:cs="Arial"/>
        </w:rPr>
        <w:t xml:space="preserve">This section reviews the literature and establishes the criteria for comparing South Wales Police (SWP) and </w:t>
      </w:r>
      <w:proofErr w:type="gramStart"/>
      <w:r w:rsidRPr="00D744D2">
        <w:rPr>
          <w:rFonts w:ascii="Arial" w:hAnsi="Arial" w:cs="Arial"/>
        </w:rPr>
        <w:t>An</w:t>
      </w:r>
      <w:proofErr w:type="gramEnd"/>
      <w:r w:rsidRPr="00D744D2">
        <w:rPr>
          <w:rFonts w:ascii="Arial" w:hAnsi="Arial" w:cs="Arial"/>
        </w:rPr>
        <w:t xml:space="preserve"> Garda Síochána (AGS). Three themes stand out. First, credibility, empathy, and deliberate use of time are the backbone of safe negotiation, shaping who is recruited, how people are trained, and how decisions are paced in live incidents (Vecchi </w:t>
      </w:r>
      <w:r w:rsidRPr="00D744D2">
        <w:rPr>
          <w:rFonts w:ascii="Arial" w:hAnsi="Arial" w:cs="Arial"/>
          <w:i/>
          <w:iCs/>
        </w:rPr>
        <w:t>et al</w:t>
      </w:r>
      <w:r w:rsidRPr="00D744D2">
        <w:rPr>
          <w:rFonts w:ascii="Arial" w:hAnsi="Arial" w:cs="Arial"/>
        </w:rPr>
        <w:t xml:space="preserve">., 2005; Ireland and Vecchi, 2009; </w:t>
      </w:r>
      <w:proofErr w:type="spellStart"/>
      <w:r w:rsidRPr="00D744D2">
        <w:rPr>
          <w:rFonts w:ascii="Arial" w:hAnsi="Arial" w:cs="Arial"/>
        </w:rPr>
        <w:t>Noesner</w:t>
      </w:r>
      <w:proofErr w:type="spellEnd"/>
      <w:r w:rsidRPr="00D744D2">
        <w:rPr>
          <w:rFonts w:ascii="Arial" w:hAnsi="Arial" w:cs="Arial"/>
        </w:rPr>
        <w:t>, 2010). Second, governance matters: clear roles, auditable decisions, and proportionate use of technology protect legitimacy, especially in sensitive public contexts where perceived bias can erode trust (</w:t>
      </w:r>
      <w:proofErr w:type="spellStart"/>
      <w:r w:rsidRPr="00D744D2">
        <w:rPr>
          <w:rFonts w:ascii="Arial" w:hAnsi="Arial" w:cs="Arial"/>
        </w:rPr>
        <w:t>Shieber</w:t>
      </w:r>
      <w:proofErr w:type="spellEnd"/>
      <w:r w:rsidRPr="00D744D2">
        <w:rPr>
          <w:rFonts w:ascii="Arial" w:hAnsi="Arial" w:cs="Arial"/>
        </w:rPr>
        <w:t xml:space="preserve">, 2019; ICO, 2024). Third, systems that learn through structured debriefing, visible implementation of lessons, and attention to welfare perform better than those that rely on informal or ad hoc processes (Vecchi </w:t>
      </w:r>
      <w:r w:rsidRPr="00D744D2">
        <w:rPr>
          <w:rFonts w:ascii="Arial" w:hAnsi="Arial" w:cs="Arial"/>
          <w:i/>
          <w:iCs/>
        </w:rPr>
        <w:t>et al</w:t>
      </w:r>
      <w:r w:rsidRPr="00D744D2">
        <w:rPr>
          <w:rFonts w:ascii="Arial" w:hAnsi="Arial" w:cs="Arial"/>
        </w:rPr>
        <w:t>., 2019).</w:t>
      </w:r>
    </w:p>
    <w:p w14:paraId="7F78CE0E" w14:textId="5E886667" w:rsidR="00D744D2" w:rsidRPr="00D744D2" w:rsidRDefault="00D744D2" w:rsidP="00D744D2">
      <w:pPr>
        <w:spacing w:line="360" w:lineRule="auto"/>
        <w:rPr>
          <w:rFonts w:ascii="Arial" w:hAnsi="Arial" w:cs="Arial"/>
        </w:rPr>
      </w:pPr>
      <w:r w:rsidRPr="00D744D2">
        <w:rPr>
          <w:rFonts w:ascii="Arial" w:hAnsi="Arial" w:cs="Arial"/>
        </w:rPr>
        <w:t>Drawing on these themes, the dissertation applies five evaluative criteria that mirror the objectives. For recruitment, the focus is on clear standards and on whether listening, empathy, credibility, and emotional regulation are assessed in practice</w:t>
      </w:r>
      <w:r>
        <w:rPr>
          <w:rFonts w:ascii="Arial" w:hAnsi="Arial" w:cs="Arial"/>
        </w:rPr>
        <w:t xml:space="preserve">, for example, through scenarios and appropriate psychological screening, alongside attention to mental </w:t>
      </w:r>
      <w:r w:rsidRPr="00D744D2">
        <w:rPr>
          <w:rFonts w:ascii="Arial" w:hAnsi="Arial" w:cs="Arial"/>
        </w:rPr>
        <w:t>health literacy and relevant operational experience. For professional development, the assessment looks for curricula aligned with BISM, tactical empathy, and deliberate pacing, supported by coached simulations, observed feedback, and recertification that develop practice rather than simply test recall, with a line of sight to field performance (Alexander and Klein, 2010; McMains, 2014). For operational practice, it tests whether the negotiation</w:t>
      </w:r>
      <w:r w:rsidRPr="00D744D2">
        <w:rPr>
          <w:rFonts w:ascii="Arial" w:hAnsi="Arial" w:cs="Arial"/>
        </w:rPr>
        <w:noBreakHyphen/>
        <w:t xml:space="preserve">first doctrine is protected by role clarity and tactical thresholds, whether time and intelligence are used </w:t>
      </w:r>
      <w:r w:rsidRPr="00D744D2">
        <w:rPr>
          <w:rFonts w:ascii="Arial" w:hAnsi="Arial" w:cs="Arial"/>
        </w:rPr>
        <w:lastRenderedPageBreak/>
        <w:t xml:space="preserve">deliberately, whether clinical input is brought in proportionately, and whether </w:t>
      </w:r>
      <w:r>
        <w:rPr>
          <w:rFonts w:ascii="Arial" w:hAnsi="Arial" w:cs="Arial"/>
        </w:rPr>
        <w:t>multi-agency</w:t>
      </w:r>
      <w:r w:rsidRPr="00D744D2">
        <w:rPr>
          <w:rFonts w:ascii="Arial" w:hAnsi="Arial" w:cs="Arial"/>
        </w:rPr>
        <w:t xml:space="preserve"> coordination supports safe decision</w:t>
      </w:r>
      <w:r w:rsidRPr="00D744D2">
        <w:rPr>
          <w:rFonts w:ascii="Arial" w:hAnsi="Arial" w:cs="Arial"/>
        </w:rPr>
        <w:noBreakHyphen/>
        <w:t>making (</w:t>
      </w:r>
      <w:proofErr w:type="spellStart"/>
      <w:r w:rsidRPr="00D744D2">
        <w:rPr>
          <w:rFonts w:ascii="Arial" w:hAnsi="Arial" w:cs="Arial"/>
        </w:rPr>
        <w:t>Noesner</w:t>
      </w:r>
      <w:proofErr w:type="spellEnd"/>
      <w:r w:rsidRPr="00D744D2">
        <w:rPr>
          <w:rFonts w:ascii="Arial" w:hAnsi="Arial" w:cs="Arial"/>
        </w:rPr>
        <w:t xml:space="preserve">, 2010; Walker, 2023). </w:t>
      </w:r>
    </w:p>
    <w:p w14:paraId="5885E133" w14:textId="6F9DAC07" w:rsidR="00D744D2" w:rsidRPr="00D744D2" w:rsidRDefault="00D744D2" w:rsidP="00D744D2">
      <w:pPr>
        <w:spacing w:line="360" w:lineRule="auto"/>
        <w:rPr>
          <w:rFonts w:ascii="Arial" w:hAnsi="Arial" w:cs="Arial"/>
        </w:rPr>
      </w:pPr>
      <w:r w:rsidRPr="00D744D2">
        <w:rPr>
          <w:rFonts w:ascii="Arial" w:hAnsi="Arial" w:cs="Arial"/>
        </w:rPr>
        <w:t xml:space="preserve">This study evaluates technological integration. It examines whether communication systems are reliable and have redundancy; whether tools support rapport and integrate real-time intelligence; and whether any recordings are properly governed and auditable in line with disclosure obligations (Shinder, 2009; ICO, 2024; Kennedy, 2025). For </w:t>
      </w:r>
      <w:r w:rsidR="00A40292">
        <w:rPr>
          <w:rFonts w:ascii="Arial" w:hAnsi="Arial" w:cs="Arial"/>
        </w:rPr>
        <w:t>post-incident</w:t>
      </w:r>
      <w:r w:rsidRPr="00D744D2">
        <w:rPr>
          <w:rFonts w:ascii="Arial" w:hAnsi="Arial" w:cs="Arial"/>
        </w:rPr>
        <w:t xml:space="preserve"> support, it distinguishes structured welfare from organisational learning and seeks mechanisms that convert debriefing observations into doctrine, training, and system change, with independence where needed (Barr Tribunal, 2006; Vecchi </w:t>
      </w:r>
      <w:r w:rsidRPr="00D744D2">
        <w:rPr>
          <w:rFonts w:ascii="Arial" w:hAnsi="Arial" w:cs="Arial"/>
          <w:i/>
          <w:iCs/>
        </w:rPr>
        <w:t>et al</w:t>
      </w:r>
      <w:r w:rsidRPr="00D744D2">
        <w:rPr>
          <w:rFonts w:ascii="Arial" w:hAnsi="Arial" w:cs="Arial"/>
        </w:rPr>
        <w:t>., 2019).</w:t>
      </w:r>
    </w:p>
    <w:p w14:paraId="231D53F2" w14:textId="6757885E" w:rsidR="00D744D2" w:rsidRDefault="00D744D2" w:rsidP="00D744D2">
      <w:pPr>
        <w:spacing w:line="360" w:lineRule="auto"/>
        <w:rPr>
          <w:rFonts w:ascii="Arial" w:hAnsi="Arial" w:cs="Arial"/>
        </w:rPr>
      </w:pPr>
      <w:r w:rsidRPr="00D744D2">
        <w:rPr>
          <w:rFonts w:ascii="Arial" w:hAnsi="Arial" w:cs="Arial"/>
        </w:rPr>
        <w:t>The practitioner evidence points to two immediate implications that sit within these criteria. Both respondents describe robust welfare but weak “lessons</w:t>
      </w:r>
      <w:r w:rsidRPr="00D744D2">
        <w:rPr>
          <w:rFonts w:ascii="Arial" w:hAnsi="Arial" w:cs="Arial"/>
        </w:rPr>
        <w:noBreakHyphen/>
        <w:t>to</w:t>
      </w:r>
      <w:r w:rsidRPr="00D744D2">
        <w:rPr>
          <w:rFonts w:ascii="Arial" w:hAnsi="Arial" w:cs="Arial"/>
        </w:rPr>
        <w:noBreakHyphen/>
        <w:t xml:space="preserve">doctrine” </w:t>
      </w:r>
      <w:r w:rsidR="00FF4EC9">
        <w:rPr>
          <w:rFonts w:ascii="Arial" w:hAnsi="Arial" w:cs="Arial"/>
        </w:rPr>
        <w:t>follow-through</w:t>
      </w:r>
      <w:r w:rsidRPr="00D744D2">
        <w:rPr>
          <w:rFonts w:ascii="Arial" w:hAnsi="Arial" w:cs="Arial"/>
        </w:rPr>
        <w:t xml:space="preserve">, indicating the value of visible action tracking and, in AGS, the potential role of independent welfare oversight. Both also prioritise reliable communication, while differing on </w:t>
      </w:r>
      <w:r w:rsidR="00FF4EC9">
        <w:rPr>
          <w:rFonts w:ascii="Arial" w:hAnsi="Arial" w:cs="Arial"/>
        </w:rPr>
        <w:t>body-worn</w:t>
      </w:r>
      <w:r w:rsidRPr="00D744D2">
        <w:rPr>
          <w:rFonts w:ascii="Arial" w:hAnsi="Arial" w:cs="Arial"/>
        </w:rPr>
        <w:t xml:space="preserve"> video due to rapport risks and governance needs. These observations refine how the criteria are applied in the comparative analysis that follows.</w:t>
      </w:r>
    </w:p>
    <w:p w14:paraId="483DC5B3" w14:textId="5744111A" w:rsidR="00FF4EC9" w:rsidRPr="00D744D2" w:rsidRDefault="00FF4EC9" w:rsidP="00D744D2">
      <w:pPr>
        <w:spacing w:line="360" w:lineRule="auto"/>
        <w:rPr>
          <w:rFonts w:ascii="Arial" w:hAnsi="Arial" w:cs="Arial"/>
        </w:rPr>
      </w:pPr>
      <w:r w:rsidRPr="00FF4EC9">
        <w:rPr>
          <w:rFonts w:ascii="Arial" w:hAnsi="Arial" w:cs="Arial"/>
        </w:rPr>
        <w:t xml:space="preserve">By fixing these criteria in advance, the study mitigates confirmation bias and enables </w:t>
      </w:r>
      <w:r w:rsidR="00872D0B">
        <w:rPr>
          <w:rFonts w:ascii="Arial" w:hAnsi="Arial" w:cs="Arial"/>
        </w:rPr>
        <w:t>like-for-like</w:t>
      </w:r>
      <w:r w:rsidRPr="00FF4EC9">
        <w:rPr>
          <w:rFonts w:ascii="Arial" w:hAnsi="Arial" w:cs="Arial"/>
        </w:rPr>
        <w:t xml:space="preserve"> assessment across structurally different organisational models.</w:t>
      </w:r>
    </w:p>
    <w:p w14:paraId="372A2C67" w14:textId="77777777" w:rsidR="00D744D2" w:rsidRPr="00D744D2" w:rsidRDefault="00D744D2" w:rsidP="00D744D2">
      <w:pPr>
        <w:spacing w:line="360" w:lineRule="auto"/>
        <w:rPr>
          <w:rFonts w:ascii="Arial" w:hAnsi="Arial" w:cs="Arial"/>
        </w:rPr>
      </w:pPr>
      <w:r w:rsidRPr="00D744D2">
        <w:rPr>
          <w:rFonts w:ascii="Arial" w:hAnsi="Arial" w:cs="Arial"/>
          <w:b/>
          <w:bCs/>
        </w:rPr>
        <w:t xml:space="preserve">2.11 Conclusion </w:t>
      </w:r>
    </w:p>
    <w:p w14:paraId="67F63BD0" w14:textId="32B2B81E" w:rsidR="00D744D2" w:rsidRPr="00D744D2" w:rsidRDefault="00D744D2" w:rsidP="00D744D2">
      <w:pPr>
        <w:spacing w:line="360" w:lineRule="auto"/>
        <w:rPr>
          <w:rFonts w:ascii="Arial" w:hAnsi="Arial" w:cs="Arial"/>
        </w:rPr>
      </w:pPr>
      <w:r w:rsidRPr="00D744D2">
        <w:rPr>
          <w:rFonts w:ascii="Arial" w:hAnsi="Arial" w:cs="Arial"/>
        </w:rPr>
        <w:t xml:space="preserve">The literature points to a clear shift towards a communication-led, psychology-informed approach to crisis negotiation, built on credibility, empathy, and the deliberate use of time. Although the UK and Ireland reached this point via different routes, with the UK doctrine consolidating after </w:t>
      </w:r>
      <w:r w:rsidR="00A40292">
        <w:rPr>
          <w:rFonts w:ascii="Arial" w:hAnsi="Arial" w:cs="Arial"/>
        </w:rPr>
        <w:t>siege-era</w:t>
      </w:r>
      <w:r w:rsidRPr="00D744D2">
        <w:rPr>
          <w:rFonts w:ascii="Arial" w:hAnsi="Arial" w:cs="Arial"/>
        </w:rPr>
        <w:t xml:space="preserve"> shocks and Ireland reforming through tribunal-led processes, both now operate in similarly demanding and highly visible environments.</w:t>
      </w:r>
    </w:p>
    <w:p w14:paraId="6C6196F1" w14:textId="77777777" w:rsidR="00D744D2" w:rsidRPr="00D744D2" w:rsidRDefault="00D744D2" w:rsidP="00D744D2">
      <w:pPr>
        <w:spacing w:line="360" w:lineRule="auto"/>
        <w:rPr>
          <w:rFonts w:ascii="Arial" w:hAnsi="Arial" w:cs="Arial"/>
        </w:rPr>
      </w:pPr>
      <w:r w:rsidRPr="00D744D2">
        <w:rPr>
          <w:rFonts w:ascii="Arial" w:hAnsi="Arial" w:cs="Arial"/>
        </w:rPr>
        <w:t xml:space="preserve">Set against this backdrop, practitioner evidence from South Wales Police and </w:t>
      </w:r>
      <w:proofErr w:type="gramStart"/>
      <w:r w:rsidRPr="00D744D2">
        <w:rPr>
          <w:rFonts w:ascii="Arial" w:hAnsi="Arial" w:cs="Arial"/>
        </w:rPr>
        <w:t>An</w:t>
      </w:r>
      <w:proofErr w:type="gramEnd"/>
      <w:r w:rsidRPr="00D744D2">
        <w:rPr>
          <w:rFonts w:ascii="Arial" w:hAnsi="Arial" w:cs="Arial"/>
        </w:rPr>
        <w:t xml:space="preserve"> Garda Síochána reinforces key themes. South Wales Police report a highly standardised model with clear protocols, a 24/7 rota, and strong access to historical information. </w:t>
      </w:r>
      <w:proofErr w:type="gramStart"/>
      <w:r w:rsidRPr="00D744D2">
        <w:rPr>
          <w:rFonts w:ascii="Arial" w:hAnsi="Arial" w:cs="Arial"/>
        </w:rPr>
        <w:t>An</w:t>
      </w:r>
      <w:proofErr w:type="gramEnd"/>
      <w:r w:rsidRPr="00D744D2">
        <w:rPr>
          <w:rFonts w:ascii="Arial" w:hAnsi="Arial" w:cs="Arial"/>
        </w:rPr>
        <w:t xml:space="preserve"> Garda Síochána describes a full-time embedded unit with daily integration across specialist teams and appropriate practitioner discretion. Both services prioritise reliable communication but differ in their use of body-worn video, reflecting different assessments of rapport risks and governance needs. Post-incident provision is consistently strong on welfare, yet both respondents describe limited conversion of lessons into changes in doctrine, training, or systems, with </w:t>
      </w:r>
      <w:proofErr w:type="gramStart"/>
      <w:r w:rsidRPr="00D744D2">
        <w:rPr>
          <w:rFonts w:ascii="Arial" w:hAnsi="Arial" w:cs="Arial"/>
        </w:rPr>
        <w:t>An</w:t>
      </w:r>
      <w:proofErr w:type="gramEnd"/>
      <w:r w:rsidRPr="00D744D2">
        <w:rPr>
          <w:rFonts w:ascii="Arial" w:hAnsi="Arial" w:cs="Arial"/>
        </w:rPr>
        <w:t xml:space="preserve"> Garda Síochána proposing independent welfare oversight to reduce conflicts of interest.</w:t>
      </w:r>
    </w:p>
    <w:p w14:paraId="76E88978" w14:textId="065C7DD1" w:rsidR="00D744D2" w:rsidRPr="00D744D2" w:rsidRDefault="00D744D2" w:rsidP="00D744D2">
      <w:pPr>
        <w:spacing w:line="360" w:lineRule="auto"/>
        <w:rPr>
          <w:rFonts w:ascii="Arial" w:hAnsi="Arial" w:cs="Arial"/>
        </w:rPr>
      </w:pPr>
      <w:r w:rsidRPr="00D744D2">
        <w:rPr>
          <w:rFonts w:ascii="Arial" w:hAnsi="Arial" w:cs="Arial"/>
        </w:rPr>
        <w:lastRenderedPageBreak/>
        <w:t>Drawing these strands together, this dissertation applies clear criteria across five domains. Recruitment should prioritise empathy, composure, credibility, and mental health literacy, assessed through structured scenarios and appropriate psychological screening. Training should align with BISM, tactical empathy, and deliberate use of time, with coached simulations, observed feedback, and developmental recertification that links to field performance. Operations should maintain a negotiation-first posture through role clarity, explicit thresholds, and proportionate clinical input, supported by effective multi-agency coordination. Technology should be reliable, governed, and supportive of rapport and auditability while integrating real-time intelligence. Post-incident support should combine predictable welfare with visible lessons to doctrine mechanisms that track actions through to change. The next chapter sets out the research method that applies these criteria and explains how the questionnaire evidence is analysed against them.</w:t>
      </w:r>
    </w:p>
    <w:p w14:paraId="51EEAC6A" w14:textId="77777777" w:rsidR="00D744D2" w:rsidRPr="00D744D2" w:rsidRDefault="00D744D2" w:rsidP="00D744D2">
      <w:pPr>
        <w:spacing w:line="360" w:lineRule="auto"/>
        <w:rPr>
          <w:rFonts w:ascii="Arial" w:hAnsi="Arial" w:cs="Arial"/>
        </w:rPr>
      </w:pPr>
      <w:r w:rsidRPr="00D744D2">
        <w:rPr>
          <w:rFonts w:ascii="Arial" w:hAnsi="Arial" w:cs="Arial"/>
          <w:b/>
          <w:bCs/>
        </w:rPr>
        <w:t>Chapter Three: Research Method</w:t>
      </w:r>
    </w:p>
    <w:p w14:paraId="4C594708"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3.1 Introduction </w:t>
      </w:r>
    </w:p>
    <w:p w14:paraId="1806E6A9" w14:textId="77777777" w:rsidR="00D744D2" w:rsidRPr="00D744D2" w:rsidRDefault="00D744D2" w:rsidP="00D744D2">
      <w:pPr>
        <w:spacing w:line="360" w:lineRule="auto"/>
        <w:rPr>
          <w:rFonts w:ascii="Arial" w:hAnsi="Arial" w:cs="Arial"/>
        </w:rPr>
      </w:pPr>
      <w:r w:rsidRPr="00D744D2">
        <w:rPr>
          <w:rFonts w:ascii="Arial" w:hAnsi="Arial" w:cs="Arial"/>
        </w:rPr>
        <w:t xml:space="preserve">Research can be understood as a systematic process for investigating a topic and extending what is known (Collis and Hussey, 2014; Saunders </w:t>
      </w:r>
      <w:r w:rsidRPr="00D744D2">
        <w:rPr>
          <w:rFonts w:ascii="Arial" w:hAnsi="Arial" w:cs="Arial"/>
          <w:i/>
          <w:iCs/>
        </w:rPr>
        <w:t>et al</w:t>
      </w:r>
      <w:r w:rsidRPr="00D744D2">
        <w:rPr>
          <w:rFonts w:ascii="Arial" w:hAnsi="Arial" w:cs="Arial"/>
        </w:rPr>
        <w:t xml:space="preserve">., 2016). This chapter explains how the dissertation was designed to compare crisis and hostage negotiation approaches in South Wales Police (SWP) and </w:t>
      </w:r>
      <w:proofErr w:type="gramStart"/>
      <w:r w:rsidRPr="00D744D2">
        <w:rPr>
          <w:rFonts w:ascii="Arial" w:hAnsi="Arial" w:cs="Arial"/>
        </w:rPr>
        <w:t>An</w:t>
      </w:r>
      <w:proofErr w:type="gramEnd"/>
      <w:r w:rsidRPr="00D744D2">
        <w:rPr>
          <w:rFonts w:ascii="Arial" w:hAnsi="Arial" w:cs="Arial"/>
        </w:rPr>
        <w:t xml:space="preserve"> Garda Síochána (AGS). It sets out the research philosophy, approach, strategy, choice of methods, time horizon, data collection, and analysis procedures. It also details ethical safeguards, reliability and validity considerations, and limitations. The design implements the evaluative criteria drawn from Chapter Two and shows how questionnaire evidence is analysed against the five objectives.</w:t>
      </w:r>
    </w:p>
    <w:p w14:paraId="5BCB9252"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3.2 The Research Onion </w:t>
      </w:r>
    </w:p>
    <w:p w14:paraId="2BB94515" w14:textId="77777777" w:rsidR="00D744D2" w:rsidRPr="00D744D2" w:rsidRDefault="00D744D2" w:rsidP="00D744D2">
      <w:pPr>
        <w:spacing w:line="360" w:lineRule="auto"/>
        <w:rPr>
          <w:rFonts w:ascii="Arial" w:hAnsi="Arial" w:cs="Arial"/>
        </w:rPr>
      </w:pPr>
      <w:r w:rsidRPr="00D744D2">
        <w:rPr>
          <w:rFonts w:ascii="Arial" w:hAnsi="Arial" w:cs="Arial"/>
        </w:rPr>
        <w:t xml:space="preserve">The dissertation adopts the “research onion” structure to justify each methodological choice (Saunders </w:t>
      </w:r>
      <w:r w:rsidRPr="00D744D2">
        <w:rPr>
          <w:rFonts w:ascii="Arial" w:hAnsi="Arial" w:cs="Arial"/>
          <w:i/>
          <w:iCs/>
        </w:rPr>
        <w:t>et al</w:t>
      </w:r>
      <w:r w:rsidRPr="00D744D2">
        <w:rPr>
          <w:rFonts w:ascii="Arial" w:hAnsi="Arial" w:cs="Arial"/>
        </w:rPr>
        <w:t>., 2016). From outer to inner layers, these choices are set out below: philosophy, approach, strategy, choice, time horizon, and techniques for data collection and analysis. This provides a transparent line of sight from the research question and objectives to the evidence and findings.</w:t>
      </w:r>
    </w:p>
    <w:p w14:paraId="7D9C02AD"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3.2.1 Research Philosophy </w:t>
      </w:r>
    </w:p>
    <w:p w14:paraId="3EBFDCD0" w14:textId="63FEA213" w:rsidR="009A1B20" w:rsidRPr="009A1B20" w:rsidRDefault="009A1B20" w:rsidP="009A1B20">
      <w:pPr>
        <w:spacing w:line="360" w:lineRule="auto"/>
        <w:rPr>
          <w:rFonts w:ascii="Arial" w:hAnsi="Arial" w:cs="Arial"/>
        </w:rPr>
      </w:pPr>
      <w:r w:rsidRPr="009A1B20">
        <w:rPr>
          <w:rFonts w:ascii="Arial" w:hAnsi="Arial" w:cs="Arial"/>
        </w:rPr>
        <w:t>This dissertation adopts a pragmatic stance. Pragmatism focuses on what works to answer the research question and recognises that crisis negotiation combines formal doctrine with context</w:t>
      </w:r>
      <w:r w:rsidRPr="009A1B20">
        <w:rPr>
          <w:rFonts w:ascii="Arial" w:hAnsi="Arial" w:cs="Arial"/>
        </w:rPr>
        <w:noBreakHyphen/>
        <w:t>sensitive judgement (Saunders et al., 2016). On that basis, the design uses short, consistent questions for cross</w:t>
      </w:r>
      <w:r w:rsidRPr="009A1B20">
        <w:rPr>
          <w:rFonts w:ascii="Arial" w:hAnsi="Arial" w:cs="Arial"/>
        </w:rPr>
        <w:noBreakHyphen/>
        <w:t xml:space="preserve">case comparison, together with open responses that capture practitioner experience. This approach aligns with the applied lenses outlined in Chapter </w:t>
      </w:r>
      <w:r w:rsidRPr="009A1B20">
        <w:rPr>
          <w:rFonts w:ascii="Arial" w:hAnsi="Arial" w:cs="Arial"/>
        </w:rPr>
        <w:lastRenderedPageBreak/>
        <w:t>Two</w:t>
      </w:r>
      <w:r w:rsidR="00C01B4A">
        <w:rPr>
          <w:rFonts w:ascii="Arial" w:hAnsi="Arial" w:cs="Arial"/>
        </w:rPr>
        <w:t xml:space="preserve">, </w:t>
      </w:r>
      <w:r w:rsidRPr="009A1B20">
        <w:rPr>
          <w:rFonts w:ascii="Arial" w:hAnsi="Arial" w:cs="Arial"/>
        </w:rPr>
        <w:t>the Behavioural Influence Stairway Model (BISM), tactical empathy, the deliberate use of time, reflective practice, and governance for legitimacy</w:t>
      </w:r>
      <w:r w:rsidR="000F7878">
        <w:rPr>
          <w:rFonts w:ascii="Arial" w:hAnsi="Arial" w:cs="Arial"/>
        </w:rPr>
        <w:t xml:space="preserve">, </w:t>
      </w:r>
      <w:r w:rsidRPr="009A1B20">
        <w:rPr>
          <w:rFonts w:ascii="Arial" w:hAnsi="Arial" w:cs="Arial"/>
        </w:rPr>
        <w:t>and it fits the dissertation’s practice</w:t>
      </w:r>
      <w:r w:rsidRPr="009A1B20">
        <w:rPr>
          <w:rFonts w:ascii="Arial" w:hAnsi="Arial" w:cs="Arial"/>
        </w:rPr>
        <w:noBreakHyphen/>
        <w:t>focused objectives. The following sections set out the approach, strategy, and methods that flow from this stance.</w:t>
      </w:r>
    </w:p>
    <w:p w14:paraId="6186E350" w14:textId="3662C06A" w:rsidR="009A1B20" w:rsidRPr="009A1B20" w:rsidRDefault="009A1B20" w:rsidP="009A1B20">
      <w:pPr>
        <w:spacing w:line="360" w:lineRule="auto"/>
        <w:rPr>
          <w:rFonts w:ascii="Arial" w:hAnsi="Arial" w:cs="Arial"/>
        </w:rPr>
      </w:pPr>
      <w:r w:rsidRPr="009A1B20">
        <w:rPr>
          <w:rFonts w:ascii="Arial" w:hAnsi="Arial" w:cs="Arial"/>
        </w:rPr>
        <w:t xml:space="preserve">Pragmatism is appropriate here because the central question is about what </w:t>
      </w:r>
      <w:r w:rsidR="009C6EAF" w:rsidRPr="009A1B20">
        <w:rPr>
          <w:rFonts w:ascii="Arial" w:hAnsi="Arial" w:cs="Arial"/>
        </w:rPr>
        <w:t>improves</w:t>
      </w:r>
      <w:r w:rsidRPr="009A1B20">
        <w:rPr>
          <w:rFonts w:ascii="Arial" w:hAnsi="Arial" w:cs="Arial"/>
        </w:rPr>
        <w:t xml:space="preserve"> life</w:t>
      </w:r>
      <w:r w:rsidRPr="009A1B20">
        <w:rPr>
          <w:rFonts w:ascii="Arial" w:hAnsi="Arial" w:cs="Arial"/>
        </w:rPr>
        <w:noBreakHyphen/>
        <w:t>preserving decisions when pressure is highest.</w:t>
      </w:r>
    </w:p>
    <w:p w14:paraId="0C71F75D"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3.2.2 Research Approach </w:t>
      </w:r>
    </w:p>
    <w:p w14:paraId="0B2B6861" w14:textId="44EA272D" w:rsidR="00D744D2" w:rsidRPr="00D744D2" w:rsidRDefault="00D744D2" w:rsidP="00D744D2">
      <w:pPr>
        <w:spacing w:line="360" w:lineRule="auto"/>
        <w:rPr>
          <w:rFonts w:ascii="Arial" w:hAnsi="Arial" w:cs="Arial"/>
        </w:rPr>
      </w:pPr>
      <w:r w:rsidRPr="00D744D2">
        <w:rPr>
          <w:rFonts w:ascii="Arial" w:hAnsi="Arial" w:cs="Arial"/>
        </w:rPr>
        <w:t>This dissertation uses an inductive approach to build understanding from the two expert practitioner accounts (</w:t>
      </w:r>
      <w:proofErr w:type="spellStart"/>
      <w:r w:rsidRPr="00D744D2">
        <w:rPr>
          <w:rFonts w:ascii="Arial" w:hAnsi="Arial" w:cs="Arial"/>
        </w:rPr>
        <w:t>Bhattacherjee</w:t>
      </w:r>
      <w:proofErr w:type="spellEnd"/>
      <w:r w:rsidRPr="00D744D2">
        <w:rPr>
          <w:rFonts w:ascii="Arial" w:hAnsi="Arial" w:cs="Arial"/>
        </w:rPr>
        <w:t xml:space="preserve">, 2012). Patterns are identified from respondents' reports and then related to the criteria set out in Chapter Two. Where differences between SWP and AGS require explanation, limited abductive reasoning is applied: plausible explanations — for example, organisational structure, policy, or technology maturity — are proposed and then checked against the literature and the jurisdictional context described in Chapter Two. No hypothesis is tested; the analysis remains </w:t>
      </w:r>
      <w:r w:rsidR="00A40292">
        <w:rPr>
          <w:rFonts w:ascii="Arial" w:hAnsi="Arial" w:cs="Arial"/>
        </w:rPr>
        <w:t>evidence-led, criteria-referenced</w:t>
      </w:r>
      <w:r w:rsidRPr="00D744D2">
        <w:rPr>
          <w:rFonts w:ascii="Arial" w:hAnsi="Arial" w:cs="Arial"/>
        </w:rPr>
        <w:t>, and transparent about how interpretations are reached. The strategy that follows applies this approach across both cases.</w:t>
      </w:r>
    </w:p>
    <w:p w14:paraId="1B50108E"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3.2.3 Research Strategy </w:t>
      </w:r>
    </w:p>
    <w:p w14:paraId="6997DDB7" w14:textId="77777777" w:rsidR="00D744D2" w:rsidRPr="00D744D2" w:rsidRDefault="00D744D2" w:rsidP="00D744D2">
      <w:pPr>
        <w:spacing w:line="360" w:lineRule="auto"/>
        <w:rPr>
          <w:rFonts w:ascii="Arial" w:hAnsi="Arial" w:cs="Arial"/>
        </w:rPr>
      </w:pPr>
      <w:r w:rsidRPr="00D744D2">
        <w:rPr>
          <w:rFonts w:ascii="Arial" w:hAnsi="Arial" w:cs="Arial"/>
        </w:rPr>
        <w:t xml:space="preserve">This dissertation uses a comparative case study with two cases: South Wales Police (SWP) and </w:t>
      </w:r>
      <w:proofErr w:type="gramStart"/>
      <w:r w:rsidRPr="00D744D2">
        <w:rPr>
          <w:rFonts w:ascii="Arial" w:hAnsi="Arial" w:cs="Arial"/>
        </w:rPr>
        <w:t>An</w:t>
      </w:r>
      <w:proofErr w:type="gramEnd"/>
      <w:r w:rsidRPr="00D744D2">
        <w:rPr>
          <w:rFonts w:ascii="Arial" w:hAnsi="Arial" w:cs="Arial"/>
        </w:rPr>
        <w:t xml:space="preserve"> Garda Síochána (AGS). The same expert questionnaire was used in both organisations, so answers cover the same topics and can be compared directly. Analysis follows the five objectives. For each objective, a short profile is written for SWP and for AGS against the criteria in Chapter Two. The two profiles are then compared, and a brief interpretation is given using the agreed lenses (credibility and rapport, tactical empathy, time, reflective practice, and governance). Closed responses are treated as simple descriptors, and open responses are used for examples and reasoning.</w:t>
      </w:r>
    </w:p>
    <w:p w14:paraId="0221B649" w14:textId="77777777" w:rsidR="00D744D2" w:rsidRPr="00D744D2" w:rsidRDefault="00D744D2" w:rsidP="00D744D2">
      <w:pPr>
        <w:spacing w:line="360" w:lineRule="auto"/>
        <w:rPr>
          <w:rFonts w:ascii="Arial" w:hAnsi="Arial" w:cs="Arial"/>
        </w:rPr>
      </w:pPr>
      <w:r w:rsidRPr="00D744D2">
        <w:rPr>
          <w:rFonts w:ascii="Arial" w:hAnsi="Arial" w:cs="Arial"/>
        </w:rPr>
        <w:t>This strategy fits a small expert sample where depth and context matter more than counts. It keeps both cases on the same criteria and helps explain differences by structure, policy, or technology maturity rather than preference alone. The next subsection outlines the methods used to implement this strategy.</w:t>
      </w:r>
    </w:p>
    <w:p w14:paraId="625ACB36"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3.2.4 Methods and Choice </w:t>
      </w:r>
    </w:p>
    <w:p w14:paraId="5032B567" w14:textId="77777777" w:rsidR="00D744D2" w:rsidRPr="00D744D2" w:rsidRDefault="00D744D2" w:rsidP="00D744D2">
      <w:pPr>
        <w:spacing w:line="360" w:lineRule="auto"/>
        <w:rPr>
          <w:rFonts w:ascii="Arial" w:hAnsi="Arial" w:cs="Arial"/>
        </w:rPr>
      </w:pPr>
      <w:r w:rsidRPr="00D744D2">
        <w:rPr>
          <w:rFonts w:ascii="Arial" w:hAnsi="Arial" w:cs="Arial"/>
        </w:rPr>
        <w:t>This dissertation uses a mixed</w:t>
      </w:r>
      <w:r w:rsidRPr="00D744D2">
        <w:rPr>
          <w:rFonts w:ascii="Arial" w:hAnsi="Arial" w:cs="Arial"/>
        </w:rPr>
        <w:noBreakHyphen/>
        <w:t>methods design with a qualitative emphasis (</w:t>
      </w:r>
      <w:proofErr w:type="spellStart"/>
      <w:r w:rsidRPr="00D744D2">
        <w:rPr>
          <w:rFonts w:ascii="Arial" w:hAnsi="Arial" w:cs="Arial"/>
        </w:rPr>
        <w:t>Tashakkori</w:t>
      </w:r>
      <w:proofErr w:type="spellEnd"/>
      <w:r w:rsidRPr="00D744D2">
        <w:rPr>
          <w:rFonts w:ascii="Arial" w:hAnsi="Arial" w:cs="Arial"/>
        </w:rPr>
        <w:t xml:space="preserve"> and Teddlie, 2003). The expert questionnaire combines short, closed questions for quick comparison and open questions that invite examples and explanations. Closed responses </w:t>
      </w:r>
      <w:r w:rsidRPr="00D744D2">
        <w:rPr>
          <w:rFonts w:ascii="Arial" w:hAnsi="Arial" w:cs="Arial"/>
        </w:rPr>
        <w:lastRenderedPageBreak/>
        <w:t>are treated as simple descriptors, and open responses provide the detail needed to understand how arrangements work in practice. Given the small expert sample, no inferential statistics are used.</w:t>
      </w:r>
    </w:p>
    <w:p w14:paraId="446618A5" w14:textId="77777777" w:rsidR="00D744D2" w:rsidRPr="00D744D2" w:rsidRDefault="00D744D2" w:rsidP="00D744D2">
      <w:pPr>
        <w:spacing w:line="360" w:lineRule="auto"/>
        <w:rPr>
          <w:rFonts w:ascii="Arial" w:hAnsi="Arial" w:cs="Arial"/>
        </w:rPr>
      </w:pPr>
      <w:r w:rsidRPr="00D744D2">
        <w:rPr>
          <w:rFonts w:ascii="Arial" w:hAnsi="Arial" w:cs="Arial"/>
        </w:rPr>
        <w:t>This choice aligns with a two</w:t>
      </w:r>
      <w:r w:rsidRPr="00D744D2">
        <w:rPr>
          <w:rFonts w:ascii="Arial" w:hAnsi="Arial" w:cs="Arial"/>
        </w:rPr>
        <w:noBreakHyphen/>
        <w:t>case comparative design and supports analysis of practitioner recruitment, professional development, operational practice, technological integration, and post</w:t>
      </w:r>
      <w:r w:rsidRPr="00D744D2">
        <w:rPr>
          <w:rFonts w:ascii="Arial" w:hAnsi="Arial" w:cs="Arial"/>
        </w:rPr>
        <w:noBreakHyphen/>
        <w:t xml:space="preserve">incident support in South Wales Police (SWP) and </w:t>
      </w:r>
      <w:proofErr w:type="gramStart"/>
      <w:r w:rsidRPr="00D744D2">
        <w:rPr>
          <w:rFonts w:ascii="Arial" w:hAnsi="Arial" w:cs="Arial"/>
        </w:rPr>
        <w:t>An</w:t>
      </w:r>
      <w:proofErr w:type="gramEnd"/>
      <w:r w:rsidRPr="00D744D2">
        <w:rPr>
          <w:rFonts w:ascii="Arial" w:hAnsi="Arial" w:cs="Arial"/>
        </w:rPr>
        <w:t xml:space="preserve"> Garda Síochána (AGS). It maintains consistent coverage across both organisations while allowing each respondent to describe their current arrangements in their own words. It also aligns with the evaluative criteria in Chapter Two because answers are read objectively and then compared on an equal footing.</w:t>
      </w:r>
    </w:p>
    <w:p w14:paraId="1BCC3ED2"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3.2.5 Time Horizon </w:t>
      </w:r>
    </w:p>
    <w:p w14:paraId="0592BFB5" w14:textId="513D385D" w:rsidR="00D744D2" w:rsidRPr="00D744D2" w:rsidRDefault="00D744D2" w:rsidP="00D744D2">
      <w:pPr>
        <w:spacing w:line="360" w:lineRule="auto"/>
        <w:rPr>
          <w:rFonts w:ascii="Arial" w:hAnsi="Arial" w:cs="Arial"/>
        </w:rPr>
      </w:pPr>
      <w:r w:rsidRPr="00D744D2">
        <w:rPr>
          <w:rFonts w:ascii="Arial" w:hAnsi="Arial" w:cs="Arial"/>
        </w:rPr>
        <w:t xml:space="preserve">This dissertation uses a </w:t>
      </w:r>
      <w:r w:rsidR="00A40292">
        <w:rPr>
          <w:rFonts w:ascii="Arial" w:hAnsi="Arial" w:cs="Arial"/>
        </w:rPr>
        <w:t>cross-sectional</w:t>
      </w:r>
      <w:r w:rsidRPr="00D744D2">
        <w:rPr>
          <w:rFonts w:ascii="Arial" w:hAnsi="Arial" w:cs="Arial"/>
        </w:rPr>
        <w:t xml:space="preserve"> time horizon. Data were collected at a single point in time (October 2025). This design is appropriate for a small, focused comparison because it provides a current snapshot of South Wales Police (SWP) and </w:t>
      </w:r>
      <w:proofErr w:type="gramStart"/>
      <w:r w:rsidRPr="00D744D2">
        <w:rPr>
          <w:rFonts w:ascii="Arial" w:hAnsi="Arial" w:cs="Arial"/>
        </w:rPr>
        <w:t>An</w:t>
      </w:r>
      <w:proofErr w:type="gramEnd"/>
      <w:r w:rsidRPr="00D744D2">
        <w:rPr>
          <w:rFonts w:ascii="Arial" w:hAnsi="Arial" w:cs="Arial"/>
        </w:rPr>
        <w:t xml:space="preserve"> Garda Síochána (AGS) on the same topics. It is feasible within dissertation timescales and supports </w:t>
      </w:r>
      <w:r w:rsidR="00A40292">
        <w:rPr>
          <w:rFonts w:ascii="Arial" w:hAnsi="Arial" w:cs="Arial"/>
        </w:rPr>
        <w:t>like-for-like</w:t>
      </w:r>
      <w:r w:rsidRPr="00D744D2">
        <w:rPr>
          <w:rFonts w:ascii="Arial" w:hAnsi="Arial" w:cs="Arial"/>
        </w:rPr>
        <w:t xml:space="preserve"> analysis across the five domains (Setia, 2016; Levin, 2006; Saunders </w:t>
      </w:r>
      <w:r w:rsidRPr="00D744D2">
        <w:rPr>
          <w:rFonts w:ascii="Arial" w:hAnsi="Arial" w:cs="Arial"/>
          <w:i/>
          <w:iCs/>
        </w:rPr>
        <w:t>et al</w:t>
      </w:r>
      <w:r w:rsidRPr="00D744D2">
        <w:rPr>
          <w:rFonts w:ascii="Arial" w:hAnsi="Arial" w:cs="Arial"/>
        </w:rPr>
        <w:t>., 2016).</w:t>
      </w:r>
    </w:p>
    <w:p w14:paraId="69D125D1" w14:textId="77777777" w:rsidR="00D744D2" w:rsidRPr="00D744D2" w:rsidRDefault="00D744D2" w:rsidP="00D744D2">
      <w:pPr>
        <w:spacing w:line="360" w:lineRule="auto"/>
        <w:rPr>
          <w:rFonts w:ascii="Arial" w:hAnsi="Arial" w:cs="Arial"/>
        </w:rPr>
      </w:pPr>
      <w:r w:rsidRPr="00D744D2">
        <w:rPr>
          <w:rFonts w:ascii="Arial" w:hAnsi="Arial" w:cs="Arial"/>
          <w:b/>
          <w:bCs/>
        </w:rPr>
        <w:t>3.3 Techniques: Data Collection and Analysis</w:t>
      </w:r>
    </w:p>
    <w:p w14:paraId="17A4C36E"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3.3.1 Participants and Sampling </w:t>
      </w:r>
    </w:p>
    <w:p w14:paraId="26EA1A25" w14:textId="77777777" w:rsidR="00D744D2" w:rsidRPr="00D744D2" w:rsidRDefault="00D744D2" w:rsidP="00D744D2">
      <w:pPr>
        <w:spacing w:line="360" w:lineRule="auto"/>
        <w:rPr>
          <w:rFonts w:ascii="Arial" w:hAnsi="Arial" w:cs="Arial"/>
        </w:rPr>
      </w:pPr>
      <w:r w:rsidRPr="00D744D2">
        <w:rPr>
          <w:rFonts w:ascii="Arial" w:hAnsi="Arial" w:cs="Arial"/>
        </w:rPr>
        <w:t xml:space="preserve">A purposive expert sample was used. One experienced negotiator from South Wales Police (SWP) and one from </w:t>
      </w:r>
      <w:proofErr w:type="gramStart"/>
      <w:r w:rsidRPr="00D744D2">
        <w:rPr>
          <w:rFonts w:ascii="Arial" w:hAnsi="Arial" w:cs="Arial"/>
        </w:rPr>
        <w:t>An</w:t>
      </w:r>
      <w:proofErr w:type="gramEnd"/>
      <w:r w:rsidRPr="00D744D2">
        <w:rPr>
          <w:rFonts w:ascii="Arial" w:hAnsi="Arial" w:cs="Arial"/>
        </w:rPr>
        <w:t xml:space="preserve"> Garda Síochána (AGS) took part. The SWP respondent reported six to ten years’ experience and a support negotiator or team coordinator role. The AGS respondent reported more than ten years’ experience and the same role category. The aim was depth of insight rather than statistical generalisation.</w:t>
      </w:r>
    </w:p>
    <w:p w14:paraId="7DF9C658"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3.3.2 Instrument </w:t>
      </w:r>
    </w:p>
    <w:p w14:paraId="723B140E" w14:textId="77777777" w:rsidR="00D744D2" w:rsidRPr="00D744D2" w:rsidRDefault="00D744D2" w:rsidP="00D744D2">
      <w:pPr>
        <w:spacing w:line="360" w:lineRule="auto"/>
        <w:rPr>
          <w:rFonts w:ascii="Arial" w:hAnsi="Arial" w:cs="Arial"/>
        </w:rPr>
      </w:pPr>
      <w:r w:rsidRPr="00D744D2">
        <w:rPr>
          <w:rFonts w:ascii="Arial" w:hAnsi="Arial" w:cs="Arial"/>
        </w:rPr>
        <w:t>An expert questionnaire using Microsoft Forms was designed directly from the five domains in the research question and the evaluative criteria in Chapter Two. Short, closed questions were included to allow quick comparison, along with open questions that invited examples and explanations. The questionnaire covered practitioner recruitment, professional development, operational practice, technological integration, and post-incident support. Wording was neutral and suitable for both UK and Irish contexts. Acronyms were defined at first use (e.g., HBS as Hostage/Barricade/Siege; TFC as Tactical Firearms Commander; FIM as Force Incident Manager) to enhance clarity.</w:t>
      </w:r>
    </w:p>
    <w:p w14:paraId="29FC5E3A" w14:textId="77777777" w:rsidR="001A6A49" w:rsidRDefault="001A6A49" w:rsidP="00D744D2">
      <w:pPr>
        <w:spacing w:line="360" w:lineRule="auto"/>
        <w:rPr>
          <w:rFonts w:ascii="Arial" w:hAnsi="Arial" w:cs="Arial"/>
          <w:b/>
          <w:bCs/>
        </w:rPr>
      </w:pPr>
    </w:p>
    <w:p w14:paraId="5F7D411D" w14:textId="53882B92" w:rsidR="00D744D2" w:rsidRPr="00D744D2" w:rsidRDefault="00D744D2" w:rsidP="00D744D2">
      <w:pPr>
        <w:spacing w:line="360" w:lineRule="auto"/>
        <w:rPr>
          <w:rFonts w:ascii="Arial" w:hAnsi="Arial" w:cs="Arial"/>
        </w:rPr>
      </w:pPr>
      <w:r w:rsidRPr="00D744D2">
        <w:rPr>
          <w:rFonts w:ascii="Arial" w:hAnsi="Arial" w:cs="Arial"/>
          <w:b/>
          <w:bCs/>
        </w:rPr>
        <w:lastRenderedPageBreak/>
        <w:t xml:space="preserve">3.3.3 Procedure </w:t>
      </w:r>
    </w:p>
    <w:p w14:paraId="6337E241" w14:textId="77777777" w:rsidR="00D744D2" w:rsidRPr="00D744D2" w:rsidRDefault="00D744D2" w:rsidP="00D744D2">
      <w:pPr>
        <w:spacing w:line="360" w:lineRule="auto"/>
        <w:rPr>
          <w:rFonts w:ascii="Arial" w:hAnsi="Arial" w:cs="Arial"/>
        </w:rPr>
      </w:pPr>
      <w:r w:rsidRPr="00D744D2">
        <w:rPr>
          <w:rFonts w:ascii="Arial" w:hAnsi="Arial" w:cs="Arial"/>
        </w:rPr>
        <w:t>The questionnaire was delivered online in October 2025. An information sheet and consent statement appeared at the start. Participation was voluntary, and the right to withdraw before submission was made clear. No personal identifiers or special category data were collected. Given the operational sensitivity of crisis negotiation, the instrument focused on processes and perceptions rather than incident specifics. Responses were anonymised at source and stored securely in line with university policy and GDPR.</w:t>
      </w:r>
    </w:p>
    <w:p w14:paraId="71EFC6F4"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3.3.4 Pilot and Instrument Review </w:t>
      </w:r>
    </w:p>
    <w:p w14:paraId="16B07BB3" w14:textId="77777777" w:rsidR="00D744D2" w:rsidRPr="00D744D2" w:rsidRDefault="00D744D2" w:rsidP="00D744D2">
      <w:pPr>
        <w:spacing w:line="360" w:lineRule="auto"/>
        <w:rPr>
          <w:rFonts w:ascii="Arial" w:hAnsi="Arial" w:cs="Arial"/>
        </w:rPr>
      </w:pPr>
      <w:r w:rsidRPr="00D744D2">
        <w:rPr>
          <w:rFonts w:ascii="Arial" w:hAnsi="Arial" w:cs="Arial"/>
        </w:rPr>
        <w:t>A full pilot with practitioners was not feasible within the dissertation timescale. The instrument was reviewed and refined for clarity and alignment with the Chapter Two criteria. Minor adjustments were made during drafting (for example, defining HBS on first use and clarifying the status of body-worn video in AGS). The absence of a full pilot is noted as a limitation in Section 3.7.</w:t>
      </w:r>
    </w:p>
    <w:p w14:paraId="0B863BA7"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3.3.5 Data Management and Governance </w:t>
      </w:r>
    </w:p>
    <w:p w14:paraId="37AB1CEE" w14:textId="77777777" w:rsidR="00D744D2" w:rsidRPr="00D744D2" w:rsidRDefault="00D744D2" w:rsidP="00D744D2">
      <w:pPr>
        <w:spacing w:line="360" w:lineRule="auto"/>
        <w:rPr>
          <w:rFonts w:ascii="Arial" w:hAnsi="Arial" w:cs="Arial"/>
        </w:rPr>
      </w:pPr>
      <w:r w:rsidRPr="00D744D2">
        <w:rPr>
          <w:rFonts w:ascii="Arial" w:hAnsi="Arial" w:cs="Arial"/>
        </w:rPr>
        <w:t>Data was held on password-protected storage accessible only to the researcher. No operationally sensitive details were requested or retained. Retention and disposal follow the university’s data management policy. Any quotations used in later chapters are short, anonymised, and edited only for readability.</w:t>
      </w:r>
    </w:p>
    <w:p w14:paraId="3A81B732" w14:textId="77777777" w:rsidR="00D744D2" w:rsidRPr="00D744D2" w:rsidRDefault="00D744D2" w:rsidP="00D744D2">
      <w:pPr>
        <w:spacing w:line="360" w:lineRule="auto"/>
        <w:rPr>
          <w:rFonts w:ascii="Arial" w:hAnsi="Arial" w:cs="Arial"/>
        </w:rPr>
      </w:pPr>
      <w:r w:rsidRPr="00D744D2">
        <w:rPr>
          <w:rFonts w:ascii="Arial" w:hAnsi="Arial" w:cs="Arial"/>
          <w:b/>
          <w:bCs/>
        </w:rPr>
        <w:t>3.4 Data Analysis</w:t>
      </w:r>
    </w:p>
    <w:p w14:paraId="1D5DBFC0" w14:textId="77777777" w:rsidR="00D744D2" w:rsidRPr="00D744D2" w:rsidRDefault="00D744D2" w:rsidP="00D744D2">
      <w:pPr>
        <w:spacing w:line="360" w:lineRule="auto"/>
        <w:rPr>
          <w:rFonts w:ascii="Arial" w:hAnsi="Arial" w:cs="Arial"/>
        </w:rPr>
      </w:pPr>
      <w:r w:rsidRPr="00D744D2">
        <w:rPr>
          <w:rFonts w:ascii="Arial" w:hAnsi="Arial" w:cs="Arial"/>
        </w:rPr>
        <w:t>Data analysis followed a clear, two-track process. First, the study produced descriptive summaries of the closed-item responses to outline each case; with only two respondents, inferential statistics were not appropriate. Second, the open responses were examined through thematic analysis: familiarisation, followed by coding against the five study domains and the BISM-led lenses set out in Chapter Two, and then grouping codes into themes to compare areas of convergence and divergence across the two cases (Creswell, 2014). This two-part approach maintains structure while preserving context and practitioner voice. Illustrative themes are reported in Chapter Four.</w:t>
      </w:r>
    </w:p>
    <w:p w14:paraId="3091E046"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3.5 Reliability, Validity, and Trustworthiness </w:t>
      </w:r>
    </w:p>
    <w:p w14:paraId="6755A7C2" w14:textId="77777777" w:rsidR="00D744D2" w:rsidRPr="00D744D2" w:rsidRDefault="00D744D2" w:rsidP="00D744D2">
      <w:pPr>
        <w:spacing w:line="360" w:lineRule="auto"/>
        <w:rPr>
          <w:rFonts w:ascii="Arial" w:hAnsi="Arial" w:cs="Arial"/>
        </w:rPr>
      </w:pPr>
      <w:r w:rsidRPr="00D744D2">
        <w:rPr>
          <w:rFonts w:ascii="Arial" w:hAnsi="Arial" w:cs="Arial"/>
        </w:rPr>
        <w:t xml:space="preserve">The questionnaire aligned with the five objectives and the criteria set out in Chapter Two, supporting content validity (Saunders </w:t>
      </w:r>
      <w:r w:rsidRPr="00D744D2">
        <w:rPr>
          <w:rFonts w:ascii="Arial" w:hAnsi="Arial" w:cs="Arial"/>
          <w:i/>
          <w:iCs/>
        </w:rPr>
        <w:t>et al</w:t>
      </w:r>
      <w:r w:rsidRPr="00D744D2">
        <w:rPr>
          <w:rFonts w:ascii="Arial" w:hAnsi="Arial" w:cs="Arial"/>
        </w:rPr>
        <w:t xml:space="preserve">., 2016). Two experienced negotiators took part, and a short audit trail was kept showing how answers were coded, so the route from data to conclusions is clear. The same coding method was used for both cases, and brief reflexive notes were made to keep description and interpretation separate (Creswell and </w:t>
      </w:r>
      <w:proofErr w:type="spellStart"/>
      <w:r w:rsidRPr="00D744D2">
        <w:rPr>
          <w:rFonts w:ascii="Arial" w:hAnsi="Arial" w:cs="Arial"/>
        </w:rPr>
        <w:t>Poth</w:t>
      </w:r>
      <w:proofErr w:type="spellEnd"/>
      <w:r w:rsidRPr="00D744D2">
        <w:rPr>
          <w:rFonts w:ascii="Arial" w:hAnsi="Arial" w:cs="Arial"/>
        </w:rPr>
        <w:t xml:space="preserve">, 2016). </w:t>
      </w:r>
      <w:r w:rsidRPr="00D744D2">
        <w:rPr>
          <w:rFonts w:ascii="Arial" w:hAnsi="Arial" w:cs="Arial"/>
        </w:rPr>
        <w:lastRenderedPageBreak/>
        <w:t xml:space="preserve">Enough context about each service is reported for readers to judge whether the findings transfer to similar UK or Irish policing settings (Creswell and </w:t>
      </w:r>
      <w:proofErr w:type="spellStart"/>
      <w:r w:rsidRPr="00D744D2">
        <w:rPr>
          <w:rFonts w:ascii="Arial" w:hAnsi="Arial" w:cs="Arial"/>
        </w:rPr>
        <w:t>Poth</w:t>
      </w:r>
      <w:proofErr w:type="spellEnd"/>
      <w:r w:rsidRPr="00D744D2">
        <w:rPr>
          <w:rFonts w:ascii="Arial" w:hAnsi="Arial" w:cs="Arial"/>
        </w:rPr>
        <w:t xml:space="preserve">, 2016). To reduce socially desirable answers, the questionnaire was anonymous and confidential, and questions focused on general processes rather than sensitive incident details (Lelkes </w:t>
      </w:r>
      <w:r w:rsidRPr="00D744D2">
        <w:rPr>
          <w:rFonts w:ascii="Arial" w:hAnsi="Arial" w:cs="Arial"/>
          <w:i/>
          <w:iCs/>
        </w:rPr>
        <w:t>et al</w:t>
      </w:r>
      <w:r w:rsidRPr="00D744D2">
        <w:rPr>
          <w:rFonts w:ascii="Arial" w:hAnsi="Arial" w:cs="Arial"/>
        </w:rPr>
        <w:t>., 2011).</w:t>
      </w:r>
    </w:p>
    <w:p w14:paraId="5C119E82"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3.6 Ethics and Governance </w:t>
      </w:r>
    </w:p>
    <w:p w14:paraId="2AFAC3AF" w14:textId="71835285" w:rsidR="00D744D2" w:rsidRPr="00D744D2" w:rsidRDefault="00D744D2" w:rsidP="00D744D2">
      <w:pPr>
        <w:spacing w:line="360" w:lineRule="auto"/>
        <w:rPr>
          <w:rFonts w:ascii="Arial" w:hAnsi="Arial" w:cs="Arial"/>
        </w:rPr>
      </w:pPr>
      <w:r w:rsidRPr="00D744D2">
        <w:rPr>
          <w:rFonts w:ascii="Arial" w:hAnsi="Arial" w:cs="Arial"/>
        </w:rPr>
        <w:t xml:space="preserve">The questionnaire was tightly aligned to the dissertation’s five objectives, supporting content validity (Saunders </w:t>
      </w:r>
      <w:r w:rsidRPr="00D744D2">
        <w:rPr>
          <w:rFonts w:ascii="Arial" w:hAnsi="Arial" w:cs="Arial"/>
          <w:i/>
          <w:iCs/>
        </w:rPr>
        <w:t>et al</w:t>
      </w:r>
      <w:r w:rsidRPr="00D744D2">
        <w:rPr>
          <w:rFonts w:ascii="Arial" w:hAnsi="Arial" w:cs="Arial"/>
        </w:rPr>
        <w:t xml:space="preserve">., 2016), and followed the university's ethical standards. An information sheet and consent statement appeared at the start of the questionnaire. Participation was voluntary, and respondents could withdraw before submission. No personal identifiers or special category data were collected. Responses were anonymised at source and stored on </w:t>
      </w:r>
      <w:r w:rsidR="00A40292">
        <w:rPr>
          <w:rFonts w:ascii="Arial" w:hAnsi="Arial" w:cs="Arial"/>
        </w:rPr>
        <w:t>password-protected</w:t>
      </w:r>
      <w:r w:rsidRPr="00D744D2">
        <w:rPr>
          <w:rFonts w:ascii="Arial" w:hAnsi="Arial" w:cs="Arial"/>
        </w:rPr>
        <w:t xml:space="preserve"> storage in line with GDPR and the university’s data policy.</w:t>
      </w:r>
    </w:p>
    <w:p w14:paraId="7131DDF9" w14:textId="1D0CE84E" w:rsidR="00D744D2" w:rsidRPr="00D744D2" w:rsidRDefault="00D744D2" w:rsidP="00D744D2">
      <w:pPr>
        <w:spacing w:line="360" w:lineRule="auto"/>
        <w:rPr>
          <w:rFonts w:ascii="Arial" w:hAnsi="Arial" w:cs="Arial"/>
        </w:rPr>
      </w:pPr>
      <w:r w:rsidRPr="00D744D2">
        <w:rPr>
          <w:rFonts w:ascii="Arial" w:hAnsi="Arial" w:cs="Arial"/>
        </w:rPr>
        <w:t xml:space="preserve">Given the operational sensitivity of crisis negotiation, the questionnaire focused on processes and perceptions rather than </w:t>
      </w:r>
      <w:r w:rsidR="00A40292">
        <w:rPr>
          <w:rFonts w:ascii="Arial" w:hAnsi="Arial" w:cs="Arial"/>
        </w:rPr>
        <w:t>incident-specific</w:t>
      </w:r>
      <w:r w:rsidRPr="00D744D2">
        <w:rPr>
          <w:rFonts w:ascii="Arial" w:hAnsi="Arial" w:cs="Arial"/>
        </w:rPr>
        <w:t xml:space="preserve"> detail. Proportionality and accountability guided design and data handling. A formal DPIA was not required under the approved protocol; GDPR principles and ICO guidance on data governance were nevertheless observed (ICO, 2024).</w:t>
      </w:r>
    </w:p>
    <w:p w14:paraId="211D8BA6" w14:textId="77777777" w:rsidR="00D744D2" w:rsidRPr="00D744D2" w:rsidRDefault="00D744D2" w:rsidP="00D744D2">
      <w:pPr>
        <w:spacing w:line="360" w:lineRule="auto"/>
        <w:rPr>
          <w:rFonts w:ascii="Arial" w:hAnsi="Arial" w:cs="Arial"/>
        </w:rPr>
      </w:pPr>
      <w:r w:rsidRPr="00D744D2">
        <w:rPr>
          <w:rFonts w:ascii="Arial" w:hAnsi="Arial" w:cs="Arial"/>
          <w:b/>
          <w:bCs/>
        </w:rPr>
        <w:t xml:space="preserve">3.7 Limitations </w:t>
      </w:r>
    </w:p>
    <w:p w14:paraId="26B287FE" w14:textId="2FAD412D" w:rsidR="00A52124" w:rsidRPr="00A52124" w:rsidRDefault="00A52124" w:rsidP="00A52124">
      <w:pPr>
        <w:spacing w:line="360" w:lineRule="auto"/>
        <w:rPr>
          <w:rFonts w:ascii="Arial" w:hAnsi="Arial" w:cs="Arial"/>
        </w:rPr>
      </w:pPr>
      <w:r w:rsidRPr="00A52124">
        <w:rPr>
          <w:rFonts w:ascii="Arial" w:hAnsi="Arial" w:cs="Arial"/>
        </w:rPr>
        <w:t>This dissertation has several limitations. The expert sample is small, with one respondent per organisation, so findings are descriptive and cannot be generalised to the wider population. The cross</w:t>
      </w:r>
      <w:r w:rsidRPr="00A52124">
        <w:rPr>
          <w:rFonts w:ascii="Arial" w:hAnsi="Arial" w:cs="Arial"/>
        </w:rPr>
        <w:noBreakHyphen/>
        <w:t>sectional design provides a point</w:t>
      </w:r>
      <w:r w:rsidRPr="00A52124">
        <w:rPr>
          <w:rFonts w:ascii="Arial" w:hAnsi="Arial" w:cs="Arial"/>
        </w:rPr>
        <w:noBreakHyphen/>
        <w:t>in</w:t>
      </w:r>
      <w:r w:rsidRPr="00A52124">
        <w:rPr>
          <w:rFonts w:ascii="Arial" w:hAnsi="Arial" w:cs="Arial"/>
        </w:rPr>
        <w:noBreakHyphen/>
        <w:t xml:space="preserve">time snapshot and cannot show change over time. Security and confidentiality constraints limited operational detail in some areas. Structural differences between the two </w:t>
      </w:r>
      <w:r>
        <w:rPr>
          <w:rFonts w:ascii="Arial" w:hAnsi="Arial" w:cs="Arial"/>
        </w:rPr>
        <w:t xml:space="preserve">services, </w:t>
      </w:r>
      <w:r w:rsidRPr="00A52124">
        <w:rPr>
          <w:rFonts w:ascii="Arial" w:hAnsi="Arial" w:cs="Arial"/>
        </w:rPr>
        <w:t>for example, SWP’s standardised on</w:t>
      </w:r>
      <w:r w:rsidRPr="00A52124">
        <w:rPr>
          <w:rFonts w:ascii="Arial" w:hAnsi="Arial" w:cs="Arial"/>
        </w:rPr>
        <w:noBreakHyphen/>
        <w:t>call model versus AGS’s full</w:t>
      </w:r>
      <w:r w:rsidRPr="00A52124">
        <w:rPr>
          <w:rFonts w:ascii="Arial" w:hAnsi="Arial" w:cs="Arial"/>
        </w:rPr>
        <w:noBreakHyphen/>
        <w:t>time embedded unit</w:t>
      </w:r>
      <w:r>
        <w:rPr>
          <w:rFonts w:ascii="Arial" w:hAnsi="Arial" w:cs="Arial"/>
        </w:rPr>
        <w:t xml:space="preserve">, </w:t>
      </w:r>
      <w:r w:rsidRPr="00A52124">
        <w:rPr>
          <w:rFonts w:ascii="Arial" w:hAnsi="Arial" w:cs="Arial"/>
        </w:rPr>
        <w:t>complicate direct comparison. Differences in technology maturity</w:t>
      </w:r>
      <w:r>
        <w:rPr>
          <w:rFonts w:ascii="Arial" w:hAnsi="Arial" w:cs="Arial"/>
        </w:rPr>
        <w:t xml:space="preserve">, </w:t>
      </w:r>
      <w:r w:rsidRPr="00A52124">
        <w:rPr>
          <w:rFonts w:ascii="Arial" w:hAnsi="Arial" w:cs="Arial"/>
        </w:rPr>
        <w:t>for example, live streaming in SWP versus body</w:t>
      </w:r>
      <w:r w:rsidRPr="00A52124">
        <w:rPr>
          <w:rFonts w:ascii="Arial" w:hAnsi="Arial" w:cs="Arial"/>
        </w:rPr>
        <w:noBreakHyphen/>
        <w:t>worn video (BWV) trials and covert options in AGS</w:t>
      </w:r>
      <w:r>
        <w:rPr>
          <w:rFonts w:ascii="Arial" w:hAnsi="Arial" w:cs="Arial"/>
        </w:rPr>
        <w:t xml:space="preserve">, </w:t>
      </w:r>
      <w:r w:rsidRPr="00A52124">
        <w:rPr>
          <w:rFonts w:ascii="Arial" w:hAnsi="Arial" w:cs="Arial"/>
        </w:rPr>
        <w:t>may reflect timing as much as preference. A full pilot of the instrument was not feasible within the timescale. These limitations were mitigated by aligning questions closely with the five objectives and the evaluative criteria in Chapter Two, maintaining a transparent audit trail of coding decisions, and interpreting patterns with reference to the literature and the relevant jurisdictional context. Future work could broaden participation, triangulate with interviews and documentary sources, and include a short follow</w:t>
      </w:r>
      <w:r w:rsidRPr="00A52124">
        <w:rPr>
          <w:rFonts w:ascii="Arial" w:hAnsi="Arial" w:cs="Arial"/>
        </w:rPr>
        <w:noBreakHyphen/>
        <w:t>up wave to examine whether changes are sustained over time.</w:t>
      </w:r>
    </w:p>
    <w:p w14:paraId="2A17DD49" w14:textId="77777777" w:rsidR="00A52124" w:rsidRPr="00A52124" w:rsidRDefault="00A52124" w:rsidP="00A52124">
      <w:pPr>
        <w:spacing w:line="360" w:lineRule="auto"/>
        <w:rPr>
          <w:rFonts w:ascii="Arial" w:hAnsi="Arial" w:cs="Arial"/>
        </w:rPr>
      </w:pPr>
      <w:r w:rsidRPr="00A52124">
        <w:rPr>
          <w:rFonts w:ascii="Arial" w:hAnsi="Arial" w:cs="Arial"/>
        </w:rPr>
        <w:t>As a result, the findings should be read as analytically transferable to similar settings, rather than statistically generalisable to all policing contexts.</w:t>
      </w:r>
    </w:p>
    <w:p w14:paraId="152B9E04" w14:textId="77777777" w:rsidR="00D744D2" w:rsidRPr="00D744D2" w:rsidRDefault="00D744D2" w:rsidP="00D744D2">
      <w:pPr>
        <w:spacing w:line="360" w:lineRule="auto"/>
        <w:rPr>
          <w:rFonts w:ascii="Arial" w:hAnsi="Arial" w:cs="Arial"/>
        </w:rPr>
      </w:pPr>
      <w:r w:rsidRPr="00D744D2">
        <w:rPr>
          <w:rFonts w:ascii="Arial" w:hAnsi="Arial" w:cs="Arial"/>
          <w:b/>
          <w:bCs/>
        </w:rPr>
        <w:lastRenderedPageBreak/>
        <w:t xml:space="preserve">3.8 Conclusion and Bridge to Findings </w:t>
      </w:r>
    </w:p>
    <w:p w14:paraId="4559ADFC" w14:textId="7A014727" w:rsidR="00D744D2" w:rsidRPr="00D744D2" w:rsidRDefault="00D744D2" w:rsidP="00D744D2">
      <w:pPr>
        <w:spacing w:line="360" w:lineRule="auto"/>
        <w:rPr>
          <w:rFonts w:ascii="Arial" w:hAnsi="Arial" w:cs="Arial"/>
        </w:rPr>
      </w:pPr>
      <w:r w:rsidRPr="00D744D2">
        <w:rPr>
          <w:rFonts w:ascii="Arial" w:hAnsi="Arial" w:cs="Arial"/>
        </w:rPr>
        <w:t xml:space="preserve">This chapter sets out and justifies a </w:t>
      </w:r>
      <w:r w:rsidR="00A40292">
        <w:rPr>
          <w:rFonts w:ascii="Arial" w:hAnsi="Arial" w:cs="Arial"/>
        </w:rPr>
        <w:t>criteria-led</w:t>
      </w:r>
      <w:r w:rsidRPr="00D744D2">
        <w:rPr>
          <w:rFonts w:ascii="Arial" w:hAnsi="Arial" w:cs="Arial"/>
        </w:rPr>
        <w:t xml:space="preserve"> methodology for comparing South Wales Police and </w:t>
      </w:r>
      <w:proofErr w:type="gramStart"/>
      <w:r w:rsidRPr="00D744D2">
        <w:rPr>
          <w:rFonts w:ascii="Arial" w:hAnsi="Arial" w:cs="Arial"/>
        </w:rPr>
        <w:t>An</w:t>
      </w:r>
      <w:proofErr w:type="gramEnd"/>
      <w:r w:rsidRPr="00D744D2">
        <w:rPr>
          <w:rFonts w:ascii="Arial" w:hAnsi="Arial" w:cs="Arial"/>
        </w:rPr>
        <w:t xml:space="preserve"> Garda Síochána. It adopts a pragmatic, inductive, </w:t>
      </w:r>
      <w:r w:rsidR="00A40292">
        <w:rPr>
          <w:rFonts w:ascii="Arial" w:hAnsi="Arial" w:cs="Arial"/>
        </w:rPr>
        <w:t>two-case comparative design with a mixed</w:t>
      </w:r>
      <w:r w:rsidR="00A40292">
        <w:rPr>
          <w:rFonts w:ascii="Arial" w:hAnsi="Arial" w:cs="Arial"/>
        </w:rPr>
        <w:noBreakHyphen/>
        <w:t>methods, qualitative emphasis, and a cross-sectional</w:t>
      </w:r>
      <w:r w:rsidRPr="00D744D2">
        <w:rPr>
          <w:rFonts w:ascii="Arial" w:hAnsi="Arial" w:cs="Arial"/>
        </w:rPr>
        <w:t xml:space="preserve"> time horizon (October 2025). A purposive expert sample was used (one practitioner per organisation), and an expert questionnaire combined short, closed items for comparison with open responses that captured practitioner experience. Data were analysed in two tracks: descriptive summaries of closed items and thematic analysis of open responses against the five domains and the Chapter Two lenses. Ethical safeguards, governance, and steps to support reliability and validity were applied throughout. </w:t>
      </w:r>
      <w:r w:rsidR="004906BD" w:rsidRPr="004906BD">
        <w:rPr>
          <w:rFonts w:ascii="Arial" w:hAnsi="Arial" w:cs="Arial"/>
        </w:rPr>
        <w:t>The next chapter presents the findings by objective and compares the two cases using the established criteria.</w:t>
      </w:r>
    </w:p>
    <w:p w14:paraId="1C746EAC" w14:textId="77777777" w:rsidR="00D744D2" w:rsidRPr="00D744D2" w:rsidRDefault="00D744D2" w:rsidP="00D744D2">
      <w:pPr>
        <w:spacing w:line="360" w:lineRule="auto"/>
        <w:rPr>
          <w:rFonts w:ascii="Arial" w:hAnsi="Arial" w:cs="Arial"/>
        </w:rPr>
      </w:pPr>
      <w:r w:rsidRPr="00D744D2">
        <w:rPr>
          <w:rFonts w:ascii="Arial" w:hAnsi="Arial" w:cs="Arial"/>
          <w:b/>
          <w:bCs/>
        </w:rPr>
        <w:t>Chapter Four: Findings and Analysis</w:t>
      </w:r>
    </w:p>
    <w:p w14:paraId="39C672F5" w14:textId="77777777" w:rsidR="00D744D2" w:rsidRPr="00D744D2" w:rsidRDefault="00D744D2" w:rsidP="00D744D2">
      <w:pPr>
        <w:spacing w:line="360" w:lineRule="auto"/>
        <w:rPr>
          <w:rFonts w:ascii="Arial" w:hAnsi="Arial" w:cs="Arial"/>
        </w:rPr>
      </w:pPr>
      <w:r w:rsidRPr="00D744D2">
        <w:rPr>
          <w:rFonts w:ascii="Arial" w:hAnsi="Arial" w:cs="Arial"/>
          <w:b/>
          <w:bCs/>
        </w:rPr>
        <w:t xml:space="preserve">4.1 Introduction </w:t>
      </w:r>
    </w:p>
    <w:p w14:paraId="0D34FCDF" w14:textId="1954435C" w:rsidR="00D744D2" w:rsidRPr="00D744D2" w:rsidRDefault="00D744D2" w:rsidP="00D744D2">
      <w:pPr>
        <w:spacing w:line="360" w:lineRule="auto"/>
        <w:rPr>
          <w:rFonts w:ascii="Arial" w:hAnsi="Arial" w:cs="Arial"/>
        </w:rPr>
      </w:pPr>
      <w:r w:rsidRPr="00D744D2">
        <w:rPr>
          <w:rFonts w:ascii="Arial" w:hAnsi="Arial" w:cs="Arial"/>
        </w:rPr>
        <w:t xml:space="preserve">Chapter Three sets out the methodology and analysis plan. This chapter presents findings from the two expert questionnaires and analyses them against the criteria defined in Chapter Two. Results are structured by the five objectives: practitioner recruitment, professional development, operational practice, technological integration, and </w:t>
      </w:r>
      <w:r w:rsidR="00A40292">
        <w:rPr>
          <w:rFonts w:ascii="Arial" w:hAnsi="Arial" w:cs="Arial"/>
        </w:rPr>
        <w:t>post-incident</w:t>
      </w:r>
      <w:r w:rsidRPr="00D744D2">
        <w:rPr>
          <w:rFonts w:ascii="Arial" w:hAnsi="Arial" w:cs="Arial"/>
        </w:rPr>
        <w:t xml:space="preserve"> support. Each section provides a </w:t>
      </w:r>
      <w:r w:rsidR="00A40292">
        <w:rPr>
          <w:rFonts w:ascii="Arial" w:hAnsi="Arial" w:cs="Arial"/>
        </w:rPr>
        <w:t xml:space="preserve">within-case summary for South Wales Police (SWP) and </w:t>
      </w:r>
      <w:proofErr w:type="gramStart"/>
      <w:r w:rsidR="00A40292">
        <w:rPr>
          <w:rFonts w:ascii="Arial" w:hAnsi="Arial" w:cs="Arial"/>
        </w:rPr>
        <w:t>An</w:t>
      </w:r>
      <w:proofErr w:type="gramEnd"/>
      <w:r w:rsidR="00A40292">
        <w:rPr>
          <w:rFonts w:ascii="Arial" w:hAnsi="Arial" w:cs="Arial"/>
        </w:rPr>
        <w:t xml:space="preserve"> Garda Síochána (AGS), followed by a brief cross-case</w:t>
      </w:r>
      <w:r w:rsidRPr="00D744D2">
        <w:rPr>
          <w:rFonts w:ascii="Arial" w:hAnsi="Arial" w:cs="Arial"/>
        </w:rPr>
        <w:t xml:space="preserve"> comparison and interpretation using the dissertation’s lenses of credibility and rapport, tactical empathy, deliberate use of time, reflective practice, and governance.</w:t>
      </w:r>
    </w:p>
    <w:p w14:paraId="44D59EA6" w14:textId="77777777" w:rsidR="00D744D2" w:rsidRPr="00D744D2" w:rsidRDefault="00D744D2" w:rsidP="00D744D2">
      <w:pPr>
        <w:spacing w:line="360" w:lineRule="auto"/>
        <w:rPr>
          <w:rFonts w:ascii="Arial" w:hAnsi="Arial" w:cs="Arial"/>
        </w:rPr>
      </w:pPr>
      <w:r w:rsidRPr="00D744D2">
        <w:rPr>
          <w:rFonts w:ascii="Arial" w:hAnsi="Arial" w:cs="Arial"/>
          <w:b/>
          <w:bCs/>
        </w:rPr>
        <w:t>4.2 Objective 1: Practitioner Recruitment</w:t>
      </w:r>
    </w:p>
    <w:p w14:paraId="52342384" w14:textId="77777777" w:rsidR="00D744D2" w:rsidRPr="00D744D2" w:rsidRDefault="00D744D2" w:rsidP="00D744D2">
      <w:pPr>
        <w:spacing w:line="360" w:lineRule="auto"/>
        <w:rPr>
          <w:rFonts w:ascii="Arial" w:hAnsi="Arial" w:cs="Arial"/>
        </w:rPr>
      </w:pPr>
      <w:r w:rsidRPr="00D744D2">
        <w:rPr>
          <w:rFonts w:ascii="Arial" w:hAnsi="Arial" w:cs="Arial"/>
          <w:b/>
          <w:bCs/>
        </w:rPr>
        <w:t xml:space="preserve">4.2.1 South Wales Police </w:t>
      </w:r>
    </w:p>
    <w:p w14:paraId="3543574B" w14:textId="4FEC9CFB" w:rsidR="00D744D2" w:rsidRPr="00D744D2" w:rsidRDefault="00D744D2" w:rsidP="00D744D2">
      <w:pPr>
        <w:spacing w:line="360" w:lineRule="auto"/>
        <w:rPr>
          <w:rFonts w:ascii="Arial" w:hAnsi="Arial" w:cs="Arial"/>
        </w:rPr>
      </w:pPr>
      <w:r w:rsidRPr="00D744D2">
        <w:rPr>
          <w:rFonts w:ascii="Arial" w:hAnsi="Arial" w:cs="Arial"/>
        </w:rPr>
        <w:t xml:space="preserve">SWP describes a structured recruitment pathway comprising expression of interest, assessment, and a </w:t>
      </w:r>
      <w:r w:rsidR="00A40292">
        <w:rPr>
          <w:rFonts w:ascii="Arial" w:hAnsi="Arial" w:cs="Arial"/>
        </w:rPr>
        <w:t>psychologist-led</w:t>
      </w:r>
      <w:r w:rsidRPr="00D744D2">
        <w:rPr>
          <w:rFonts w:ascii="Arial" w:hAnsi="Arial" w:cs="Arial"/>
        </w:rPr>
        <w:t xml:space="preserve"> interview. Recruitment is rated highly effective, and the role is recognised as a specialist, with tenure in place. Selection criteria prioritise communication and interpersonal skills, psychological resilience and stress management, mental health awareness, and </w:t>
      </w:r>
      <w:r w:rsidR="00A40292">
        <w:rPr>
          <w:rFonts w:ascii="Arial" w:hAnsi="Arial" w:cs="Arial"/>
        </w:rPr>
        <w:t>de-escalation</w:t>
      </w:r>
      <w:r w:rsidRPr="00D744D2">
        <w:rPr>
          <w:rFonts w:ascii="Arial" w:hAnsi="Arial" w:cs="Arial"/>
        </w:rPr>
        <w:t xml:space="preserve"> experience. The psychologist interview has previously identified risk factors such as limited support networks or exposure to traumatic events, which support appropriate welfare screening at entry.</w:t>
      </w:r>
    </w:p>
    <w:p w14:paraId="7378B800" w14:textId="77777777" w:rsidR="00D744D2" w:rsidRPr="00D744D2" w:rsidRDefault="00D744D2" w:rsidP="00D744D2">
      <w:pPr>
        <w:spacing w:line="360" w:lineRule="auto"/>
        <w:rPr>
          <w:rFonts w:ascii="Arial" w:hAnsi="Arial" w:cs="Arial"/>
        </w:rPr>
      </w:pPr>
      <w:r w:rsidRPr="00D744D2">
        <w:rPr>
          <w:rFonts w:ascii="Arial" w:hAnsi="Arial" w:cs="Arial"/>
          <w:b/>
          <w:bCs/>
        </w:rPr>
        <w:t xml:space="preserve">4.2.2 </w:t>
      </w:r>
      <w:proofErr w:type="gramStart"/>
      <w:r w:rsidRPr="00D744D2">
        <w:rPr>
          <w:rFonts w:ascii="Arial" w:hAnsi="Arial" w:cs="Arial"/>
          <w:b/>
          <w:bCs/>
        </w:rPr>
        <w:t>An</w:t>
      </w:r>
      <w:proofErr w:type="gramEnd"/>
      <w:r w:rsidRPr="00D744D2">
        <w:rPr>
          <w:rFonts w:ascii="Arial" w:hAnsi="Arial" w:cs="Arial"/>
          <w:b/>
          <w:bCs/>
        </w:rPr>
        <w:t xml:space="preserve"> Garda Síochána </w:t>
      </w:r>
    </w:p>
    <w:p w14:paraId="7937DD72" w14:textId="61B5A049" w:rsidR="00D744D2" w:rsidRPr="00D744D2" w:rsidRDefault="00D744D2" w:rsidP="00D744D2">
      <w:pPr>
        <w:spacing w:line="360" w:lineRule="auto"/>
        <w:rPr>
          <w:rFonts w:ascii="Arial" w:hAnsi="Arial" w:cs="Arial"/>
        </w:rPr>
      </w:pPr>
      <w:r w:rsidRPr="00D744D2">
        <w:rPr>
          <w:rFonts w:ascii="Arial" w:hAnsi="Arial" w:cs="Arial"/>
        </w:rPr>
        <w:t xml:space="preserve">AGS reports a divisional nomination model where three candidates per training place are recommended for central review. Tenure is in place, and the respondent notes that many </w:t>
      </w:r>
      <w:r w:rsidRPr="00D744D2">
        <w:rPr>
          <w:rFonts w:ascii="Arial" w:hAnsi="Arial" w:cs="Arial"/>
        </w:rPr>
        <w:lastRenderedPageBreak/>
        <w:t>negotiators are first responders, which may help them develop and maintain relevant skills. Selection priorities include communication, previous operational experience, psychological resilience and stress management, mental health awareness, and de</w:t>
      </w:r>
      <w:r w:rsidRPr="00D744D2">
        <w:rPr>
          <w:rFonts w:ascii="Arial" w:hAnsi="Arial" w:cs="Arial"/>
        </w:rPr>
        <w:noBreakHyphen/>
        <w:t xml:space="preserve">escalation experience. The respondent proposes introducing a </w:t>
      </w:r>
      <w:r w:rsidR="00A40292">
        <w:rPr>
          <w:rFonts w:ascii="Arial" w:hAnsi="Arial" w:cs="Arial"/>
        </w:rPr>
        <w:t>pre-selection</w:t>
      </w:r>
      <w:r w:rsidRPr="00D744D2">
        <w:rPr>
          <w:rFonts w:ascii="Arial" w:hAnsi="Arial" w:cs="Arial"/>
        </w:rPr>
        <w:t xml:space="preserve"> scenario to strengthen the assessment of core competencies.</w:t>
      </w:r>
    </w:p>
    <w:p w14:paraId="6F374B95" w14:textId="77777777" w:rsidR="00D744D2" w:rsidRPr="00D744D2" w:rsidRDefault="00D744D2" w:rsidP="00D744D2">
      <w:pPr>
        <w:spacing w:line="360" w:lineRule="auto"/>
        <w:rPr>
          <w:rFonts w:ascii="Arial" w:hAnsi="Arial" w:cs="Arial"/>
        </w:rPr>
      </w:pPr>
      <w:r w:rsidRPr="00D744D2">
        <w:rPr>
          <w:rFonts w:ascii="Arial" w:hAnsi="Arial" w:cs="Arial"/>
          <w:b/>
          <w:bCs/>
        </w:rPr>
        <w:t>4.2.3 Cross</w:t>
      </w:r>
      <w:r w:rsidRPr="00D744D2">
        <w:rPr>
          <w:rFonts w:ascii="Arial" w:hAnsi="Arial" w:cs="Arial"/>
          <w:b/>
          <w:bCs/>
        </w:rPr>
        <w:noBreakHyphen/>
        <w:t xml:space="preserve">case comparison and interpretation </w:t>
      </w:r>
    </w:p>
    <w:p w14:paraId="375B85FF" w14:textId="1FCAE4A7" w:rsidR="00D744D2" w:rsidRPr="00D744D2" w:rsidRDefault="00D744D2" w:rsidP="00D744D2">
      <w:pPr>
        <w:spacing w:line="360" w:lineRule="auto"/>
        <w:rPr>
          <w:rFonts w:ascii="Arial" w:hAnsi="Arial" w:cs="Arial"/>
        </w:rPr>
      </w:pPr>
      <w:r w:rsidRPr="00D744D2">
        <w:rPr>
          <w:rFonts w:ascii="Arial" w:hAnsi="Arial" w:cs="Arial"/>
        </w:rPr>
        <w:t xml:space="preserve">Both services converge on credibility, empathy, and resilience as core attributes. SWP evidences a structured pathway with psychological screening that has already identified risk factors, providing stronger assurance of suitability and welfare. AGS emphasises prior operational experience and proposes </w:t>
      </w:r>
      <w:r w:rsidR="00A40292">
        <w:rPr>
          <w:rFonts w:ascii="Arial" w:hAnsi="Arial" w:cs="Arial"/>
        </w:rPr>
        <w:t>scenario-based</w:t>
      </w:r>
      <w:r w:rsidRPr="00D744D2">
        <w:rPr>
          <w:rFonts w:ascii="Arial" w:hAnsi="Arial" w:cs="Arial"/>
        </w:rPr>
        <w:t xml:space="preserve"> testing. If implemented, this would better evidence listening, empathy, and emotional regulation. Read through the dissertation’s lenses, SWP’s approach aligns closely with credibility and rapport at the point of selection, while AGS can close a clear gap by adding a formal scenario element.</w:t>
      </w:r>
    </w:p>
    <w:p w14:paraId="4D304CA5" w14:textId="77777777" w:rsidR="00D744D2" w:rsidRPr="00D744D2" w:rsidRDefault="00D744D2" w:rsidP="00D744D2">
      <w:pPr>
        <w:spacing w:line="360" w:lineRule="auto"/>
        <w:rPr>
          <w:rFonts w:ascii="Arial" w:hAnsi="Arial" w:cs="Arial"/>
        </w:rPr>
      </w:pPr>
      <w:r w:rsidRPr="00D744D2">
        <w:rPr>
          <w:rFonts w:ascii="Arial" w:hAnsi="Arial" w:cs="Arial"/>
          <w:b/>
          <w:bCs/>
        </w:rPr>
        <w:t>4.3 Objective 2: Professional Development</w:t>
      </w:r>
    </w:p>
    <w:p w14:paraId="50F93AF2" w14:textId="77777777" w:rsidR="00D744D2" w:rsidRPr="00D744D2" w:rsidRDefault="00D744D2" w:rsidP="00D744D2">
      <w:pPr>
        <w:spacing w:line="360" w:lineRule="auto"/>
        <w:rPr>
          <w:rFonts w:ascii="Arial" w:hAnsi="Arial" w:cs="Arial"/>
        </w:rPr>
      </w:pPr>
      <w:r w:rsidRPr="00D744D2">
        <w:rPr>
          <w:rFonts w:ascii="Arial" w:hAnsi="Arial" w:cs="Arial"/>
          <w:b/>
          <w:bCs/>
        </w:rPr>
        <w:t xml:space="preserve">4.3.1 South Wales Police </w:t>
      </w:r>
    </w:p>
    <w:p w14:paraId="04572A10" w14:textId="77777777" w:rsidR="00D744D2" w:rsidRPr="00D744D2" w:rsidRDefault="00D744D2" w:rsidP="00D744D2">
      <w:pPr>
        <w:spacing w:line="360" w:lineRule="auto"/>
        <w:rPr>
          <w:rFonts w:ascii="Arial" w:hAnsi="Arial" w:cs="Arial"/>
        </w:rPr>
      </w:pPr>
      <w:r w:rsidRPr="00D744D2">
        <w:rPr>
          <w:rFonts w:ascii="Arial" w:hAnsi="Arial" w:cs="Arial"/>
        </w:rPr>
        <w:t>Initial training is described as highly comprehensive and seamlessly integrated, with excellent CPD and a yearly assessment requirement. Scenario realism is emphasised, including exploration of virtual reality. SWP also reports joint CPD with neighbouring forces and other units, for example, Red Centre and Op Illicium activity. The emphasis on realistic testing environments indicates observed practice and feedback are in use, although rubrics and feedback quality are not detailed in the response.</w:t>
      </w:r>
    </w:p>
    <w:p w14:paraId="1EF55A9E" w14:textId="77777777" w:rsidR="00D744D2" w:rsidRPr="00D744D2" w:rsidRDefault="00D744D2" w:rsidP="00D744D2">
      <w:pPr>
        <w:spacing w:line="360" w:lineRule="auto"/>
        <w:rPr>
          <w:rFonts w:ascii="Arial" w:hAnsi="Arial" w:cs="Arial"/>
        </w:rPr>
      </w:pPr>
      <w:r w:rsidRPr="00D744D2">
        <w:rPr>
          <w:rFonts w:ascii="Arial" w:hAnsi="Arial" w:cs="Arial"/>
          <w:b/>
          <w:bCs/>
        </w:rPr>
        <w:t xml:space="preserve">4.3.2 </w:t>
      </w:r>
      <w:proofErr w:type="gramStart"/>
      <w:r w:rsidRPr="00D744D2">
        <w:rPr>
          <w:rFonts w:ascii="Arial" w:hAnsi="Arial" w:cs="Arial"/>
          <w:b/>
          <w:bCs/>
        </w:rPr>
        <w:t>An</w:t>
      </w:r>
      <w:proofErr w:type="gramEnd"/>
      <w:r w:rsidRPr="00D744D2">
        <w:rPr>
          <w:rFonts w:ascii="Arial" w:hAnsi="Arial" w:cs="Arial"/>
          <w:b/>
          <w:bCs/>
        </w:rPr>
        <w:t xml:space="preserve"> Garda Síochána </w:t>
      </w:r>
    </w:p>
    <w:p w14:paraId="45A218B8" w14:textId="3BC2D8E9" w:rsidR="00D744D2" w:rsidRPr="00D744D2" w:rsidRDefault="00D744D2" w:rsidP="00D744D2">
      <w:pPr>
        <w:spacing w:line="360" w:lineRule="auto"/>
        <w:rPr>
          <w:rFonts w:ascii="Arial" w:hAnsi="Arial" w:cs="Arial"/>
        </w:rPr>
      </w:pPr>
      <w:r w:rsidRPr="00D744D2">
        <w:rPr>
          <w:rFonts w:ascii="Arial" w:hAnsi="Arial" w:cs="Arial"/>
        </w:rPr>
        <w:t>Initial training is described as highly comprehensive and well-integrated, with minor gaps noted. CPD is described as excellent, and a yearly assessment is in place. AGS is introducing working</w:t>
      </w:r>
      <w:r w:rsidRPr="00D744D2">
        <w:rPr>
          <w:rFonts w:ascii="Arial" w:hAnsi="Arial" w:cs="Arial"/>
        </w:rPr>
        <w:noBreakHyphen/>
        <w:t>at</w:t>
      </w:r>
      <w:r w:rsidRPr="00D744D2">
        <w:rPr>
          <w:rFonts w:ascii="Arial" w:hAnsi="Arial" w:cs="Arial"/>
        </w:rPr>
        <w:noBreakHyphen/>
        <w:t xml:space="preserve">height modules delivered with the Emergency Response Unit rope access team and proposes a negotiator deployment card to standardise </w:t>
      </w:r>
      <w:proofErr w:type="gramStart"/>
      <w:r w:rsidR="00A40292">
        <w:rPr>
          <w:rFonts w:ascii="Arial" w:hAnsi="Arial" w:cs="Arial"/>
        </w:rPr>
        <w:t>call-outs</w:t>
      </w:r>
      <w:proofErr w:type="gramEnd"/>
      <w:r w:rsidRPr="00D744D2">
        <w:rPr>
          <w:rFonts w:ascii="Arial" w:hAnsi="Arial" w:cs="Arial"/>
        </w:rPr>
        <w:t xml:space="preserve">. The respondent cautions that “training is recertification and not refresher training,” noting that some </w:t>
      </w:r>
      <w:r w:rsidR="00A40292">
        <w:rPr>
          <w:rFonts w:ascii="Arial" w:hAnsi="Arial" w:cs="Arial"/>
        </w:rPr>
        <w:t>long-time</w:t>
      </w:r>
      <w:r w:rsidRPr="00D744D2">
        <w:rPr>
          <w:rFonts w:ascii="Arial" w:hAnsi="Arial" w:cs="Arial"/>
        </w:rPr>
        <w:t xml:space="preserve"> cadre members may carry divergent practices. This underscores the need for observed practice with coached feedback and clear assessment rubrics to ensure recertification remains developmental.</w:t>
      </w:r>
    </w:p>
    <w:p w14:paraId="769B22F5" w14:textId="77777777" w:rsidR="00D744D2" w:rsidRPr="00D744D2" w:rsidRDefault="00D744D2" w:rsidP="00D744D2">
      <w:pPr>
        <w:spacing w:line="360" w:lineRule="auto"/>
        <w:rPr>
          <w:rFonts w:ascii="Arial" w:hAnsi="Arial" w:cs="Arial"/>
        </w:rPr>
      </w:pPr>
      <w:r w:rsidRPr="00D744D2">
        <w:rPr>
          <w:rFonts w:ascii="Arial" w:hAnsi="Arial" w:cs="Arial"/>
          <w:b/>
          <w:bCs/>
        </w:rPr>
        <w:t>4.3.3 Cross</w:t>
      </w:r>
      <w:r w:rsidRPr="00D744D2">
        <w:rPr>
          <w:rFonts w:ascii="Arial" w:hAnsi="Arial" w:cs="Arial"/>
          <w:b/>
          <w:bCs/>
        </w:rPr>
        <w:noBreakHyphen/>
        <w:t xml:space="preserve">case comparison and interpretation </w:t>
      </w:r>
    </w:p>
    <w:p w14:paraId="38990239" w14:textId="31E41419" w:rsidR="00D744D2" w:rsidRPr="00D744D2" w:rsidRDefault="00D744D2" w:rsidP="00D744D2">
      <w:pPr>
        <w:spacing w:line="360" w:lineRule="auto"/>
        <w:rPr>
          <w:rFonts w:ascii="Arial" w:hAnsi="Arial" w:cs="Arial"/>
        </w:rPr>
      </w:pPr>
      <w:r w:rsidRPr="00D744D2">
        <w:rPr>
          <w:rFonts w:ascii="Arial" w:hAnsi="Arial" w:cs="Arial"/>
        </w:rPr>
        <w:t xml:space="preserve">Both services report strong, integrated training with annual assessment and ongoing CPD. SWP’s focus on realistic scenarios, including virtual reality exploration and joint CPD, points </w:t>
      </w:r>
      <w:r w:rsidRPr="00D744D2">
        <w:rPr>
          <w:rFonts w:ascii="Arial" w:hAnsi="Arial" w:cs="Arial"/>
        </w:rPr>
        <w:lastRenderedPageBreak/>
        <w:t xml:space="preserve">to strong practice realism. AGS </w:t>
      </w:r>
      <w:r w:rsidR="00A40292">
        <w:rPr>
          <w:rFonts w:ascii="Arial" w:hAnsi="Arial" w:cs="Arial"/>
        </w:rPr>
        <w:t xml:space="preserve">demonstrates targeted capability development through working at </w:t>
      </w:r>
      <w:r w:rsidRPr="00D744D2">
        <w:rPr>
          <w:rFonts w:ascii="Arial" w:hAnsi="Arial" w:cs="Arial"/>
        </w:rPr>
        <w:t xml:space="preserve">height and a deployment card proposal that would reinforce standardisation. The AGS caution about recertification becoming </w:t>
      </w:r>
      <w:r w:rsidR="00A40292">
        <w:rPr>
          <w:rFonts w:ascii="Arial" w:hAnsi="Arial" w:cs="Arial"/>
        </w:rPr>
        <w:t>compliance-focused</w:t>
      </w:r>
      <w:r w:rsidRPr="00D744D2">
        <w:rPr>
          <w:rFonts w:ascii="Arial" w:hAnsi="Arial" w:cs="Arial"/>
        </w:rPr>
        <w:t xml:space="preserve"> is relevant for both services: observed practice, coached feedback, and clear rubrics help ensure classroom learning translates into field performance. Both programmes align with BISM and </w:t>
      </w:r>
      <w:r w:rsidR="00A40292">
        <w:rPr>
          <w:rFonts w:ascii="Arial" w:hAnsi="Arial" w:cs="Arial"/>
        </w:rPr>
        <w:t>time-based de-escalation</w:t>
      </w:r>
      <w:r w:rsidRPr="00D744D2">
        <w:rPr>
          <w:rFonts w:ascii="Arial" w:hAnsi="Arial" w:cs="Arial"/>
        </w:rPr>
        <w:t xml:space="preserve"> and are strong in principle; the key difference is the consistency of developmental assessment. </w:t>
      </w:r>
    </w:p>
    <w:p w14:paraId="60F709DD" w14:textId="77777777" w:rsidR="00D744D2" w:rsidRPr="00D744D2" w:rsidRDefault="00D744D2" w:rsidP="00D744D2">
      <w:pPr>
        <w:spacing w:line="360" w:lineRule="auto"/>
        <w:rPr>
          <w:rFonts w:ascii="Arial" w:hAnsi="Arial" w:cs="Arial"/>
        </w:rPr>
      </w:pPr>
      <w:r w:rsidRPr="00D744D2">
        <w:rPr>
          <w:rFonts w:ascii="Arial" w:hAnsi="Arial" w:cs="Arial"/>
          <w:b/>
          <w:bCs/>
        </w:rPr>
        <w:t>4.4 Objective 3: Operational Practice</w:t>
      </w:r>
    </w:p>
    <w:p w14:paraId="0042563B" w14:textId="77777777" w:rsidR="00D744D2" w:rsidRPr="00D744D2" w:rsidRDefault="00D744D2" w:rsidP="00D744D2">
      <w:pPr>
        <w:spacing w:line="360" w:lineRule="auto"/>
        <w:rPr>
          <w:rFonts w:ascii="Arial" w:hAnsi="Arial" w:cs="Arial"/>
        </w:rPr>
      </w:pPr>
      <w:r w:rsidRPr="00D744D2">
        <w:rPr>
          <w:rFonts w:ascii="Arial" w:hAnsi="Arial" w:cs="Arial"/>
          <w:b/>
          <w:bCs/>
        </w:rPr>
        <w:t xml:space="preserve">4.4.1 South Wales Police </w:t>
      </w:r>
    </w:p>
    <w:p w14:paraId="0BF2BAFA" w14:textId="58A342BF" w:rsidR="00D744D2" w:rsidRPr="00D744D2" w:rsidRDefault="00D744D2" w:rsidP="00D744D2">
      <w:pPr>
        <w:spacing w:line="360" w:lineRule="auto"/>
        <w:rPr>
          <w:rFonts w:ascii="Arial" w:hAnsi="Arial" w:cs="Arial"/>
        </w:rPr>
      </w:pPr>
      <w:r w:rsidRPr="00D744D2">
        <w:rPr>
          <w:rFonts w:ascii="Arial" w:hAnsi="Arial" w:cs="Arial"/>
        </w:rPr>
        <w:t xml:space="preserve">SWP reports a highly standardised model with detailed protocols, strong coordination, a dedicated 24/7 </w:t>
      </w:r>
      <w:r w:rsidR="00A40292">
        <w:rPr>
          <w:rFonts w:ascii="Arial" w:hAnsi="Arial" w:cs="Arial"/>
        </w:rPr>
        <w:t>on-call</w:t>
      </w:r>
      <w:r w:rsidRPr="00D744D2">
        <w:rPr>
          <w:rFonts w:ascii="Arial" w:hAnsi="Arial" w:cs="Arial"/>
        </w:rPr>
        <w:t xml:space="preserve"> negotiator rota, and a negotiator vehicle. Access to comprehensive historical information is provided through a negotiator returns system. Communication strategies are rated as highly effective, with the ability to access </w:t>
      </w:r>
      <w:r w:rsidR="00A40292">
        <w:rPr>
          <w:rFonts w:ascii="Arial" w:hAnsi="Arial" w:cs="Arial"/>
        </w:rPr>
        <w:t>real-time</w:t>
      </w:r>
      <w:r w:rsidRPr="00D744D2">
        <w:rPr>
          <w:rFonts w:ascii="Arial" w:hAnsi="Arial" w:cs="Arial"/>
        </w:rPr>
        <w:t xml:space="preserve"> intelligence and provide coordinator support during incidents.</w:t>
      </w:r>
    </w:p>
    <w:p w14:paraId="79FBBC5F" w14:textId="77777777" w:rsidR="00D744D2" w:rsidRPr="00D744D2" w:rsidRDefault="00D744D2" w:rsidP="00D744D2">
      <w:pPr>
        <w:spacing w:line="360" w:lineRule="auto"/>
        <w:rPr>
          <w:rFonts w:ascii="Arial" w:hAnsi="Arial" w:cs="Arial"/>
        </w:rPr>
      </w:pPr>
      <w:r w:rsidRPr="00D744D2">
        <w:rPr>
          <w:rFonts w:ascii="Arial" w:hAnsi="Arial" w:cs="Arial"/>
          <w:b/>
          <w:bCs/>
        </w:rPr>
        <w:t xml:space="preserve">4.4.2 </w:t>
      </w:r>
      <w:proofErr w:type="gramStart"/>
      <w:r w:rsidRPr="00D744D2">
        <w:rPr>
          <w:rFonts w:ascii="Arial" w:hAnsi="Arial" w:cs="Arial"/>
          <w:b/>
          <w:bCs/>
        </w:rPr>
        <w:t>An</w:t>
      </w:r>
      <w:proofErr w:type="gramEnd"/>
      <w:r w:rsidRPr="00D744D2">
        <w:rPr>
          <w:rFonts w:ascii="Arial" w:hAnsi="Arial" w:cs="Arial"/>
          <w:b/>
          <w:bCs/>
        </w:rPr>
        <w:t xml:space="preserve"> Garda Síochána </w:t>
      </w:r>
    </w:p>
    <w:p w14:paraId="49766F87" w14:textId="0E5C3113" w:rsidR="00D744D2" w:rsidRPr="00D744D2" w:rsidRDefault="00D744D2" w:rsidP="00D744D2">
      <w:pPr>
        <w:spacing w:line="360" w:lineRule="auto"/>
        <w:rPr>
          <w:rFonts w:ascii="Arial" w:hAnsi="Arial" w:cs="Arial"/>
        </w:rPr>
      </w:pPr>
      <w:r w:rsidRPr="00D744D2">
        <w:rPr>
          <w:rFonts w:ascii="Arial" w:hAnsi="Arial" w:cs="Arial"/>
        </w:rPr>
        <w:t xml:space="preserve">AGS reports </w:t>
      </w:r>
      <w:r w:rsidR="00A40292">
        <w:rPr>
          <w:rFonts w:ascii="Arial" w:hAnsi="Arial" w:cs="Arial"/>
        </w:rPr>
        <w:t>well-standardised practice with practitioner discretion within a full-time</w:t>
      </w:r>
      <w:r w:rsidRPr="00D744D2">
        <w:rPr>
          <w:rFonts w:ascii="Arial" w:hAnsi="Arial" w:cs="Arial"/>
        </w:rPr>
        <w:t xml:space="preserve"> embedded unit of four within Special Tactics and Operations Command. The unit works daily with the Armed Support Unit and the Emergency Response Unit and assists in training new members in Hostage/Barricade/Siege (HBS) protocols and basic negotiation. Coverage includes a 24/7 National Negotiation Unit presence, with regional negotiators responding individually on a voluntary basis. Coordination is described as excellent and seamless.</w:t>
      </w:r>
    </w:p>
    <w:p w14:paraId="5FA175AB" w14:textId="77777777" w:rsidR="00D744D2" w:rsidRPr="00D744D2" w:rsidRDefault="00D744D2" w:rsidP="00D744D2">
      <w:pPr>
        <w:spacing w:line="360" w:lineRule="auto"/>
        <w:rPr>
          <w:rFonts w:ascii="Arial" w:hAnsi="Arial" w:cs="Arial"/>
        </w:rPr>
      </w:pPr>
      <w:r w:rsidRPr="00D744D2">
        <w:rPr>
          <w:rFonts w:ascii="Arial" w:hAnsi="Arial" w:cs="Arial"/>
          <w:b/>
          <w:bCs/>
        </w:rPr>
        <w:t>4.4.3 Cross</w:t>
      </w:r>
      <w:r w:rsidRPr="00D744D2">
        <w:rPr>
          <w:rFonts w:ascii="Arial" w:hAnsi="Arial" w:cs="Arial"/>
          <w:b/>
          <w:bCs/>
        </w:rPr>
        <w:noBreakHyphen/>
        <w:t xml:space="preserve">case comparison and interpretation </w:t>
      </w:r>
    </w:p>
    <w:p w14:paraId="502C02FA" w14:textId="734CDB71" w:rsidR="00D744D2" w:rsidRPr="00D744D2" w:rsidRDefault="00D744D2" w:rsidP="00D744D2">
      <w:pPr>
        <w:spacing w:line="360" w:lineRule="auto"/>
        <w:rPr>
          <w:rFonts w:ascii="Arial" w:hAnsi="Arial" w:cs="Arial"/>
        </w:rPr>
      </w:pPr>
      <w:r w:rsidRPr="00D744D2">
        <w:rPr>
          <w:rFonts w:ascii="Arial" w:hAnsi="Arial" w:cs="Arial"/>
        </w:rPr>
        <w:t xml:space="preserve">SWP’s model emphasises standardisation and predictable coverage; AGS’s model emphasises embedded, </w:t>
      </w:r>
      <w:r w:rsidR="00A40292">
        <w:rPr>
          <w:rFonts w:ascii="Arial" w:hAnsi="Arial" w:cs="Arial"/>
        </w:rPr>
        <w:t>day-to-day</w:t>
      </w:r>
      <w:r w:rsidRPr="00D744D2">
        <w:rPr>
          <w:rFonts w:ascii="Arial" w:hAnsi="Arial" w:cs="Arial"/>
        </w:rPr>
        <w:t xml:space="preserve"> integration with specialist units and practitioner discretion. Both approaches aim to protect a negotiation</w:t>
      </w:r>
      <w:r w:rsidRPr="00D744D2">
        <w:rPr>
          <w:rFonts w:ascii="Arial" w:hAnsi="Arial" w:cs="Arial"/>
        </w:rPr>
        <w:noBreakHyphen/>
        <w:t xml:space="preserve">first posture by clarifying roles, using time deliberately, and coordinating effectively. Differences in emphasis are consistent with jurisdictional pathways: SWP’s standardisation reflects </w:t>
      </w:r>
      <w:r w:rsidR="00A40292">
        <w:rPr>
          <w:rFonts w:ascii="Arial" w:hAnsi="Arial" w:cs="Arial"/>
        </w:rPr>
        <w:t>doctrine-led consolidation; AGS’s embedded integration reflects tribunal-led reform and daily multi-unit</w:t>
      </w:r>
      <w:r w:rsidRPr="00D744D2">
        <w:rPr>
          <w:rFonts w:ascii="Arial" w:hAnsi="Arial" w:cs="Arial"/>
        </w:rPr>
        <w:t xml:space="preserve"> practice. In both cases, documenting thresholds for tactical shifts and the rationale for decisions supports legitimacy and learning.</w:t>
      </w:r>
    </w:p>
    <w:p w14:paraId="437B1334" w14:textId="77777777" w:rsidR="00D744D2" w:rsidRPr="00D744D2" w:rsidRDefault="00D744D2" w:rsidP="00D744D2">
      <w:pPr>
        <w:spacing w:line="360" w:lineRule="auto"/>
        <w:rPr>
          <w:rFonts w:ascii="Arial" w:hAnsi="Arial" w:cs="Arial"/>
        </w:rPr>
      </w:pPr>
      <w:r w:rsidRPr="00D744D2">
        <w:rPr>
          <w:rFonts w:ascii="Arial" w:hAnsi="Arial" w:cs="Arial"/>
          <w:b/>
          <w:bCs/>
        </w:rPr>
        <w:t>4.5 Objective 4: Technological Integration</w:t>
      </w:r>
    </w:p>
    <w:p w14:paraId="639C7852" w14:textId="77777777" w:rsidR="00D744D2" w:rsidRPr="00D744D2" w:rsidRDefault="00D744D2" w:rsidP="00D744D2">
      <w:pPr>
        <w:spacing w:line="360" w:lineRule="auto"/>
        <w:rPr>
          <w:rFonts w:ascii="Arial" w:hAnsi="Arial" w:cs="Arial"/>
        </w:rPr>
      </w:pPr>
      <w:r w:rsidRPr="00D744D2">
        <w:rPr>
          <w:rFonts w:ascii="Arial" w:hAnsi="Arial" w:cs="Arial"/>
          <w:b/>
          <w:bCs/>
        </w:rPr>
        <w:t xml:space="preserve">4.5.1 South Wales Police </w:t>
      </w:r>
    </w:p>
    <w:p w14:paraId="04C0D81B" w14:textId="0F404857" w:rsidR="00D744D2" w:rsidRPr="00D744D2" w:rsidRDefault="00D744D2" w:rsidP="00D744D2">
      <w:pPr>
        <w:spacing w:line="360" w:lineRule="auto"/>
        <w:rPr>
          <w:rFonts w:ascii="Arial" w:hAnsi="Arial" w:cs="Arial"/>
        </w:rPr>
      </w:pPr>
      <w:r w:rsidRPr="00D744D2">
        <w:rPr>
          <w:rFonts w:ascii="Arial" w:hAnsi="Arial" w:cs="Arial"/>
        </w:rPr>
        <w:lastRenderedPageBreak/>
        <w:t xml:space="preserve">SWP actively </w:t>
      </w:r>
      <w:r w:rsidR="00A40292">
        <w:rPr>
          <w:rFonts w:ascii="Arial" w:hAnsi="Arial" w:cs="Arial"/>
        </w:rPr>
        <w:t>uses live streaming and Microsoft Teams for</w:t>
      </w:r>
      <w:r w:rsidRPr="00D744D2">
        <w:rPr>
          <w:rFonts w:ascii="Arial" w:hAnsi="Arial" w:cs="Arial"/>
        </w:rPr>
        <w:t xml:space="preserve"> </w:t>
      </w:r>
      <w:r w:rsidR="00A40292">
        <w:rPr>
          <w:rFonts w:ascii="Arial" w:hAnsi="Arial" w:cs="Arial"/>
        </w:rPr>
        <w:t>real-time</w:t>
      </w:r>
      <w:r w:rsidRPr="00D744D2">
        <w:rPr>
          <w:rFonts w:ascii="Arial" w:hAnsi="Arial" w:cs="Arial"/>
        </w:rPr>
        <w:t xml:space="preserve"> coordination. </w:t>
      </w:r>
      <w:r w:rsidR="00A40292">
        <w:rPr>
          <w:rFonts w:ascii="Arial" w:hAnsi="Arial" w:cs="Arial"/>
        </w:rPr>
        <w:t>Body-worn</w:t>
      </w:r>
      <w:r w:rsidRPr="00D744D2">
        <w:rPr>
          <w:rFonts w:ascii="Arial" w:hAnsi="Arial" w:cs="Arial"/>
        </w:rPr>
        <w:t xml:space="preserve"> video is rated effective for situational awareness but is flagged as a potential barrier to rapport and a trigger for unhelpful remote involvement, for example, when a Tactical Firearms Commander or Force Incident Manager observes in. Battery life is reported as a practical constraint. SWP also reports mobile command capability, reliable access to </w:t>
      </w:r>
      <w:r w:rsidR="00A40292">
        <w:rPr>
          <w:rFonts w:ascii="Arial" w:hAnsi="Arial" w:cs="Arial"/>
        </w:rPr>
        <w:t>real-time</w:t>
      </w:r>
      <w:r w:rsidRPr="00D744D2">
        <w:rPr>
          <w:rFonts w:ascii="Arial" w:hAnsi="Arial" w:cs="Arial"/>
        </w:rPr>
        <w:t xml:space="preserve"> intelligence, strong access to historical information via the returns system, and identifies drones as beneficial for incidents at height.</w:t>
      </w:r>
    </w:p>
    <w:p w14:paraId="752F3003" w14:textId="77777777" w:rsidR="00D744D2" w:rsidRPr="00D744D2" w:rsidRDefault="00D744D2" w:rsidP="00D744D2">
      <w:pPr>
        <w:spacing w:line="360" w:lineRule="auto"/>
        <w:rPr>
          <w:rFonts w:ascii="Arial" w:hAnsi="Arial" w:cs="Arial"/>
        </w:rPr>
      </w:pPr>
      <w:r w:rsidRPr="00D744D2">
        <w:rPr>
          <w:rFonts w:ascii="Arial" w:hAnsi="Arial" w:cs="Arial"/>
          <w:b/>
          <w:bCs/>
        </w:rPr>
        <w:t xml:space="preserve">4.5.2 </w:t>
      </w:r>
      <w:proofErr w:type="gramStart"/>
      <w:r w:rsidRPr="00D744D2">
        <w:rPr>
          <w:rFonts w:ascii="Arial" w:hAnsi="Arial" w:cs="Arial"/>
          <w:b/>
          <w:bCs/>
        </w:rPr>
        <w:t>An</w:t>
      </w:r>
      <w:proofErr w:type="gramEnd"/>
      <w:r w:rsidRPr="00D744D2">
        <w:rPr>
          <w:rFonts w:ascii="Arial" w:hAnsi="Arial" w:cs="Arial"/>
          <w:b/>
          <w:bCs/>
        </w:rPr>
        <w:t xml:space="preserve"> Garda Síochána </w:t>
      </w:r>
    </w:p>
    <w:p w14:paraId="2E51E9BD" w14:textId="61833B14" w:rsidR="00D744D2" w:rsidRPr="00D744D2" w:rsidRDefault="00D744D2" w:rsidP="00D744D2">
      <w:pPr>
        <w:spacing w:line="360" w:lineRule="auto"/>
        <w:rPr>
          <w:rFonts w:ascii="Arial" w:hAnsi="Arial" w:cs="Arial"/>
        </w:rPr>
      </w:pPr>
      <w:r w:rsidRPr="00D744D2">
        <w:rPr>
          <w:rFonts w:ascii="Arial" w:hAnsi="Arial" w:cs="Arial"/>
        </w:rPr>
        <w:t xml:space="preserve">AGS reports trials of </w:t>
      </w:r>
      <w:r w:rsidR="00A40292">
        <w:rPr>
          <w:rFonts w:ascii="Arial" w:hAnsi="Arial" w:cs="Arial"/>
        </w:rPr>
        <w:t>body-worn</w:t>
      </w:r>
      <w:r w:rsidRPr="00D744D2">
        <w:rPr>
          <w:rFonts w:ascii="Arial" w:hAnsi="Arial" w:cs="Arial"/>
        </w:rPr>
        <w:t xml:space="preserve"> video with limited perceived effectiveness. The respondent notes that visible indicators, such as a blinking recording light, may alarm paranoid subjects, which strengthens the case for covert or less intrusive options. AGS uses PULSE and a negotiator database to record HBS incidents, with CLIO being introduced to improve information access. The service is exploring a Wi</w:t>
      </w:r>
      <w:r w:rsidRPr="00D744D2">
        <w:rPr>
          <w:rFonts w:ascii="Arial" w:hAnsi="Arial" w:cs="Arial"/>
        </w:rPr>
        <w:noBreakHyphen/>
        <w:t xml:space="preserve">Fi audio–video “ball” and </w:t>
      </w:r>
      <w:r w:rsidR="00A40292">
        <w:rPr>
          <w:rFonts w:ascii="Arial" w:hAnsi="Arial" w:cs="Arial"/>
        </w:rPr>
        <w:t xml:space="preserve">is interested in a real-time availability app based on </w:t>
      </w:r>
      <w:r w:rsidRPr="00D744D2">
        <w:rPr>
          <w:rFonts w:ascii="Arial" w:hAnsi="Arial" w:cs="Arial"/>
        </w:rPr>
        <w:t>current Dutch practice. Mobile command units and digital communication platforms are also in use.</w:t>
      </w:r>
    </w:p>
    <w:p w14:paraId="1780BAE0" w14:textId="77777777" w:rsidR="00D744D2" w:rsidRPr="00D744D2" w:rsidRDefault="00D744D2" w:rsidP="00D744D2">
      <w:pPr>
        <w:spacing w:line="360" w:lineRule="auto"/>
        <w:rPr>
          <w:rFonts w:ascii="Arial" w:hAnsi="Arial" w:cs="Arial"/>
        </w:rPr>
      </w:pPr>
      <w:r w:rsidRPr="00D744D2">
        <w:rPr>
          <w:rFonts w:ascii="Arial" w:hAnsi="Arial" w:cs="Arial"/>
          <w:b/>
          <w:bCs/>
        </w:rPr>
        <w:t>4.5.3 Cross</w:t>
      </w:r>
      <w:r w:rsidRPr="00D744D2">
        <w:rPr>
          <w:rFonts w:ascii="Arial" w:hAnsi="Arial" w:cs="Arial"/>
          <w:b/>
          <w:bCs/>
        </w:rPr>
        <w:noBreakHyphen/>
        <w:t xml:space="preserve">case comparison and interpretation </w:t>
      </w:r>
    </w:p>
    <w:p w14:paraId="408DD43B" w14:textId="1CC92E6C" w:rsidR="00D744D2" w:rsidRPr="00D744D2" w:rsidRDefault="00D744D2" w:rsidP="00D744D2">
      <w:pPr>
        <w:spacing w:line="360" w:lineRule="auto"/>
        <w:rPr>
          <w:rFonts w:ascii="Arial" w:hAnsi="Arial" w:cs="Arial"/>
        </w:rPr>
      </w:pPr>
      <w:r w:rsidRPr="00D744D2">
        <w:rPr>
          <w:rFonts w:ascii="Arial" w:hAnsi="Arial" w:cs="Arial"/>
        </w:rPr>
        <w:t xml:space="preserve">Both services prioritise reliable communications and access to </w:t>
      </w:r>
      <w:r w:rsidR="00A40292">
        <w:rPr>
          <w:rFonts w:ascii="Arial" w:hAnsi="Arial" w:cs="Arial"/>
        </w:rPr>
        <w:t>real-time</w:t>
      </w:r>
      <w:r w:rsidRPr="00D744D2">
        <w:rPr>
          <w:rFonts w:ascii="Arial" w:hAnsi="Arial" w:cs="Arial"/>
        </w:rPr>
        <w:t xml:space="preserve"> intelligence. SWP reports a more mature live</w:t>
      </w:r>
      <w:r w:rsidR="00A40292">
        <w:rPr>
          <w:rFonts w:ascii="Arial" w:hAnsi="Arial" w:cs="Arial"/>
        </w:rPr>
        <w:t xml:space="preserve"> streaming capability, whereas AGS is trialling body-worn</w:t>
      </w:r>
      <w:r w:rsidRPr="00D744D2">
        <w:rPr>
          <w:rFonts w:ascii="Arial" w:hAnsi="Arial" w:cs="Arial"/>
        </w:rPr>
        <w:t xml:space="preserve"> video and emphasising covert options to manage rapport risks. Viewed through a governance lens, both approaches are credible: for SWP, continued management of observer effects and battery</w:t>
      </w:r>
      <w:r w:rsidRPr="00D744D2">
        <w:rPr>
          <w:rFonts w:ascii="Arial" w:hAnsi="Arial" w:cs="Arial"/>
        </w:rPr>
        <w:noBreakHyphen/>
        <w:t>life constraints is recommended; for AGS, linking any covert or new tools to clear auditability and disclosure obligations is recommended. Across both services, technology enables performance when it supports listening, empathy, and the protection of time, and becomes problematic when it undermines trust or invites counter</w:t>
      </w:r>
      <w:r w:rsidRPr="00D744D2">
        <w:rPr>
          <w:rFonts w:ascii="Arial" w:hAnsi="Arial" w:cs="Arial"/>
        </w:rPr>
        <w:noBreakHyphen/>
        <w:t>productive remote direction.</w:t>
      </w:r>
    </w:p>
    <w:p w14:paraId="1C139F65" w14:textId="77777777" w:rsidR="00D744D2" w:rsidRPr="00D744D2" w:rsidRDefault="00D744D2" w:rsidP="00D744D2">
      <w:pPr>
        <w:spacing w:line="360" w:lineRule="auto"/>
        <w:rPr>
          <w:rFonts w:ascii="Arial" w:hAnsi="Arial" w:cs="Arial"/>
        </w:rPr>
      </w:pPr>
      <w:r w:rsidRPr="00D744D2">
        <w:rPr>
          <w:rFonts w:ascii="Arial" w:hAnsi="Arial" w:cs="Arial"/>
          <w:b/>
          <w:bCs/>
        </w:rPr>
        <w:t>4.6 Objective 5: Post</w:t>
      </w:r>
      <w:r w:rsidRPr="00D744D2">
        <w:rPr>
          <w:rFonts w:ascii="Arial" w:hAnsi="Arial" w:cs="Arial"/>
          <w:b/>
          <w:bCs/>
        </w:rPr>
        <w:noBreakHyphen/>
        <w:t>Incident Support and Organisational Learning</w:t>
      </w:r>
    </w:p>
    <w:p w14:paraId="37D6B5DE" w14:textId="77777777" w:rsidR="00D744D2" w:rsidRPr="00D744D2" w:rsidRDefault="00D744D2" w:rsidP="00D744D2">
      <w:pPr>
        <w:spacing w:line="360" w:lineRule="auto"/>
        <w:rPr>
          <w:rFonts w:ascii="Arial" w:hAnsi="Arial" w:cs="Arial"/>
        </w:rPr>
      </w:pPr>
      <w:r w:rsidRPr="00D744D2">
        <w:rPr>
          <w:rFonts w:ascii="Arial" w:hAnsi="Arial" w:cs="Arial"/>
          <w:b/>
          <w:bCs/>
        </w:rPr>
        <w:t xml:space="preserve">4.6.1 South Wales Police </w:t>
      </w:r>
    </w:p>
    <w:p w14:paraId="430BC6C3" w14:textId="04C005D7" w:rsidR="00D744D2" w:rsidRPr="00D744D2" w:rsidRDefault="00D744D2" w:rsidP="00D744D2">
      <w:pPr>
        <w:spacing w:line="360" w:lineRule="auto"/>
        <w:rPr>
          <w:rFonts w:ascii="Arial" w:hAnsi="Arial" w:cs="Arial"/>
        </w:rPr>
      </w:pPr>
      <w:r w:rsidRPr="00D744D2">
        <w:rPr>
          <w:rFonts w:ascii="Arial" w:hAnsi="Arial" w:cs="Arial"/>
        </w:rPr>
        <w:t xml:space="preserve">SWP describes comprehensive welfare provision, including counselling and peer support, and reports comprehensive debriefing after traumatic incidents. Support to victims, families, and affected communities is rated as generally effective but could be enhanced. The application of lessons is described as limited, with few implemented changes. A </w:t>
      </w:r>
      <w:r w:rsidR="00A40292">
        <w:rPr>
          <w:rFonts w:ascii="Arial" w:hAnsi="Arial" w:cs="Arial"/>
        </w:rPr>
        <w:t>close-knit</w:t>
      </w:r>
      <w:r w:rsidRPr="00D744D2">
        <w:rPr>
          <w:rFonts w:ascii="Arial" w:hAnsi="Arial" w:cs="Arial"/>
        </w:rPr>
        <w:t xml:space="preserve"> cadre is identified as a strength that enhances informal support, but formal learning loops that track actions through to updates in doctrine, training, and systems are underdeveloped.</w:t>
      </w:r>
    </w:p>
    <w:p w14:paraId="35D4FAC3" w14:textId="77777777" w:rsidR="00D744D2" w:rsidRPr="00D744D2" w:rsidRDefault="00D744D2" w:rsidP="00D744D2">
      <w:pPr>
        <w:spacing w:line="360" w:lineRule="auto"/>
        <w:rPr>
          <w:rFonts w:ascii="Arial" w:hAnsi="Arial" w:cs="Arial"/>
        </w:rPr>
      </w:pPr>
      <w:r w:rsidRPr="00D744D2">
        <w:rPr>
          <w:rFonts w:ascii="Arial" w:hAnsi="Arial" w:cs="Arial"/>
          <w:b/>
          <w:bCs/>
        </w:rPr>
        <w:lastRenderedPageBreak/>
        <w:t xml:space="preserve">4.6.2 </w:t>
      </w:r>
      <w:proofErr w:type="gramStart"/>
      <w:r w:rsidRPr="00D744D2">
        <w:rPr>
          <w:rFonts w:ascii="Arial" w:hAnsi="Arial" w:cs="Arial"/>
          <w:b/>
          <w:bCs/>
        </w:rPr>
        <w:t>An</w:t>
      </w:r>
      <w:proofErr w:type="gramEnd"/>
      <w:r w:rsidRPr="00D744D2">
        <w:rPr>
          <w:rFonts w:ascii="Arial" w:hAnsi="Arial" w:cs="Arial"/>
          <w:b/>
          <w:bCs/>
        </w:rPr>
        <w:t xml:space="preserve"> Garda Síochána </w:t>
      </w:r>
    </w:p>
    <w:p w14:paraId="46A4CF19" w14:textId="41C09965" w:rsidR="00D744D2" w:rsidRPr="00D744D2" w:rsidRDefault="00D744D2" w:rsidP="00D744D2">
      <w:pPr>
        <w:spacing w:line="360" w:lineRule="auto"/>
        <w:rPr>
          <w:rFonts w:ascii="Arial" w:hAnsi="Arial" w:cs="Arial"/>
        </w:rPr>
      </w:pPr>
      <w:r w:rsidRPr="00D744D2">
        <w:rPr>
          <w:rFonts w:ascii="Arial" w:hAnsi="Arial" w:cs="Arial"/>
        </w:rPr>
        <w:t xml:space="preserve">AGS similarly reports comprehensive welfare, including counselling, peer support, and routine debriefs, with overall debriefing described as generally effective but capable of enhancement. Support to victims, families, and communities is also judged generally effective but could be improved. Lesson implementation is again described as limited. A specific improvement is proposed: appointing an external welfare </w:t>
      </w:r>
      <w:proofErr w:type="gramStart"/>
      <w:r w:rsidRPr="00D744D2">
        <w:rPr>
          <w:rFonts w:ascii="Arial" w:hAnsi="Arial" w:cs="Arial"/>
        </w:rPr>
        <w:t>lead</w:t>
      </w:r>
      <w:proofErr w:type="gramEnd"/>
      <w:r w:rsidRPr="00D744D2">
        <w:rPr>
          <w:rFonts w:ascii="Arial" w:hAnsi="Arial" w:cs="Arial"/>
        </w:rPr>
        <w:t xml:space="preserve"> to avoid conflicts of interest </w:t>
      </w:r>
      <w:r w:rsidR="00A40292">
        <w:rPr>
          <w:rFonts w:ascii="Arial" w:hAnsi="Arial" w:cs="Arial"/>
        </w:rPr>
        <w:t xml:space="preserve">when National Negotiation Unit </w:t>
      </w:r>
      <w:r w:rsidR="00B213F8">
        <w:rPr>
          <w:rFonts w:ascii="Arial" w:hAnsi="Arial" w:cs="Arial"/>
        </w:rPr>
        <w:t xml:space="preserve">(NNU) </w:t>
      </w:r>
      <w:r w:rsidR="00A40292">
        <w:rPr>
          <w:rFonts w:ascii="Arial" w:hAnsi="Arial" w:cs="Arial"/>
        </w:rPr>
        <w:t>staff are involved in an</w:t>
      </w:r>
      <w:r w:rsidRPr="00D744D2">
        <w:rPr>
          <w:rFonts w:ascii="Arial" w:hAnsi="Arial" w:cs="Arial"/>
        </w:rPr>
        <w:t xml:space="preserve"> incident.</w:t>
      </w:r>
    </w:p>
    <w:p w14:paraId="3BA9DE21" w14:textId="77777777" w:rsidR="00D744D2" w:rsidRPr="00D744D2" w:rsidRDefault="00D744D2" w:rsidP="00D744D2">
      <w:pPr>
        <w:spacing w:line="360" w:lineRule="auto"/>
        <w:rPr>
          <w:rFonts w:ascii="Arial" w:hAnsi="Arial" w:cs="Arial"/>
        </w:rPr>
      </w:pPr>
      <w:r w:rsidRPr="00D744D2">
        <w:rPr>
          <w:rFonts w:ascii="Arial" w:hAnsi="Arial" w:cs="Arial"/>
          <w:b/>
          <w:bCs/>
        </w:rPr>
        <w:t>4.6.3 Cross</w:t>
      </w:r>
      <w:r w:rsidRPr="00D744D2">
        <w:rPr>
          <w:rFonts w:ascii="Arial" w:hAnsi="Arial" w:cs="Arial"/>
          <w:b/>
          <w:bCs/>
        </w:rPr>
        <w:noBreakHyphen/>
        <w:t xml:space="preserve">case comparison and interpretation </w:t>
      </w:r>
    </w:p>
    <w:p w14:paraId="7EBB6EFA" w14:textId="24CE2E21" w:rsidR="00D744D2" w:rsidRPr="00D744D2" w:rsidRDefault="00D744D2" w:rsidP="00D744D2">
      <w:pPr>
        <w:spacing w:line="360" w:lineRule="auto"/>
        <w:rPr>
          <w:rFonts w:ascii="Arial" w:hAnsi="Arial" w:cs="Arial"/>
        </w:rPr>
      </w:pPr>
      <w:r w:rsidRPr="00D744D2">
        <w:rPr>
          <w:rFonts w:ascii="Arial" w:hAnsi="Arial" w:cs="Arial"/>
        </w:rPr>
        <w:t>Both services show strong welfare provision</w:t>
      </w:r>
      <w:r w:rsidR="00A40292">
        <w:rPr>
          <w:rFonts w:ascii="Arial" w:hAnsi="Arial" w:cs="Arial"/>
        </w:rPr>
        <w:t xml:space="preserve"> but weak follow-through on “lessons to doctrine.”</w:t>
      </w:r>
      <w:r w:rsidRPr="00D744D2">
        <w:rPr>
          <w:rFonts w:ascii="Arial" w:hAnsi="Arial" w:cs="Arial"/>
        </w:rPr>
        <w:t xml:space="preserve"> In line with the literature, two implications follow. First, where staff involved in an incident would otherwise manage referrals, independence in welfare oversight can improve trust. Second, learning needs visible tracking from debrief observation to implemented change, for example, action owners, deadlines, and periodic audits of lessons closed. These measures support practitioner resilience and public legitimacy.</w:t>
      </w:r>
    </w:p>
    <w:p w14:paraId="779D6899" w14:textId="77777777" w:rsidR="00D744D2" w:rsidRPr="00D744D2" w:rsidRDefault="00D744D2" w:rsidP="00D744D2">
      <w:pPr>
        <w:spacing w:line="360" w:lineRule="auto"/>
        <w:rPr>
          <w:rFonts w:ascii="Arial" w:hAnsi="Arial" w:cs="Arial"/>
        </w:rPr>
      </w:pPr>
      <w:r w:rsidRPr="00D744D2">
        <w:rPr>
          <w:rFonts w:ascii="Arial" w:hAnsi="Arial" w:cs="Arial"/>
          <w:b/>
          <w:bCs/>
        </w:rPr>
        <w:t xml:space="preserve">4.7 Conclusion </w:t>
      </w:r>
    </w:p>
    <w:p w14:paraId="6CC2B87B" w14:textId="68CD9851" w:rsidR="00D744D2" w:rsidRPr="00D744D2" w:rsidRDefault="00D744D2" w:rsidP="00D744D2">
      <w:pPr>
        <w:spacing w:line="360" w:lineRule="auto"/>
        <w:rPr>
          <w:rFonts w:ascii="Arial" w:hAnsi="Arial" w:cs="Arial"/>
        </w:rPr>
      </w:pPr>
      <w:r w:rsidRPr="00D744D2">
        <w:rPr>
          <w:rFonts w:ascii="Arial" w:hAnsi="Arial" w:cs="Arial"/>
        </w:rPr>
        <w:t xml:space="preserve">Across the five objectives, South Wales Police (SWP) and </w:t>
      </w:r>
      <w:proofErr w:type="gramStart"/>
      <w:r w:rsidRPr="00D744D2">
        <w:rPr>
          <w:rFonts w:ascii="Arial" w:hAnsi="Arial" w:cs="Arial"/>
        </w:rPr>
        <w:t>An</w:t>
      </w:r>
      <w:proofErr w:type="gramEnd"/>
      <w:r w:rsidRPr="00D744D2">
        <w:rPr>
          <w:rFonts w:ascii="Arial" w:hAnsi="Arial" w:cs="Arial"/>
        </w:rPr>
        <w:t xml:space="preserve"> Garda Síochána (AGS) show substantial alignment with a </w:t>
      </w:r>
      <w:r w:rsidR="00A40292">
        <w:rPr>
          <w:rFonts w:ascii="Arial" w:hAnsi="Arial" w:cs="Arial"/>
        </w:rPr>
        <w:t>communication-led, psychology-informed</w:t>
      </w:r>
      <w:r w:rsidRPr="00D744D2">
        <w:rPr>
          <w:rFonts w:ascii="Arial" w:hAnsi="Arial" w:cs="Arial"/>
        </w:rPr>
        <w:t xml:space="preserve"> model of negotiation grounded in credibility, empathy, and the deliberate use of time. SWP places greater emphasis on standardisation, predictable coverage, and a mature live</w:t>
      </w:r>
      <w:r w:rsidR="00A40292">
        <w:rPr>
          <w:rFonts w:ascii="Arial" w:hAnsi="Arial" w:cs="Arial"/>
        </w:rPr>
        <w:t xml:space="preserve"> streaming capability supported by access to real-time</w:t>
      </w:r>
      <w:r w:rsidRPr="00D744D2">
        <w:rPr>
          <w:rFonts w:ascii="Arial" w:hAnsi="Arial" w:cs="Arial"/>
        </w:rPr>
        <w:t xml:space="preserve"> intelligence and historical records. AGS emphasises an embedded, </w:t>
      </w:r>
      <w:r w:rsidR="00A40292">
        <w:rPr>
          <w:rFonts w:ascii="Arial" w:hAnsi="Arial" w:cs="Arial"/>
        </w:rPr>
        <w:t>day-to-day</w:t>
      </w:r>
      <w:r w:rsidRPr="00D744D2">
        <w:rPr>
          <w:rFonts w:ascii="Arial" w:hAnsi="Arial" w:cs="Arial"/>
        </w:rPr>
        <w:t xml:space="preserve"> integration with specialist units and careful consideration of covert options where visible recording may affect rapport. </w:t>
      </w:r>
    </w:p>
    <w:p w14:paraId="052C2D1D" w14:textId="1E8B948D" w:rsidR="00D744D2" w:rsidRPr="00D744D2" w:rsidRDefault="00D744D2" w:rsidP="00D744D2">
      <w:pPr>
        <w:spacing w:line="360" w:lineRule="auto"/>
        <w:rPr>
          <w:rFonts w:ascii="Arial" w:hAnsi="Arial" w:cs="Arial"/>
        </w:rPr>
      </w:pPr>
      <w:r w:rsidRPr="00D744D2">
        <w:rPr>
          <w:rFonts w:ascii="Arial" w:hAnsi="Arial" w:cs="Arial"/>
        </w:rPr>
        <w:t xml:space="preserve">Both services prioritise reliable </w:t>
      </w:r>
      <w:r w:rsidR="00A40292">
        <w:rPr>
          <w:rFonts w:ascii="Arial" w:hAnsi="Arial" w:cs="Arial"/>
        </w:rPr>
        <w:t>communication and real-time intelligence, while their technology choices reflect different governance considerations: managing observer effects and battery-life constraints in SWP and</w:t>
      </w:r>
      <w:r w:rsidRPr="00D744D2">
        <w:rPr>
          <w:rFonts w:ascii="Arial" w:hAnsi="Arial" w:cs="Arial"/>
        </w:rPr>
        <w:t xml:space="preserve"> linking any covert or new tools to clear auditability and disclosure obligations in AGS. </w:t>
      </w:r>
      <w:r w:rsidR="00A40292">
        <w:rPr>
          <w:rFonts w:ascii="Arial" w:hAnsi="Arial" w:cs="Arial"/>
        </w:rPr>
        <w:t>Post-incident</w:t>
      </w:r>
      <w:r w:rsidRPr="00D744D2">
        <w:rPr>
          <w:rFonts w:ascii="Arial" w:hAnsi="Arial" w:cs="Arial"/>
        </w:rPr>
        <w:t xml:space="preserve"> provision is consistently strong on welfare in both services, yet the conversion of lessons into updates to doctrine, training, or systems is reported as limited.</w:t>
      </w:r>
    </w:p>
    <w:p w14:paraId="0ACB70B4" w14:textId="13B8D17A" w:rsidR="00D744D2" w:rsidRPr="00D744D2" w:rsidRDefault="00D744D2" w:rsidP="00D744D2">
      <w:pPr>
        <w:spacing w:line="360" w:lineRule="auto"/>
        <w:rPr>
          <w:rFonts w:ascii="Arial" w:hAnsi="Arial" w:cs="Arial"/>
        </w:rPr>
      </w:pPr>
      <w:r w:rsidRPr="00D744D2">
        <w:rPr>
          <w:rFonts w:ascii="Arial" w:hAnsi="Arial" w:cs="Arial"/>
        </w:rPr>
        <w:t>Taken together, these patterns indicate targeted improvements with practical value: the introduction of formal scenario</w:t>
      </w:r>
      <w:r w:rsidRPr="00D744D2">
        <w:rPr>
          <w:rFonts w:ascii="Arial" w:hAnsi="Arial" w:cs="Arial"/>
        </w:rPr>
        <w:noBreakHyphen/>
        <w:t>based selection in AGS; continued emphasis on observed, developmental assessment in both services; clearer documentation of thresholds and decision rationales; proportionate technology governance that protects rapport while maintaining auditability; and, for post</w:t>
      </w:r>
      <w:r w:rsidRPr="00D744D2">
        <w:rPr>
          <w:rFonts w:ascii="Arial" w:hAnsi="Arial" w:cs="Arial"/>
        </w:rPr>
        <w:noBreakHyphen/>
        <w:t xml:space="preserve">incident learning, independent oversight (where appropriate) and visible action tracking from debrief observation to implemented change. </w:t>
      </w:r>
      <w:r w:rsidRPr="00D744D2">
        <w:rPr>
          <w:rFonts w:ascii="Arial" w:hAnsi="Arial" w:cs="Arial"/>
        </w:rPr>
        <w:lastRenderedPageBreak/>
        <w:t xml:space="preserve">Chapter Five </w:t>
      </w:r>
      <w:r w:rsidR="000049BA">
        <w:rPr>
          <w:rFonts w:ascii="Arial" w:hAnsi="Arial" w:cs="Arial"/>
        </w:rPr>
        <w:t>s</w:t>
      </w:r>
      <w:r w:rsidRPr="00D744D2">
        <w:rPr>
          <w:rFonts w:ascii="Arial" w:hAnsi="Arial" w:cs="Arial"/>
        </w:rPr>
        <w:t xml:space="preserve">ynthesises the findings into </w:t>
      </w:r>
      <w:r w:rsidR="00687048">
        <w:rPr>
          <w:rFonts w:ascii="Arial" w:hAnsi="Arial" w:cs="Arial"/>
        </w:rPr>
        <w:t xml:space="preserve">conclusions and </w:t>
      </w:r>
      <w:r w:rsidR="00687048" w:rsidRPr="00687048">
        <w:rPr>
          <w:rFonts w:ascii="Arial" w:hAnsi="Arial" w:cs="Arial"/>
        </w:rPr>
        <w:t xml:space="preserve">evidence-based recommendations mapped to each </w:t>
      </w:r>
      <w:r w:rsidR="00DE3142" w:rsidRPr="00687048">
        <w:rPr>
          <w:rFonts w:ascii="Arial" w:hAnsi="Arial" w:cs="Arial"/>
        </w:rPr>
        <w:t>objective and</w:t>
      </w:r>
      <w:r w:rsidR="00687048" w:rsidRPr="00687048">
        <w:rPr>
          <w:rFonts w:ascii="Arial" w:hAnsi="Arial" w:cs="Arial"/>
        </w:rPr>
        <w:t xml:space="preserve"> identifies limitations and priorities for future research.</w:t>
      </w:r>
      <w:r w:rsidR="00687048">
        <w:rPr>
          <w:rFonts w:ascii="Arial" w:hAnsi="Arial" w:cs="Arial"/>
        </w:rPr>
        <w:t xml:space="preserve"> </w:t>
      </w:r>
      <w:r w:rsidR="00432637">
        <w:rPr>
          <w:rFonts w:ascii="Arial" w:hAnsi="Arial" w:cs="Arial"/>
        </w:rPr>
        <w:t xml:space="preserve"> </w:t>
      </w:r>
    </w:p>
    <w:p w14:paraId="39AF6196" w14:textId="77777777" w:rsidR="00D744D2" w:rsidRPr="00D744D2" w:rsidRDefault="00D744D2" w:rsidP="00D744D2">
      <w:pPr>
        <w:spacing w:line="360" w:lineRule="auto"/>
        <w:rPr>
          <w:rFonts w:ascii="Arial" w:hAnsi="Arial" w:cs="Arial"/>
        </w:rPr>
      </w:pPr>
      <w:r w:rsidRPr="00D744D2">
        <w:rPr>
          <w:rFonts w:ascii="Arial" w:hAnsi="Arial" w:cs="Arial"/>
          <w:b/>
          <w:bCs/>
        </w:rPr>
        <w:t>Chapter Five: Conclusions and Recommendations</w:t>
      </w:r>
    </w:p>
    <w:p w14:paraId="4C8A8F54" w14:textId="00FFD5FA" w:rsidR="00D744D2" w:rsidRPr="00D744D2" w:rsidRDefault="00D744D2" w:rsidP="00D744D2">
      <w:pPr>
        <w:spacing w:line="360" w:lineRule="auto"/>
        <w:rPr>
          <w:rFonts w:ascii="Arial" w:hAnsi="Arial" w:cs="Arial"/>
        </w:rPr>
      </w:pPr>
      <w:r w:rsidRPr="003C4223">
        <w:rPr>
          <w:rFonts w:ascii="Arial" w:hAnsi="Arial" w:cs="Arial"/>
          <w:b/>
          <w:bCs/>
        </w:rPr>
        <w:t>5.6 Conclusion</w:t>
      </w:r>
    </w:p>
    <w:p w14:paraId="7AA9563D" w14:textId="77777777" w:rsidR="00D744D2" w:rsidRDefault="00D744D2" w:rsidP="00D744D2">
      <w:pPr>
        <w:spacing w:line="360" w:lineRule="auto"/>
        <w:rPr>
          <w:rFonts w:ascii="Arial" w:hAnsi="Arial" w:cs="Arial"/>
          <w:b/>
          <w:bCs/>
        </w:rPr>
      </w:pPr>
      <w:r w:rsidRPr="00D744D2">
        <w:rPr>
          <w:rFonts w:ascii="Arial" w:hAnsi="Arial" w:cs="Arial"/>
          <w:b/>
          <w:bCs/>
        </w:rPr>
        <w:t>1. Introduction</w:t>
      </w:r>
    </w:p>
    <w:p w14:paraId="3D63737E" w14:textId="77777777" w:rsidR="002C4B2F" w:rsidRDefault="003E22C1" w:rsidP="003E22C1">
      <w:pPr>
        <w:spacing w:line="360" w:lineRule="auto"/>
        <w:rPr>
          <w:rFonts w:ascii="Arial" w:hAnsi="Arial" w:cs="Arial"/>
        </w:rPr>
      </w:pPr>
      <w:r w:rsidRPr="007A0420">
        <w:rPr>
          <w:rFonts w:ascii="Arial" w:hAnsi="Arial" w:cs="Arial"/>
        </w:rPr>
        <w:t xml:space="preserve">This chapter concludes the </w:t>
      </w:r>
      <w:r w:rsidR="00B111C4">
        <w:rPr>
          <w:rFonts w:ascii="Arial" w:hAnsi="Arial" w:cs="Arial"/>
        </w:rPr>
        <w:t xml:space="preserve">research project </w:t>
      </w:r>
      <w:r w:rsidRPr="007A0420">
        <w:rPr>
          <w:rFonts w:ascii="Arial" w:hAnsi="Arial" w:cs="Arial"/>
        </w:rPr>
        <w:t xml:space="preserve">by </w:t>
      </w:r>
      <w:r>
        <w:rPr>
          <w:rFonts w:ascii="Arial" w:hAnsi="Arial" w:cs="Arial"/>
        </w:rPr>
        <w:t xml:space="preserve">demonstrating how the research met its aims and objectives, interpreting what the study has achieved, reflecting critically on its </w:t>
      </w:r>
      <w:r w:rsidRPr="007A0420">
        <w:rPr>
          <w:rFonts w:ascii="Arial" w:hAnsi="Arial" w:cs="Arial"/>
        </w:rPr>
        <w:t xml:space="preserve">limitations, and outlining directions for future research. The study set out to conduct a critical comparative analysis of hostage and crisis negotiation in South Wales Police (SWP) and </w:t>
      </w:r>
      <w:proofErr w:type="gramStart"/>
      <w:r w:rsidRPr="007A0420">
        <w:rPr>
          <w:rFonts w:ascii="Arial" w:hAnsi="Arial" w:cs="Arial"/>
        </w:rPr>
        <w:t>An</w:t>
      </w:r>
      <w:proofErr w:type="gramEnd"/>
      <w:r w:rsidRPr="007A0420">
        <w:rPr>
          <w:rFonts w:ascii="Arial" w:hAnsi="Arial" w:cs="Arial"/>
        </w:rPr>
        <w:t xml:space="preserve"> Garda Síochána (AGS), examining practitioner recruitment, professional development, operational practice, technological integration, and </w:t>
      </w:r>
      <w:r>
        <w:rPr>
          <w:rFonts w:ascii="Arial" w:hAnsi="Arial" w:cs="Arial"/>
        </w:rPr>
        <w:t>post-incident support, with a view to producing evidence-based</w:t>
      </w:r>
      <w:r w:rsidRPr="007A0420">
        <w:rPr>
          <w:rFonts w:ascii="Arial" w:hAnsi="Arial" w:cs="Arial"/>
        </w:rPr>
        <w:t xml:space="preserve"> recommendations. </w:t>
      </w:r>
    </w:p>
    <w:p w14:paraId="6D47426E" w14:textId="7FD8DB56" w:rsidR="003E22C1" w:rsidRPr="007A0420" w:rsidRDefault="003E22C1" w:rsidP="003E22C1">
      <w:pPr>
        <w:spacing w:line="360" w:lineRule="auto"/>
        <w:rPr>
          <w:rFonts w:ascii="Arial" w:hAnsi="Arial" w:cs="Arial"/>
        </w:rPr>
      </w:pPr>
      <w:r w:rsidRPr="007A0420">
        <w:rPr>
          <w:rFonts w:ascii="Arial" w:hAnsi="Arial" w:cs="Arial"/>
        </w:rPr>
        <w:t xml:space="preserve">Results indicate that both services share a </w:t>
      </w:r>
      <w:r>
        <w:rPr>
          <w:rFonts w:ascii="Arial" w:hAnsi="Arial" w:cs="Arial"/>
        </w:rPr>
        <w:t>communication-led, psychology-informed</w:t>
      </w:r>
      <w:r w:rsidRPr="007A0420">
        <w:rPr>
          <w:rFonts w:ascii="Arial" w:hAnsi="Arial" w:cs="Arial"/>
        </w:rPr>
        <w:t xml:space="preserve"> doctrine anchored in credibility, empathy, and the deliberate use of time. SWP places greater emphasis on standardisation, </w:t>
      </w:r>
      <w:r>
        <w:rPr>
          <w:rFonts w:ascii="Arial" w:hAnsi="Arial" w:cs="Arial"/>
        </w:rPr>
        <w:t>psychologist-led selection, realistic scenario work, a 24/7 rota, and live streaming with real-time</w:t>
      </w:r>
      <w:r w:rsidRPr="007A0420">
        <w:rPr>
          <w:rFonts w:ascii="Arial" w:hAnsi="Arial" w:cs="Arial"/>
        </w:rPr>
        <w:t xml:space="preserve"> intelligence. AGS operates a </w:t>
      </w:r>
      <w:r>
        <w:rPr>
          <w:rFonts w:ascii="Arial" w:hAnsi="Arial" w:cs="Arial"/>
        </w:rPr>
        <w:t>full-time embedded unit integrated day to day with specialist teams, values prior operational experience, is adding working</w:t>
      </w:r>
      <w:r>
        <w:rPr>
          <w:rFonts w:ascii="Arial" w:hAnsi="Arial" w:cs="Arial"/>
        </w:rPr>
        <w:noBreakHyphen/>
        <w:t>at</w:t>
      </w:r>
      <w:r>
        <w:rPr>
          <w:rFonts w:ascii="Arial" w:hAnsi="Arial" w:cs="Arial"/>
        </w:rPr>
        <w:noBreakHyphen/>
        <w:t>height capability, and is appropriately cautious about body-worn</w:t>
      </w:r>
      <w:r w:rsidRPr="007A0420">
        <w:rPr>
          <w:rFonts w:ascii="Arial" w:hAnsi="Arial" w:cs="Arial"/>
        </w:rPr>
        <w:t xml:space="preserve"> video where visible recording may undermine rapport. Welfare provision is strong in both services, but </w:t>
      </w:r>
      <w:r>
        <w:rPr>
          <w:rFonts w:ascii="Arial" w:hAnsi="Arial" w:cs="Arial"/>
        </w:rPr>
        <w:t>translating</w:t>
      </w:r>
      <w:r w:rsidRPr="007A0420">
        <w:rPr>
          <w:rFonts w:ascii="Arial" w:hAnsi="Arial" w:cs="Arial"/>
        </w:rPr>
        <w:t xml:space="preserve"> debrief insights into changes in doctrine, training, or systems remains limited. Taken together, these findings answer the research question and support practical recommendations mapped to each domain.</w:t>
      </w:r>
    </w:p>
    <w:p w14:paraId="61CC79A5" w14:textId="07483DE9" w:rsidR="003E22C1" w:rsidRPr="007A0420" w:rsidRDefault="001E7C9A" w:rsidP="003E22C1">
      <w:pPr>
        <w:spacing w:line="360" w:lineRule="auto"/>
        <w:rPr>
          <w:rFonts w:ascii="Arial" w:hAnsi="Arial" w:cs="Arial"/>
          <w:b/>
          <w:bCs/>
        </w:rPr>
      </w:pPr>
      <w:r>
        <w:rPr>
          <w:rFonts w:ascii="Arial" w:hAnsi="Arial" w:cs="Arial"/>
          <w:b/>
          <w:bCs/>
        </w:rPr>
        <w:t xml:space="preserve">2. </w:t>
      </w:r>
      <w:r w:rsidR="003E22C1" w:rsidRPr="007A0420">
        <w:rPr>
          <w:rFonts w:ascii="Arial" w:hAnsi="Arial" w:cs="Arial"/>
          <w:b/>
          <w:bCs/>
        </w:rPr>
        <w:t xml:space="preserve">Research objectives: summary of findings and results </w:t>
      </w:r>
    </w:p>
    <w:p w14:paraId="7C63A4F3" w14:textId="75D1AAC7" w:rsidR="003E22C1" w:rsidRPr="007A0420" w:rsidRDefault="003E22C1" w:rsidP="003E22C1">
      <w:pPr>
        <w:spacing w:line="360" w:lineRule="auto"/>
        <w:rPr>
          <w:rFonts w:ascii="Arial" w:hAnsi="Arial" w:cs="Arial"/>
          <w:b/>
          <w:bCs/>
        </w:rPr>
      </w:pPr>
      <w:r w:rsidRPr="007A0420">
        <w:rPr>
          <w:rFonts w:ascii="Arial" w:hAnsi="Arial" w:cs="Arial"/>
          <w:b/>
          <w:bCs/>
        </w:rPr>
        <w:t xml:space="preserve">Objective 1 (Recruitment) </w:t>
      </w:r>
    </w:p>
    <w:p w14:paraId="15BC01B4" w14:textId="77777777" w:rsidR="003E22C1" w:rsidRPr="007A0420" w:rsidRDefault="003E22C1" w:rsidP="003E22C1">
      <w:pPr>
        <w:spacing w:line="360" w:lineRule="auto"/>
        <w:rPr>
          <w:rFonts w:ascii="Arial" w:hAnsi="Arial" w:cs="Arial"/>
        </w:rPr>
      </w:pPr>
      <w:r w:rsidRPr="007A0420">
        <w:rPr>
          <w:rFonts w:ascii="Arial" w:hAnsi="Arial" w:cs="Arial"/>
        </w:rPr>
        <w:t xml:space="preserve">SWP applies a structured pathway that includes a </w:t>
      </w:r>
      <w:r>
        <w:rPr>
          <w:rFonts w:ascii="Arial" w:hAnsi="Arial" w:cs="Arial"/>
        </w:rPr>
        <w:t>psychologist-led interview, which has already identified risk factors at entry and supports welfare-aware</w:t>
      </w:r>
      <w:r w:rsidRPr="007A0420">
        <w:rPr>
          <w:rFonts w:ascii="Arial" w:hAnsi="Arial" w:cs="Arial"/>
        </w:rPr>
        <w:t xml:space="preserve"> selection. AGS places weight on prior operational experience and is moving toward </w:t>
      </w:r>
      <w:r>
        <w:rPr>
          <w:rFonts w:ascii="Arial" w:hAnsi="Arial" w:cs="Arial"/>
        </w:rPr>
        <w:t>scenario-based</w:t>
      </w:r>
      <w:r w:rsidRPr="007A0420">
        <w:rPr>
          <w:rFonts w:ascii="Arial" w:hAnsi="Arial" w:cs="Arial"/>
        </w:rPr>
        <w:t xml:space="preserve"> assessment. The study concludes that clear selection rubrics, short observed scenarios, and early psychological screening provide the most consistent and fair approach across both services.</w:t>
      </w:r>
    </w:p>
    <w:p w14:paraId="0B253932" w14:textId="77777777" w:rsidR="001A6A49" w:rsidRDefault="001A6A49" w:rsidP="003E22C1">
      <w:pPr>
        <w:spacing w:line="360" w:lineRule="auto"/>
        <w:rPr>
          <w:rFonts w:ascii="Arial" w:hAnsi="Arial" w:cs="Arial"/>
          <w:b/>
          <w:bCs/>
        </w:rPr>
      </w:pPr>
    </w:p>
    <w:p w14:paraId="349401CB" w14:textId="77777777" w:rsidR="001A6A49" w:rsidRDefault="001A6A49" w:rsidP="003E22C1">
      <w:pPr>
        <w:spacing w:line="360" w:lineRule="auto"/>
        <w:rPr>
          <w:rFonts w:ascii="Arial" w:hAnsi="Arial" w:cs="Arial"/>
          <w:b/>
          <w:bCs/>
        </w:rPr>
      </w:pPr>
    </w:p>
    <w:p w14:paraId="689A20F1" w14:textId="2E0FF0C2" w:rsidR="003E22C1" w:rsidRPr="007A0420" w:rsidRDefault="003E22C1" w:rsidP="003E22C1">
      <w:pPr>
        <w:spacing w:line="360" w:lineRule="auto"/>
        <w:rPr>
          <w:rFonts w:ascii="Arial" w:hAnsi="Arial" w:cs="Arial"/>
          <w:b/>
          <w:bCs/>
        </w:rPr>
      </w:pPr>
      <w:r w:rsidRPr="007A0420">
        <w:rPr>
          <w:rFonts w:ascii="Arial" w:hAnsi="Arial" w:cs="Arial"/>
          <w:b/>
          <w:bCs/>
        </w:rPr>
        <w:lastRenderedPageBreak/>
        <w:t xml:space="preserve">Objective 2 (Professional development) </w:t>
      </w:r>
    </w:p>
    <w:p w14:paraId="7BEEB37C" w14:textId="39A972BC" w:rsidR="003E22C1" w:rsidRPr="007A0420" w:rsidRDefault="003E22C1" w:rsidP="003E22C1">
      <w:pPr>
        <w:spacing w:line="360" w:lineRule="auto"/>
        <w:rPr>
          <w:rFonts w:ascii="Arial" w:hAnsi="Arial" w:cs="Arial"/>
        </w:rPr>
      </w:pPr>
      <w:r w:rsidRPr="007A0420">
        <w:rPr>
          <w:rFonts w:ascii="Arial" w:hAnsi="Arial" w:cs="Arial"/>
        </w:rPr>
        <w:t xml:space="preserve">Both services report comprehensive initial training and strong CPD with annual assessment. SWP emphasises realistic scenario work, including targeted </w:t>
      </w:r>
      <w:r>
        <w:rPr>
          <w:rFonts w:ascii="Arial" w:hAnsi="Arial" w:cs="Arial"/>
        </w:rPr>
        <w:t>virtual reality pilots</w:t>
      </w:r>
      <w:r w:rsidRPr="007A0420">
        <w:rPr>
          <w:rFonts w:ascii="Arial" w:hAnsi="Arial" w:cs="Arial"/>
        </w:rPr>
        <w:t xml:space="preserve">. AGS is introducing a </w:t>
      </w:r>
      <w:r>
        <w:rPr>
          <w:rFonts w:ascii="Arial" w:hAnsi="Arial" w:cs="Arial"/>
        </w:rPr>
        <w:t xml:space="preserve">work-at-height module with ERU rope access </w:t>
      </w:r>
      <w:r w:rsidR="00927D31">
        <w:rPr>
          <w:rFonts w:ascii="Arial" w:hAnsi="Arial" w:cs="Arial"/>
        </w:rPr>
        <w:t>teams but</w:t>
      </w:r>
      <w:r>
        <w:rPr>
          <w:rFonts w:ascii="Arial" w:hAnsi="Arial" w:cs="Arial"/>
        </w:rPr>
        <w:t xml:space="preserve"> notes a risk that recertification could</w:t>
      </w:r>
      <w:r w:rsidRPr="007A0420">
        <w:rPr>
          <w:rFonts w:ascii="Arial" w:hAnsi="Arial" w:cs="Arial"/>
        </w:rPr>
        <w:t xml:space="preserve"> drift into compliance checking. The conclusion is that developmental recertification</w:t>
      </w:r>
      <w:r>
        <w:rPr>
          <w:rFonts w:ascii="Arial" w:hAnsi="Arial" w:cs="Arial"/>
        </w:rPr>
        <w:t xml:space="preserve">, </w:t>
      </w:r>
      <w:r w:rsidRPr="007A0420">
        <w:rPr>
          <w:rFonts w:ascii="Arial" w:hAnsi="Arial" w:cs="Arial"/>
        </w:rPr>
        <w:t>anchored in observed practice, coached feedback, assessor calibration, and clear rubrics</w:t>
      </w:r>
      <w:r>
        <w:rPr>
          <w:rFonts w:ascii="Arial" w:hAnsi="Arial" w:cs="Arial"/>
        </w:rPr>
        <w:t xml:space="preserve">, </w:t>
      </w:r>
      <w:r w:rsidRPr="007A0420">
        <w:rPr>
          <w:rFonts w:ascii="Arial" w:hAnsi="Arial" w:cs="Arial"/>
        </w:rPr>
        <w:t xml:space="preserve">best sustains </w:t>
      </w:r>
      <w:r>
        <w:rPr>
          <w:rFonts w:ascii="Arial" w:hAnsi="Arial" w:cs="Arial"/>
        </w:rPr>
        <w:t>BISM-aligned</w:t>
      </w:r>
      <w:r w:rsidRPr="007A0420">
        <w:rPr>
          <w:rFonts w:ascii="Arial" w:hAnsi="Arial" w:cs="Arial"/>
        </w:rPr>
        <w:t xml:space="preserve"> communication, tactical empathy, and the deliberate use of time.</w:t>
      </w:r>
    </w:p>
    <w:p w14:paraId="0F689882" w14:textId="767383E2" w:rsidR="003E22C1" w:rsidRPr="0083758D" w:rsidRDefault="003E22C1" w:rsidP="003E22C1">
      <w:pPr>
        <w:spacing w:line="360" w:lineRule="auto"/>
        <w:rPr>
          <w:rFonts w:ascii="Arial" w:hAnsi="Arial" w:cs="Arial"/>
          <w:b/>
          <w:bCs/>
        </w:rPr>
      </w:pPr>
      <w:r w:rsidRPr="007A0420">
        <w:rPr>
          <w:rFonts w:ascii="Arial" w:hAnsi="Arial" w:cs="Arial"/>
          <w:b/>
          <w:bCs/>
        </w:rPr>
        <w:t xml:space="preserve">Objective 3 (Operational practice) </w:t>
      </w:r>
    </w:p>
    <w:p w14:paraId="3AAF5B77" w14:textId="77777777" w:rsidR="003E22C1" w:rsidRPr="007A0420" w:rsidRDefault="003E22C1" w:rsidP="003E22C1">
      <w:pPr>
        <w:spacing w:line="360" w:lineRule="auto"/>
        <w:rPr>
          <w:rFonts w:ascii="Arial" w:hAnsi="Arial" w:cs="Arial"/>
        </w:rPr>
      </w:pPr>
      <w:r w:rsidRPr="007A0420">
        <w:rPr>
          <w:rFonts w:ascii="Arial" w:hAnsi="Arial" w:cs="Arial"/>
        </w:rPr>
        <w:t xml:space="preserve">SWP demonstrates standardisation, predictable coverage through a 24/7 rota, and strong access to historical returns; AGS operates an embedded unit integrated daily with ASU and ERU, applying practitioner discretion within parameters. The conclusion is that a </w:t>
      </w:r>
      <w:r>
        <w:rPr>
          <w:rFonts w:ascii="Arial" w:hAnsi="Arial" w:cs="Arial"/>
        </w:rPr>
        <w:t>negotiation-first</w:t>
      </w:r>
      <w:r w:rsidRPr="007A0420">
        <w:rPr>
          <w:rFonts w:ascii="Arial" w:hAnsi="Arial" w:cs="Arial"/>
        </w:rPr>
        <w:t xml:space="preserve"> doctrine is strengthened in both models by explicit role clarity, documented thresholds for any tactical shift, and auditable decision rationales that show how time and intelligence were used.</w:t>
      </w:r>
    </w:p>
    <w:p w14:paraId="7454AC75" w14:textId="489776BA" w:rsidR="003E22C1" w:rsidRPr="0083758D" w:rsidRDefault="003E22C1" w:rsidP="003E22C1">
      <w:pPr>
        <w:spacing w:line="360" w:lineRule="auto"/>
        <w:rPr>
          <w:rFonts w:ascii="Arial" w:hAnsi="Arial" w:cs="Arial"/>
          <w:b/>
          <w:bCs/>
        </w:rPr>
      </w:pPr>
      <w:r w:rsidRPr="007A0420">
        <w:rPr>
          <w:rFonts w:ascii="Arial" w:hAnsi="Arial" w:cs="Arial"/>
          <w:b/>
          <w:bCs/>
        </w:rPr>
        <w:t xml:space="preserve">Objective 4 (Technological integration) </w:t>
      </w:r>
    </w:p>
    <w:p w14:paraId="6F69089A" w14:textId="77777777" w:rsidR="003E22C1" w:rsidRPr="007A0420" w:rsidRDefault="003E22C1" w:rsidP="003E22C1">
      <w:pPr>
        <w:spacing w:line="360" w:lineRule="auto"/>
        <w:rPr>
          <w:rFonts w:ascii="Arial" w:hAnsi="Arial" w:cs="Arial"/>
        </w:rPr>
      </w:pPr>
      <w:r w:rsidRPr="007A0420">
        <w:rPr>
          <w:rFonts w:ascii="Arial" w:hAnsi="Arial" w:cs="Arial"/>
        </w:rPr>
        <w:t xml:space="preserve">SWP uses live streaming and </w:t>
      </w:r>
      <w:r>
        <w:rPr>
          <w:rFonts w:ascii="Arial" w:hAnsi="Arial" w:cs="Arial"/>
        </w:rPr>
        <w:t>real-time</w:t>
      </w:r>
      <w:r w:rsidRPr="007A0420">
        <w:rPr>
          <w:rFonts w:ascii="Arial" w:hAnsi="Arial" w:cs="Arial"/>
        </w:rPr>
        <w:t xml:space="preserve"> intelligence, while managing observer effects and battery</w:t>
      </w:r>
      <w:r w:rsidRPr="007A0420">
        <w:rPr>
          <w:rFonts w:ascii="Arial" w:hAnsi="Arial" w:cs="Arial"/>
        </w:rPr>
        <w:noBreakHyphen/>
        <w:t xml:space="preserve">life constraints. AGS is cautious about </w:t>
      </w:r>
      <w:r>
        <w:rPr>
          <w:rFonts w:ascii="Arial" w:hAnsi="Arial" w:cs="Arial"/>
        </w:rPr>
        <w:t>body-worn</w:t>
      </w:r>
      <w:r w:rsidRPr="007A0420">
        <w:rPr>
          <w:rFonts w:ascii="Arial" w:hAnsi="Arial" w:cs="Arial"/>
        </w:rPr>
        <w:t xml:space="preserve"> video due to rapport risks and is exploring less intrusive or covert options alongside improved information access through CLIO. The conclusion is that technology should be employed where communication systems are reliable and have redundancy, tools support rapport and integrate </w:t>
      </w:r>
      <w:r>
        <w:rPr>
          <w:rFonts w:ascii="Arial" w:hAnsi="Arial" w:cs="Arial"/>
        </w:rPr>
        <w:t>real-time</w:t>
      </w:r>
      <w:r w:rsidRPr="007A0420">
        <w:rPr>
          <w:rFonts w:ascii="Arial" w:hAnsi="Arial" w:cs="Arial"/>
        </w:rPr>
        <w:t xml:space="preserve"> intelligence, and any recordings are properly governed and auditable in line with disclosure obligations.</w:t>
      </w:r>
    </w:p>
    <w:p w14:paraId="2B7BDEC7" w14:textId="75B2A0B3" w:rsidR="003E22C1" w:rsidRPr="0083758D" w:rsidRDefault="003E22C1" w:rsidP="003E22C1">
      <w:pPr>
        <w:spacing w:line="360" w:lineRule="auto"/>
        <w:rPr>
          <w:rFonts w:ascii="Arial" w:hAnsi="Arial" w:cs="Arial"/>
          <w:b/>
          <w:bCs/>
        </w:rPr>
      </w:pPr>
      <w:r w:rsidRPr="007A0420">
        <w:rPr>
          <w:rFonts w:ascii="Arial" w:hAnsi="Arial" w:cs="Arial"/>
          <w:b/>
          <w:bCs/>
        </w:rPr>
        <w:t>Objective 5 (</w:t>
      </w:r>
      <w:proofErr w:type="gramStart"/>
      <w:r w:rsidRPr="0083758D">
        <w:rPr>
          <w:rFonts w:ascii="Arial" w:hAnsi="Arial" w:cs="Arial"/>
          <w:b/>
          <w:bCs/>
        </w:rPr>
        <w:t>Post-incident</w:t>
      </w:r>
      <w:proofErr w:type="gramEnd"/>
      <w:r w:rsidRPr="007A0420">
        <w:rPr>
          <w:rFonts w:ascii="Arial" w:hAnsi="Arial" w:cs="Arial"/>
          <w:b/>
          <w:bCs/>
        </w:rPr>
        <w:t xml:space="preserve"> support and organisational learning) </w:t>
      </w:r>
    </w:p>
    <w:p w14:paraId="4A1E423F" w14:textId="77777777" w:rsidR="003E22C1" w:rsidRPr="007A0420" w:rsidRDefault="003E22C1" w:rsidP="003E22C1">
      <w:pPr>
        <w:spacing w:line="360" w:lineRule="auto"/>
        <w:rPr>
          <w:rFonts w:ascii="Arial" w:hAnsi="Arial" w:cs="Arial"/>
        </w:rPr>
      </w:pPr>
      <w:r w:rsidRPr="007A0420">
        <w:rPr>
          <w:rFonts w:ascii="Arial" w:hAnsi="Arial" w:cs="Arial"/>
        </w:rPr>
        <w:t xml:space="preserve">Both services provide robust welfare; however, conversion of debrief insights into doctrine, training, or system change is limited. AGS proposes independent welfare oversight in incidents </w:t>
      </w:r>
      <w:r>
        <w:rPr>
          <w:rFonts w:ascii="Arial" w:hAnsi="Arial" w:cs="Arial"/>
        </w:rPr>
        <w:t>involving NNU staff</w:t>
      </w:r>
      <w:r w:rsidRPr="007A0420">
        <w:rPr>
          <w:rFonts w:ascii="Arial" w:hAnsi="Arial" w:cs="Arial"/>
        </w:rPr>
        <w:t xml:space="preserve">. The conclusion is to separate welfare from learning, track actions visibly through to closure, and introduce independent welfare oversight in defined cases to support practitioner trust and organisational improvement. An unexpected but </w:t>
      </w:r>
      <w:r>
        <w:rPr>
          <w:rFonts w:ascii="Arial" w:hAnsi="Arial" w:cs="Arial"/>
        </w:rPr>
        <w:t>cross-cutting finding is that lessons</w:t>
      </w:r>
      <w:r>
        <w:rPr>
          <w:rFonts w:ascii="Arial" w:hAnsi="Arial" w:cs="Arial"/>
        </w:rPr>
        <w:noBreakHyphen/>
        <w:t>to</w:t>
      </w:r>
      <w:r>
        <w:rPr>
          <w:rFonts w:ascii="Arial" w:hAnsi="Arial" w:cs="Arial"/>
        </w:rPr>
        <w:noBreakHyphen/>
        <w:t>doctrine follow-through</w:t>
      </w:r>
      <w:r w:rsidRPr="007A0420">
        <w:rPr>
          <w:rFonts w:ascii="Arial" w:hAnsi="Arial" w:cs="Arial"/>
        </w:rPr>
        <w:t xml:space="preserve"> is the principal missed opportunity in both services.</w:t>
      </w:r>
    </w:p>
    <w:p w14:paraId="05E04F72" w14:textId="60CBD8C7" w:rsidR="003E22C1" w:rsidRPr="0083758D" w:rsidRDefault="001E7C9A" w:rsidP="003E22C1">
      <w:pPr>
        <w:spacing w:line="360" w:lineRule="auto"/>
        <w:rPr>
          <w:rFonts w:ascii="Arial" w:hAnsi="Arial" w:cs="Arial"/>
          <w:b/>
          <w:bCs/>
        </w:rPr>
      </w:pPr>
      <w:r>
        <w:rPr>
          <w:rFonts w:ascii="Arial" w:hAnsi="Arial" w:cs="Arial"/>
          <w:b/>
          <w:bCs/>
        </w:rPr>
        <w:t xml:space="preserve">3. </w:t>
      </w:r>
      <w:r w:rsidR="003E22C1" w:rsidRPr="007A0420">
        <w:rPr>
          <w:rFonts w:ascii="Arial" w:hAnsi="Arial" w:cs="Arial"/>
          <w:b/>
          <w:bCs/>
        </w:rPr>
        <w:t xml:space="preserve">What the research has achieved </w:t>
      </w:r>
    </w:p>
    <w:p w14:paraId="095472C1" w14:textId="1ABFA3FE" w:rsidR="003E22C1" w:rsidRPr="007A0420" w:rsidRDefault="003E22C1" w:rsidP="003E22C1">
      <w:pPr>
        <w:spacing w:line="360" w:lineRule="auto"/>
        <w:rPr>
          <w:rFonts w:ascii="Arial" w:hAnsi="Arial" w:cs="Arial"/>
        </w:rPr>
      </w:pPr>
      <w:r w:rsidRPr="007A0420">
        <w:rPr>
          <w:rFonts w:ascii="Arial" w:hAnsi="Arial" w:cs="Arial"/>
        </w:rPr>
        <w:t xml:space="preserve">This </w:t>
      </w:r>
      <w:r w:rsidR="00F63EA6">
        <w:rPr>
          <w:rFonts w:ascii="Arial" w:hAnsi="Arial" w:cs="Arial"/>
        </w:rPr>
        <w:t xml:space="preserve">research </w:t>
      </w:r>
      <w:r w:rsidRPr="007A0420">
        <w:rPr>
          <w:rFonts w:ascii="Arial" w:hAnsi="Arial" w:cs="Arial"/>
        </w:rPr>
        <w:t xml:space="preserve">directly addresses a European evidence gap by delivering a structured, </w:t>
      </w:r>
      <w:r>
        <w:rPr>
          <w:rFonts w:ascii="Arial" w:hAnsi="Arial" w:cs="Arial"/>
        </w:rPr>
        <w:t>cross-jurisdictional</w:t>
      </w:r>
      <w:r w:rsidRPr="007A0420">
        <w:rPr>
          <w:rFonts w:ascii="Arial" w:hAnsi="Arial" w:cs="Arial"/>
        </w:rPr>
        <w:t xml:space="preserve"> comparison rather than a single</w:t>
      </w:r>
      <w:r w:rsidRPr="007A0420">
        <w:rPr>
          <w:rFonts w:ascii="Arial" w:hAnsi="Arial" w:cs="Arial"/>
        </w:rPr>
        <w:noBreakHyphen/>
        <w:t xml:space="preserve">service account. It confirms core propositions </w:t>
      </w:r>
      <w:r w:rsidRPr="007A0420">
        <w:rPr>
          <w:rFonts w:ascii="Arial" w:hAnsi="Arial" w:cs="Arial"/>
        </w:rPr>
        <w:lastRenderedPageBreak/>
        <w:t>in the literature</w:t>
      </w:r>
      <w:r>
        <w:rPr>
          <w:rFonts w:ascii="Arial" w:hAnsi="Arial" w:cs="Arial"/>
        </w:rPr>
        <w:t xml:space="preserve">, </w:t>
      </w:r>
      <w:r w:rsidRPr="007A0420">
        <w:rPr>
          <w:rFonts w:ascii="Arial" w:hAnsi="Arial" w:cs="Arial"/>
        </w:rPr>
        <w:t xml:space="preserve">especially the centrality of the Behavioural Influence Stairway Model (BISM), tactical empathy, and </w:t>
      </w:r>
      <w:r>
        <w:rPr>
          <w:rFonts w:ascii="Arial" w:hAnsi="Arial" w:cs="Arial"/>
        </w:rPr>
        <w:t xml:space="preserve">time-based de-escalation, </w:t>
      </w:r>
      <w:r w:rsidRPr="007A0420">
        <w:rPr>
          <w:rFonts w:ascii="Arial" w:hAnsi="Arial" w:cs="Arial"/>
        </w:rPr>
        <w:t xml:space="preserve">while adding comparative nuance on organisational configuration and technology governance. It challenges any uncritical adoption of visible recording during negotiations by evidencing credible rapport risks, and it highlights that </w:t>
      </w:r>
      <w:r>
        <w:rPr>
          <w:rFonts w:ascii="Arial" w:hAnsi="Arial" w:cs="Arial"/>
        </w:rPr>
        <w:t>post-incident</w:t>
      </w:r>
      <w:r w:rsidRPr="007A0420">
        <w:rPr>
          <w:rFonts w:ascii="Arial" w:hAnsi="Arial" w:cs="Arial"/>
        </w:rPr>
        <w:t xml:space="preserve"> organisational learning remains a weak link even where welfare provision is strong. By integrating practitioner accounts with the criteria developed in the literature review, the study bridges doctrine and operational realities and translates insights into feasible steps for improvement in both services.</w:t>
      </w:r>
    </w:p>
    <w:p w14:paraId="07C2FB48" w14:textId="0B56C42B" w:rsidR="003E22C1" w:rsidRPr="007A0420" w:rsidRDefault="001E7C9A" w:rsidP="003E22C1">
      <w:pPr>
        <w:spacing w:line="360" w:lineRule="auto"/>
        <w:rPr>
          <w:rFonts w:ascii="Arial" w:hAnsi="Arial" w:cs="Arial"/>
          <w:b/>
          <w:bCs/>
        </w:rPr>
      </w:pPr>
      <w:r>
        <w:rPr>
          <w:rFonts w:ascii="Arial" w:hAnsi="Arial" w:cs="Arial"/>
          <w:b/>
          <w:bCs/>
        </w:rPr>
        <w:t xml:space="preserve">4. </w:t>
      </w:r>
      <w:r w:rsidR="003E22C1" w:rsidRPr="007A0420">
        <w:rPr>
          <w:rFonts w:ascii="Arial" w:hAnsi="Arial" w:cs="Arial"/>
          <w:b/>
          <w:bCs/>
        </w:rPr>
        <w:t xml:space="preserve">Limitations </w:t>
      </w:r>
    </w:p>
    <w:p w14:paraId="5E2EB03A" w14:textId="6384D8D1" w:rsidR="003E22C1" w:rsidRPr="007A0420" w:rsidRDefault="003E22C1" w:rsidP="003E22C1">
      <w:pPr>
        <w:spacing w:line="360" w:lineRule="auto"/>
        <w:rPr>
          <w:rFonts w:ascii="Arial" w:hAnsi="Arial" w:cs="Arial"/>
        </w:rPr>
      </w:pPr>
      <w:r w:rsidRPr="007A0420">
        <w:rPr>
          <w:rFonts w:ascii="Arial" w:hAnsi="Arial" w:cs="Arial"/>
        </w:rPr>
        <w:t xml:space="preserve">As detailed in Section 3.7, the small, </w:t>
      </w:r>
      <w:r>
        <w:rPr>
          <w:rFonts w:ascii="Arial" w:hAnsi="Arial" w:cs="Arial"/>
        </w:rPr>
        <w:t>cross-sectional expert sample and confidentiality constraints limit generalisability and fine-grained operational detail; structural differences (SWP’s standardised on-call model versus AGS’s embedded unit)</w:t>
      </w:r>
      <w:r w:rsidR="00CD17DE">
        <w:rPr>
          <w:rFonts w:ascii="Arial" w:hAnsi="Arial" w:cs="Arial"/>
        </w:rPr>
        <w:t>,</w:t>
      </w:r>
      <w:r>
        <w:rPr>
          <w:rFonts w:ascii="Arial" w:hAnsi="Arial" w:cs="Arial"/>
        </w:rPr>
        <w:t xml:space="preserve"> and technology maturity also complicate like-for-like</w:t>
      </w:r>
      <w:r w:rsidRPr="007A0420">
        <w:rPr>
          <w:rFonts w:ascii="Arial" w:hAnsi="Arial" w:cs="Arial"/>
        </w:rPr>
        <w:t xml:space="preserve"> comparison. These limits were mitigated by tight alignment to explicit criteria, a transparent audit trail for analysis, and interpretation against the literature and jurisdictional context. Future studies should broaden the practitioner base, triangulate findings with interviews and documents, and adopt longitudinal designs to test whether developmental assessment correlates with field outcomes over time.</w:t>
      </w:r>
    </w:p>
    <w:p w14:paraId="402B8E51" w14:textId="0E909278" w:rsidR="003E22C1" w:rsidRPr="0083758D" w:rsidRDefault="001E7C9A" w:rsidP="003E22C1">
      <w:pPr>
        <w:spacing w:line="360" w:lineRule="auto"/>
        <w:rPr>
          <w:rFonts w:ascii="Arial" w:hAnsi="Arial" w:cs="Arial"/>
          <w:b/>
          <w:bCs/>
        </w:rPr>
      </w:pPr>
      <w:r>
        <w:rPr>
          <w:rFonts w:ascii="Arial" w:hAnsi="Arial" w:cs="Arial"/>
          <w:b/>
          <w:bCs/>
        </w:rPr>
        <w:t xml:space="preserve">5. </w:t>
      </w:r>
      <w:r w:rsidR="003E22C1" w:rsidRPr="007A0420">
        <w:rPr>
          <w:rFonts w:ascii="Arial" w:hAnsi="Arial" w:cs="Arial"/>
          <w:b/>
          <w:bCs/>
        </w:rPr>
        <w:t xml:space="preserve">Recommendations for future research. </w:t>
      </w:r>
    </w:p>
    <w:p w14:paraId="61FF8CD2" w14:textId="77777777" w:rsidR="003E22C1" w:rsidRPr="007A0420" w:rsidRDefault="003E22C1" w:rsidP="003E22C1">
      <w:pPr>
        <w:spacing w:line="360" w:lineRule="auto"/>
        <w:rPr>
          <w:rFonts w:ascii="Arial" w:hAnsi="Arial" w:cs="Arial"/>
        </w:rPr>
      </w:pPr>
      <w:r w:rsidRPr="007A0420">
        <w:rPr>
          <w:rFonts w:ascii="Arial" w:hAnsi="Arial" w:cs="Arial"/>
        </w:rPr>
        <w:t xml:space="preserve">Priorities flow directly from the findings. First, expand participation in both services to deepen and triangulate insight into recruitment, training, and </w:t>
      </w:r>
      <w:r>
        <w:rPr>
          <w:rFonts w:ascii="Arial" w:hAnsi="Arial" w:cs="Arial"/>
        </w:rPr>
        <w:t>decision-making</w:t>
      </w:r>
      <w:r w:rsidRPr="007A0420">
        <w:rPr>
          <w:rFonts w:ascii="Arial" w:hAnsi="Arial" w:cs="Arial"/>
        </w:rPr>
        <w:t xml:space="preserve">. Second, implement a longitudinal programme to examine whether scenario performance and coached feedback during recertification predict field indicators of effective </w:t>
      </w:r>
      <w:r>
        <w:rPr>
          <w:rFonts w:ascii="Arial" w:hAnsi="Arial" w:cs="Arial"/>
        </w:rPr>
        <w:t>de-escalation</w:t>
      </w:r>
      <w:r w:rsidRPr="007A0420">
        <w:rPr>
          <w:rFonts w:ascii="Arial" w:hAnsi="Arial" w:cs="Arial"/>
        </w:rPr>
        <w:t xml:space="preserve">. Third, pilot and evaluate the </w:t>
      </w:r>
      <w:r>
        <w:rPr>
          <w:rFonts w:ascii="Arial" w:hAnsi="Arial" w:cs="Arial"/>
        </w:rPr>
        <w:t>impact of alternative recording approaches during mental health</w:t>
      </w:r>
      <w:r>
        <w:rPr>
          <w:rFonts w:ascii="Arial" w:hAnsi="Arial" w:cs="Arial"/>
        </w:rPr>
        <w:noBreakHyphen/>
        <w:t xml:space="preserve">- </w:t>
      </w:r>
      <w:r w:rsidRPr="007A0420">
        <w:rPr>
          <w:rFonts w:ascii="Arial" w:hAnsi="Arial" w:cs="Arial"/>
        </w:rPr>
        <w:t xml:space="preserve">led incidents, balancing auditability with trust. Finally, explore </w:t>
      </w:r>
      <w:r>
        <w:rPr>
          <w:rFonts w:ascii="Arial" w:hAnsi="Arial" w:cs="Arial"/>
        </w:rPr>
        <w:t>cross-jurisdiction interoperability for mutual aid, including alignment of doctrine, technology (with reliable communication systems and redundancy), information architectures, and disclosure-compliant</w:t>
      </w:r>
      <w:r w:rsidRPr="007A0420">
        <w:rPr>
          <w:rFonts w:ascii="Arial" w:hAnsi="Arial" w:cs="Arial"/>
        </w:rPr>
        <w:t xml:space="preserve"> recording governance.</w:t>
      </w:r>
    </w:p>
    <w:p w14:paraId="3C065CE8" w14:textId="799C73F1" w:rsidR="00982201" w:rsidRDefault="00982201" w:rsidP="003E22C1">
      <w:pPr>
        <w:spacing w:line="360" w:lineRule="auto"/>
        <w:rPr>
          <w:rFonts w:ascii="Arial" w:hAnsi="Arial" w:cs="Arial"/>
        </w:rPr>
      </w:pPr>
      <w:r w:rsidRPr="00982201">
        <w:rPr>
          <w:rFonts w:ascii="Arial" w:hAnsi="Arial" w:cs="Arial"/>
        </w:rPr>
        <w:t xml:space="preserve">In conclusion, the evidence indicates that a </w:t>
      </w:r>
      <w:r w:rsidR="00264636">
        <w:rPr>
          <w:rFonts w:ascii="Arial" w:hAnsi="Arial" w:cs="Arial"/>
        </w:rPr>
        <w:t>negotiation-first, psychology-informed posture</w:t>
      </w:r>
      <w:r w:rsidR="009E0853">
        <w:rPr>
          <w:rFonts w:ascii="Arial" w:hAnsi="Arial" w:cs="Arial"/>
        </w:rPr>
        <w:t xml:space="preserve">, </w:t>
      </w:r>
      <w:r w:rsidR="00264636">
        <w:rPr>
          <w:rFonts w:ascii="Arial" w:hAnsi="Arial" w:cs="Arial"/>
        </w:rPr>
        <w:t>anchored in clear selection standards, developmental assessment, proportionate technology governance that protects rapport while ensuring auditability, and visible lessons</w:t>
      </w:r>
      <w:r w:rsidR="00264636">
        <w:rPr>
          <w:rFonts w:ascii="Arial" w:hAnsi="Arial" w:cs="Arial"/>
        </w:rPr>
        <w:noBreakHyphen/>
        <w:t>to</w:t>
      </w:r>
      <w:r w:rsidR="00264636">
        <w:rPr>
          <w:rFonts w:ascii="Arial" w:hAnsi="Arial" w:cs="Arial"/>
        </w:rPr>
        <w:noBreakHyphen/>
        <w:t>doctrine loops</w:t>
      </w:r>
      <w:r w:rsidR="009E0853">
        <w:rPr>
          <w:rFonts w:ascii="Arial" w:hAnsi="Arial" w:cs="Arial"/>
        </w:rPr>
        <w:t xml:space="preserve">, </w:t>
      </w:r>
      <w:r w:rsidR="00264636">
        <w:rPr>
          <w:rFonts w:ascii="Arial" w:hAnsi="Arial" w:cs="Arial"/>
        </w:rPr>
        <w:t>constitutes cross-jurisdictional</w:t>
      </w:r>
      <w:r w:rsidRPr="00982201">
        <w:rPr>
          <w:rFonts w:ascii="Arial" w:hAnsi="Arial" w:cs="Arial"/>
        </w:rPr>
        <w:t xml:space="preserve"> best practice for SWP and AGS. It directly answers the research question and offers a coherent pathway to enhanced safety, improved decision quality, strengthened practitioner </w:t>
      </w:r>
      <w:r w:rsidR="00264636">
        <w:rPr>
          <w:rFonts w:ascii="Arial" w:hAnsi="Arial" w:cs="Arial"/>
        </w:rPr>
        <w:t>well-being</w:t>
      </w:r>
      <w:r w:rsidRPr="00982201">
        <w:rPr>
          <w:rFonts w:ascii="Arial" w:hAnsi="Arial" w:cs="Arial"/>
        </w:rPr>
        <w:t>, and sustained public legitimacy in hostage and crisis negotiation.</w:t>
      </w:r>
    </w:p>
    <w:p w14:paraId="1F4CCEAB" w14:textId="77777777" w:rsidR="003E22C1" w:rsidRPr="007A0420" w:rsidRDefault="003E22C1" w:rsidP="003E22C1">
      <w:pPr>
        <w:spacing w:line="360" w:lineRule="auto"/>
        <w:rPr>
          <w:rFonts w:ascii="Arial" w:hAnsi="Arial" w:cs="Arial"/>
        </w:rPr>
      </w:pPr>
    </w:p>
    <w:p w14:paraId="2276277E" w14:textId="77777777" w:rsidR="003E22C1" w:rsidRDefault="003E22C1" w:rsidP="00D744D2">
      <w:pPr>
        <w:spacing w:line="360" w:lineRule="auto"/>
        <w:rPr>
          <w:rFonts w:ascii="Arial" w:hAnsi="Arial" w:cs="Arial"/>
          <w:b/>
          <w:bCs/>
        </w:rPr>
      </w:pPr>
    </w:p>
    <w:p w14:paraId="0D72ECEB" w14:textId="77777777" w:rsidR="003E22C1" w:rsidRDefault="003E22C1" w:rsidP="00D744D2">
      <w:pPr>
        <w:spacing w:line="360" w:lineRule="auto"/>
        <w:rPr>
          <w:rFonts w:ascii="Arial" w:hAnsi="Arial" w:cs="Arial"/>
          <w:b/>
          <w:bCs/>
        </w:rPr>
      </w:pPr>
    </w:p>
    <w:p w14:paraId="149D5AF0" w14:textId="77777777" w:rsidR="003E22C1" w:rsidRDefault="003E22C1" w:rsidP="00D744D2">
      <w:pPr>
        <w:spacing w:line="360" w:lineRule="auto"/>
        <w:rPr>
          <w:rFonts w:ascii="Arial" w:hAnsi="Arial" w:cs="Arial"/>
          <w:b/>
          <w:bCs/>
        </w:rPr>
      </w:pPr>
    </w:p>
    <w:p w14:paraId="364734D8" w14:textId="77777777" w:rsidR="003E22C1" w:rsidRDefault="003E22C1" w:rsidP="00D744D2">
      <w:pPr>
        <w:spacing w:line="360" w:lineRule="auto"/>
        <w:rPr>
          <w:rFonts w:ascii="Arial" w:hAnsi="Arial" w:cs="Arial"/>
          <w:b/>
          <w:bCs/>
        </w:rPr>
      </w:pPr>
    </w:p>
    <w:p w14:paraId="2B3BDEB8" w14:textId="77777777" w:rsidR="003E22C1" w:rsidRDefault="003E22C1" w:rsidP="00D744D2">
      <w:pPr>
        <w:spacing w:line="360" w:lineRule="auto"/>
        <w:rPr>
          <w:rFonts w:ascii="Arial" w:hAnsi="Arial" w:cs="Arial"/>
          <w:b/>
          <w:bCs/>
        </w:rPr>
      </w:pPr>
    </w:p>
    <w:p w14:paraId="3D5E70EC" w14:textId="77777777" w:rsidR="003E22C1" w:rsidRDefault="003E22C1" w:rsidP="00D744D2">
      <w:pPr>
        <w:spacing w:line="360" w:lineRule="auto"/>
        <w:rPr>
          <w:rFonts w:ascii="Arial" w:hAnsi="Arial" w:cs="Arial"/>
          <w:b/>
          <w:bCs/>
        </w:rPr>
      </w:pPr>
    </w:p>
    <w:p w14:paraId="1B8445A1" w14:textId="77777777" w:rsidR="003E22C1" w:rsidRDefault="003E22C1" w:rsidP="00D744D2">
      <w:pPr>
        <w:spacing w:line="360" w:lineRule="auto"/>
        <w:rPr>
          <w:rFonts w:ascii="Arial" w:hAnsi="Arial" w:cs="Arial"/>
          <w:b/>
          <w:bCs/>
        </w:rPr>
      </w:pPr>
    </w:p>
    <w:p w14:paraId="2D4D96C8" w14:textId="77777777" w:rsidR="003E22C1" w:rsidRDefault="003E22C1" w:rsidP="00D744D2">
      <w:pPr>
        <w:spacing w:line="360" w:lineRule="auto"/>
        <w:rPr>
          <w:rFonts w:ascii="Arial" w:hAnsi="Arial" w:cs="Arial"/>
          <w:b/>
          <w:bCs/>
        </w:rPr>
      </w:pPr>
    </w:p>
    <w:p w14:paraId="15BFC9A0" w14:textId="77777777" w:rsidR="003E22C1" w:rsidRDefault="003E22C1" w:rsidP="00D744D2">
      <w:pPr>
        <w:spacing w:line="360" w:lineRule="auto"/>
        <w:rPr>
          <w:rFonts w:ascii="Arial" w:hAnsi="Arial" w:cs="Arial"/>
          <w:b/>
          <w:bCs/>
        </w:rPr>
      </w:pPr>
    </w:p>
    <w:p w14:paraId="0D7FF434" w14:textId="77777777" w:rsidR="003E22C1" w:rsidRDefault="003E22C1" w:rsidP="00D744D2">
      <w:pPr>
        <w:spacing w:line="360" w:lineRule="auto"/>
        <w:rPr>
          <w:rFonts w:ascii="Arial" w:hAnsi="Arial" w:cs="Arial"/>
          <w:b/>
          <w:bCs/>
        </w:rPr>
      </w:pPr>
    </w:p>
    <w:p w14:paraId="1A1D3357" w14:textId="77777777" w:rsidR="003E22C1" w:rsidRPr="00D744D2" w:rsidRDefault="003E22C1" w:rsidP="00D744D2">
      <w:pPr>
        <w:spacing w:line="360" w:lineRule="auto"/>
        <w:rPr>
          <w:rFonts w:ascii="Arial" w:hAnsi="Arial" w:cs="Arial"/>
        </w:rPr>
      </w:pPr>
    </w:p>
    <w:sectPr w:rsidR="003E22C1" w:rsidRPr="00D744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67383"/>
    <w:multiLevelType w:val="multilevel"/>
    <w:tmpl w:val="ADB6B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67034"/>
    <w:multiLevelType w:val="multilevel"/>
    <w:tmpl w:val="88887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2914D3"/>
    <w:multiLevelType w:val="multilevel"/>
    <w:tmpl w:val="3CC82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7F603A"/>
    <w:multiLevelType w:val="multilevel"/>
    <w:tmpl w:val="D3D41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223F3D"/>
    <w:multiLevelType w:val="multilevel"/>
    <w:tmpl w:val="98822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192333">
    <w:abstractNumId w:val="0"/>
  </w:num>
  <w:num w:numId="2" w16cid:durableId="164785068">
    <w:abstractNumId w:val="2"/>
  </w:num>
  <w:num w:numId="3" w16cid:durableId="646321508">
    <w:abstractNumId w:val="1"/>
  </w:num>
  <w:num w:numId="4" w16cid:durableId="1350138867">
    <w:abstractNumId w:val="4"/>
  </w:num>
  <w:num w:numId="5" w16cid:durableId="4499798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4D2"/>
    <w:rsid w:val="000049BA"/>
    <w:rsid w:val="000E06F2"/>
    <w:rsid w:val="000F7878"/>
    <w:rsid w:val="001469E5"/>
    <w:rsid w:val="00185B01"/>
    <w:rsid w:val="001A6A49"/>
    <w:rsid w:val="001E7C9A"/>
    <w:rsid w:val="002012A9"/>
    <w:rsid w:val="00256EFC"/>
    <w:rsid w:val="00264636"/>
    <w:rsid w:val="002C4B2F"/>
    <w:rsid w:val="002C61AD"/>
    <w:rsid w:val="002E3CCB"/>
    <w:rsid w:val="003C4223"/>
    <w:rsid w:val="003E22C1"/>
    <w:rsid w:val="00402362"/>
    <w:rsid w:val="00416547"/>
    <w:rsid w:val="0042223C"/>
    <w:rsid w:val="00432637"/>
    <w:rsid w:val="00466776"/>
    <w:rsid w:val="004906BD"/>
    <w:rsid w:val="004918B1"/>
    <w:rsid w:val="004C606C"/>
    <w:rsid w:val="00511563"/>
    <w:rsid w:val="0052441B"/>
    <w:rsid w:val="00541AAB"/>
    <w:rsid w:val="00552DD5"/>
    <w:rsid w:val="005650E0"/>
    <w:rsid w:val="00597B9F"/>
    <w:rsid w:val="00631250"/>
    <w:rsid w:val="00655694"/>
    <w:rsid w:val="00687048"/>
    <w:rsid w:val="00692690"/>
    <w:rsid w:val="006C4EC3"/>
    <w:rsid w:val="006D3532"/>
    <w:rsid w:val="00755B73"/>
    <w:rsid w:val="007F2C0B"/>
    <w:rsid w:val="00821A65"/>
    <w:rsid w:val="008613C7"/>
    <w:rsid w:val="00872D0B"/>
    <w:rsid w:val="0088489B"/>
    <w:rsid w:val="0088624A"/>
    <w:rsid w:val="008B5BD6"/>
    <w:rsid w:val="00927D31"/>
    <w:rsid w:val="00953D6A"/>
    <w:rsid w:val="00957AF4"/>
    <w:rsid w:val="00982201"/>
    <w:rsid w:val="009911B5"/>
    <w:rsid w:val="009A1B20"/>
    <w:rsid w:val="009C6EAF"/>
    <w:rsid w:val="009E0853"/>
    <w:rsid w:val="009E3255"/>
    <w:rsid w:val="00A40292"/>
    <w:rsid w:val="00A47823"/>
    <w:rsid w:val="00A52124"/>
    <w:rsid w:val="00A61EBA"/>
    <w:rsid w:val="00AB07B9"/>
    <w:rsid w:val="00AF2F7A"/>
    <w:rsid w:val="00B111C4"/>
    <w:rsid w:val="00B213F8"/>
    <w:rsid w:val="00B25754"/>
    <w:rsid w:val="00B445C6"/>
    <w:rsid w:val="00B800D5"/>
    <w:rsid w:val="00C01B4A"/>
    <w:rsid w:val="00C644E0"/>
    <w:rsid w:val="00C81026"/>
    <w:rsid w:val="00C9187E"/>
    <w:rsid w:val="00CB56EB"/>
    <w:rsid w:val="00CC685F"/>
    <w:rsid w:val="00CD17DE"/>
    <w:rsid w:val="00CD2D46"/>
    <w:rsid w:val="00D744D2"/>
    <w:rsid w:val="00DE3142"/>
    <w:rsid w:val="00E16EC5"/>
    <w:rsid w:val="00E67D56"/>
    <w:rsid w:val="00EE2666"/>
    <w:rsid w:val="00F5432F"/>
    <w:rsid w:val="00F63EA6"/>
    <w:rsid w:val="00FF4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452A1C"/>
  <w15:chartTrackingRefBased/>
  <w15:docId w15:val="{1456564D-773F-4C42-B3D0-92A14FABD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4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44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44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44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44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44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4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4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4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4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44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44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44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44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4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4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4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4D2"/>
    <w:rPr>
      <w:rFonts w:eastAsiaTheme="majorEastAsia" w:cstheme="majorBidi"/>
      <w:color w:val="272727" w:themeColor="text1" w:themeTint="D8"/>
    </w:rPr>
  </w:style>
  <w:style w:type="paragraph" w:styleId="Title">
    <w:name w:val="Title"/>
    <w:basedOn w:val="Normal"/>
    <w:next w:val="Normal"/>
    <w:link w:val="TitleChar"/>
    <w:uiPriority w:val="10"/>
    <w:qFormat/>
    <w:rsid w:val="00D744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4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4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4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4D2"/>
    <w:pPr>
      <w:spacing w:before="160"/>
      <w:jc w:val="center"/>
    </w:pPr>
    <w:rPr>
      <w:i/>
      <w:iCs/>
      <w:color w:val="404040" w:themeColor="text1" w:themeTint="BF"/>
    </w:rPr>
  </w:style>
  <w:style w:type="character" w:customStyle="1" w:styleId="QuoteChar">
    <w:name w:val="Quote Char"/>
    <w:basedOn w:val="DefaultParagraphFont"/>
    <w:link w:val="Quote"/>
    <w:uiPriority w:val="29"/>
    <w:rsid w:val="00D744D2"/>
    <w:rPr>
      <w:i/>
      <w:iCs/>
      <w:color w:val="404040" w:themeColor="text1" w:themeTint="BF"/>
    </w:rPr>
  </w:style>
  <w:style w:type="paragraph" w:styleId="ListParagraph">
    <w:name w:val="List Paragraph"/>
    <w:basedOn w:val="Normal"/>
    <w:uiPriority w:val="34"/>
    <w:qFormat/>
    <w:rsid w:val="00D744D2"/>
    <w:pPr>
      <w:ind w:left="720"/>
      <w:contextualSpacing/>
    </w:pPr>
  </w:style>
  <w:style w:type="character" w:styleId="IntenseEmphasis">
    <w:name w:val="Intense Emphasis"/>
    <w:basedOn w:val="DefaultParagraphFont"/>
    <w:uiPriority w:val="21"/>
    <w:qFormat/>
    <w:rsid w:val="00D744D2"/>
    <w:rPr>
      <w:i/>
      <w:iCs/>
      <w:color w:val="0F4761" w:themeColor="accent1" w:themeShade="BF"/>
    </w:rPr>
  </w:style>
  <w:style w:type="paragraph" w:styleId="IntenseQuote">
    <w:name w:val="Intense Quote"/>
    <w:basedOn w:val="Normal"/>
    <w:next w:val="Normal"/>
    <w:link w:val="IntenseQuoteChar"/>
    <w:uiPriority w:val="30"/>
    <w:qFormat/>
    <w:rsid w:val="00D744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4D2"/>
    <w:rPr>
      <w:i/>
      <w:iCs/>
      <w:color w:val="0F4761" w:themeColor="accent1" w:themeShade="BF"/>
    </w:rPr>
  </w:style>
  <w:style w:type="character" w:styleId="IntenseReference">
    <w:name w:val="Intense Reference"/>
    <w:basedOn w:val="DefaultParagraphFont"/>
    <w:uiPriority w:val="32"/>
    <w:qFormat/>
    <w:rsid w:val="00D744D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7979</Words>
  <Characters>51784</Characters>
  <Application>Microsoft Office Word</Application>
  <DocSecurity>0</DocSecurity>
  <Lines>784</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Staunton</dc:creator>
  <cp:keywords/>
  <dc:description/>
  <cp:lastModifiedBy>Wayne Staunton</cp:lastModifiedBy>
  <cp:revision>2</cp:revision>
  <dcterms:created xsi:type="dcterms:W3CDTF">2025-10-24T15:19:00Z</dcterms:created>
  <dcterms:modified xsi:type="dcterms:W3CDTF">2025-10-24T15:19:00Z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23b21611-e048-4b9c-a5b7-9824b75f6990</vt:lpwstr>
  </property>
</Properties>
</file>