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38CF9" w14:textId="77777777" w:rsidR="00265214" w:rsidRDefault="00265214" w:rsidP="00265214">
      <w:pPr>
        <w:spacing w:line="360" w:lineRule="auto"/>
        <w:jc w:val="center"/>
        <w:rPr>
          <w:rFonts w:ascii="Arial" w:hAnsi="Arial" w:cs="Arial"/>
          <w:b/>
          <w:bCs/>
          <w:sz w:val="28"/>
          <w:szCs w:val="28"/>
          <w:lang/>
        </w:rPr>
      </w:pPr>
    </w:p>
    <w:p w14:paraId="6C8B10CA" w14:textId="77777777" w:rsidR="00265214" w:rsidRPr="00922F98" w:rsidRDefault="00265214" w:rsidP="00922F98">
      <w:pPr>
        <w:spacing w:line="360" w:lineRule="auto"/>
        <w:rPr>
          <w:rFonts w:ascii="Arial" w:hAnsi="Arial" w:cs="Arial"/>
          <w:b/>
          <w:bCs/>
          <w:sz w:val="28"/>
          <w:szCs w:val="28"/>
          <w:lang/>
        </w:rPr>
      </w:pPr>
    </w:p>
    <w:p w14:paraId="383EA2A7" w14:textId="2AB7EE20" w:rsidR="00265214" w:rsidRPr="00922F98" w:rsidRDefault="00922F98" w:rsidP="00265214">
      <w:pPr>
        <w:spacing w:line="360" w:lineRule="auto"/>
        <w:jc w:val="center"/>
        <w:rPr>
          <w:rFonts w:ascii="Arial" w:hAnsi="Arial" w:cs="Arial"/>
          <w:b/>
          <w:bCs/>
          <w:sz w:val="28"/>
          <w:szCs w:val="28"/>
          <w:lang/>
        </w:rPr>
      </w:pPr>
      <w:r>
        <w:rPr>
          <w:rFonts w:ascii="Arial" w:hAnsi="Arial" w:cs="Arial"/>
          <w:b/>
          <w:bCs/>
          <w:sz w:val="28"/>
          <w:szCs w:val="28"/>
          <w:lang/>
        </w:rPr>
        <w:t>Programme: BSc Health and social care</w:t>
      </w:r>
    </w:p>
    <w:p w14:paraId="025F01B6" w14:textId="2E100939" w:rsidR="00215128" w:rsidRPr="00265214" w:rsidRDefault="00265214" w:rsidP="00265214">
      <w:pPr>
        <w:spacing w:line="360" w:lineRule="auto"/>
        <w:jc w:val="center"/>
        <w:rPr>
          <w:rFonts w:ascii="Arial" w:hAnsi="Arial" w:cs="Arial"/>
          <w:b/>
          <w:bCs/>
          <w:sz w:val="28"/>
          <w:szCs w:val="28"/>
          <w:lang/>
        </w:rPr>
      </w:pPr>
      <w:r w:rsidRPr="00265214">
        <w:rPr>
          <w:rFonts w:ascii="Arial" w:hAnsi="Arial" w:cs="Arial"/>
          <w:b/>
          <w:bCs/>
          <w:sz w:val="28"/>
          <w:szCs w:val="28"/>
          <w:lang/>
        </w:rPr>
        <w:t>A CRITICAL ANALYSIS OF HEALTH, WELLBEING, AND SUSTAINABILITY: INTERPLAY OF SDG 3 AND SDG 11 IN THE UK CONTEXT</w:t>
      </w:r>
    </w:p>
    <w:p w14:paraId="0B1AE584" w14:textId="4DABD49B" w:rsidR="00922F98" w:rsidRDefault="00922F98" w:rsidP="00922F98">
      <w:pPr>
        <w:shd w:val="clear" w:color="auto" w:fill="FFFFFF"/>
        <w:spacing w:before="240" w:after="240" w:line="360" w:lineRule="auto"/>
        <w:jc w:val="center"/>
        <w:rPr>
          <w:rFonts w:ascii="Arial" w:eastAsia="Times New Roman" w:hAnsi="Arial" w:cs="Arial"/>
          <w:b/>
          <w:bCs/>
          <w:color w:val="0F1115"/>
          <w:kern w:val="0"/>
          <w:sz w:val="28"/>
          <w:szCs w:val="28"/>
          <w:lang w:val="en-US"/>
          <w14:ligatures w14:val="none"/>
        </w:rPr>
      </w:pPr>
      <w:r>
        <w:rPr>
          <w:rFonts w:ascii="Arial" w:eastAsia="Times New Roman" w:hAnsi="Arial" w:cs="Arial"/>
          <w:b/>
          <w:bCs/>
          <w:color w:val="0F1115"/>
          <w:kern w:val="0"/>
          <w:sz w:val="28"/>
          <w:szCs w:val="28"/>
          <w:lang/>
          <w14:ligatures w14:val="none"/>
        </w:rPr>
        <w:t>Assignment Title</w:t>
      </w:r>
      <w:r w:rsidR="00265214" w:rsidRPr="00265214">
        <w:rPr>
          <w:rFonts w:ascii="Arial" w:eastAsia="Times New Roman" w:hAnsi="Arial" w:cs="Arial"/>
          <w:b/>
          <w:bCs/>
          <w:color w:val="0F1115"/>
          <w:kern w:val="0"/>
          <w:sz w:val="28"/>
          <w:szCs w:val="28"/>
          <w:lang/>
          <w14:ligatures w14:val="none"/>
        </w:rPr>
        <w:t>:</w:t>
      </w:r>
      <w:r>
        <w:rPr>
          <w:rFonts w:ascii="Arial" w:eastAsia="Times New Roman" w:hAnsi="Arial" w:cs="Arial"/>
          <w:b/>
          <w:bCs/>
          <w:color w:val="0F1115"/>
          <w:kern w:val="0"/>
          <w:sz w:val="28"/>
          <w:szCs w:val="28"/>
          <w:lang/>
          <w14:ligatures w14:val="none"/>
        </w:rPr>
        <w:t xml:space="preserve"> </w:t>
      </w:r>
      <w:r w:rsidR="00265214" w:rsidRPr="00265214">
        <w:rPr>
          <w:rFonts w:ascii="Arial" w:eastAsia="Times New Roman" w:hAnsi="Arial" w:cs="Arial"/>
          <w:b/>
          <w:bCs/>
          <w:color w:val="0F1115"/>
          <w:kern w:val="0"/>
          <w:sz w:val="28"/>
          <w:szCs w:val="28"/>
          <w:lang/>
          <w14:ligatures w14:val="none"/>
        </w:rPr>
        <w:t> </w:t>
      </w:r>
      <w:r>
        <w:rPr>
          <w:rFonts w:ascii="Arial" w:eastAsia="Times New Roman" w:hAnsi="Arial" w:cs="Arial"/>
          <w:b/>
          <w:bCs/>
          <w:color w:val="0F1115"/>
          <w:kern w:val="0"/>
          <w:sz w:val="28"/>
          <w:szCs w:val="28"/>
          <w:lang/>
          <w14:ligatures w14:val="none"/>
        </w:rPr>
        <w:t>Written assignment Report</w:t>
      </w:r>
      <w:r w:rsidR="00265214" w:rsidRPr="00265214">
        <w:rPr>
          <w:rFonts w:ascii="Arial" w:eastAsia="Times New Roman" w:hAnsi="Arial" w:cs="Arial"/>
          <w:b/>
          <w:bCs/>
          <w:color w:val="0F1115"/>
          <w:kern w:val="0"/>
          <w:sz w:val="28"/>
          <w:szCs w:val="28"/>
          <w:lang/>
          <w14:ligatures w14:val="none"/>
        </w:rPr>
        <w:br/>
        <w:t xml:space="preserve">DATE:  </w:t>
      </w:r>
      <w:r w:rsidR="001E4054">
        <w:rPr>
          <w:rFonts w:ascii="Arial" w:eastAsia="Times New Roman" w:hAnsi="Arial" w:cs="Arial"/>
          <w:b/>
          <w:bCs/>
          <w:color w:val="0F1115"/>
          <w:kern w:val="0"/>
          <w:sz w:val="28"/>
          <w:szCs w:val="28"/>
          <w:lang/>
          <w14:ligatures w14:val="none"/>
        </w:rPr>
        <w:t>14:11:2025</w:t>
      </w:r>
      <w:r w:rsidR="00265214" w:rsidRPr="00265214">
        <w:rPr>
          <w:rFonts w:ascii="Arial" w:eastAsia="Times New Roman" w:hAnsi="Arial" w:cs="Arial"/>
          <w:b/>
          <w:bCs/>
          <w:color w:val="0F1115"/>
          <w:kern w:val="0"/>
          <w:sz w:val="28"/>
          <w:szCs w:val="28"/>
          <w:lang/>
          <w14:ligatures w14:val="none"/>
        </w:rPr>
        <w:br/>
        <w:t>WORD COUNT: 2</w:t>
      </w:r>
      <w:r w:rsidR="00265214" w:rsidRPr="00265214">
        <w:rPr>
          <w:rFonts w:ascii="Arial" w:eastAsia="Times New Roman" w:hAnsi="Arial" w:cs="Arial"/>
          <w:b/>
          <w:bCs/>
          <w:color w:val="0F1115"/>
          <w:kern w:val="0"/>
          <w:sz w:val="28"/>
          <w:szCs w:val="28"/>
          <w:lang w:val="en-US"/>
          <w14:ligatures w14:val="none"/>
        </w:rPr>
        <w:t>000</w:t>
      </w:r>
    </w:p>
    <w:p w14:paraId="40E47DF2" w14:textId="0B1978A4" w:rsidR="00922F98" w:rsidRDefault="00922F98" w:rsidP="00922F98">
      <w:pPr>
        <w:shd w:val="clear" w:color="auto" w:fill="FFFFFF"/>
        <w:spacing w:before="240" w:after="240" w:line="360" w:lineRule="auto"/>
        <w:jc w:val="center"/>
        <w:rPr>
          <w:rFonts w:ascii="Arial" w:eastAsia="Times New Roman" w:hAnsi="Arial" w:cs="Arial"/>
          <w:b/>
          <w:bCs/>
          <w:color w:val="0F1115"/>
          <w:kern w:val="0"/>
          <w:sz w:val="28"/>
          <w:szCs w:val="28"/>
          <w:lang w:val="en-US"/>
          <w14:ligatures w14:val="none"/>
        </w:rPr>
      </w:pPr>
      <w:r>
        <w:rPr>
          <w:rFonts w:ascii="Arial" w:eastAsia="Times New Roman" w:hAnsi="Arial" w:cs="Arial"/>
          <w:b/>
          <w:bCs/>
          <w:color w:val="0F1115"/>
          <w:kern w:val="0"/>
          <w:sz w:val="28"/>
          <w:szCs w:val="28"/>
          <w:lang w:val="en-US"/>
          <w14:ligatures w14:val="none"/>
        </w:rPr>
        <w:t>Module Code: BMHP6030</w:t>
      </w:r>
    </w:p>
    <w:p w14:paraId="52EE9BEC" w14:textId="65A4803F" w:rsidR="00922F98" w:rsidRDefault="00922F98" w:rsidP="00922F98">
      <w:pPr>
        <w:shd w:val="clear" w:color="auto" w:fill="FFFFFF"/>
        <w:spacing w:before="240" w:after="240" w:line="360" w:lineRule="auto"/>
        <w:jc w:val="center"/>
        <w:rPr>
          <w:rFonts w:ascii="Arial" w:eastAsia="Times New Roman" w:hAnsi="Arial" w:cs="Arial"/>
          <w:b/>
          <w:bCs/>
          <w:color w:val="0F1115"/>
          <w:kern w:val="0"/>
          <w:sz w:val="28"/>
          <w:szCs w:val="28"/>
          <w:lang w:val="en-US"/>
          <w14:ligatures w14:val="none"/>
        </w:rPr>
      </w:pPr>
      <w:r>
        <w:rPr>
          <w:rFonts w:ascii="Arial" w:eastAsia="Times New Roman" w:hAnsi="Arial" w:cs="Arial"/>
          <w:b/>
          <w:bCs/>
          <w:color w:val="0F1115"/>
          <w:kern w:val="0"/>
          <w:sz w:val="28"/>
          <w:szCs w:val="28"/>
          <w:lang w:val="en-US"/>
          <w14:ligatures w14:val="none"/>
        </w:rPr>
        <w:t>Name: Sonia Tariq</w:t>
      </w:r>
    </w:p>
    <w:p w14:paraId="58F7546B" w14:textId="785305DC" w:rsidR="001E4054" w:rsidRDefault="001E4054" w:rsidP="00922F98">
      <w:pPr>
        <w:shd w:val="clear" w:color="auto" w:fill="FFFFFF"/>
        <w:spacing w:before="240" w:after="240" w:line="360" w:lineRule="auto"/>
        <w:jc w:val="center"/>
        <w:rPr>
          <w:rFonts w:ascii="Arial" w:eastAsia="Times New Roman" w:hAnsi="Arial" w:cs="Arial"/>
          <w:b/>
          <w:bCs/>
          <w:color w:val="0F1115"/>
          <w:kern w:val="0"/>
          <w:sz w:val="28"/>
          <w:szCs w:val="28"/>
          <w:lang w:val="en-US"/>
          <w14:ligatures w14:val="none"/>
        </w:rPr>
      </w:pPr>
      <w:r>
        <w:rPr>
          <w:rFonts w:ascii="Arial" w:eastAsia="Times New Roman" w:hAnsi="Arial" w:cs="Arial"/>
          <w:b/>
          <w:bCs/>
          <w:color w:val="0F1115"/>
          <w:kern w:val="0"/>
          <w:sz w:val="28"/>
          <w:szCs w:val="28"/>
          <w:lang w:val="en-US"/>
          <w14:ligatures w14:val="none"/>
        </w:rPr>
        <w:t xml:space="preserve"> </w:t>
      </w:r>
    </w:p>
    <w:p w14:paraId="0C1FB4BF" w14:textId="77777777" w:rsidR="00922F98" w:rsidRPr="00265214" w:rsidRDefault="00922F98" w:rsidP="00922F98">
      <w:pPr>
        <w:shd w:val="clear" w:color="auto" w:fill="FFFFFF"/>
        <w:spacing w:before="240" w:after="240" w:line="360" w:lineRule="auto"/>
        <w:jc w:val="center"/>
        <w:rPr>
          <w:rFonts w:ascii="Arial" w:eastAsia="Times New Roman" w:hAnsi="Arial" w:cs="Arial"/>
          <w:b/>
          <w:bCs/>
          <w:color w:val="0F1115"/>
          <w:kern w:val="0"/>
          <w:sz w:val="28"/>
          <w:szCs w:val="28"/>
          <w:lang w:val="en-US"/>
          <w14:ligatures w14:val="none"/>
        </w:rPr>
      </w:pPr>
    </w:p>
    <w:p w14:paraId="42F2941B" w14:textId="0FE688C1" w:rsidR="00654A53" w:rsidRPr="00265214" w:rsidRDefault="00654A53" w:rsidP="00265214">
      <w:pPr>
        <w:spacing w:line="360" w:lineRule="auto"/>
        <w:jc w:val="both"/>
        <w:rPr>
          <w:rFonts w:ascii="Arial" w:eastAsia="Times New Roman" w:hAnsi="Arial" w:cs="Arial"/>
          <w:color w:val="0F1115"/>
          <w:kern w:val="0"/>
          <w:lang w:val="en-US"/>
          <w14:ligatures w14:val="none"/>
        </w:rPr>
      </w:pPr>
      <w:r w:rsidRPr="00265214">
        <w:rPr>
          <w:rFonts w:ascii="Arial" w:eastAsia="Times New Roman" w:hAnsi="Arial" w:cs="Arial"/>
          <w:color w:val="0F1115"/>
          <w:kern w:val="0"/>
          <w:lang w:val="en-US"/>
          <w14:ligatures w14:val="none"/>
        </w:rPr>
        <w:br w:type="page"/>
      </w:r>
    </w:p>
    <w:sdt>
      <w:sdtPr>
        <w:rPr>
          <w:rFonts w:ascii="Arial" w:eastAsiaTheme="minorHAnsi" w:hAnsi="Arial" w:cs="Arial"/>
          <w:color w:val="auto"/>
          <w:kern w:val="2"/>
          <w:sz w:val="22"/>
          <w:szCs w:val="22"/>
          <w:lang w:val="en-GB"/>
          <w14:ligatures w14:val="standardContextual"/>
        </w:rPr>
        <w:id w:val="1590582459"/>
        <w:docPartObj>
          <w:docPartGallery w:val="Table of Contents"/>
          <w:docPartUnique/>
        </w:docPartObj>
      </w:sdtPr>
      <w:sdtEndPr>
        <w:rPr>
          <w:b/>
          <w:bCs/>
          <w:noProof/>
        </w:rPr>
      </w:sdtEndPr>
      <w:sdtContent>
        <w:p w14:paraId="63723FB4" w14:textId="6B04D221" w:rsidR="00265214" w:rsidRPr="00265214" w:rsidRDefault="00265214" w:rsidP="00265214">
          <w:pPr>
            <w:pStyle w:val="TOCHeading"/>
            <w:spacing w:line="360" w:lineRule="auto"/>
            <w:jc w:val="both"/>
            <w:rPr>
              <w:rFonts w:ascii="Arial" w:hAnsi="Arial" w:cs="Arial"/>
              <w:sz w:val="22"/>
              <w:szCs w:val="22"/>
            </w:rPr>
          </w:pPr>
          <w:r w:rsidRPr="00265214">
            <w:rPr>
              <w:rFonts w:ascii="Arial" w:hAnsi="Arial" w:cs="Arial"/>
              <w:sz w:val="22"/>
              <w:szCs w:val="22"/>
            </w:rPr>
            <w:t>Table of Contents</w:t>
          </w:r>
        </w:p>
        <w:p w14:paraId="3E3249AC" w14:textId="60331789" w:rsidR="00265214" w:rsidRPr="00265214" w:rsidRDefault="00265214" w:rsidP="00265214">
          <w:pPr>
            <w:pStyle w:val="TOC1"/>
            <w:tabs>
              <w:tab w:val="right" w:leader="dot" w:pos="9350"/>
            </w:tabs>
            <w:spacing w:line="360" w:lineRule="auto"/>
            <w:jc w:val="both"/>
            <w:rPr>
              <w:rFonts w:ascii="Arial" w:eastAsiaTheme="minorEastAsia" w:hAnsi="Arial" w:cs="Arial"/>
              <w:noProof/>
              <w:kern w:val="0"/>
              <w:lang/>
              <w14:ligatures w14:val="none"/>
            </w:rPr>
          </w:pPr>
          <w:r w:rsidRPr="00265214">
            <w:rPr>
              <w:rFonts w:ascii="Arial" w:hAnsi="Arial" w:cs="Arial"/>
            </w:rPr>
            <w:fldChar w:fldCharType="begin"/>
          </w:r>
          <w:r w:rsidRPr="00265214">
            <w:rPr>
              <w:rFonts w:ascii="Arial" w:hAnsi="Arial" w:cs="Arial"/>
            </w:rPr>
            <w:instrText xml:space="preserve"> TOC \o "1-3" \h \z \u </w:instrText>
          </w:r>
          <w:r w:rsidRPr="00265214">
            <w:rPr>
              <w:rFonts w:ascii="Arial" w:hAnsi="Arial" w:cs="Arial"/>
            </w:rPr>
            <w:fldChar w:fldCharType="separate"/>
          </w:r>
          <w:hyperlink w:anchor="_Toc213773802" w:history="1">
            <w:r w:rsidRPr="00265214">
              <w:rPr>
                <w:rStyle w:val="Hyperlink"/>
                <w:rFonts w:ascii="Arial" w:eastAsia="Times New Roman" w:hAnsi="Arial" w:cs="Arial"/>
                <w:noProof/>
                <w:lang/>
              </w:rPr>
              <w:t>1. Introduction</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_Toc213773802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3</w:t>
            </w:r>
            <w:r w:rsidRPr="00265214">
              <w:rPr>
                <w:rFonts w:ascii="Arial" w:hAnsi="Arial" w:cs="Arial"/>
                <w:noProof/>
                <w:webHidden/>
              </w:rPr>
              <w:fldChar w:fldCharType="end"/>
            </w:r>
          </w:hyperlink>
        </w:p>
        <w:p w14:paraId="2A412B52" w14:textId="277F36F0" w:rsidR="00265214" w:rsidRPr="00265214" w:rsidRDefault="00265214" w:rsidP="00265214">
          <w:pPr>
            <w:pStyle w:val="TOC1"/>
            <w:tabs>
              <w:tab w:val="right" w:leader="dot" w:pos="9350"/>
            </w:tabs>
            <w:spacing w:line="360" w:lineRule="auto"/>
            <w:jc w:val="both"/>
            <w:rPr>
              <w:rFonts w:ascii="Arial" w:eastAsiaTheme="minorEastAsia" w:hAnsi="Arial" w:cs="Arial"/>
              <w:noProof/>
              <w:kern w:val="0"/>
              <w:lang/>
              <w14:ligatures w14:val="none"/>
            </w:rPr>
          </w:pPr>
          <w:hyperlink w:anchor="_Toc213773803" w:history="1">
            <w:r w:rsidRPr="00265214">
              <w:rPr>
                <w:rStyle w:val="Hyperlink"/>
                <w:rFonts w:ascii="Arial" w:eastAsia="Times New Roman" w:hAnsi="Arial" w:cs="Arial"/>
                <w:noProof/>
                <w:lang/>
              </w:rPr>
              <w:t>2. Theoretical Framework</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_Toc213773803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3</w:t>
            </w:r>
            <w:r w:rsidRPr="00265214">
              <w:rPr>
                <w:rFonts w:ascii="Arial" w:hAnsi="Arial" w:cs="Arial"/>
                <w:noProof/>
                <w:webHidden/>
              </w:rPr>
              <w:fldChar w:fldCharType="end"/>
            </w:r>
          </w:hyperlink>
        </w:p>
        <w:p w14:paraId="2127A87B" w14:textId="33BC4990" w:rsidR="00265214" w:rsidRPr="00265214" w:rsidRDefault="00265214" w:rsidP="00265214">
          <w:pPr>
            <w:pStyle w:val="TOC1"/>
            <w:tabs>
              <w:tab w:val="right" w:leader="dot" w:pos="9350"/>
            </w:tabs>
            <w:spacing w:line="360" w:lineRule="auto"/>
            <w:jc w:val="both"/>
            <w:rPr>
              <w:rFonts w:ascii="Arial" w:eastAsiaTheme="minorEastAsia" w:hAnsi="Arial" w:cs="Arial"/>
              <w:noProof/>
              <w:kern w:val="0"/>
              <w:lang/>
              <w14:ligatures w14:val="none"/>
            </w:rPr>
          </w:pPr>
          <w:hyperlink w:anchor="_Toc213773804" w:history="1">
            <w:r w:rsidRPr="00265214">
              <w:rPr>
                <w:rStyle w:val="Hyperlink"/>
                <w:rFonts w:ascii="Arial" w:eastAsia="Times New Roman" w:hAnsi="Arial" w:cs="Arial"/>
                <w:noProof/>
                <w:lang/>
              </w:rPr>
              <w:t>3. Global Ambition: SDG 3 and SDG 11 Analysis</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_Toc213773804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4</w:t>
            </w:r>
            <w:r w:rsidRPr="00265214">
              <w:rPr>
                <w:rFonts w:ascii="Arial" w:hAnsi="Arial" w:cs="Arial"/>
                <w:noProof/>
                <w:webHidden/>
              </w:rPr>
              <w:fldChar w:fldCharType="end"/>
            </w:r>
          </w:hyperlink>
        </w:p>
        <w:p w14:paraId="0977394C" w14:textId="742F294C"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05" w:history="1">
            <w:r w:rsidRPr="00265214">
              <w:rPr>
                <w:rStyle w:val="Hyperlink"/>
                <w:rFonts w:ascii="Arial" w:eastAsia="Times New Roman" w:hAnsi="Arial" w:cs="Arial"/>
                <w:noProof/>
                <w:lang/>
              </w:rPr>
              <w:t>3.1. Goal 3: Good Health and Well-being</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_Toc213773805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4</w:t>
            </w:r>
            <w:r w:rsidRPr="00265214">
              <w:rPr>
                <w:rFonts w:ascii="Arial" w:hAnsi="Arial" w:cs="Arial"/>
                <w:noProof/>
                <w:webHidden/>
              </w:rPr>
              <w:fldChar w:fldCharType="end"/>
            </w:r>
          </w:hyperlink>
        </w:p>
        <w:p w14:paraId="3DDDDE71" w14:textId="6F3D0738"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06" w:history="1">
            <w:r w:rsidRPr="00265214">
              <w:rPr>
                <w:rStyle w:val="Hyperlink"/>
                <w:rFonts w:ascii="Arial" w:eastAsia="Times New Roman" w:hAnsi="Arial" w:cs="Arial"/>
                <w:noProof/>
                <w:lang/>
              </w:rPr>
              <w:t>3.2. Goal 11: Sustainable Cities and Communities</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_Toc213773806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4</w:t>
            </w:r>
            <w:r w:rsidRPr="00265214">
              <w:rPr>
                <w:rFonts w:ascii="Arial" w:hAnsi="Arial" w:cs="Arial"/>
                <w:noProof/>
                <w:webHidden/>
              </w:rPr>
              <w:fldChar w:fldCharType="end"/>
            </w:r>
          </w:hyperlink>
        </w:p>
        <w:p w14:paraId="03AB79FC" w14:textId="3559A49B"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07" w:history="1">
            <w:r w:rsidRPr="00265214">
              <w:rPr>
                <w:rStyle w:val="Hyperlink"/>
                <w:rFonts w:ascii="Arial" w:eastAsia="Times New Roman" w:hAnsi="Arial" w:cs="Arial"/>
                <w:noProof/>
                <w:lang/>
              </w:rPr>
              <w:t>3.3. The Urban Environment and Health</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_Toc213773807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5</w:t>
            </w:r>
            <w:r w:rsidRPr="00265214">
              <w:rPr>
                <w:rFonts w:ascii="Arial" w:hAnsi="Arial" w:cs="Arial"/>
                <w:noProof/>
                <w:webHidden/>
              </w:rPr>
              <w:fldChar w:fldCharType="end"/>
            </w:r>
          </w:hyperlink>
        </w:p>
        <w:p w14:paraId="64735F5C" w14:textId="2BFE8D79" w:rsidR="00265214" w:rsidRPr="00265214" w:rsidRDefault="00265214" w:rsidP="00265214">
          <w:pPr>
            <w:pStyle w:val="TOC1"/>
            <w:tabs>
              <w:tab w:val="right" w:leader="dot" w:pos="9350"/>
            </w:tabs>
            <w:spacing w:line="360" w:lineRule="auto"/>
            <w:jc w:val="both"/>
            <w:rPr>
              <w:rFonts w:ascii="Arial" w:eastAsiaTheme="minorEastAsia" w:hAnsi="Arial" w:cs="Arial"/>
              <w:noProof/>
              <w:kern w:val="0"/>
              <w:lang/>
              <w14:ligatures w14:val="none"/>
            </w:rPr>
          </w:pPr>
          <w:hyperlink w:anchor="_Toc213773808" w:history="1">
            <w:r w:rsidRPr="00265214">
              <w:rPr>
                <w:rStyle w:val="Hyperlink"/>
                <w:rFonts w:ascii="Arial" w:eastAsia="Times New Roman" w:hAnsi="Arial" w:cs="Arial"/>
                <w:noProof/>
                <w:lang/>
              </w:rPr>
              <w:t>4. The National and Local Implementation: A UK Perspective</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_Toc213773808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5</w:t>
            </w:r>
            <w:r w:rsidRPr="00265214">
              <w:rPr>
                <w:rFonts w:ascii="Arial" w:hAnsi="Arial" w:cs="Arial"/>
                <w:noProof/>
                <w:webHidden/>
              </w:rPr>
              <w:fldChar w:fldCharType="end"/>
            </w:r>
          </w:hyperlink>
        </w:p>
        <w:p w14:paraId="391E29B5" w14:textId="1E9F5061"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09" w:history="1">
            <w:r w:rsidRPr="00265214">
              <w:rPr>
                <w:rStyle w:val="Hyperlink"/>
                <w:rFonts w:ascii="Arial" w:eastAsia="Times New Roman" w:hAnsi="Arial" w:cs="Arial"/>
                <w:noProof/>
                <w:lang/>
              </w:rPr>
              <w:t>4.1. National Policy Landscape</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_Toc213773809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5</w:t>
            </w:r>
            <w:r w:rsidRPr="00265214">
              <w:rPr>
                <w:rFonts w:ascii="Arial" w:hAnsi="Arial" w:cs="Arial"/>
                <w:noProof/>
                <w:webHidden/>
              </w:rPr>
              <w:fldChar w:fldCharType="end"/>
            </w:r>
          </w:hyperlink>
        </w:p>
        <w:p w14:paraId="5532E410" w14:textId="45D7E3D8" w:rsidR="00265214" w:rsidRPr="00265214" w:rsidRDefault="00265214" w:rsidP="00265214">
          <w:pPr>
            <w:pStyle w:val="TOC1"/>
            <w:tabs>
              <w:tab w:val="right" w:leader="dot" w:pos="9350"/>
            </w:tabs>
            <w:spacing w:line="360" w:lineRule="auto"/>
            <w:jc w:val="both"/>
            <w:rPr>
              <w:rFonts w:ascii="Arial" w:eastAsiaTheme="minorEastAsia" w:hAnsi="Arial" w:cs="Arial"/>
              <w:noProof/>
              <w:kern w:val="0"/>
              <w:lang/>
              <w14:ligatures w14:val="none"/>
            </w:rPr>
          </w:pPr>
          <w:hyperlink w:anchor="_Toc213773810" w:history="1">
            <w:r w:rsidRPr="00265214">
              <w:rPr>
                <w:rStyle w:val="Hyperlink"/>
                <w:rFonts w:ascii="Arial" w:eastAsia="Times New Roman" w:hAnsi="Arial" w:cs="Arial"/>
                <w:noProof/>
                <w:lang/>
              </w:rPr>
              <w:t>4.2. Local Initiatives: Case Study of London</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_Toc213773810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6</w:t>
            </w:r>
            <w:r w:rsidRPr="00265214">
              <w:rPr>
                <w:rFonts w:ascii="Arial" w:hAnsi="Arial" w:cs="Arial"/>
                <w:noProof/>
                <w:webHidden/>
              </w:rPr>
              <w:fldChar w:fldCharType="end"/>
            </w:r>
          </w:hyperlink>
        </w:p>
        <w:p w14:paraId="1C641574" w14:textId="6DB0C4C8"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11" w:history="1">
            <w:r w:rsidRPr="00265214">
              <w:rPr>
                <w:rStyle w:val="Hyperlink"/>
                <w:rFonts w:ascii="Arial" w:eastAsia="Times New Roman" w:hAnsi="Arial" w:cs="Arial"/>
                <w:noProof/>
                <w:lang/>
              </w:rPr>
              <w:t>4.3. Critical Evaluation of Effectiveness</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_Toc213773811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6</w:t>
            </w:r>
            <w:r w:rsidRPr="00265214">
              <w:rPr>
                <w:rFonts w:ascii="Arial" w:hAnsi="Arial" w:cs="Arial"/>
                <w:noProof/>
                <w:webHidden/>
              </w:rPr>
              <w:fldChar w:fldCharType="end"/>
            </w:r>
          </w:hyperlink>
        </w:p>
        <w:p w14:paraId="4697BC3C" w14:textId="679E3CB9" w:rsidR="00265214" w:rsidRPr="00265214" w:rsidRDefault="00265214" w:rsidP="00265214">
          <w:pPr>
            <w:pStyle w:val="TOC1"/>
            <w:tabs>
              <w:tab w:val="right" w:leader="dot" w:pos="9350"/>
            </w:tabs>
            <w:spacing w:line="360" w:lineRule="auto"/>
            <w:jc w:val="both"/>
            <w:rPr>
              <w:rFonts w:ascii="Arial" w:eastAsiaTheme="minorEastAsia" w:hAnsi="Arial" w:cs="Arial"/>
              <w:noProof/>
              <w:kern w:val="0"/>
              <w:lang/>
              <w14:ligatures w14:val="none"/>
            </w:rPr>
          </w:pPr>
          <w:hyperlink w:anchor="_Toc213773812" w:history="1">
            <w:r w:rsidRPr="00265214">
              <w:rPr>
                <w:rStyle w:val="Hyperlink"/>
                <w:rFonts w:ascii="Arial" w:eastAsia="Times New Roman" w:hAnsi="Arial" w:cs="Arial"/>
                <w:noProof/>
                <w:lang/>
              </w:rPr>
              <w:t>5. Policy and Practice Recommendations</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_Toc213773812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7</w:t>
            </w:r>
            <w:r w:rsidRPr="00265214">
              <w:rPr>
                <w:rFonts w:ascii="Arial" w:hAnsi="Arial" w:cs="Arial"/>
                <w:noProof/>
                <w:webHidden/>
              </w:rPr>
              <w:fldChar w:fldCharType="end"/>
            </w:r>
          </w:hyperlink>
        </w:p>
        <w:p w14:paraId="461D335F" w14:textId="3829B112"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13" w:history="1">
            <w:r w:rsidRPr="00265214">
              <w:rPr>
                <w:rStyle w:val="Hyperlink"/>
                <w:rFonts w:ascii="Arial" w:eastAsia="Times New Roman" w:hAnsi="Arial" w:cs="Arial"/>
                <w:noProof/>
                <w:lang/>
              </w:rPr>
              <w:t>Adopt and Implement a Health in All Policies (HiAP) Framework; Formally at the National and Local Levels:</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_Toc213773813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8</w:t>
            </w:r>
            <w:r w:rsidRPr="00265214">
              <w:rPr>
                <w:rFonts w:ascii="Arial" w:hAnsi="Arial" w:cs="Arial"/>
                <w:noProof/>
                <w:webHidden/>
              </w:rPr>
              <w:fldChar w:fldCharType="end"/>
            </w:r>
          </w:hyperlink>
        </w:p>
        <w:p w14:paraId="69489ABA" w14:textId="176DA42D"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14" w:history="1">
            <w:r w:rsidRPr="00265214">
              <w:rPr>
                <w:rStyle w:val="Hyperlink"/>
                <w:rFonts w:ascii="Arial" w:eastAsia="Times New Roman" w:hAnsi="Arial" w:cs="Arial"/>
                <w:noProof/>
                <w:lang/>
              </w:rPr>
              <w:t>Primary National Programme of Green and Social Housing Retrofit:</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_Toc213773814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8</w:t>
            </w:r>
            <w:r w:rsidRPr="00265214">
              <w:rPr>
                <w:rFonts w:ascii="Arial" w:hAnsi="Arial" w:cs="Arial"/>
                <w:noProof/>
                <w:webHidden/>
              </w:rPr>
              <w:fldChar w:fldCharType="end"/>
            </w:r>
          </w:hyperlink>
        </w:p>
        <w:p w14:paraId="2164BBE5" w14:textId="59EBA0F1"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15" w:history="1">
            <w:r w:rsidRPr="00265214">
              <w:rPr>
                <w:rStyle w:val="Hyperlink"/>
                <w:rFonts w:ascii="Arial" w:eastAsia="Times New Roman" w:hAnsi="Arial" w:cs="Arial"/>
                <w:noProof/>
                <w:lang/>
              </w:rPr>
              <w:t>Integrate Equity as the Key Measurement in every Sustainability and Health Program:</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_Toc213773815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8</w:t>
            </w:r>
            <w:r w:rsidRPr="00265214">
              <w:rPr>
                <w:rFonts w:ascii="Arial" w:hAnsi="Arial" w:cs="Arial"/>
                <w:noProof/>
                <w:webHidden/>
              </w:rPr>
              <w:fldChar w:fldCharType="end"/>
            </w:r>
          </w:hyperlink>
        </w:p>
        <w:p w14:paraId="3089105E" w14:textId="4EA3D471" w:rsidR="00265214" w:rsidRPr="00265214" w:rsidRDefault="00265214" w:rsidP="00265214">
          <w:pPr>
            <w:pStyle w:val="TOC2"/>
            <w:tabs>
              <w:tab w:val="right" w:leader="dot" w:pos="9350"/>
            </w:tabs>
            <w:spacing w:line="360" w:lineRule="auto"/>
            <w:jc w:val="both"/>
            <w:rPr>
              <w:rFonts w:ascii="Arial" w:eastAsiaTheme="minorEastAsia" w:hAnsi="Arial" w:cs="Arial"/>
              <w:noProof/>
              <w:kern w:val="0"/>
              <w:lang/>
              <w14:ligatures w14:val="none"/>
            </w:rPr>
          </w:pPr>
          <w:hyperlink w:anchor="_Toc213773816" w:history="1">
            <w:r w:rsidRPr="00265214">
              <w:rPr>
                <w:rStyle w:val="Hyperlink"/>
                <w:rFonts w:ascii="Arial" w:eastAsia="Times New Roman" w:hAnsi="Arial" w:cs="Arial"/>
                <w:noProof/>
                <w:lang/>
              </w:rPr>
              <w:t>Expand Local Authority Developed Funding and Powers to Make Local Places:</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_Toc213773816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9</w:t>
            </w:r>
            <w:r w:rsidRPr="00265214">
              <w:rPr>
                <w:rFonts w:ascii="Arial" w:hAnsi="Arial" w:cs="Arial"/>
                <w:noProof/>
                <w:webHidden/>
              </w:rPr>
              <w:fldChar w:fldCharType="end"/>
            </w:r>
          </w:hyperlink>
        </w:p>
        <w:p w14:paraId="1545A744" w14:textId="326D9DDE" w:rsidR="00265214" w:rsidRPr="00265214" w:rsidRDefault="00265214" w:rsidP="00265214">
          <w:pPr>
            <w:pStyle w:val="TOC1"/>
            <w:tabs>
              <w:tab w:val="right" w:leader="dot" w:pos="9350"/>
            </w:tabs>
            <w:spacing w:line="360" w:lineRule="auto"/>
            <w:jc w:val="both"/>
            <w:rPr>
              <w:rFonts w:ascii="Arial" w:eastAsiaTheme="minorEastAsia" w:hAnsi="Arial" w:cs="Arial"/>
              <w:noProof/>
              <w:kern w:val="0"/>
              <w:lang/>
              <w14:ligatures w14:val="none"/>
            </w:rPr>
          </w:pPr>
          <w:hyperlink w:anchor="_Toc213773817" w:history="1">
            <w:r w:rsidRPr="00265214">
              <w:rPr>
                <w:rStyle w:val="Hyperlink"/>
                <w:rFonts w:ascii="Arial" w:eastAsia="Times New Roman" w:hAnsi="Arial" w:cs="Arial"/>
                <w:noProof/>
                <w:lang/>
              </w:rPr>
              <w:t>6. Conclusion</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_Toc213773817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9</w:t>
            </w:r>
            <w:r w:rsidRPr="00265214">
              <w:rPr>
                <w:rFonts w:ascii="Arial" w:hAnsi="Arial" w:cs="Arial"/>
                <w:noProof/>
                <w:webHidden/>
              </w:rPr>
              <w:fldChar w:fldCharType="end"/>
            </w:r>
          </w:hyperlink>
        </w:p>
        <w:p w14:paraId="2C2E8943" w14:textId="644FB95F" w:rsidR="00265214" w:rsidRPr="00265214" w:rsidRDefault="00265214" w:rsidP="00265214">
          <w:pPr>
            <w:pStyle w:val="TOC1"/>
            <w:tabs>
              <w:tab w:val="right" w:leader="dot" w:pos="9350"/>
            </w:tabs>
            <w:spacing w:line="360" w:lineRule="auto"/>
            <w:jc w:val="both"/>
            <w:rPr>
              <w:rFonts w:ascii="Arial" w:eastAsiaTheme="minorEastAsia" w:hAnsi="Arial" w:cs="Arial"/>
              <w:noProof/>
              <w:kern w:val="0"/>
              <w:lang/>
              <w14:ligatures w14:val="none"/>
            </w:rPr>
          </w:pPr>
          <w:hyperlink w:anchor="_Toc213773818" w:history="1">
            <w:r w:rsidRPr="00265214">
              <w:rPr>
                <w:rStyle w:val="Hyperlink"/>
                <w:rFonts w:ascii="Arial" w:hAnsi="Arial" w:cs="Arial"/>
                <w:noProof/>
              </w:rPr>
              <w:t>Reference list</w:t>
            </w:r>
            <w:r w:rsidRPr="00265214">
              <w:rPr>
                <w:rFonts w:ascii="Arial" w:hAnsi="Arial" w:cs="Arial"/>
                <w:noProof/>
                <w:webHidden/>
              </w:rPr>
              <w:tab/>
            </w:r>
            <w:r w:rsidRPr="00265214">
              <w:rPr>
                <w:rFonts w:ascii="Arial" w:hAnsi="Arial" w:cs="Arial"/>
                <w:noProof/>
                <w:webHidden/>
              </w:rPr>
              <w:fldChar w:fldCharType="begin"/>
            </w:r>
            <w:r w:rsidRPr="00265214">
              <w:rPr>
                <w:rFonts w:ascii="Arial" w:hAnsi="Arial" w:cs="Arial"/>
                <w:noProof/>
                <w:webHidden/>
              </w:rPr>
              <w:instrText xml:space="preserve"> PAGEREF _Toc213773818 \h </w:instrText>
            </w:r>
            <w:r w:rsidRPr="00265214">
              <w:rPr>
                <w:rFonts w:ascii="Arial" w:hAnsi="Arial" w:cs="Arial"/>
                <w:noProof/>
                <w:webHidden/>
              </w:rPr>
            </w:r>
            <w:r w:rsidRPr="00265214">
              <w:rPr>
                <w:rFonts w:ascii="Arial" w:hAnsi="Arial" w:cs="Arial"/>
                <w:noProof/>
                <w:webHidden/>
              </w:rPr>
              <w:fldChar w:fldCharType="separate"/>
            </w:r>
            <w:r w:rsidRPr="00265214">
              <w:rPr>
                <w:rFonts w:ascii="Arial" w:hAnsi="Arial" w:cs="Arial"/>
                <w:noProof/>
                <w:webHidden/>
              </w:rPr>
              <w:t>10</w:t>
            </w:r>
            <w:r w:rsidRPr="00265214">
              <w:rPr>
                <w:rFonts w:ascii="Arial" w:hAnsi="Arial" w:cs="Arial"/>
                <w:noProof/>
                <w:webHidden/>
              </w:rPr>
              <w:fldChar w:fldCharType="end"/>
            </w:r>
          </w:hyperlink>
        </w:p>
        <w:p w14:paraId="3102CA3D" w14:textId="1054939A" w:rsidR="00265214" w:rsidRPr="00265214" w:rsidRDefault="00265214" w:rsidP="00265214">
          <w:pPr>
            <w:spacing w:line="360" w:lineRule="auto"/>
            <w:jc w:val="both"/>
            <w:rPr>
              <w:rFonts w:ascii="Arial" w:hAnsi="Arial" w:cs="Arial"/>
            </w:rPr>
          </w:pPr>
          <w:r w:rsidRPr="00265214">
            <w:rPr>
              <w:rFonts w:ascii="Arial" w:hAnsi="Arial" w:cs="Arial"/>
              <w:b/>
              <w:bCs/>
              <w:noProof/>
            </w:rPr>
            <w:fldChar w:fldCharType="end"/>
          </w:r>
        </w:p>
      </w:sdtContent>
    </w:sdt>
    <w:p w14:paraId="1A1915FA" w14:textId="77777777" w:rsidR="00265214" w:rsidRPr="00265214" w:rsidRDefault="00265214" w:rsidP="00265214">
      <w:pPr>
        <w:spacing w:line="360" w:lineRule="auto"/>
        <w:jc w:val="both"/>
        <w:rPr>
          <w:rFonts w:ascii="Arial" w:eastAsia="Times New Roman" w:hAnsi="Arial" w:cs="Arial"/>
          <w:color w:val="0F1115"/>
          <w:kern w:val="0"/>
          <w:lang w:val="en-US"/>
          <w14:ligatures w14:val="none"/>
        </w:rPr>
      </w:pPr>
    </w:p>
    <w:p w14:paraId="284A230A" w14:textId="05B37B0C" w:rsidR="00344E89" w:rsidRPr="00265214" w:rsidRDefault="00344E89" w:rsidP="00265214">
      <w:pPr>
        <w:spacing w:line="360" w:lineRule="auto"/>
        <w:jc w:val="both"/>
        <w:rPr>
          <w:rFonts w:ascii="Arial" w:eastAsia="Times New Roman" w:hAnsi="Arial" w:cs="Arial"/>
          <w:color w:val="0F1115"/>
          <w:kern w:val="0"/>
          <w:lang w:val="en-US"/>
          <w14:ligatures w14:val="none"/>
        </w:rPr>
      </w:pPr>
      <w:r w:rsidRPr="00265214">
        <w:rPr>
          <w:rFonts w:ascii="Arial" w:eastAsia="Times New Roman" w:hAnsi="Arial" w:cs="Arial"/>
          <w:color w:val="0F1115"/>
          <w:kern w:val="0"/>
          <w:lang w:val="en-US"/>
          <w14:ligatures w14:val="none"/>
        </w:rPr>
        <w:br w:type="page"/>
      </w:r>
    </w:p>
    <w:p w14:paraId="06B54C3D" w14:textId="77777777" w:rsidR="006B5F9E" w:rsidRPr="00265214" w:rsidRDefault="006B5F9E" w:rsidP="00265214">
      <w:pPr>
        <w:pStyle w:val="Heading1"/>
        <w:spacing w:line="360" w:lineRule="auto"/>
        <w:jc w:val="both"/>
        <w:rPr>
          <w:rFonts w:ascii="Arial" w:eastAsia="Times New Roman" w:hAnsi="Arial" w:cs="Arial"/>
          <w:sz w:val="22"/>
          <w:szCs w:val="22"/>
          <w:lang/>
        </w:rPr>
      </w:pPr>
      <w:bookmarkStart w:id="0" w:name="_Toc213773802"/>
      <w:r w:rsidRPr="00265214">
        <w:rPr>
          <w:rFonts w:ascii="Arial" w:eastAsia="Times New Roman" w:hAnsi="Arial" w:cs="Arial"/>
          <w:sz w:val="22"/>
          <w:szCs w:val="22"/>
          <w:lang/>
        </w:rPr>
        <w:lastRenderedPageBreak/>
        <w:t>1. Introduction</w:t>
      </w:r>
      <w:bookmarkEnd w:id="0"/>
    </w:p>
    <w:p w14:paraId="4817EEE3" w14:textId="77777777" w:rsidR="006B5F9E" w:rsidRPr="00265214" w:rsidRDefault="006B5F9E" w:rsidP="00265214">
      <w:pPr>
        <w:spacing w:after="120" w:line="360" w:lineRule="auto"/>
        <w:jc w:val="both"/>
        <w:rPr>
          <w:rFonts w:ascii="Arial" w:eastAsia="Times New Roman" w:hAnsi="Arial" w:cs="Arial"/>
          <w:kern w:val="0"/>
          <w:lang/>
          <w14:ligatures w14:val="none"/>
        </w:rPr>
      </w:pPr>
    </w:p>
    <w:p w14:paraId="743A7FFF" w14:textId="7CC8B1F1" w:rsidR="006B5F9E" w:rsidRPr="00265214" w:rsidRDefault="006B5F9E" w:rsidP="00265214">
      <w:pPr>
        <w:spacing w:line="360" w:lineRule="auto"/>
        <w:jc w:val="both"/>
        <w:rPr>
          <w:rFonts w:ascii="Arial" w:eastAsia="Times New Roman" w:hAnsi="Arial" w:cs="Arial"/>
          <w:kern w:val="0"/>
          <w:lang/>
          <w14:ligatures w14:val="none"/>
        </w:rPr>
      </w:pPr>
      <w:r w:rsidRPr="006B5F9E">
        <w:rPr>
          <w:rFonts w:ascii="Arial" w:eastAsia="Times New Roman" w:hAnsi="Arial" w:cs="Arial"/>
          <w:kern w:val="0"/>
          <w:lang/>
          <w14:ligatures w14:val="none"/>
        </w:rPr>
        <w:t>Health and well-being should no longer be considered outside the context of the climate of sustainability of our planet and societies</w:t>
      </w:r>
      <w:r w:rsidR="00477758" w:rsidRPr="00265214">
        <w:rPr>
          <w:rFonts w:ascii="Arial" w:eastAsia="Times New Roman" w:hAnsi="Arial" w:cs="Arial"/>
          <w:kern w:val="0"/>
          <w:lang w:val="en-US"/>
          <w14:ligatures w14:val="none"/>
        </w:rPr>
        <w:t xml:space="preserve"> </w:t>
      </w:r>
      <w:r w:rsidR="00477758" w:rsidRPr="00265214">
        <w:rPr>
          <w:rFonts w:ascii="Arial" w:eastAsia="Times New Roman" w:hAnsi="Arial" w:cs="Arial"/>
          <w:kern w:val="0"/>
          <w:lang/>
          <w14:ligatures w14:val="none"/>
        </w:rPr>
        <w:t>(IPCC, 2022)</w:t>
      </w:r>
      <w:r w:rsidR="00477758" w:rsidRPr="00265214">
        <w:rPr>
          <w:rFonts w:ascii="Arial" w:eastAsia="Times New Roman" w:hAnsi="Arial" w:cs="Arial"/>
          <w:kern w:val="0"/>
          <w:lang w:val="en-US"/>
          <w14:ligatures w14:val="none"/>
        </w:rPr>
        <w:t>.</w:t>
      </w:r>
      <w:r w:rsidRPr="006B5F9E">
        <w:rPr>
          <w:rFonts w:ascii="Arial" w:eastAsia="Times New Roman" w:hAnsi="Arial" w:cs="Arial"/>
          <w:kern w:val="0"/>
          <w:lang/>
          <w14:ligatures w14:val="none"/>
        </w:rPr>
        <w:t xml:space="preserve"> The contemporary world's issues, including the climate crisis and rampant social inequalities, serve as reminders of the complexity of the links between human well-being, health, environment, and societal structure. This report critically looks into this interaction through the analysis of existing health, well-being, and sustainability policies and initiatives on a global, national (United Kingdom), and local (London) level. It will be analyzed in relation to the United Nations' Sustainable Development Goals (SDGs), specifically SDG 3: Good Health and Well-being and SDG 11: Sustainable Cities and Communities. The crux of the argument in this report is that the successful fulfillment of SDG 3 largely relies on the simultaneous advancement of SDG 11, and that the current policies of the UK, though appreciating the interdependence between the two, should be more interconnected and radical in their application to eliminate in-depth health inequalities. The report will initially provide a theoretical framework, then examine the international aspirations of the selected SDGs, compare their national and local application, and suggest recommendations for future policy based on evidence.</w:t>
      </w:r>
    </w:p>
    <w:p w14:paraId="4A649C8D" w14:textId="10D69EF9" w:rsidR="006B5F9E" w:rsidRPr="00265214" w:rsidRDefault="006B5F9E" w:rsidP="00265214">
      <w:pPr>
        <w:spacing w:after="120" w:line="360" w:lineRule="auto"/>
        <w:jc w:val="both"/>
        <w:rPr>
          <w:rFonts w:ascii="Arial" w:eastAsia="Times New Roman" w:hAnsi="Arial" w:cs="Arial"/>
          <w:kern w:val="0"/>
          <w:lang/>
          <w14:ligatures w14:val="none"/>
        </w:rPr>
      </w:pPr>
    </w:p>
    <w:p w14:paraId="200301CB" w14:textId="366B3CD5" w:rsidR="00F11617" w:rsidRPr="00265214" w:rsidRDefault="00F11617" w:rsidP="00265214">
      <w:pPr>
        <w:pStyle w:val="Heading1"/>
        <w:spacing w:line="360" w:lineRule="auto"/>
        <w:jc w:val="both"/>
        <w:rPr>
          <w:rFonts w:ascii="Arial" w:eastAsia="Times New Roman" w:hAnsi="Arial" w:cs="Arial"/>
          <w:sz w:val="22"/>
          <w:szCs w:val="22"/>
          <w:lang/>
        </w:rPr>
      </w:pPr>
      <w:bookmarkStart w:id="1" w:name="_Toc213773803"/>
      <w:r w:rsidRPr="00265214">
        <w:rPr>
          <w:rFonts w:ascii="Arial" w:eastAsia="Times New Roman" w:hAnsi="Arial" w:cs="Arial"/>
          <w:sz w:val="22"/>
          <w:szCs w:val="22"/>
          <w:lang/>
        </w:rPr>
        <w:t>2. Theoretical Framework</w:t>
      </w:r>
      <w:bookmarkEnd w:id="1"/>
    </w:p>
    <w:p w14:paraId="2E80E522" w14:textId="77777777" w:rsidR="00F11617" w:rsidRPr="00F11617" w:rsidRDefault="00F11617" w:rsidP="00265214">
      <w:pPr>
        <w:spacing w:after="120" w:line="360" w:lineRule="auto"/>
        <w:jc w:val="both"/>
        <w:rPr>
          <w:rFonts w:ascii="Arial" w:eastAsia="Times New Roman" w:hAnsi="Arial" w:cs="Arial"/>
          <w:kern w:val="0"/>
          <w:lang/>
          <w14:ligatures w14:val="none"/>
        </w:rPr>
      </w:pPr>
    </w:p>
    <w:p w14:paraId="2E6879C0" w14:textId="77777777" w:rsidR="00F11617" w:rsidRPr="00F11617" w:rsidRDefault="00F11617" w:rsidP="00265214">
      <w:pPr>
        <w:spacing w:after="120" w:line="360" w:lineRule="auto"/>
        <w:jc w:val="both"/>
        <w:rPr>
          <w:rFonts w:ascii="Arial" w:eastAsia="Times New Roman" w:hAnsi="Arial" w:cs="Arial"/>
          <w:kern w:val="0"/>
          <w:lang/>
          <w14:ligatures w14:val="none"/>
        </w:rPr>
      </w:pPr>
      <w:r w:rsidRPr="00F11617">
        <w:rPr>
          <w:rFonts w:ascii="Arial" w:eastAsia="Times New Roman" w:hAnsi="Arial" w:cs="Arial"/>
          <w:kern w:val="0"/>
          <w:lang/>
          <w14:ligatures w14:val="none"/>
        </w:rPr>
        <w:t>To systematically understand the relationship between health, well-being, and sustainability, this report draws on two important theoretical frameworks: the Social Determinants of Health (SDH) and the Socio-Ecological Model.</w:t>
      </w:r>
    </w:p>
    <w:p w14:paraId="79138CA5" w14:textId="6B28A702" w:rsidR="00F11617" w:rsidRPr="00F11617" w:rsidRDefault="00F11617" w:rsidP="00265214">
      <w:pPr>
        <w:spacing w:line="360" w:lineRule="auto"/>
        <w:jc w:val="both"/>
        <w:rPr>
          <w:rFonts w:ascii="Arial" w:eastAsia="Times New Roman" w:hAnsi="Arial" w:cs="Arial"/>
          <w:kern w:val="0"/>
          <w:lang/>
          <w14:ligatures w14:val="none"/>
        </w:rPr>
      </w:pPr>
      <w:r w:rsidRPr="00F11617">
        <w:rPr>
          <w:rFonts w:ascii="Arial" w:eastAsia="Times New Roman" w:hAnsi="Arial" w:cs="Arial"/>
          <w:kern w:val="0"/>
          <w:lang/>
          <w14:ligatures w14:val="none"/>
        </w:rPr>
        <w:t xml:space="preserve">The Social Determinants of Health </w:t>
      </w:r>
      <w:r w:rsidR="00036E57" w:rsidRPr="00265214">
        <w:rPr>
          <w:rFonts w:ascii="Arial" w:eastAsia="Times New Roman" w:hAnsi="Arial" w:cs="Arial"/>
          <w:kern w:val="0"/>
          <w:lang/>
          <w14:ligatures w14:val="none"/>
        </w:rPr>
        <w:t>(World Health Organisation, 2025)</w:t>
      </w:r>
      <w:r w:rsidR="00036E57" w:rsidRPr="00265214">
        <w:rPr>
          <w:rFonts w:ascii="Arial" w:eastAsia="Times New Roman" w:hAnsi="Arial" w:cs="Arial"/>
          <w:kern w:val="0"/>
          <w:lang w:val="en-US"/>
          <w14:ligatures w14:val="none"/>
        </w:rPr>
        <w:t xml:space="preserve"> </w:t>
      </w:r>
      <w:r w:rsidRPr="00F11617">
        <w:rPr>
          <w:rFonts w:ascii="Arial" w:eastAsia="Times New Roman" w:hAnsi="Arial" w:cs="Arial"/>
          <w:kern w:val="0"/>
          <w:lang/>
          <w14:ligatures w14:val="none"/>
        </w:rPr>
        <w:t>is based on the premise that the conditions under which people are born, grow, live, work, and age are the primary determinants of their health outcomes. These factors include socioeconomic status, education, physical environment, social support network, and access to healthcare. It is an alternative to the biomedical model, which emphasizes the role of factors such as housing quality, employment, and air pollution in determining population health. Most of these structural determinants are listed in SDG 11.</w:t>
      </w:r>
    </w:p>
    <w:p w14:paraId="7E07843B" w14:textId="6F5D5BA6" w:rsidR="00F11617" w:rsidRPr="00265214" w:rsidRDefault="00F11617" w:rsidP="00265214">
      <w:pPr>
        <w:spacing w:line="360" w:lineRule="auto"/>
        <w:jc w:val="both"/>
        <w:rPr>
          <w:rFonts w:ascii="Arial" w:eastAsia="Times New Roman" w:hAnsi="Arial" w:cs="Arial"/>
          <w:kern w:val="0"/>
          <w:lang/>
          <w14:ligatures w14:val="none"/>
        </w:rPr>
      </w:pPr>
      <w:r w:rsidRPr="00F11617">
        <w:rPr>
          <w:rFonts w:ascii="Arial" w:eastAsia="Times New Roman" w:hAnsi="Arial" w:cs="Arial"/>
          <w:kern w:val="0"/>
          <w:lang/>
          <w14:ligatures w14:val="none"/>
        </w:rPr>
        <w:t xml:space="preserve">To this, the Socio-Ecological Model </w:t>
      </w:r>
      <w:r w:rsidR="00F32C4B" w:rsidRPr="00265214">
        <w:rPr>
          <w:rFonts w:ascii="Arial" w:eastAsia="Times New Roman" w:hAnsi="Arial" w:cs="Arial"/>
          <w:kern w:val="0"/>
          <w:lang/>
          <w14:ligatures w14:val="none"/>
        </w:rPr>
        <w:t>Scarneo et al. (2019)</w:t>
      </w:r>
      <w:r w:rsidR="00F32C4B" w:rsidRPr="00265214">
        <w:rPr>
          <w:rFonts w:ascii="Arial" w:eastAsia="Times New Roman" w:hAnsi="Arial" w:cs="Arial"/>
          <w:kern w:val="0"/>
          <w:lang w:val="en-US"/>
          <w14:ligatures w14:val="none"/>
        </w:rPr>
        <w:t xml:space="preserve">, </w:t>
      </w:r>
      <w:r w:rsidRPr="00F11617">
        <w:rPr>
          <w:rFonts w:ascii="Arial" w:eastAsia="Times New Roman" w:hAnsi="Arial" w:cs="Arial"/>
          <w:kern w:val="0"/>
          <w:lang/>
          <w14:ligatures w14:val="none"/>
        </w:rPr>
        <w:t xml:space="preserve">offers an alternative multi-level approach, which demonstrates that the health of individual people is integrated and affected by </w:t>
      </w:r>
      <w:r w:rsidRPr="00F11617">
        <w:rPr>
          <w:rFonts w:ascii="Arial" w:eastAsia="Times New Roman" w:hAnsi="Arial" w:cs="Arial"/>
          <w:kern w:val="0"/>
          <w:lang/>
          <w14:ligatures w14:val="none"/>
        </w:rPr>
        <w:lastRenderedPageBreak/>
        <w:t>interconnected structures: the intrapersonal, the interpersonal, the organisational, the community, and the public policy. The model plays an important role in the analysis of policy impact because it indicates that interventions should be effective at a variety of levels, ranging from individual behaviour change interventions (e.g., smoking cessation) on the one hand, and legislative and fiscal policies (e.g., congestion charges, green building standards) on the other</w:t>
      </w:r>
      <w:r w:rsidR="00D55849" w:rsidRPr="00265214">
        <w:rPr>
          <w:rFonts w:ascii="Arial" w:eastAsia="Times New Roman" w:hAnsi="Arial" w:cs="Arial"/>
          <w:kern w:val="0"/>
          <w:lang w:val="en-US"/>
          <w14:ligatures w14:val="none"/>
        </w:rPr>
        <w:t xml:space="preserve"> </w:t>
      </w:r>
      <w:r w:rsidR="00D55849" w:rsidRPr="00265214">
        <w:rPr>
          <w:rFonts w:ascii="Arial" w:eastAsia="Times New Roman" w:hAnsi="Arial" w:cs="Arial"/>
          <w:kern w:val="0"/>
          <w:lang/>
          <w14:ligatures w14:val="none"/>
        </w:rPr>
        <w:t>(Kock et al., 2019)</w:t>
      </w:r>
      <w:r w:rsidR="00D55849" w:rsidRPr="00265214">
        <w:rPr>
          <w:rFonts w:ascii="Arial" w:eastAsia="Times New Roman" w:hAnsi="Arial" w:cs="Arial"/>
          <w:kern w:val="0"/>
          <w:lang w:val="en-US"/>
          <w14:ligatures w14:val="none"/>
        </w:rPr>
        <w:t>.</w:t>
      </w:r>
      <w:r w:rsidRPr="00F11617">
        <w:rPr>
          <w:rFonts w:ascii="Arial" w:eastAsia="Times New Roman" w:hAnsi="Arial" w:cs="Arial"/>
          <w:kern w:val="0"/>
          <w:lang/>
          <w14:ligatures w14:val="none"/>
        </w:rPr>
        <w:t xml:space="preserve"> Combined, these models will offer a strong prism through which the integration of health and sustainability agendas can be critiqued.</w:t>
      </w:r>
    </w:p>
    <w:p w14:paraId="1F2C2A1C" w14:textId="7C5836F8" w:rsidR="00F11617" w:rsidRPr="00265214" w:rsidRDefault="00F11617" w:rsidP="00265214">
      <w:pPr>
        <w:spacing w:after="120" w:line="360" w:lineRule="auto"/>
        <w:jc w:val="both"/>
        <w:rPr>
          <w:rFonts w:ascii="Arial" w:eastAsia="Times New Roman" w:hAnsi="Arial" w:cs="Arial"/>
          <w:kern w:val="0"/>
          <w:lang/>
          <w14:ligatures w14:val="none"/>
        </w:rPr>
      </w:pPr>
    </w:p>
    <w:p w14:paraId="27A3FFFF" w14:textId="18C44245" w:rsidR="007E6F43" w:rsidRPr="00265214" w:rsidRDefault="007E6F43" w:rsidP="00265214">
      <w:pPr>
        <w:pStyle w:val="Heading1"/>
        <w:spacing w:line="360" w:lineRule="auto"/>
        <w:jc w:val="both"/>
        <w:rPr>
          <w:rFonts w:ascii="Arial" w:eastAsia="Times New Roman" w:hAnsi="Arial" w:cs="Arial"/>
          <w:sz w:val="22"/>
          <w:szCs w:val="22"/>
          <w:lang/>
        </w:rPr>
      </w:pPr>
      <w:bookmarkStart w:id="2" w:name="_Toc213773804"/>
      <w:r w:rsidRPr="00265214">
        <w:rPr>
          <w:rFonts w:ascii="Arial" w:eastAsia="Times New Roman" w:hAnsi="Arial" w:cs="Arial"/>
          <w:sz w:val="22"/>
          <w:szCs w:val="22"/>
          <w:lang/>
        </w:rPr>
        <w:t>3. Global Ambition: SDG 3 and SDG 11 Analysis</w:t>
      </w:r>
      <w:bookmarkEnd w:id="2"/>
    </w:p>
    <w:p w14:paraId="3C2EFF4C" w14:textId="77777777" w:rsidR="008570AC" w:rsidRPr="00265214" w:rsidRDefault="008570AC" w:rsidP="00265214">
      <w:pPr>
        <w:spacing w:line="360" w:lineRule="auto"/>
        <w:jc w:val="both"/>
        <w:rPr>
          <w:rFonts w:ascii="Arial" w:hAnsi="Arial" w:cs="Arial"/>
          <w:lang/>
        </w:rPr>
      </w:pPr>
    </w:p>
    <w:p w14:paraId="59A09966" w14:textId="6A59ADCF" w:rsidR="007E6F43" w:rsidRPr="00265214" w:rsidRDefault="007E6F43" w:rsidP="00265214">
      <w:pPr>
        <w:pStyle w:val="Heading2"/>
        <w:spacing w:line="360" w:lineRule="auto"/>
        <w:jc w:val="both"/>
        <w:rPr>
          <w:rFonts w:ascii="Arial" w:eastAsia="Times New Roman" w:hAnsi="Arial" w:cs="Arial"/>
          <w:sz w:val="22"/>
          <w:szCs w:val="22"/>
          <w:lang/>
        </w:rPr>
      </w:pPr>
      <w:bookmarkStart w:id="3" w:name="_Toc213773805"/>
      <w:r w:rsidRPr="00265214">
        <w:rPr>
          <w:rFonts w:ascii="Arial" w:eastAsia="Times New Roman" w:hAnsi="Arial" w:cs="Arial"/>
          <w:sz w:val="22"/>
          <w:szCs w:val="22"/>
          <w:lang/>
        </w:rPr>
        <w:t>3.1. Goal 3: Good Health and Well-being</w:t>
      </w:r>
      <w:bookmarkEnd w:id="3"/>
    </w:p>
    <w:p w14:paraId="0D6DD184" w14:textId="77777777" w:rsidR="008570AC" w:rsidRPr="00265214" w:rsidRDefault="008570AC" w:rsidP="00265214">
      <w:pPr>
        <w:spacing w:line="360" w:lineRule="auto"/>
        <w:jc w:val="both"/>
        <w:rPr>
          <w:rFonts w:ascii="Arial" w:hAnsi="Arial" w:cs="Arial"/>
          <w:lang/>
        </w:rPr>
      </w:pPr>
    </w:p>
    <w:p w14:paraId="0129CE00" w14:textId="0F2B4A32" w:rsidR="007E6F43" w:rsidRPr="00173CFC" w:rsidRDefault="007E6F43" w:rsidP="00173CFC">
      <w:pPr>
        <w:spacing w:line="360" w:lineRule="auto"/>
        <w:jc w:val="both"/>
        <w:rPr>
          <w:rFonts w:ascii="Arial" w:eastAsia="Times New Roman" w:hAnsi="Arial" w:cs="Arial"/>
          <w:kern w:val="0"/>
          <w:lang/>
          <w14:ligatures w14:val="none"/>
        </w:rPr>
      </w:pPr>
      <w:r w:rsidRPr="00173CFC">
        <w:rPr>
          <w:rFonts w:ascii="Arial" w:eastAsia="Times New Roman" w:hAnsi="Arial" w:cs="Arial"/>
          <w:kern w:val="0"/>
          <w:lang/>
          <w14:ligatures w14:val="none"/>
        </w:rPr>
        <w:t>Goal 3 seeks to improve the healthy living and well-being of all people, irrespective of age</w:t>
      </w:r>
      <w:r w:rsidR="00CA4102" w:rsidRPr="00173CFC">
        <w:rPr>
          <w:rFonts w:ascii="Arial" w:eastAsia="Times New Roman" w:hAnsi="Arial" w:cs="Arial"/>
          <w:kern w:val="0"/>
          <w:lang w:val="en-US"/>
          <w14:ligatures w14:val="none"/>
        </w:rPr>
        <w:t xml:space="preserve"> </w:t>
      </w:r>
      <w:r w:rsidR="00CA4102" w:rsidRPr="00173CFC">
        <w:rPr>
          <w:rFonts w:ascii="Arial" w:eastAsia="Times New Roman" w:hAnsi="Arial" w:cs="Arial"/>
          <w:kern w:val="0"/>
          <w:lang/>
          <w14:ligatures w14:val="none"/>
        </w:rPr>
        <w:t>(United Nations, 2023)</w:t>
      </w:r>
      <w:r w:rsidR="00CA4102" w:rsidRPr="00173CFC">
        <w:rPr>
          <w:rFonts w:ascii="Arial" w:eastAsia="Times New Roman" w:hAnsi="Arial" w:cs="Arial"/>
          <w:kern w:val="0"/>
          <w:lang w:val="en-US"/>
          <w14:ligatures w14:val="none"/>
        </w:rPr>
        <w:t>.</w:t>
      </w:r>
      <w:r w:rsidRPr="00173CFC">
        <w:rPr>
          <w:rFonts w:ascii="Arial" w:eastAsia="Times New Roman" w:hAnsi="Arial" w:cs="Arial"/>
          <w:kern w:val="0"/>
          <w:lang/>
          <w14:ligatures w14:val="none"/>
        </w:rPr>
        <w:t xml:space="preserve"> Its objectives go much further beyond curing disease and include the decrease of maternal mortality, the battle against communicable diseases, and universal health coverage. More importantly, it also addresses the underlying factors that aim to reduce deaths due to hazardous chemicals and pollution of air, water, and soil (Target 3.9), as well as reinforce the prevention and treatment of substance abuse (Target 3.5)</w:t>
      </w:r>
      <w:r w:rsidR="00F94C8D" w:rsidRPr="00173CFC">
        <w:rPr>
          <w:rFonts w:ascii="Arial" w:eastAsia="Times New Roman" w:hAnsi="Arial" w:cs="Arial"/>
          <w:kern w:val="0"/>
          <w:lang w:val="en-US"/>
          <w14:ligatures w14:val="none"/>
        </w:rPr>
        <w:t xml:space="preserve"> </w:t>
      </w:r>
      <w:r w:rsidR="00F94C8D" w:rsidRPr="00173CFC">
        <w:rPr>
          <w:rFonts w:ascii="Arial" w:eastAsia="Times New Roman" w:hAnsi="Arial" w:cs="Arial"/>
          <w:kern w:val="0"/>
          <w:lang/>
          <w14:ligatures w14:val="none"/>
        </w:rPr>
        <w:t>(Kjellstrom et al., 2010)</w:t>
      </w:r>
      <w:r w:rsidR="00F94C8D" w:rsidRPr="00173CFC">
        <w:rPr>
          <w:rFonts w:ascii="Arial" w:eastAsia="Times New Roman" w:hAnsi="Arial" w:cs="Arial"/>
          <w:kern w:val="0"/>
          <w:lang w:val="en-US"/>
          <w14:ligatures w14:val="none"/>
        </w:rPr>
        <w:t>.</w:t>
      </w:r>
      <w:r w:rsidRPr="00173CFC">
        <w:rPr>
          <w:rFonts w:ascii="Arial" w:eastAsia="Times New Roman" w:hAnsi="Arial" w:cs="Arial"/>
          <w:kern w:val="0"/>
          <w:lang/>
          <w14:ligatures w14:val="none"/>
        </w:rPr>
        <w:t xml:space="preserve"> This is in recognition of the fact that it is not only in our clinics where we generate health, but in our environments and communities.</w:t>
      </w:r>
    </w:p>
    <w:p w14:paraId="58D4118D" w14:textId="77777777" w:rsidR="008570AC" w:rsidRPr="007E6F43" w:rsidRDefault="008570AC" w:rsidP="00265214">
      <w:pPr>
        <w:spacing w:after="120" w:line="360" w:lineRule="auto"/>
        <w:jc w:val="both"/>
        <w:rPr>
          <w:rFonts w:ascii="Arial" w:eastAsia="Times New Roman" w:hAnsi="Arial" w:cs="Arial"/>
          <w:kern w:val="0"/>
          <w:lang/>
          <w14:ligatures w14:val="none"/>
        </w:rPr>
      </w:pPr>
    </w:p>
    <w:p w14:paraId="3BD097B6" w14:textId="2DD355E4" w:rsidR="007E6F43" w:rsidRPr="00265214" w:rsidRDefault="007E6F43" w:rsidP="00265214">
      <w:pPr>
        <w:pStyle w:val="Heading2"/>
        <w:spacing w:line="360" w:lineRule="auto"/>
        <w:jc w:val="both"/>
        <w:rPr>
          <w:rFonts w:ascii="Arial" w:eastAsia="Times New Roman" w:hAnsi="Arial" w:cs="Arial"/>
          <w:sz w:val="22"/>
          <w:szCs w:val="22"/>
          <w:lang/>
        </w:rPr>
      </w:pPr>
      <w:bookmarkStart w:id="4" w:name="_Toc213773806"/>
      <w:r w:rsidRPr="00265214">
        <w:rPr>
          <w:rFonts w:ascii="Arial" w:eastAsia="Times New Roman" w:hAnsi="Arial" w:cs="Arial"/>
          <w:sz w:val="22"/>
          <w:szCs w:val="22"/>
          <w:lang/>
        </w:rPr>
        <w:t>3.2. Goal 11: Sustainable Cities and Communities</w:t>
      </w:r>
      <w:bookmarkEnd w:id="4"/>
    </w:p>
    <w:p w14:paraId="1F92C5D3" w14:textId="77777777" w:rsidR="008570AC" w:rsidRPr="00265214" w:rsidRDefault="008570AC" w:rsidP="00265214">
      <w:pPr>
        <w:spacing w:line="360" w:lineRule="auto"/>
        <w:jc w:val="both"/>
        <w:rPr>
          <w:rFonts w:ascii="Arial" w:hAnsi="Arial" w:cs="Arial"/>
          <w:lang/>
        </w:rPr>
      </w:pPr>
    </w:p>
    <w:p w14:paraId="4C59066C" w14:textId="77777777" w:rsidR="007E6F43" w:rsidRPr="007E6F43" w:rsidRDefault="007E6F43" w:rsidP="00265214">
      <w:pPr>
        <w:spacing w:after="120" w:line="360" w:lineRule="auto"/>
        <w:jc w:val="both"/>
        <w:rPr>
          <w:rFonts w:ascii="Arial" w:eastAsia="Times New Roman" w:hAnsi="Arial" w:cs="Arial"/>
          <w:kern w:val="0"/>
          <w:lang/>
          <w14:ligatures w14:val="none"/>
        </w:rPr>
      </w:pPr>
      <w:r w:rsidRPr="007E6F43">
        <w:rPr>
          <w:rFonts w:ascii="Arial" w:eastAsia="Times New Roman" w:hAnsi="Arial" w:cs="Arial"/>
          <w:kern w:val="0"/>
          <w:lang/>
          <w14:ligatures w14:val="none"/>
        </w:rPr>
        <w:t>One of the SDG 11 aims is to ensure that cities and human settlements are inclusive, safe, resilient, and sustainable. Its objectives are a straightforward roadmap to the development of the social determinants of health. Key targets include:</w:t>
      </w:r>
    </w:p>
    <w:p w14:paraId="0E58325B" w14:textId="77777777" w:rsidR="007E6F43" w:rsidRPr="00265214" w:rsidRDefault="007E6F43" w:rsidP="00265214">
      <w:pPr>
        <w:pStyle w:val="ListParagraph"/>
        <w:numPr>
          <w:ilvl w:val="0"/>
          <w:numId w:val="1"/>
        </w:numPr>
        <w:spacing w:after="120" w:line="360" w:lineRule="auto"/>
        <w:jc w:val="both"/>
        <w:rPr>
          <w:rFonts w:ascii="Arial" w:eastAsia="Times New Roman" w:hAnsi="Arial" w:cs="Arial"/>
          <w:kern w:val="0"/>
          <w:lang/>
          <w14:ligatures w14:val="none"/>
        </w:rPr>
      </w:pPr>
      <w:r w:rsidRPr="00265214">
        <w:rPr>
          <w:rFonts w:ascii="Arial" w:eastAsia="Times New Roman" w:hAnsi="Arial" w:cs="Arial"/>
          <w:b/>
          <w:bCs/>
          <w:kern w:val="0"/>
          <w:lang/>
          <w14:ligatures w14:val="none"/>
        </w:rPr>
        <w:t>Target 11.1:</w:t>
      </w:r>
      <w:r w:rsidRPr="00265214">
        <w:rPr>
          <w:rFonts w:ascii="Arial" w:eastAsia="Times New Roman" w:hAnsi="Arial" w:cs="Arial"/>
          <w:kern w:val="0"/>
          <w:lang/>
          <w14:ligatures w14:val="none"/>
        </w:rPr>
        <w:t xml:space="preserve"> Make sufficient, safe and affordable housing available to everyone.</w:t>
      </w:r>
    </w:p>
    <w:p w14:paraId="68908DB8" w14:textId="77777777" w:rsidR="007E6F43" w:rsidRPr="00265214" w:rsidRDefault="007E6F43" w:rsidP="00265214">
      <w:pPr>
        <w:pStyle w:val="ListParagraph"/>
        <w:numPr>
          <w:ilvl w:val="0"/>
          <w:numId w:val="1"/>
        </w:numPr>
        <w:spacing w:after="120" w:line="360" w:lineRule="auto"/>
        <w:jc w:val="both"/>
        <w:rPr>
          <w:rFonts w:ascii="Arial" w:eastAsia="Times New Roman" w:hAnsi="Arial" w:cs="Arial"/>
          <w:kern w:val="0"/>
          <w:lang/>
          <w14:ligatures w14:val="none"/>
        </w:rPr>
      </w:pPr>
      <w:r w:rsidRPr="00265214">
        <w:rPr>
          <w:rFonts w:ascii="Arial" w:eastAsia="Times New Roman" w:hAnsi="Arial" w:cs="Arial"/>
          <w:b/>
          <w:bCs/>
          <w:kern w:val="0"/>
          <w:lang/>
          <w14:ligatures w14:val="none"/>
        </w:rPr>
        <w:t>Target 11.2:</w:t>
      </w:r>
      <w:r w:rsidRPr="00265214">
        <w:rPr>
          <w:rFonts w:ascii="Arial" w:eastAsia="Times New Roman" w:hAnsi="Arial" w:cs="Arial"/>
          <w:kern w:val="0"/>
          <w:lang/>
          <w14:ligatures w14:val="none"/>
        </w:rPr>
        <w:t xml:space="preserve"> Sustainable transport systems. Access to safe, affordable, and accessible transport systems.</w:t>
      </w:r>
    </w:p>
    <w:p w14:paraId="0C99C2AF" w14:textId="77777777" w:rsidR="007E6F43" w:rsidRPr="00265214" w:rsidRDefault="007E6F43" w:rsidP="00265214">
      <w:pPr>
        <w:pStyle w:val="ListParagraph"/>
        <w:numPr>
          <w:ilvl w:val="0"/>
          <w:numId w:val="1"/>
        </w:numPr>
        <w:spacing w:after="120" w:line="360" w:lineRule="auto"/>
        <w:jc w:val="both"/>
        <w:rPr>
          <w:rFonts w:ascii="Arial" w:eastAsia="Times New Roman" w:hAnsi="Arial" w:cs="Arial"/>
          <w:kern w:val="0"/>
          <w:lang/>
          <w14:ligatures w14:val="none"/>
        </w:rPr>
      </w:pPr>
      <w:r w:rsidRPr="00265214">
        <w:rPr>
          <w:rFonts w:ascii="Arial" w:eastAsia="Times New Roman" w:hAnsi="Arial" w:cs="Arial"/>
          <w:b/>
          <w:bCs/>
          <w:kern w:val="0"/>
          <w:lang/>
          <w14:ligatures w14:val="none"/>
        </w:rPr>
        <w:lastRenderedPageBreak/>
        <w:t>Target 11.6:</w:t>
      </w:r>
      <w:r w:rsidRPr="00265214">
        <w:rPr>
          <w:rFonts w:ascii="Arial" w:eastAsia="Times New Roman" w:hAnsi="Arial" w:cs="Arial"/>
          <w:kern w:val="0"/>
          <w:lang/>
          <w14:ligatures w14:val="none"/>
        </w:rPr>
        <w:t xml:space="preserve"> Decrease the negative per capita environmental impact of cities, paying particular attention to air quality.</w:t>
      </w:r>
    </w:p>
    <w:p w14:paraId="01CE6A33" w14:textId="77777777" w:rsidR="007E6F43" w:rsidRPr="00265214" w:rsidRDefault="007E6F43" w:rsidP="00265214">
      <w:pPr>
        <w:pStyle w:val="ListParagraph"/>
        <w:numPr>
          <w:ilvl w:val="0"/>
          <w:numId w:val="1"/>
        </w:numPr>
        <w:spacing w:after="120" w:line="360" w:lineRule="auto"/>
        <w:jc w:val="both"/>
        <w:rPr>
          <w:rFonts w:ascii="Arial" w:eastAsia="Times New Roman" w:hAnsi="Arial" w:cs="Arial"/>
          <w:kern w:val="0"/>
          <w:lang/>
          <w14:ligatures w14:val="none"/>
        </w:rPr>
      </w:pPr>
      <w:r w:rsidRPr="00265214">
        <w:rPr>
          <w:rFonts w:ascii="Arial" w:eastAsia="Times New Roman" w:hAnsi="Arial" w:cs="Arial"/>
          <w:b/>
          <w:bCs/>
          <w:kern w:val="0"/>
          <w:lang/>
          <w14:ligatures w14:val="none"/>
        </w:rPr>
        <w:t>Target 11.7:</w:t>
      </w:r>
      <w:r w:rsidRPr="00265214">
        <w:rPr>
          <w:rFonts w:ascii="Arial" w:eastAsia="Times New Roman" w:hAnsi="Arial" w:cs="Arial"/>
          <w:kern w:val="0"/>
          <w:lang/>
          <w14:ligatures w14:val="none"/>
        </w:rPr>
        <w:t xml:space="preserve"> Ensure universal access to safe, inclusive, and accessible, green and public spaces.</w:t>
      </w:r>
    </w:p>
    <w:p w14:paraId="66CCE9F6" w14:textId="5CBBF9C1" w:rsidR="007E6F43" w:rsidRPr="00265214" w:rsidRDefault="007E6F43" w:rsidP="00265214">
      <w:pPr>
        <w:spacing w:after="120" w:line="360" w:lineRule="auto"/>
        <w:jc w:val="both"/>
        <w:rPr>
          <w:rFonts w:ascii="Arial" w:eastAsia="Times New Roman" w:hAnsi="Arial" w:cs="Arial"/>
          <w:kern w:val="0"/>
          <w:lang/>
          <w14:ligatures w14:val="none"/>
        </w:rPr>
      </w:pPr>
      <w:r w:rsidRPr="007E6F43">
        <w:rPr>
          <w:rFonts w:ascii="Arial" w:eastAsia="Times New Roman" w:hAnsi="Arial" w:cs="Arial"/>
          <w:kern w:val="0"/>
          <w:lang/>
          <w14:ligatures w14:val="none"/>
        </w:rPr>
        <w:t>These objectives have a direct impact on physical health (through air quality and road safety), mental health (through access to green spaces and housing security), and social equity (through public spaces and accessible transportation).</w:t>
      </w:r>
    </w:p>
    <w:p w14:paraId="3269539B" w14:textId="77777777" w:rsidR="008570AC" w:rsidRPr="007E6F43" w:rsidRDefault="008570AC" w:rsidP="00265214">
      <w:pPr>
        <w:spacing w:after="120" w:line="360" w:lineRule="auto"/>
        <w:jc w:val="both"/>
        <w:rPr>
          <w:rFonts w:ascii="Arial" w:eastAsia="Times New Roman" w:hAnsi="Arial" w:cs="Arial"/>
          <w:kern w:val="0"/>
          <w:lang/>
          <w14:ligatures w14:val="none"/>
        </w:rPr>
      </w:pPr>
    </w:p>
    <w:p w14:paraId="5E386E7D" w14:textId="5C2A644D" w:rsidR="007E6F43" w:rsidRPr="00265214" w:rsidRDefault="007E6F43" w:rsidP="00265214">
      <w:pPr>
        <w:pStyle w:val="Heading2"/>
        <w:spacing w:line="360" w:lineRule="auto"/>
        <w:jc w:val="both"/>
        <w:rPr>
          <w:rFonts w:ascii="Arial" w:eastAsia="Times New Roman" w:hAnsi="Arial" w:cs="Arial"/>
          <w:sz w:val="22"/>
          <w:szCs w:val="22"/>
          <w:lang/>
        </w:rPr>
      </w:pPr>
      <w:bookmarkStart w:id="5" w:name="_Toc213773807"/>
      <w:r w:rsidRPr="00265214">
        <w:rPr>
          <w:rFonts w:ascii="Arial" w:eastAsia="Times New Roman" w:hAnsi="Arial" w:cs="Arial"/>
          <w:sz w:val="22"/>
          <w:szCs w:val="22"/>
          <w:lang/>
        </w:rPr>
        <w:t>3.3. The Urban Environment and Health</w:t>
      </w:r>
      <w:bookmarkEnd w:id="5"/>
    </w:p>
    <w:p w14:paraId="6156B51D" w14:textId="77777777" w:rsidR="008570AC" w:rsidRPr="00265214" w:rsidRDefault="008570AC" w:rsidP="00265214">
      <w:pPr>
        <w:spacing w:line="360" w:lineRule="auto"/>
        <w:jc w:val="both"/>
        <w:rPr>
          <w:rFonts w:ascii="Arial" w:hAnsi="Arial" w:cs="Arial"/>
          <w:lang/>
        </w:rPr>
      </w:pPr>
    </w:p>
    <w:p w14:paraId="35F3A660" w14:textId="4B244F5C" w:rsidR="007E6F43" w:rsidRPr="00265214" w:rsidRDefault="007E6F43" w:rsidP="00265214">
      <w:pPr>
        <w:spacing w:line="360" w:lineRule="auto"/>
        <w:jc w:val="both"/>
        <w:rPr>
          <w:rFonts w:ascii="Arial" w:eastAsia="Times New Roman" w:hAnsi="Arial" w:cs="Arial"/>
          <w:kern w:val="0"/>
          <w:lang w:val="en-US"/>
          <w14:ligatures w14:val="none"/>
        </w:rPr>
      </w:pPr>
      <w:r w:rsidRPr="007E6F43">
        <w:rPr>
          <w:rFonts w:ascii="Arial" w:eastAsia="Times New Roman" w:hAnsi="Arial" w:cs="Arial"/>
          <w:kern w:val="0"/>
          <w:lang/>
          <w14:ligatures w14:val="none"/>
        </w:rPr>
        <w:t>The interrelation between SDG 3 and SDG 11 is extensive. As an example of this, SDG 11.2 (sustainable transport) development by investing in cycling infrastructure and public transport directly leads to SDG 3 through increased physical activity (lessening non-communicable diseases such as diabetes and heart disease) and better air quality (lessening respiratory diseases)</w:t>
      </w:r>
      <w:r w:rsidR="00650179" w:rsidRPr="00265214">
        <w:rPr>
          <w:rFonts w:ascii="Arial" w:eastAsia="Times New Roman" w:hAnsi="Arial" w:cs="Arial"/>
          <w:kern w:val="0"/>
          <w:lang w:val="en-US"/>
          <w14:ligatures w14:val="none"/>
        </w:rPr>
        <w:t xml:space="preserve"> </w:t>
      </w:r>
      <w:r w:rsidR="00650179" w:rsidRPr="00265214">
        <w:rPr>
          <w:rFonts w:ascii="Arial" w:eastAsia="Times New Roman" w:hAnsi="Arial" w:cs="Arial"/>
          <w:kern w:val="0"/>
          <w:lang/>
          <w14:ligatures w14:val="none"/>
        </w:rPr>
        <w:t>(ICCROM, 2014)</w:t>
      </w:r>
      <w:r w:rsidR="00650179" w:rsidRPr="00265214">
        <w:rPr>
          <w:rFonts w:ascii="Arial" w:eastAsia="Times New Roman" w:hAnsi="Arial" w:cs="Arial"/>
          <w:kern w:val="0"/>
          <w:lang w:val="en-US"/>
          <w14:ligatures w14:val="none"/>
        </w:rPr>
        <w:t>.</w:t>
      </w:r>
      <w:r w:rsidRPr="007E6F43">
        <w:rPr>
          <w:rFonts w:ascii="Arial" w:eastAsia="Times New Roman" w:hAnsi="Arial" w:cs="Arial"/>
          <w:kern w:val="0"/>
          <w:lang/>
          <w14:ligatures w14:val="none"/>
        </w:rPr>
        <w:t xml:space="preserve"> As a negative feedback, on the other hand, failure in one sphere triggers another one that contradicts SDG 11, but supports SDG 3: Urban sprawl and car dependency promote sedentary lifestyles and air pollution. This interdependence is one fundamental idea of the One Health approach and planetary health viewpoint, which acknowledges that the health of human beings, the health of animals, and the health of the ecosystem are closely interconnected</w:t>
      </w:r>
      <w:r w:rsidR="006F544D" w:rsidRPr="00265214">
        <w:rPr>
          <w:rFonts w:ascii="Arial" w:eastAsia="Times New Roman" w:hAnsi="Arial" w:cs="Arial"/>
          <w:kern w:val="0"/>
          <w:lang w:val="en-US"/>
          <w14:ligatures w14:val="none"/>
        </w:rPr>
        <w:t>.</w:t>
      </w:r>
    </w:p>
    <w:p w14:paraId="05C1CFAE" w14:textId="77777777" w:rsidR="005D614C" w:rsidRPr="007E6F43" w:rsidRDefault="005D614C" w:rsidP="00265214">
      <w:pPr>
        <w:spacing w:after="120" w:line="360" w:lineRule="auto"/>
        <w:jc w:val="both"/>
        <w:rPr>
          <w:rFonts w:ascii="Arial" w:eastAsia="Times New Roman" w:hAnsi="Arial" w:cs="Arial"/>
          <w:kern w:val="0"/>
          <w:lang/>
          <w14:ligatures w14:val="none"/>
        </w:rPr>
      </w:pPr>
    </w:p>
    <w:p w14:paraId="7E11B47C" w14:textId="7AE88B1F" w:rsidR="005D614C" w:rsidRPr="00265214" w:rsidRDefault="005D614C" w:rsidP="00265214">
      <w:pPr>
        <w:pStyle w:val="Heading1"/>
        <w:spacing w:line="360" w:lineRule="auto"/>
        <w:jc w:val="both"/>
        <w:rPr>
          <w:rFonts w:ascii="Arial" w:eastAsia="Times New Roman" w:hAnsi="Arial" w:cs="Arial"/>
          <w:sz w:val="22"/>
          <w:szCs w:val="22"/>
          <w:lang/>
        </w:rPr>
      </w:pPr>
      <w:bookmarkStart w:id="6" w:name="_Toc213773808"/>
      <w:r w:rsidRPr="00265214">
        <w:rPr>
          <w:rFonts w:ascii="Arial" w:eastAsia="Times New Roman" w:hAnsi="Arial" w:cs="Arial"/>
          <w:sz w:val="22"/>
          <w:szCs w:val="22"/>
          <w:lang/>
        </w:rPr>
        <w:t>4. The National and Local Implementation: A UK Perspective</w:t>
      </w:r>
      <w:bookmarkEnd w:id="6"/>
    </w:p>
    <w:p w14:paraId="462E0B5D" w14:textId="77777777" w:rsidR="008570AC" w:rsidRPr="005D614C" w:rsidRDefault="008570AC" w:rsidP="00265214">
      <w:pPr>
        <w:spacing w:after="120" w:line="360" w:lineRule="auto"/>
        <w:jc w:val="both"/>
        <w:rPr>
          <w:rFonts w:ascii="Arial" w:eastAsia="Times New Roman" w:hAnsi="Arial" w:cs="Arial"/>
          <w:kern w:val="0"/>
          <w:lang/>
          <w14:ligatures w14:val="none"/>
        </w:rPr>
      </w:pPr>
    </w:p>
    <w:p w14:paraId="0845F9C7" w14:textId="77777777" w:rsidR="005D614C" w:rsidRPr="00265214" w:rsidRDefault="005D614C" w:rsidP="00265214">
      <w:pPr>
        <w:pStyle w:val="Heading2"/>
        <w:spacing w:line="360" w:lineRule="auto"/>
        <w:jc w:val="both"/>
        <w:rPr>
          <w:rFonts w:ascii="Arial" w:eastAsia="Times New Roman" w:hAnsi="Arial" w:cs="Arial"/>
          <w:sz w:val="22"/>
          <w:szCs w:val="22"/>
          <w:lang/>
        </w:rPr>
      </w:pPr>
      <w:bookmarkStart w:id="7" w:name="_Toc213773809"/>
      <w:r w:rsidRPr="00265214">
        <w:rPr>
          <w:rFonts w:ascii="Arial" w:eastAsia="Times New Roman" w:hAnsi="Arial" w:cs="Arial"/>
          <w:sz w:val="22"/>
          <w:szCs w:val="22"/>
          <w:lang/>
        </w:rPr>
        <w:t>4.1. National Policy Landscape</w:t>
      </w:r>
      <w:bookmarkEnd w:id="7"/>
    </w:p>
    <w:p w14:paraId="7F8BFD2A" w14:textId="5AF53314" w:rsidR="005D614C" w:rsidRPr="005D614C" w:rsidRDefault="005D614C" w:rsidP="00265214">
      <w:pPr>
        <w:spacing w:line="360" w:lineRule="auto"/>
        <w:jc w:val="both"/>
        <w:rPr>
          <w:rFonts w:ascii="Arial" w:eastAsia="Times New Roman" w:hAnsi="Arial" w:cs="Arial"/>
          <w:kern w:val="0"/>
          <w:lang/>
          <w14:ligatures w14:val="none"/>
        </w:rPr>
      </w:pPr>
      <w:r w:rsidRPr="005D614C">
        <w:rPr>
          <w:rFonts w:ascii="Arial" w:eastAsia="Times New Roman" w:hAnsi="Arial" w:cs="Arial"/>
          <w:kern w:val="0"/>
          <w:lang/>
          <w14:ligatures w14:val="none"/>
        </w:rPr>
        <w:t xml:space="preserve">The UK government has established connections between health and sustainability at the national level in different policies. According to the Net Zero Strategy </w:t>
      </w:r>
      <w:r w:rsidR="00340B7A" w:rsidRPr="00265214">
        <w:rPr>
          <w:rFonts w:ascii="Arial" w:eastAsia="Times New Roman" w:hAnsi="Arial" w:cs="Arial"/>
          <w:kern w:val="0"/>
          <w:lang/>
          <w14:ligatures w14:val="none"/>
        </w:rPr>
        <w:t>UK Government (2021)</w:t>
      </w:r>
      <w:r w:rsidR="00340B7A" w:rsidRPr="00265214">
        <w:rPr>
          <w:rFonts w:ascii="Arial" w:eastAsia="Times New Roman" w:hAnsi="Arial" w:cs="Arial"/>
          <w:kern w:val="0"/>
          <w:lang w:val="en-US"/>
          <w14:ligatures w14:val="none"/>
        </w:rPr>
        <w:t xml:space="preserve">, </w:t>
      </w:r>
      <w:r w:rsidRPr="005D614C">
        <w:rPr>
          <w:rFonts w:ascii="Arial" w:eastAsia="Times New Roman" w:hAnsi="Arial" w:cs="Arial"/>
          <w:kern w:val="0"/>
          <w:lang/>
          <w14:ligatures w14:val="none"/>
        </w:rPr>
        <w:t>the process of decarbonizing transport and energy will have significant co-benefits in terms of air quality and population health. On the same note, the Levelling Up White Paper is specifically geared towards minimizing geographical health disparities, which aligns with SDG 3 and SDG 11 by focusing on investing in infrastructure, education, and the regeneration of left-behind localities.</w:t>
      </w:r>
    </w:p>
    <w:p w14:paraId="387C251A" w14:textId="0C1CF548" w:rsidR="005D614C" w:rsidRPr="00265214" w:rsidRDefault="005D614C" w:rsidP="00265214">
      <w:pPr>
        <w:spacing w:line="360" w:lineRule="auto"/>
        <w:jc w:val="both"/>
        <w:rPr>
          <w:rFonts w:ascii="Arial" w:eastAsia="Times New Roman" w:hAnsi="Arial" w:cs="Arial"/>
          <w:kern w:val="0"/>
          <w:lang/>
          <w14:ligatures w14:val="none"/>
        </w:rPr>
      </w:pPr>
      <w:r w:rsidRPr="005D614C">
        <w:rPr>
          <w:rFonts w:ascii="Arial" w:eastAsia="Times New Roman" w:hAnsi="Arial" w:cs="Arial"/>
          <w:kern w:val="0"/>
          <w:lang/>
          <w14:ligatures w14:val="none"/>
        </w:rPr>
        <w:lastRenderedPageBreak/>
        <w:t xml:space="preserve">Nevertheless, a closer examination reveals that it has significant drawbacks. There is usually siloing in policy-making. As </w:t>
      </w:r>
      <w:r w:rsidR="008D7BC0" w:rsidRPr="00265214">
        <w:rPr>
          <w:rFonts w:ascii="Arial" w:eastAsia="Times New Roman" w:hAnsi="Arial" w:cs="Arial"/>
          <w:kern w:val="0"/>
          <w:lang w:val="en-US"/>
          <w14:ligatures w14:val="none"/>
        </w:rPr>
        <w:t>shown</w:t>
      </w:r>
      <w:r w:rsidRPr="005D614C">
        <w:rPr>
          <w:rFonts w:ascii="Arial" w:eastAsia="Times New Roman" w:hAnsi="Arial" w:cs="Arial"/>
          <w:kern w:val="0"/>
          <w:lang/>
          <w14:ligatures w14:val="none"/>
        </w:rPr>
        <w:t>, even though the air quality targets are established by the Department for Environment, Food and Rural Affairs (DEFRA), and the health outcomes are the prerogative of the Department of Health and Social Care (DHSC), the strategies of the two are not fully integrated</w:t>
      </w:r>
      <w:r w:rsidR="002467FC" w:rsidRPr="00265214">
        <w:rPr>
          <w:rFonts w:ascii="Arial" w:eastAsia="Times New Roman" w:hAnsi="Arial" w:cs="Arial"/>
          <w:kern w:val="0"/>
          <w:lang w:val="en-US"/>
          <w14:ligatures w14:val="none"/>
        </w:rPr>
        <w:t xml:space="preserve"> </w:t>
      </w:r>
      <w:r w:rsidR="002467FC" w:rsidRPr="00265214">
        <w:rPr>
          <w:rFonts w:ascii="Arial" w:eastAsia="Times New Roman" w:hAnsi="Arial" w:cs="Arial"/>
          <w:kern w:val="0"/>
          <w:lang/>
          <w14:ligatures w14:val="none"/>
        </w:rPr>
        <w:t>(DEFRA, 2022)</w:t>
      </w:r>
      <w:r w:rsidR="002467FC" w:rsidRPr="00265214">
        <w:rPr>
          <w:rFonts w:ascii="Arial" w:eastAsia="Times New Roman" w:hAnsi="Arial" w:cs="Arial"/>
          <w:kern w:val="0"/>
          <w:lang w:val="en-US"/>
          <w14:ligatures w14:val="none"/>
        </w:rPr>
        <w:t>.</w:t>
      </w:r>
      <w:r w:rsidRPr="005D614C">
        <w:rPr>
          <w:rFonts w:ascii="Arial" w:eastAsia="Times New Roman" w:hAnsi="Arial" w:cs="Arial"/>
          <w:kern w:val="0"/>
          <w:lang/>
          <w14:ligatures w14:val="none"/>
        </w:rPr>
        <w:t xml:space="preserve"> The ongoing crisis in social care and the degree of fuel poverty become significant obstacles, showing that it is impossible to achieve health goals (SDG 3) without a change in the core socioeconomic determinants (core to SDG 11). Health in All Policies (HiAP), the approach to health promoted by the WHO, involves a systematic approach to the health impact of decisions made by all departments of governments. This approach has not been fully adopted on a national basis in the UK.</w:t>
      </w:r>
    </w:p>
    <w:p w14:paraId="4862C6CC" w14:textId="1071492B" w:rsidR="005D614C" w:rsidRPr="00265214" w:rsidRDefault="005D614C" w:rsidP="00265214">
      <w:pPr>
        <w:spacing w:after="120" w:line="360" w:lineRule="auto"/>
        <w:jc w:val="both"/>
        <w:rPr>
          <w:rFonts w:ascii="Arial" w:eastAsia="Times New Roman" w:hAnsi="Arial" w:cs="Arial"/>
          <w:kern w:val="0"/>
          <w:lang/>
          <w14:ligatures w14:val="none"/>
        </w:rPr>
      </w:pPr>
    </w:p>
    <w:p w14:paraId="6B362A2B" w14:textId="5778614C" w:rsidR="00A47132" w:rsidRPr="00265214" w:rsidRDefault="00A47132" w:rsidP="00265214">
      <w:pPr>
        <w:pStyle w:val="Heading1"/>
        <w:spacing w:line="360" w:lineRule="auto"/>
        <w:jc w:val="both"/>
        <w:rPr>
          <w:rFonts w:ascii="Arial" w:eastAsia="Times New Roman" w:hAnsi="Arial" w:cs="Arial"/>
          <w:sz w:val="22"/>
          <w:szCs w:val="22"/>
          <w:lang/>
        </w:rPr>
      </w:pPr>
      <w:bookmarkStart w:id="8" w:name="_Toc213773810"/>
      <w:r w:rsidRPr="00265214">
        <w:rPr>
          <w:rFonts w:ascii="Arial" w:eastAsia="Times New Roman" w:hAnsi="Arial" w:cs="Arial"/>
          <w:sz w:val="22"/>
          <w:szCs w:val="22"/>
          <w:lang/>
        </w:rPr>
        <w:t>4.2. Local Initiatives: Case Study of London</w:t>
      </w:r>
      <w:bookmarkEnd w:id="8"/>
    </w:p>
    <w:p w14:paraId="17FC92DC" w14:textId="77777777" w:rsidR="00A47132" w:rsidRPr="00A47132" w:rsidRDefault="00A47132" w:rsidP="00265214">
      <w:pPr>
        <w:spacing w:after="120" w:line="360" w:lineRule="auto"/>
        <w:jc w:val="both"/>
        <w:rPr>
          <w:rFonts w:ascii="Arial" w:eastAsia="Times New Roman" w:hAnsi="Arial" w:cs="Arial"/>
          <w:kern w:val="0"/>
          <w:lang/>
          <w14:ligatures w14:val="none"/>
        </w:rPr>
      </w:pPr>
      <w:r w:rsidRPr="00A47132">
        <w:rPr>
          <w:rFonts w:ascii="Arial" w:eastAsia="Times New Roman" w:hAnsi="Arial" w:cs="Arial"/>
          <w:kern w:val="0"/>
          <w:lang/>
          <w14:ligatures w14:val="none"/>
        </w:rPr>
        <w:t>Local governments, which are usually more familiar with the community where citizens live, have been responsive in designing integrated programs.</w:t>
      </w:r>
    </w:p>
    <w:p w14:paraId="4F9AB04D" w14:textId="4955FD42" w:rsidR="00A47132" w:rsidRPr="00A47132" w:rsidRDefault="00A47132" w:rsidP="00265214">
      <w:pPr>
        <w:spacing w:line="360" w:lineRule="auto"/>
        <w:jc w:val="both"/>
        <w:rPr>
          <w:rFonts w:ascii="Arial" w:eastAsia="Times New Roman" w:hAnsi="Arial" w:cs="Arial"/>
          <w:kern w:val="0"/>
          <w:lang/>
          <w14:ligatures w14:val="none"/>
        </w:rPr>
      </w:pPr>
      <w:r w:rsidRPr="00A47132">
        <w:rPr>
          <w:rFonts w:ascii="Arial" w:eastAsia="Times New Roman" w:hAnsi="Arial" w:cs="Arial"/>
          <w:b/>
          <w:bCs/>
          <w:kern w:val="0"/>
          <w:lang/>
          <w14:ligatures w14:val="none"/>
        </w:rPr>
        <w:t>Ultra-Low Emission Zone (ULEZ):</w:t>
      </w:r>
      <w:r w:rsidRPr="00A47132">
        <w:rPr>
          <w:rFonts w:ascii="Arial" w:eastAsia="Times New Roman" w:hAnsi="Arial" w:cs="Arial"/>
          <w:kern w:val="0"/>
          <w:lang/>
          <w14:ligatures w14:val="none"/>
        </w:rPr>
        <w:t xml:space="preserve"> A notable example of such a policy is one that overlaps with SDG 3 and SDG 11. Extended to include all boroughs in London in 2023, its main purpose is to enhance London’s air quality (SDG 11.6) by imposing charges on the most polluting types of vehicles. According to research by the Greater London Authority (2023), the central London ULEZ has reduced the concentration of nitrogen dioxide (NO2) by 44 percent and the levels of CO2 by 13 percent within half a year</w:t>
      </w:r>
      <w:r w:rsidR="00811180" w:rsidRPr="00265214">
        <w:rPr>
          <w:rFonts w:ascii="Arial" w:eastAsia="Times New Roman" w:hAnsi="Arial" w:cs="Arial"/>
          <w:kern w:val="0"/>
          <w:lang w:val="en-US"/>
          <w14:ligatures w14:val="none"/>
        </w:rPr>
        <w:t xml:space="preserve"> </w:t>
      </w:r>
      <w:r w:rsidR="00811180" w:rsidRPr="00265214">
        <w:rPr>
          <w:rFonts w:ascii="Arial" w:eastAsia="Times New Roman" w:hAnsi="Arial" w:cs="Arial"/>
          <w:kern w:val="0"/>
          <w:lang/>
          <w14:ligatures w14:val="none"/>
        </w:rPr>
        <w:t>(London.gov.uk, 2023)</w:t>
      </w:r>
      <w:r w:rsidR="00811180" w:rsidRPr="00265214">
        <w:rPr>
          <w:rFonts w:ascii="Arial" w:eastAsia="Times New Roman" w:hAnsi="Arial" w:cs="Arial"/>
          <w:kern w:val="0"/>
          <w:lang w:val="en-US"/>
          <w14:ligatures w14:val="none"/>
        </w:rPr>
        <w:t>.</w:t>
      </w:r>
      <w:r w:rsidRPr="00A47132">
        <w:rPr>
          <w:rFonts w:ascii="Arial" w:eastAsia="Times New Roman" w:hAnsi="Arial" w:cs="Arial"/>
          <w:kern w:val="0"/>
          <w:lang/>
          <w14:ligatures w14:val="none"/>
        </w:rPr>
        <w:t xml:space="preserve"> This directly paves the way for SDG 3.9 by reducing deaths and morbidity caused by pollution.</w:t>
      </w:r>
    </w:p>
    <w:p w14:paraId="7C6A6484" w14:textId="37BF90F1" w:rsidR="00A47132" w:rsidRPr="00A47132" w:rsidRDefault="00A47132" w:rsidP="00265214">
      <w:pPr>
        <w:spacing w:line="360" w:lineRule="auto"/>
        <w:jc w:val="both"/>
        <w:rPr>
          <w:rFonts w:ascii="Arial" w:eastAsia="Times New Roman" w:hAnsi="Arial" w:cs="Arial"/>
          <w:kern w:val="0"/>
          <w:lang/>
          <w14:ligatures w14:val="none"/>
        </w:rPr>
      </w:pPr>
      <w:r w:rsidRPr="00A47132">
        <w:rPr>
          <w:rFonts w:ascii="Arial" w:eastAsia="Times New Roman" w:hAnsi="Arial" w:cs="Arial"/>
          <w:b/>
          <w:bCs/>
          <w:kern w:val="0"/>
          <w:lang/>
          <w14:ligatures w14:val="none"/>
        </w:rPr>
        <w:t>Active Travel Initiatives:</w:t>
      </w:r>
      <w:r w:rsidRPr="00A47132">
        <w:rPr>
          <w:rFonts w:ascii="Arial" w:eastAsia="Times New Roman" w:hAnsi="Arial" w:cs="Arial"/>
          <w:kern w:val="0"/>
          <w:lang/>
          <w14:ligatures w14:val="none"/>
        </w:rPr>
        <w:t xml:space="preserve"> The cycleway network and Santander Cycles, provided by Transport for London (TfL) as transport cycling infrastructure, offer a direct way to encourage physical activity (SDG 3) based on sustainable transport (SDG 11.2)</w:t>
      </w:r>
      <w:r w:rsidR="00AF3C8D" w:rsidRPr="00265214">
        <w:rPr>
          <w:rFonts w:ascii="Arial" w:eastAsia="Times New Roman" w:hAnsi="Arial" w:cs="Arial"/>
          <w:kern w:val="0"/>
          <w:lang w:val="en-US"/>
          <w14:ligatures w14:val="none"/>
        </w:rPr>
        <w:t xml:space="preserve"> </w:t>
      </w:r>
      <w:r w:rsidR="00AF3C8D" w:rsidRPr="00265214">
        <w:rPr>
          <w:rFonts w:ascii="Arial" w:eastAsia="Times New Roman" w:hAnsi="Arial" w:cs="Arial"/>
          <w:kern w:val="0"/>
          <w:lang/>
          <w14:ligatures w14:val="none"/>
        </w:rPr>
        <w:t>(Cox, 2020)</w:t>
      </w:r>
      <w:r w:rsidRPr="00A47132">
        <w:rPr>
          <w:rFonts w:ascii="Arial" w:eastAsia="Times New Roman" w:hAnsi="Arial" w:cs="Arial"/>
          <w:kern w:val="0"/>
          <w:lang/>
          <w14:ligatures w14:val="none"/>
        </w:rPr>
        <w:t>.</w:t>
      </w:r>
    </w:p>
    <w:p w14:paraId="189F2766" w14:textId="0ED7D562" w:rsidR="00A47132" w:rsidRPr="00A47132" w:rsidRDefault="00A47132" w:rsidP="00265214">
      <w:pPr>
        <w:spacing w:line="360" w:lineRule="auto"/>
        <w:jc w:val="both"/>
        <w:rPr>
          <w:rFonts w:ascii="Arial" w:eastAsia="Times New Roman" w:hAnsi="Arial" w:cs="Arial"/>
          <w:kern w:val="0"/>
          <w:lang/>
          <w14:ligatures w14:val="none"/>
        </w:rPr>
      </w:pPr>
      <w:r w:rsidRPr="00A47132">
        <w:rPr>
          <w:rFonts w:ascii="Arial" w:eastAsia="Times New Roman" w:hAnsi="Arial" w:cs="Arial"/>
          <w:b/>
          <w:bCs/>
          <w:kern w:val="0"/>
          <w:lang/>
          <w14:ligatures w14:val="none"/>
        </w:rPr>
        <w:t xml:space="preserve">Green Space Strategies: </w:t>
      </w:r>
      <w:r w:rsidRPr="00A47132">
        <w:rPr>
          <w:rFonts w:ascii="Arial" w:eastAsia="Times New Roman" w:hAnsi="Arial" w:cs="Arial"/>
          <w:kern w:val="0"/>
          <w:lang/>
          <w14:ligatures w14:val="none"/>
        </w:rPr>
        <w:t>The London Mayor's approach to have half of London covered in green by 2050 aligns with SDG 11.7</w:t>
      </w:r>
      <w:r w:rsidR="00A93431" w:rsidRPr="00265214">
        <w:rPr>
          <w:rFonts w:ascii="Arial" w:eastAsia="Times New Roman" w:hAnsi="Arial" w:cs="Arial"/>
          <w:kern w:val="0"/>
          <w:lang w:val="en-US"/>
          <w14:ligatures w14:val="none"/>
        </w:rPr>
        <w:t xml:space="preserve"> </w:t>
      </w:r>
      <w:r w:rsidR="00A93431" w:rsidRPr="00265214">
        <w:rPr>
          <w:rFonts w:ascii="Arial" w:eastAsia="Times New Roman" w:hAnsi="Arial" w:cs="Arial"/>
          <w:kern w:val="0"/>
          <w:lang/>
          <w14:ligatures w14:val="none"/>
        </w:rPr>
        <w:t>(Gov.UK, 2025)</w:t>
      </w:r>
      <w:r w:rsidR="00A93431" w:rsidRPr="00265214">
        <w:rPr>
          <w:rFonts w:ascii="Arial" w:eastAsia="Times New Roman" w:hAnsi="Arial" w:cs="Arial"/>
          <w:kern w:val="0"/>
          <w:lang w:val="en-US"/>
          <w14:ligatures w14:val="none"/>
        </w:rPr>
        <w:t>.</w:t>
      </w:r>
      <w:r w:rsidRPr="00A47132">
        <w:rPr>
          <w:rFonts w:ascii="Arial" w:eastAsia="Times New Roman" w:hAnsi="Arial" w:cs="Arial"/>
          <w:kern w:val="0"/>
          <w:lang/>
          <w14:ligatures w14:val="none"/>
        </w:rPr>
        <w:t xml:space="preserve"> Green space access is also closely linked to better mental health, stress reduction, and community cohesion, making it a direct indicator of SDG 3.4, which promotes mental health.</w:t>
      </w:r>
    </w:p>
    <w:p w14:paraId="6510ADEB" w14:textId="3F12715F" w:rsidR="005D614C" w:rsidRPr="00265214" w:rsidRDefault="005D614C" w:rsidP="00265214">
      <w:pPr>
        <w:spacing w:after="120" w:line="360" w:lineRule="auto"/>
        <w:jc w:val="both"/>
        <w:rPr>
          <w:rFonts w:ascii="Arial" w:eastAsia="Times New Roman" w:hAnsi="Arial" w:cs="Arial"/>
          <w:kern w:val="0"/>
          <w:lang/>
          <w14:ligatures w14:val="none"/>
        </w:rPr>
      </w:pPr>
    </w:p>
    <w:p w14:paraId="3ED0DB4D" w14:textId="77777777" w:rsidR="003D7D17" w:rsidRPr="00265214" w:rsidRDefault="003D7D17" w:rsidP="00265214">
      <w:pPr>
        <w:pStyle w:val="Heading2"/>
        <w:spacing w:line="360" w:lineRule="auto"/>
        <w:jc w:val="both"/>
        <w:rPr>
          <w:rFonts w:ascii="Arial" w:eastAsia="Times New Roman" w:hAnsi="Arial" w:cs="Arial"/>
          <w:sz w:val="22"/>
          <w:szCs w:val="22"/>
          <w:lang/>
        </w:rPr>
      </w:pPr>
      <w:bookmarkStart w:id="9" w:name="_Toc213773811"/>
      <w:r w:rsidRPr="00265214">
        <w:rPr>
          <w:rFonts w:ascii="Arial" w:eastAsia="Times New Roman" w:hAnsi="Arial" w:cs="Arial"/>
          <w:sz w:val="22"/>
          <w:szCs w:val="22"/>
          <w:lang/>
        </w:rPr>
        <w:lastRenderedPageBreak/>
        <w:t>4.3. Critical Evaluation of Effectiveness</w:t>
      </w:r>
      <w:bookmarkEnd w:id="9"/>
    </w:p>
    <w:p w14:paraId="6D79F355" w14:textId="77777777" w:rsidR="003D7D17" w:rsidRPr="003D7D17" w:rsidRDefault="003D7D17" w:rsidP="00265214">
      <w:pPr>
        <w:spacing w:after="120" w:line="360" w:lineRule="auto"/>
        <w:jc w:val="both"/>
        <w:rPr>
          <w:rFonts w:ascii="Arial" w:eastAsia="Times New Roman" w:hAnsi="Arial" w:cs="Arial"/>
          <w:kern w:val="0"/>
          <w:lang/>
          <w14:ligatures w14:val="none"/>
        </w:rPr>
      </w:pPr>
      <w:r w:rsidRPr="003D7D17">
        <w:rPr>
          <w:rFonts w:ascii="Arial" w:eastAsia="Times New Roman" w:hAnsi="Arial" w:cs="Arial"/>
          <w:kern w:val="0"/>
          <w:lang/>
          <w14:ligatures w14:val="none"/>
        </w:rPr>
        <w:t>Although the initiatives profiled can be interpreted as a good intention to operationalise the SDGs, a critical analysis shows that they have a significant limitation in their effectiveness, and the limitation is rooted in deep systemic and structural barriers. Such constraints tend to make policies ineffective in their transformative power, as well as, in certain situations, they tend to be ineffective in making the situation worse.</w:t>
      </w:r>
    </w:p>
    <w:p w14:paraId="7A790653" w14:textId="658006A4" w:rsidR="003D7D17" w:rsidRPr="003D7D17" w:rsidRDefault="003D7D17" w:rsidP="00265214">
      <w:pPr>
        <w:spacing w:line="360" w:lineRule="auto"/>
        <w:jc w:val="both"/>
        <w:rPr>
          <w:rFonts w:ascii="Arial" w:eastAsia="Times New Roman" w:hAnsi="Arial" w:cs="Arial"/>
          <w:kern w:val="0"/>
          <w:lang/>
          <w14:ligatures w14:val="none"/>
        </w:rPr>
      </w:pPr>
      <w:r w:rsidRPr="003D7D17">
        <w:rPr>
          <w:rFonts w:ascii="Arial" w:eastAsia="Times New Roman" w:hAnsi="Arial" w:cs="Arial"/>
          <w:kern w:val="0"/>
          <w:lang/>
          <w14:ligatures w14:val="none"/>
        </w:rPr>
        <w:t>One of the main criticisms focuses on equity and unwanted retrogressive effects. Even such effective environmental policies as London ULEZ, which have proven to be effective in improving aggregate air quality</w:t>
      </w:r>
      <w:r w:rsidR="00884716" w:rsidRPr="00265214">
        <w:rPr>
          <w:rFonts w:ascii="Arial" w:eastAsia="Times New Roman" w:hAnsi="Arial" w:cs="Arial"/>
          <w:kern w:val="0"/>
          <w:lang w:val="en-US"/>
          <w14:ligatures w14:val="none"/>
        </w:rPr>
        <w:t xml:space="preserve">, </w:t>
      </w:r>
      <w:r w:rsidRPr="003D7D17">
        <w:rPr>
          <w:rFonts w:ascii="Arial" w:eastAsia="Times New Roman" w:hAnsi="Arial" w:cs="Arial"/>
          <w:kern w:val="0"/>
          <w:lang/>
          <w14:ligatures w14:val="none"/>
        </w:rPr>
        <w:t>can be retrogressive policies</w:t>
      </w:r>
      <w:r w:rsidR="00884716" w:rsidRPr="00265214">
        <w:rPr>
          <w:rFonts w:ascii="Arial" w:eastAsia="Times New Roman" w:hAnsi="Arial" w:cs="Arial"/>
          <w:kern w:val="0"/>
          <w:lang w:val="en-US"/>
          <w14:ligatures w14:val="none"/>
        </w:rPr>
        <w:t xml:space="preserve"> </w:t>
      </w:r>
      <w:r w:rsidR="00884716" w:rsidRPr="00265214">
        <w:rPr>
          <w:rFonts w:ascii="Arial" w:eastAsia="Times New Roman" w:hAnsi="Arial" w:cs="Arial"/>
          <w:kern w:val="0"/>
          <w:lang/>
          <w14:ligatures w14:val="none"/>
        </w:rPr>
        <w:t>(Hajmohammadi and Heydecker, 2022)</w:t>
      </w:r>
      <w:r w:rsidR="00884716" w:rsidRPr="00265214">
        <w:rPr>
          <w:rFonts w:ascii="Arial" w:eastAsia="Times New Roman" w:hAnsi="Arial" w:cs="Arial"/>
          <w:kern w:val="0"/>
          <w:lang w:val="en-US"/>
          <w14:ligatures w14:val="none"/>
        </w:rPr>
        <w:t>.</w:t>
      </w:r>
      <w:r w:rsidRPr="003D7D17">
        <w:rPr>
          <w:rFonts w:ascii="Arial" w:eastAsia="Times New Roman" w:hAnsi="Arial" w:cs="Arial"/>
          <w:kern w:val="0"/>
          <w:lang/>
          <w14:ligatures w14:val="none"/>
        </w:rPr>
        <w:t xml:space="preserve"> The economic cost is disproportionately imposed on low-income earners, businesses and key workers who have higher chances of relying on non-compliant cars as a source of livelihood. Although such a tool as scrappage schemes is available, its sufficiency and availability are highly controversial, which also reflects a decisive conflict between the objectives of environmental and social justice. This is a situation in which the wider population will enjoy cleaner air, but the expenses will be transferred to a certain group of people, who tend to be more vulnerable, which is a contradiction to the SDG promise of not leaving anyone behind.</w:t>
      </w:r>
    </w:p>
    <w:p w14:paraId="0FF4A780" w14:textId="06578491" w:rsidR="003D7D17" w:rsidRPr="003D7D17" w:rsidRDefault="003D7D17" w:rsidP="00265214">
      <w:pPr>
        <w:spacing w:line="360" w:lineRule="auto"/>
        <w:jc w:val="both"/>
        <w:rPr>
          <w:rFonts w:ascii="Arial" w:eastAsia="Times New Roman" w:hAnsi="Arial" w:cs="Arial"/>
          <w:kern w:val="0"/>
          <w:lang/>
          <w14:ligatures w14:val="none"/>
        </w:rPr>
      </w:pPr>
      <w:r w:rsidRPr="003D7D17">
        <w:rPr>
          <w:rFonts w:ascii="Arial" w:eastAsia="Times New Roman" w:hAnsi="Arial" w:cs="Arial"/>
          <w:kern w:val="0"/>
          <w:lang/>
          <w14:ligatures w14:val="none"/>
        </w:rPr>
        <w:t>Moreover, such initiatives are situated in the framework of long-term underinvestment and political centralisation</w:t>
      </w:r>
      <w:r w:rsidR="00F730C6" w:rsidRPr="00265214">
        <w:rPr>
          <w:rFonts w:ascii="Arial" w:eastAsia="Times New Roman" w:hAnsi="Arial" w:cs="Arial"/>
          <w:kern w:val="0"/>
          <w:lang w:val="en-US"/>
          <w14:ligatures w14:val="none"/>
        </w:rPr>
        <w:t xml:space="preserve"> </w:t>
      </w:r>
      <w:r w:rsidR="00F730C6" w:rsidRPr="00265214">
        <w:rPr>
          <w:rFonts w:ascii="Arial" w:eastAsia="Times New Roman" w:hAnsi="Arial" w:cs="Arial"/>
          <w:kern w:val="0"/>
          <w:lang/>
          <w14:ligatures w14:val="none"/>
        </w:rPr>
        <w:t>(Tunio and Nabi, 2021)</w:t>
      </w:r>
      <w:r w:rsidR="00F730C6" w:rsidRPr="00265214">
        <w:rPr>
          <w:rFonts w:ascii="Arial" w:eastAsia="Times New Roman" w:hAnsi="Arial" w:cs="Arial"/>
          <w:kern w:val="0"/>
          <w:lang w:val="en-US"/>
          <w14:ligatures w14:val="none"/>
        </w:rPr>
        <w:t xml:space="preserve">. </w:t>
      </w:r>
      <w:r w:rsidRPr="003D7D17">
        <w:rPr>
          <w:rFonts w:ascii="Arial" w:eastAsia="Times New Roman" w:hAnsi="Arial" w:cs="Arial"/>
          <w:kern w:val="0"/>
          <w:lang/>
          <w14:ligatures w14:val="none"/>
        </w:rPr>
        <w:t>The local authorities, whose role is to develop solutions that are context-specific, have a harsh budgetary constraint that restricts their ability to invest in the large-scale, preventive infrastructure, including integrated public transport networks or green space networks, which SDG 11 demands. The UK state is highly centralised, such that the fiscal and legislative authority required to facilitate radical interventions and place-based interventions is still vested in Westminster, making local innovation and local response unattainable.</w:t>
      </w:r>
    </w:p>
    <w:p w14:paraId="37CA8B07" w14:textId="2A00BF43" w:rsidR="003D7D17" w:rsidRPr="003D7D17" w:rsidRDefault="003D7D17" w:rsidP="00265214">
      <w:pPr>
        <w:spacing w:line="360" w:lineRule="auto"/>
        <w:jc w:val="both"/>
        <w:rPr>
          <w:rFonts w:ascii="Arial" w:eastAsia="Times New Roman" w:hAnsi="Arial" w:cs="Arial"/>
          <w:kern w:val="0"/>
          <w:lang/>
          <w14:ligatures w14:val="none"/>
        </w:rPr>
      </w:pPr>
      <w:r w:rsidRPr="003D7D17">
        <w:rPr>
          <w:rFonts w:ascii="Arial" w:eastAsia="Times New Roman" w:hAnsi="Arial" w:cs="Arial"/>
          <w:kern w:val="0"/>
          <w:lang/>
          <w14:ligatures w14:val="none"/>
        </w:rPr>
        <w:t>Most importantly, the failures of other policy spheres to work synergistically systematically undermine the goals of health and wellbeing</w:t>
      </w:r>
      <w:r w:rsidR="00225A30" w:rsidRPr="00265214">
        <w:rPr>
          <w:rFonts w:ascii="Arial" w:eastAsia="Times New Roman" w:hAnsi="Arial" w:cs="Arial"/>
          <w:kern w:val="0"/>
          <w:lang w:val="en-US"/>
          <w14:ligatures w14:val="none"/>
        </w:rPr>
        <w:t xml:space="preserve"> </w:t>
      </w:r>
      <w:r w:rsidR="00225A30" w:rsidRPr="00265214">
        <w:rPr>
          <w:rFonts w:ascii="Arial" w:eastAsia="Times New Roman" w:hAnsi="Arial" w:cs="Arial"/>
          <w:kern w:val="0"/>
          <w:lang/>
          <w14:ligatures w14:val="none"/>
        </w:rPr>
        <w:t>(Sihto, Ollila and Koivusalo, 2006)</w:t>
      </w:r>
      <w:r w:rsidR="00225A30" w:rsidRPr="00265214">
        <w:rPr>
          <w:rFonts w:ascii="Arial" w:eastAsia="Times New Roman" w:hAnsi="Arial" w:cs="Arial"/>
          <w:kern w:val="0"/>
          <w:lang w:val="en-US"/>
          <w14:ligatures w14:val="none"/>
        </w:rPr>
        <w:t>.</w:t>
      </w:r>
      <w:r w:rsidRPr="003D7D17">
        <w:rPr>
          <w:rFonts w:ascii="Arial" w:eastAsia="Times New Roman" w:hAnsi="Arial" w:cs="Arial"/>
          <w:kern w:val="0"/>
          <w:lang/>
          <w14:ligatures w14:val="none"/>
        </w:rPr>
        <w:t xml:space="preserve"> The great housing crisis in the UK, a direct violation of SDG 11.1, remains a prime example. Due to the incessant lack of affordable, good quality housing, there is overcrowding, poverty in general and living in damp, cold structures. These circumstances are key sources of bad physical and mental health, which are directly opposite to the SDG 3 goals. The grim fact, which </w:t>
      </w:r>
      <w:r w:rsidR="00774A9D" w:rsidRPr="00265214">
        <w:rPr>
          <w:rFonts w:ascii="Arial" w:eastAsia="Times New Roman" w:hAnsi="Arial" w:cs="Arial"/>
          <w:kern w:val="0"/>
          <w:lang/>
          <w14:ligatures w14:val="none"/>
        </w:rPr>
        <w:t>The Health Foundation (2025)</w:t>
      </w:r>
      <w:r w:rsidR="00774A9D" w:rsidRPr="00265214">
        <w:rPr>
          <w:rFonts w:ascii="Arial" w:eastAsia="Times New Roman" w:hAnsi="Arial" w:cs="Arial"/>
          <w:kern w:val="0"/>
          <w:lang w:val="en-US"/>
          <w14:ligatures w14:val="none"/>
        </w:rPr>
        <w:t>,</w:t>
      </w:r>
      <w:r w:rsidRPr="003D7D17">
        <w:rPr>
          <w:rFonts w:ascii="Arial" w:eastAsia="Times New Roman" w:hAnsi="Arial" w:cs="Arial"/>
          <w:kern w:val="0"/>
          <w:lang/>
          <w14:ligatures w14:val="none"/>
        </w:rPr>
        <w:t xml:space="preserve"> emphasizes, is that the health gap is becoming wider and that the growth in life expectancy has stalled, which means that the existing siloed policies cannot overcome the underlying social determinants of health.</w:t>
      </w:r>
    </w:p>
    <w:p w14:paraId="4194224D" w14:textId="2337AEC6" w:rsidR="003D7D17" w:rsidRPr="00265214" w:rsidRDefault="003D7D17" w:rsidP="00265214">
      <w:pPr>
        <w:spacing w:after="120" w:line="360" w:lineRule="auto"/>
        <w:jc w:val="both"/>
        <w:rPr>
          <w:rFonts w:ascii="Arial" w:eastAsia="Times New Roman" w:hAnsi="Arial" w:cs="Arial"/>
          <w:kern w:val="0"/>
          <w:lang/>
          <w14:ligatures w14:val="none"/>
        </w:rPr>
      </w:pPr>
    </w:p>
    <w:p w14:paraId="4F73C9E6" w14:textId="35FF678B" w:rsidR="00920B56" w:rsidRPr="00265214" w:rsidRDefault="00920B56" w:rsidP="00265214">
      <w:pPr>
        <w:pStyle w:val="Heading1"/>
        <w:spacing w:line="360" w:lineRule="auto"/>
        <w:jc w:val="both"/>
        <w:rPr>
          <w:rFonts w:ascii="Arial" w:eastAsia="Times New Roman" w:hAnsi="Arial" w:cs="Arial"/>
          <w:sz w:val="22"/>
          <w:szCs w:val="22"/>
          <w:lang/>
        </w:rPr>
      </w:pPr>
      <w:bookmarkStart w:id="10" w:name="_Toc213773812"/>
      <w:r w:rsidRPr="00265214">
        <w:rPr>
          <w:rFonts w:ascii="Arial" w:eastAsia="Times New Roman" w:hAnsi="Arial" w:cs="Arial"/>
          <w:sz w:val="22"/>
          <w:szCs w:val="22"/>
          <w:lang/>
        </w:rPr>
        <w:t>5. Policy and Practice Recommendations</w:t>
      </w:r>
      <w:bookmarkEnd w:id="10"/>
    </w:p>
    <w:p w14:paraId="223420D5" w14:textId="77777777" w:rsidR="008570AC" w:rsidRPr="00265214" w:rsidRDefault="008570AC" w:rsidP="00265214">
      <w:pPr>
        <w:spacing w:line="360" w:lineRule="auto"/>
        <w:jc w:val="both"/>
        <w:rPr>
          <w:rFonts w:ascii="Arial" w:hAnsi="Arial" w:cs="Arial"/>
          <w:lang/>
        </w:rPr>
      </w:pPr>
    </w:p>
    <w:p w14:paraId="2815545F" w14:textId="79B626BC" w:rsidR="00920B56" w:rsidRPr="00265214" w:rsidRDefault="00920B56" w:rsidP="00265214">
      <w:pPr>
        <w:spacing w:after="120" w:line="360" w:lineRule="auto"/>
        <w:jc w:val="both"/>
        <w:rPr>
          <w:rFonts w:ascii="Arial" w:eastAsia="Times New Roman" w:hAnsi="Arial" w:cs="Arial"/>
          <w:kern w:val="0"/>
          <w:lang/>
          <w14:ligatures w14:val="none"/>
        </w:rPr>
      </w:pPr>
      <w:r w:rsidRPr="00920B56">
        <w:rPr>
          <w:rFonts w:ascii="Arial" w:eastAsia="Times New Roman" w:hAnsi="Arial" w:cs="Arial"/>
          <w:kern w:val="0"/>
          <w:lang/>
          <w14:ligatures w14:val="none"/>
        </w:rPr>
        <w:t>Policies should be more integrated, ambitious, and equity-oriented to enhance the health and well-being of UK citizens. It is proposed to recommend evidence-based interventions as:</w:t>
      </w:r>
    </w:p>
    <w:p w14:paraId="5BF8F062" w14:textId="77777777" w:rsidR="00774A9D" w:rsidRPr="00920B56" w:rsidRDefault="00774A9D" w:rsidP="00265214">
      <w:pPr>
        <w:spacing w:after="120" w:line="360" w:lineRule="auto"/>
        <w:jc w:val="both"/>
        <w:rPr>
          <w:rFonts w:ascii="Arial" w:eastAsia="Times New Roman" w:hAnsi="Arial" w:cs="Arial"/>
          <w:kern w:val="0"/>
          <w:lang/>
          <w14:ligatures w14:val="none"/>
        </w:rPr>
      </w:pPr>
    </w:p>
    <w:p w14:paraId="555295DB" w14:textId="68AE3E8E" w:rsidR="00920B56" w:rsidRPr="00265214" w:rsidRDefault="00920B56" w:rsidP="00265214">
      <w:pPr>
        <w:pStyle w:val="Heading2"/>
        <w:spacing w:line="360" w:lineRule="auto"/>
        <w:jc w:val="both"/>
        <w:rPr>
          <w:rFonts w:ascii="Arial" w:eastAsia="Times New Roman" w:hAnsi="Arial" w:cs="Arial"/>
          <w:sz w:val="22"/>
          <w:szCs w:val="22"/>
          <w:lang/>
        </w:rPr>
      </w:pPr>
      <w:bookmarkStart w:id="11" w:name="_Toc213773813"/>
      <w:r w:rsidRPr="00265214">
        <w:rPr>
          <w:rFonts w:ascii="Arial" w:eastAsia="Times New Roman" w:hAnsi="Arial" w:cs="Arial"/>
          <w:sz w:val="22"/>
          <w:szCs w:val="22"/>
          <w:lang/>
        </w:rPr>
        <w:t>Adopt and Implement a Health in All Policies (HiAP) Framework; Formally at the National and Local Levels:</w:t>
      </w:r>
      <w:bookmarkEnd w:id="11"/>
    </w:p>
    <w:p w14:paraId="7FA2B8CE" w14:textId="77777777" w:rsidR="008570AC" w:rsidRPr="00265214" w:rsidRDefault="008570AC" w:rsidP="00265214">
      <w:pPr>
        <w:spacing w:line="360" w:lineRule="auto"/>
        <w:jc w:val="both"/>
        <w:rPr>
          <w:rFonts w:ascii="Arial" w:hAnsi="Arial" w:cs="Arial"/>
          <w:lang/>
        </w:rPr>
      </w:pPr>
    </w:p>
    <w:p w14:paraId="5C4BC820" w14:textId="0EC4C16F" w:rsidR="00920B56" w:rsidRPr="00920B56" w:rsidRDefault="00920B56" w:rsidP="00265214">
      <w:pPr>
        <w:spacing w:line="360" w:lineRule="auto"/>
        <w:jc w:val="both"/>
        <w:rPr>
          <w:rFonts w:ascii="Arial" w:eastAsia="Times New Roman" w:hAnsi="Arial" w:cs="Arial"/>
          <w:kern w:val="0"/>
          <w:lang/>
          <w14:ligatures w14:val="none"/>
        </w:rPr>
      </w:pPr>
      <w:r w:rsidRPr="00920B56">
        <w:rPr>
          <w:rFonts w:ascii="Arial" w:eastAsia="Times New Roman" w:hAnsi="Arial" w:cs="Arial"/>
          <w:b/>
          <w:bCs/>
          <w:kern w:val="0"/>
          <w:lang/>
          <w14:ligatures w14:val="none"/>
        </w:rPr>
        <w:t>Action:</w:t>
      </w:r>
      <w:r w:rsidRPr="00920B56">
        <w:rPr>
          <w:rFonts w:ascii="Arial" w:eastAsia="Times New Roman" w:hAnsi="Arial" w:cs="Arial"/>
          <w:kern w:val="0"/>
          <w:lang/>
          <w14:ligatures w14:val="none"/>
        </w:rPr>
        <w:t xml:space="preserve"> Requirement of Health Impact Assessments (HIAs) on all government policies of significant size, especially in transport, housing, and planning</w:t>
      </w:r>
      <w:r w:rsidR="00774A9D" w:rsidRPr="00265214">
        <w:rPr>
          <w:rFonts w:ascii="Arial" w:eastAsia="Times New Roman" w:hAnsi="Arial" w:cs="Arial"/>
          <w:kern w:val="0"/>
          <w:lang w:val="en-US"/>
          <w14:ligatures w14:val="none"/>
        </w:rPr>
        <w:t xml:space="preserve"> </w:t>
      </w:r>
      <w:r w:rsidR="00774A9D" w:rsidRPr="00265214">
        <w:rPr>
          <w:rFonts w:ascii="Arial" w:eastAsia="Times New Roman" w:hAnsi="Arial" w:cs="Arial"/>
          <w:kern w:val="0"/>
          <w:lang/>
          <w14:ligatures w14:val="none"/>
        </w:rPr>
        <w:t>(Dannenberg et al., 2014)</w:t>
      </w:r>
      <w:r w:rsidR="00774A9D" w:rsidRPr="00265214">
        <w:rPr>
          <w:rFonts w:ascii="Arial" w:eastAsia="Times New Roman" w:hAnsi="Arial" w:cs="Arial"/>
          <w:kern w:val="0"/>
          <w:lang w:val="en-US"/>
          <w14:ligatures w14:val="none"/>
        </w:rPr>
        <w:t>.</w:t>
      </w:r>
      <w:r w:rsidRPr="00920B56">
        <w:rPr>
          <w:rFonts w:ascii="Arial" w:eastAsia="Times New Roman" w:hAnsi="Arial" w:cs="Arial"/>
          <w:kern w:val="0"/>
          <w:lang/>
          <w14:ligatures w14:val="none"/>
        </w:rPr>
        <w:t xml:space="preserve"> This would compel such departments as the Treasury and the Department for Transport to clearly consider the health impacts of their decisions.</w:t>
      </w:r>
    </w:p>
    <w:p w14:paraId="62495E19" w14:textId="7F2D1782" w:rsidR="00920B56" w:rsidRPr="00265214" w:rsidRDefault="00920B56" w:rsidP="00265214">
      <w:pPr>
        <w:spacing w:after="120" w:line="360" w:lineRule="auto"/>
        <w:jc w:val="both"/>
        <w:rPr>
          <w:rFonts w:ascii="Arial" w:eastAsia="Times New Roman" w:hAnsi="Arial" w:cs="Arial"/>
          <w:kern w:val="0"/>
          <w:lang/>
          <w14:ligatures w14:val="none"/>
        </w:rPr>
      </w:pPr>
      <w:r w:rsidRPr="00920B56">
        <w:rPr>
          <w:rFonts w:ascii="Arial" w:eastAsia="Times New Roman" w:hAnsi="Arial" w:cs="Arial"/>
          <w:b/>
          <w:bCs/>
          <w:kern w:val="0"/>
          <w:lang/>
          <w14:ligatures w14:val="none"/>
        </w:rPr>
        <w:t>Justification:</w:t>
      </w:r>
      <w:r w:rsidRPr="00920B56">
        <w:rPr>
          <w:rFonts w:ascii="Arial" w:eastAsia="Times New Roman" w:hAnsi="Arial" w:cs="Arial"/>
          <w:kern w:val="0"/>
          <w:lang/>
          <w14:ligatures w14:val="none"/>
        </w:rPr>
        <w:t xml:space="preserve"> This institutionalized methodology would ensure that policy silos are not present, thereby allowing the SDG 11 progress to be continually used to deliver SDG 3 through a series of earned initiatives, rather than ad-hoc programs.</w:t>
      </w:r>
    </w:p>
    <w:p w14:paraId="7FEBDB12" w14:textId="77777777" w:rsidR="008570AC" w:rsidRPr="00920B56" w:rsidRDefault="008570AC" w:rsidP="00265214">
      <w:pPr>
        <w:spacing w:after="120" w:line="360" w:lineRule="auto"/>
        <w:jc w:val="both"/>
        <w:rPr>
          <w:rFonts w:ascii="Arial" w:eastAsia="Times New Roman" w:hAnsi="Arial" w:cs="Arial"/>
          <w:kern w:val="0"/>
          <w:lang/>
          <w14:ligatures w14:val="none"/>
        </w:rPr>
      </w:pPr>
    </w:p>
    <w:p w14:paraId="33ABC331" w14:textId="77777777" w:rsidR="00920B56" w:rsidRPr="00265214" w:rsidRDefault="00920B56" w:rsidP="00265214">
      <w:pPr>
        <w:pStyle w:val="Heading2"/>
        <w:spacing w:line="360" w:lineRule="auto"/>
        <w:jc w:val="both"/>
        <w:rPr>
          <w:rFonts w:ascii="Arial" w:eastAsia="Times New Roman" w:hAnsi="Arial" w:cs="Arial"/>
          <w:sz w:val="22"/>
          <w:szCs w:val="22"/>
          <w:lang/>
        </w:rPr>
      </w:pPr>
      <w:bookmarkStart w:id="12" w:name="_Toc213773814"/>
      <w:r w:rsidRPr="00265214">
        <w:rPr>
          <w:rFonts w:ascii="Arial" w:eastAsia="Times New Roman" w:hAnsi="Arial" w:cs="Arial"/>
          <w:sz w:val="22"/>
          <w:szCs w:val="22"/>
          <w:lang/>
        </w:rPr>
        <w:t>Primary National Programme of Green and Social Housing Retrofit:</w:t>
      </w:r>
      <w:bookmarkEnd w:id="12"/>
    </w:p>
    <w:p w14:paraId="5F6C0E08" w14:textId="782C867C" w:rsidR="00920B56" w:rsidRPr="00920B56" w:rsidRDefault="00920B56" w:rsidP="00265214">
      <w:pPr>
        <w:spacing w:line="360" w:lineRule="auto"/>
        <w:jc w:val="both"/>
        <w:rPr>
          <w:rFonts w:ascii="Arial" w:eastAsia="Times New Roman" w:hAnsi="Arial" w:cs="Arial"/>
          <w:kern w:val="0"/>
          <w:lang/>
          <w14:ligatures w14:val="none"/>
        </w:rPr>
      </w:pPr>
      <w:r w:rsidRPr="00920B56">
        <w:rPr>
          <w:rFonts w:ascii="Arial" w:eastAsia="Times New Roman" w:hAnsi="Arial" w:cs="Arial"/>
          <w:b/>
          <w:bCs/>
          <w:kern w:val="0"/>
          <w:lang/>
          <w14:ligatures w14:val="none"/>
        </w:rPr>
        <w:t>Action:</w:t>
      </w:r>
      <w:r w:rsidRPr="00920B56">
        <w:rPr>
          <w:rFonts w:ascii="Arial" w:eastAsia="Times New Roman" w:hAnsi="Arial" w:cs="Arial"/>
          <w:kern w:val="0"/>
          <w:lang/>
          <w14:ligatures w14:val="none"/>
        </w:rPr>
        <w:t xml:space="preserve"> Introduce a massive, publicly funded initiative to make the current housing stock in the UK more energy efficient, at least in the low-income households</w:t>
      </w:r>
      <w:r w:rsidR="00774A9D" w:rsidRPr="00265214">
        <w:rPr>
          <w:rFonts w:ascii="Arial" w:eastAsia="Times New Roman" w:hAnsi="Arial" w:cs="Arial"/>
          <w:kern w:val="0"/>
          <w:lang w:val="en-US"/>
          <w14:ligatures w14:val="none"/>
        </w:rPr>
        <w:t xml:space="preserve"> </w:t>
      </w:r>
      <w:r w:rsidR="00774A9D" w:rsidRPr="00265214">
        <w:rPr>
          <w:rFonts w:ascii="Arial" w:eastAsia="Times New Roman" w:hAnsi="Arial" w:cs="Arial"/>
          <w:kern w:val="0"/>
          <w:lang/>
          <w14:ligatures w14:val="none"/>
        </w:rPr>
        <w:t>(Gov.UK, 2022)</w:t>
      </w:r>
      <w:r w:rsidR="00774A9D" w:rsidRPr="00265214">
        <w:rPr>
          <w:rFonts w:ascii="Arial" w:eastAsia="Times New Roman" w:hAnsi="Arial" w:cs="Arial"/>
          <w:kern w:val="0"/>
          <w:lang w:val="en-US"/>
          <w14:ligatures w14:val="none"/>
        </w:rPr>
        <w:t>.</w:t>
      </w:r>
      <w:r w:rsidRPr="00920B56">
        <w:rPr>
          <w:rFonts w:ascii="Arial" w:eastAsia="Times New Roman" w:hAnsi="Arial" w:cs="Arial"/>
          <w:kern w:val="0"/>
          <w:lang/>
          <w14:ligatures w14:val="none"/>
        </w:rPr>
        <w:t xml:space="preserve"> This refers to insulation, ventilation, and the installation of low-carbon heating.</w:t>
      </w:r>
    </w:p>
    <w:p w14:paraId="4F6343F0" w14:textId="77777777" w:rsidR="00920B56" w:rsidRPr="00920B56" w:rsidRDefault="00920B56" w:rsidP="00265214">
      <w:pPr>
        <w:spacing w:after="120" w:line="360" w:lineRule="auto"/>
        <w:jc w:val="both"/>
        <w:rPr>
          <w:rFonts w:ascii="Arial" w:eastAsia="Times New Roman" w:hAnsi="Arial" w:cs="Arial"/>
          <w:kern w:val="0"/>
          <w:lang/>
          <w14:ligatures w14:val="none"/>
        </w:rPr>
      </w:pPr>
      <w:r w:rsidRPr="00920B56">
        <w:rPr>
          <w:rFonts w:ascii="Arial" w:eastAsia="Times New Roman" w:hAnsi="Arial" w:cs="Arial"/>
          <w:b/>
          <w:bCs/>
          <w:kern w:val="0"/>
          <w:lang/>
          <w14:ligatures w14:val="none"/>
        </w:rPr>
        <w:t>Justification:</w:t>
      </w:r>
      <w:r w:rsidRPr="00920B56">
        <w:rPr>
          <w:rFonts w:ascii="Arial" w:eastAsia="Times New Roman" w:hAnsi="Arial" w:cs="Arial"/>
          <w:kern w:val="0"/>
          <w:lang/>
          <w14:ligatures w14:val="none"/>
        </w:rPr>
        <w:t xml:space="preserve"> This directly relates to SDG 11.1 (adequate housing) and SDG 11.6 (environmental impact). It would alleviate fuel poverty, avert cold-related deaths and respiratory diseases (SDG 3), and reduce carbon emissions, resulting in a strong triple win (Public Health England, 2021).</w:t>
      </w:r>
    </w:p>
    <w:p w14:paraId="6F859CF3" w14:textId="77777777" w:rsidR="00997216" w:rsidRPr="00265214" w:rsidRDefault="00997216" w:rsidP="00265214">
      <w:pPr>
        <w:spacing w:after="120" w:line="360" w:lineRule="auto"/>
        <w:jc w:val="both"/>
        <w:rPr>
          <w:rFonts w:ascii="Arial" w:eastAsia="Times New Roman" w:hAnsi="Arial" w:cs="Arial"/>
          <w:kern w:val="0"/>
          <w:lang/>
          <w14:ligatures w14:val="none"/>
        </w:rPr>
      </w:pPr>
    </w:p>
    <w:p w14:paraId="2E3231C5" w14:textId="05718846" w:rsidR="00920B56" w:rsidRPr="00265214" w:rsidRDefault="00920B56" w:rsidP="00265214">
      <w:pPr>
        <w:pStyle w:val="Heading2"/>
        <w:spacing w:line="360" w:lineRule="auto"/>
        <w:jc w:val="both"/>
        <w:rPr>
          <w:rFonts w:ascii="Arial" w:eastAsia="Times New Roman" w:hAnsi="Arial" w:cs="Arial"/>
          <w:sz w:val="22"/>
          <w:szCs w:val="22"/>
          <w:lang/>
        </w:rPr>
      </w:pPr>
      <w:bookmarkStart w:id="13" w:name="_Toc213773815"/>
      <w:r w:rsidRPr="00265214">
        <w:rPr>
          <w:rFonts w:ascii="Arial" w:eastAsia="Times New Roman" w:hAnsi="Arial" w:cs="Arial"/>
          <w:sz w:val="22"/>
          <w:szCs w:val="22"/>
          <w:lang/>
        </w:rPr>
        <w:t>Integrate Equity as the Key Measurement in every Sustainability and Health Program:</w:t>
      </w:r>
      <w:bookmarkEnd w:id="13"/>
    </w:p>
    <w:p w14:paraId="56AC1567" w14:textId="7B342965" w:rsidR="00920B56" w:rsidRPr="00920B56" w:rsidRDefault="00920B56" w:rsidP="00265214">
      <w:pPr>
        <w:spacing w:line="360" w:lineRule="auto"/>
        <w:jc w:val="both"/>
        <w:rPr>
          <w:rFonts w:ascii="Arial" w:eastAsia="Times New Roman" w:hAnsi="Arial" w:cs="Arial"/>
          <w:kern w:val="0"/>
          <w:lang/>
          <w14:ligatures w14:val="none"/>
        </w:rPr>
      </w:pPr>
      <w:r w:rsidRPr="00920B56">
        <w:rPr>
          <w:rFonts w:ascii="Arial" w:eastAsia="Times New Roman" w:hAnsi="Arial" w:cs="Arial"/>
          <w:b/>
          <w:bCs/>
          <w:kern w:val="0"/>
          <w:lang/>
          <w14:ligatures w14:val="none"/>
        </w:rPr>
        <w:t>Action:</w:t>
      </w:r>
      <w:r w:rsidRPr="00920B56">
        <w:rPr>
          <w:rFonts w:ascii="Arial" w:eastAsia="Times New Roman" w:hAnsi="Arial" w:cs="Arial"/>
          <w:kern w:val="0"/>
          <w:lang/>
          <w14:ligatures w14:val="none"/>
        </w:rPr>
        <w:t xml:space="preserve"> A health equity assessment should always be included in all policy assessments, such as ULEZ or active travel schemes</w:t>
      </w:r>
      <w:r w:rsidR="00997216" w:rsidRPr="00265214">
        <w:rPr>
          <w:rFonts w:ascii="Arial" w:eastAsia="Times New Roman" w:hAnsi="Arial" w:cs="Arial"/>
          <w:kern w:val="0"/>
          <w:lang w:val="en-US"/>
          <w14:ligatures w14:val="none"/>
        </w:rPr>
        <w:t xml:space="preserve"> </w:t>
      </w:r>
      <w:r w:rsidR="00997216" w:rsidRPr="00265214">
        <w:rPr>
          <w:rFonts w:ascii="Arial" w:eastAsia="Times New Roman" w:hAnsi="Arial" w:cs="Arial"/>
          <w:kern w:val="0"/>
          <w:lang/>
          <w14:ligatures w14:val="none"/>
        </w:rPr>
        <w:t>(Lynch et al., 2025)</w:t>
      </w:r>
      <w:r w:rsidR="00997216" w:rsidRPr="00265214">
        <w:rPr>
          <w:rFonts w:ascii="Arial" w:eastAsia="Times New Roman" w:hAnsi="Arial" w:cs="Arial"/>
          <w:kern w:val="0"/>
          <w:lang w:val="en-US"/>
          <w14:ligatures w14:val="none"/>
        </w:rPr>
        <w:t>.</w:t>
      </w:r>
      <w:r w:rsidRPr="00920B56">
        <w:rPr>
          <w:rFonts w:ascii="Arial" w:eastAsia="Times New Roman" w:hAnsi="Arial" w:cs="Arial"/>
          <w:kern w:val="0"/>
          <w:lang/>
          <w14:ligatures w14:val="none"/>
        </w:rPr>
        <w:t xml:space="preserve"> </w:t>
      </w:r>
      <w:r w:rsidR="00997216" w:rsidRPr="00265214">
        <w:rPr>
          <w:rFonts w:ascii="Arial" w:eastAsia="Times New Roman" w:hAnsi="Arial" w:cs="Arial"/>
          <w:kern w:val="0"/>
          <w:lang w:val="en-US"/>
          <w14:ligatures w14:val="none"/>
        </w:rPr>
        <w:t>It’s m</w:t>
      </w:r>
      <w:r w:rsidRPr="00920B56">
        <w:rPr>
          <w:rFonts w:ascii="Arial" w:eastAsia="Times New Roman" w:hAnsi="Arial" w:cs="Arial"/>
          <w:kern w:val="0"/>
          <w:lang/>
          <w14:ligatures w14:val="none"/>
        </w:rPr>
        <w:t>itigation measures, such as increasing and more generous scrappage provisions or funded public transport passes, will need to be prepared just as much as the policy itself.</w:t>
      </w:r>
    </w:p>
    <w:p w14:paraId="22BDEB29" w14:textId="164043B1" w:rsidR="00920B56" w:rsidRPr="00265214" w:rsidRDefault="00920B56" w:rsidP="00265214">
      <w:pPr>
        <w:spacing w:after="120" w:line="360" w:lineRule="auto"/>
        <w:jc w:val="both"/>
        <w:rPr>
          <w:rFonts w:ascii="Arial" w:eastAsia="Times New Roman" w:hAnsi="Arial" w:cs="Arial"/>
          <w:kern w:val="0"/>
          <w:lang/>
          <w14:ligatures w14:val="none"/>
        </w:rPr>
      </w:pPr>
      <w:r w:rsidRPr="00920B56">
        <w:rPr>
          <w:rFonts w:ascii="Arial" w:eastAsia="Times New Roman" w:hAnsi="Arial" w:cs="Arial"/>
          <w:b/>
          <w:bCs/>
          <w:kern w:val="0"/>
          <w:lang/>
          <w14:ligatures w14:val="none"/>
        </w:rPr>
        <w:lastRenderedPageBreak/>
        <w:t>Justification:</w:t>
      </w:r>
      <w:r w:rsidRPr="00920B56">
        <w:rPr>
          <w:rFonts w:ascii="Arial" w:eastAsia="Times New Roman" w:hAnsi="Arial" w:cs="Arial"/>
          <w:kern w:val="0"/>
          <w:lang/>
          <w14:ligatures w14:val="none"/>
        </w:rPr>
        <w:t xml:space="preserve"> This is to ensure that the benefits of sustainability policies are not unevenly distributed, thereby exacerbating existing disparities. This aligns with the fundamental SDG principle that no one is left behind.</w:t>
      </w:r>
    </w:p>
    <w:p w14:paraId="3A71A469" w14:textId="77777777" w:rsidR="008570AC" w:rsidRPr="00920B56" w:rsidRDefault="008570AC" w:rsidP="00265214">
      <w:pPr>
        <w:spacing w:after="120" w:line="360" w:lineRule="auto"/>
        <w:jc w:val="both"/>
        <w:rPr>
          <w:rFonts w:ascii="Arial" w:eastAsia="Times New Roman" w:hAnsi="Arial" w:cs="Arial"/>
          <w:kern w:val="0"/>
          <w:lang/>
          <w14:ligatures w14:val="none"/>
        </w:rPr>
      </w:pPr>
    </w:p>
    <w:p w14:paraId="6AF33618" w14:textId="77777777" w:rsidR="00920B56" w:rsidRPr="00265214" w:rsidRDefault="00920B56" w:rsidP="00265214">
      <w:pPr>
        <w:pStyle w:val="Heading2"/>
        <w:spacing w:line="360" w:lineRule="auto"/>
        <w:jc w:val="both"/>
        <w:rPr>
          <w:rFonts w:ascii="Arial" w:eastAsia="Times New Roman" w:hAnsi="Arial" w:cs="Arial"/>
          <w:sz w:val="22"/>
          <w:szCs w:val="22"/>
          <w:lang/>
        </w:rPr>
      </w:pPr>
      <w:bookmarkStart w:id="14" w:name="_Toc213773816"/>
      <w:r w:rsidRPr="00265214">
        <w:rPr>
          <w:rFonts w:ascii="Arial" w:eastAsia="Times New Roman" w:hAnsi="Arial" w:cs="Arial"/>
          <w:sz w:val="22"/>
          <w:szCs w:val="22"/>
          <w:lang/>
        </w:rPr>
        <w:t>Expand Local Authority Developed Funding and Powers to Make Local Places:</w:t>
      </w:r>
      <w:bookmarkEnd w:id="14"/>
    </w:p>
    <w:p w14:paraId="0F6F2B63" w14:textId="6FD52D59" w:rsidR="00920B56" w:rsidRPr="00920B56" w:rsidRDefault="00920B56" w:rsidP="00265214">
      <w:pPr>
        <w:spacing w:line="360" w:lineRule="auto"/>
        <w:jc w:val="both"/>
        <w:rPr>
          <w:rFonts w:ascii="Arial" w:eastAsia="Times New Roman" w:hAnsi="Arial" w:cs="Arial"/>
          <w:kern w:val="0"/>
          <w:lang w:val="en-US"/>
          <w14:ligatures w14:val="none"/>
        </w:rPr>
      </w:pPr>
      <w:r w:rsidRPr="00920B56">
        <w:rPr>
          <w:rFonts w:ascii="Arial" w:eastAsia="Times New Roman" w:hAnsi="Arial" w:cs="Arial"/>
          <w:b/>
          <w:bCs/>
          <w:kern w:val="0"/>
          <w:lang/>
          <w14:ligatures w14:val="none"/>
        </w:rPr>
        <w:t>Action:</w:t>
      </w:r>
      <w:r w:rsidRPr="00920B56">
        <w:rPr>
          <w:rFonts w:ascii="Arial" w:eastAsia="Times New Roman" w:hAnsi="Arial" w:cs="Arial"/>
          <w:kern w:val="0"/>
          <w:lang/>
          <w14:ligatures w14:val="none"/>
        </w:rPr>
        <w:t xml:space="preserve"> Invest in long-term and ring-fenced funding of local authorities to invest in public health and sustainable infrastructure, enabling them to plan their communities holistically, i.e. transport, housing, green space, and health services</w:t>
      </w:r>
      <w:r w:rsidR="00C1518F" w:rsidRPr="00265214">
        <w:rPr>
          <w:rFonts w:ascii="Arial" w:eastAsia="Times New Roman" w:hAnsi="Arial" w:cs="Arial"/>
          <w:kern w:val="0"/>
          <w:lang w:val="en-US"/>
          <w14:ligatures w14:val="none"/>
        </w:rPr>
        <w:t xml:space="preserve"> </w:t>
      </w:r>
      <w:r w:rsidR="00C1518F" w:rsidRPr="00265214">
        <w:rPr>
          <w:rFonts w:ascii="Arial" w:eastAsia="Times New Roman" w:hAnsi="Arial" w:cs="Arial"/>
          <w:kern w:val="0"/>
          <w:lang/>
          <w14:ligatures w14:val="none"/>
        </w:rPr>
        <w:t>(PCDN, 2021)</w:t>
      </w:r>
      <w:r w:rsidR="00C1518F" w:rsidRPr="00265214">
        <w:rPr>
          <w:rFonts w:ascii="Arial" w:eastAsia="Times New Roman" w:hAnsi="Arial" w:cs="Arial"/>
          <w:kern w:val="0"/>
          <w:lang w:val="en-US"/>
          <w14:ligatures w14:val="none"/>
        </w:rPr>
        <w:t>.</w:t>
      </w:r>
    </w:p>
    <w:p w14:paraId="36E02166" w14:textId="7A78B47D" w:rsidR="00920B56" w:rsidRPr="00AD72B8" w:rsidRDefault="00920B56" w:rsidP="00AD72B8">
      <w:pPr>
        <w:spacing w:line="360" w:lineRule="auto"/>
        <w:jc w:val="both"/>
        <w:rPr>
          <w:rFonts w:ascii="Arial" w:eastAsia="Times New Roman" w:hAnsi="Arial" w:cs="Arial"/>
          <w:kern w:val="0"/>
          <w:lang/>
          <w14:ligatures w14:val="none"/>
        </w:rPr>
      </w:pPr>
      <w:r w:rsidRPr="00AD72B8">
        <w:rPr>
          <w:rFonts w:ascii="Arial" w:eastAsia="Times New Roman" w:hAnsi="Arial" w:cs="Arial"/>
          <w:b/>
          <w:bCs/>
          <w:kern w:val="0"/>
          <w:lang/>
          <w14:ligatures w14:val="none"/>
        </w:rPr>
        <w:t>Justification:</w:t>
      </w:r>
      <w:r w:rsidRPr="00AD72B8">
        <w:rPr>
          <w:rFonts w:ascii="Arial" w:eastAsia="Times New Roman" w:hAnsi="Arial" w:cs="Arial"/>
          <w:kern w:val="0"/>
          <w:lang/>
          <w14:ligatures w14:val="none"/>
        </w:rPr>
        <w:t xml:space="preserve"> Local authorities are better positioned to understand local needs. </w:t>
      </w:r>
      <w:r w:rsidR="00AD72B8" w:rsidRPr="00AD72B8">
        <w:rPr>
          <w:rFonts w:ascii="Arial" w:eastAsia="Times New Roman" w:hAnsi="Arial" w:cs="Arial"/>
          <w:kern w:val="0"/>
          <w:lang/>
          <w14:ligatures w14:val="none"/>
        </w:rPr>
        <w:t>This power will make them be innovative and develop 20 minutes neighbourhoods where people could get most of their needs in a short walk or ride a bicycle hence contributing to SDG 3 and SDG 11.</w:t>
      </w:r>
    </w:p>
    <w:p w14:paraId="2A38B8D9" w14:textId="4F6E14E1" w:rsidR="00920B56" w:rsidRPr="00265214" w:rsidRDefault="00920B56" w:rsidP="00265214">
      <w:pPr>
        <w:spacing w:after="120" w:line="360" w:lineRule="auto"/>
        <w:jc w:val="both"/>
        <w:rPr>
          <w:rFonts w:ascii="Arial" w:eastAsia="Times New Roman" w:hAnsi="Arial" w:cs="Arial"/>
          <w:kern w:val="0"/>
          <w:lang/>
          <w14:ligatures w14:val="none"/>
        </w:rPr>
      </w:pPr>
    </w:p>
    <w:p w14:paraId="2F6F29A6" w14:textId="77777777" w:rsidR="0068064C" w:rsidRPr="0068064C" w:rsidRDefault="0068064C" w:rsidP="0068064C">
      <w:pPr>
        <w:pStyle w:val="Heading1"/>
        <w:spacing w:line="360" w:lineRule="auto"/>
        <w:jc w:val="both"/>
        <w:rPr>
          <w:rFonts w:ascii="Arial" w:eastAsia="Times New Roman" w:hAnsi="Arial" w:cs="Arial"/>
          <w:sz w:val="22"/>
          <w:szCs w:val="22"/>
          <w:lang/>
        </w:rPr>
      </w:pPr>
      <w:r w:rsidRPr="0068064C">
        <w:rPr>
          <w:rFonts w:ascii="Arial" w:eastAsia="Times New Roman" w:hAnsi="Arial" w:cs="Arial"/>
          <w:sz w:val="22"/>
          <w:szCs w:val="22"/>
          <w:lang/>
        </w:rPr>
        <w:t>6. Conclusion</w:t>
      </w:r>
    </w:p>
    <w:p w14:paraId="64235E9A" w14:textId="5CA5F12A" w:rsidR="004C5988" w:rsidRPr="007F3169" w:rsidRDefault="0068064C" w:rsidP="007F3169">
      <w:pPr>
        <w:spacing w:line="360" w:lineRule="auto"/>
        <w:jc w:val="both"/>
        <w:rPr>
          <w:rFonts w:ascii="Arial" w:eastAsia="Times New Roman" w:hAnsi="Arial" w:cs="Arial"/>
          <w:kern w:val="0"/>
          <w:lang/>
          <w14:ligatures w14:val="none"/>
        </w:rPr>
      </w:pPr>
      <w:r w:rsidRPr="0068064C">
        <w:rPr>
          <w:rFonts w:ascii="Arial" w:eastAsia="Times New Roman" w:hAnsi="Arial" w:cs="Arial"/>
          <w:kern w:val="0"/>
          <w:lang/>
          <w14:ligatures w14:val="none"/>
        </w:rPr>
        <w:br/>
        <w:t xml:space="preserve">As evident in this report, the environment and its sustainability are closely related to the health and well-being of citizens, as is the case with SDG 3 and SDG 11. </w:t>
      </w:r>
      <w:r w:rsidR="007F3169" w:rsidRPr="007F3169">
        <w:rPr>
          <w:rFonts w:ascii="Arial" w:eastAsia="Times New Roman" w:hAnsi="Arial" w:cs="Arial"/>
          <w:kern w:val="0"/>
          <w:lang/>
          <w14:ligatures w14:val="none"/>
        </w:rPr>
        <w:t>Although the policies were introduced in the UK, particularly on the local level in cities such as London, where this interplay has been identified, there remains a gap in the implementation process of the policies. The policies in place are incomplete and lack the strength to resist the powerful forces of inequality and environmental destruction.</w:t>
      </w:r>
      <w:r w:rsidR="00FC769B">
        <w:rPr>
          <w:rFonts w:ascii="Arial" w:eastAsia="Times New Roman" w:hAnsi="Arial" w:cs="Arial"/>
          <w:kern w:val="0"/>
          <w:lang w:val="en-US"/>
          <w14:ligatures w14:val="none"/>
        </w:rPr>
        <w:t xml:space="preserve"> </w:t>
      </w:r>
      <w:r w:rsidR="004C5988" w:rsidRPr="007F3169">
        <w:rPr>
          <w:rFonts w:ascii="Arial" w:eastAsia="Times New Roman" w:hAnsi="Arial" w:cs="Arial"/>
          <w:kern w:val="0"/>
          <w:lang/>
          <w14:ligatures w14:val="none"/>
        </w:rPr>
        <w:t>The fact that the present state of knowledge remains unclear does not imply that nothing can be done; rather, it suggests that a precautionary and proactive attitude should be adopted, with the establishment of health-promoting environments at the core of national and local strategies.</w:t>
      </w:r>
    </w:p>
    <w:p w14:paraId="4D23D8E0" w14:textId="77777777" w:rsidR="00920B56" w:rsidRPr="005D614C" w:rsidRDefault="00920B56" w:rsidP="00265214">
      <w:pPr>
        <w:spacing w:after="120" w:line="360" w:lineRule="auto"/>
        <w:jc w:val="both"/>
        <w:rPr>
          <w:rFonts w:ascii="Arial" w:eastAsia="Times New Roman" w:hAnsi="Arial" w:cs="Arial"/>
          <w:kern w:val="0"/>
          <w:lang/>
          <w14:ligatures w14:val="none"/>
        </w:rPr>
      </w:pPr>
    </w:p>
    <w:p w14:paraId="5F41B287" w14:textId="6039B4DA" w:rsidR="00C1518F" w:rsidRPr="00265214" w:rsidRDefault="00C1518F" w:rsidP="00265214">
      <w:pPr>
        <w:spacing w:line="360" w:lineRule="auto"/>
        <w:jc w:val="both"/>
        <w:rPr>
          <w:rFonts w:ascii="Arial" w:eastAsia="Times New Roman" w:hAnsi="Arial" w:cs="Arial"/>
          <w:kern w:val="0"/>
          <w:lang/>
          <w14:ligatures w14:val="none"/>
        </w:rPr>
      </w:pPr>
      <w:r w:rsidRPr="00265214">
        <w:rPr>
          <w:rFonts w:ascii="Arial" w:eastAsia="Times New Roman" w:hAnsi="Arial" w:cs="Arial"/>
          <w:kern w:val="0"/>
          <w:lang/>
          <w14:ligatures w14:val="none"/>
        </w:rPr>
        <w:br w:type="page"/>
      </w:r>
    </w:p>
    <w:p w14:paraId="0BB8A487" w14:textId="77777777" w:rsidR="00A1433A" w:rsidRPr="00A1433A" w:rsidRDefault="00A1433A" w:rsidP="00A1433A">
      <w:pPr>
        <w:pStyle w:val="Heading1"/>
        <w:spacing w:before="0" w:after="240" w:line="360" w:lineRule="auto"/>
        <w:jc w:val="both"/>
        <w:rPr>
          <w:rFonts w:ascii="Arial" w:hAnsi="Arial" w:cs="Arial"/>
          <w:sz w:val="22"/>
          <w:szCs w:val="22"/>
          <w:lang/>
        </w:rPr>
      </w:pPr>
      <w:r w:rsidRPr="00A1433A">
        <w:rPr>
          <w:rFonts w:ascii="Arial" w:hAnsi="Arial" w:cs="Arial"/>
          <w:sz w:val="22"/>
          <w:szCs w:val="22"/>
        </w:rPr>
        <w:lastRenderedPageBreak/>
        <w:t>Reference list</w:t>
      </w:r>
    </w:p>
    <w:p w14:paraId="458C7375"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Cox, P. (2020). Cycle Transport Partnerships for Attaining Sustainable Development Goals. </w:t>
      </w:r>
      <w:r w:rsidRPr="00A1433A">
        <w:rPr>
          <w:rFonts w:ascii="Arial" w:hAnsi="Arial" w:cs="Arial"/>
          <w:i/>
          <w:iCs/>
          <w:sz w:val="22"/>
          <w:szCs w:val="22"/>
        </w:rPr>
        <w:t>Encyclopedia of the UN Sustainable Development Goals</w:t>
      </w:r>
      <w:r w:rsidRPr="00A1433A">
        <w:rPr>
          <w:rFonts w:ascii="Arial" w:hAnsi="Arial" w:cs="Arial"/>
          <w:sz w:val="22"/>
          <w:szCs w:val="22"/>
        </w:rPr>
        <w:t>, pp.1–12. doi:https://doi.org/10.1007/978-3-319-71067-9_124-1.</w:t>
      </w:r>
    </w:p>
    <w:p w14:paraId="383633FC"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Dannenberg, A.L., Ricklin, A., Ross, C.L., Schwartz, M., West, J., White, S. and Wier, M.L. (2014). Use of Health Impact Assessment for Transportation Planning. </w:t>
      </w:r>
      <w:r w:rsidRPr="00A1433A">
        <w:rPr>
          <w:rFonts w:ascii="Arial" w:hAnsi="Arial" w:cs="Arial"/>
          <w:i/>
          <w:iCs/>
          <w:sz w:val="22"/>
          <w:szCs w:val="22"/>
        </w:rPr>
        <w:t>Transportation Research Record: Journal of the Transportation Research Board</w:t>
      </w:r>
      <w:r w:rsidRPr="00A1433A">
        <w:rPr>
          <w:rFonts w:ascii="Arial" w:hAnsi="Arial" w:cs="Arial"/>
          <w:sz w:val="22"/>
          <w:szCs w:val="22"/>
        </w:rPr>
        <w:t>, [online] 2452(1), pp.71–80. doi:https://doi.org/10.3141/2452-09.</w:t>
      </w:r>
    </w:p>
    <w:p w14:paraId="12751448"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DEFRA (2022). </w:t>
      </w:r>
      <w:r w:rsidRPr="00A1433A">
        <w:rPr>
          <w:rFonts w:ascii="Arial" w:hAnsi="Arial" w:cs="Arial"/>
          <w:i/>
          <w:iCs/>
          <w:sz w:val="22"/>
          <w:szCs w:val="22"/>
        </w:rPr>
        <w:t>Air quality PM 2.5 targets Detailed evidence report</w:t>
      </w:r>
      <w:r w:rsidRPr="00A1433A">
        <w:rPr>
          <w:rFonts w:ascii="Arial" w:hAnsi="Arial" w:cs="Arial"/>
          <w:sz w:val="22"/>
          <w:szCs w:val="22"/>
        </w:rPr>
        <w:t>. [online] Available at: https://consult.defra.gov.uk/natural-environment-policy/consultation-on-environmental-targets/supporting_documents/Air%20quality%20targets%20%20Detailed%20Evidence%20report.pdf [Accessed 21 Aug. 2022].</w:t>
      </w:r>
    </w:p>
    <w:p w14:paraId="3097B771"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Gov.UK (2022). </w:t>
      </w:r>
      <w:r w:rsidRPr="00A1433A">
        <w:rPr>
          <w:rFonts w:ascii="Arial" w:hAnsi="Arial" w:cs="Arial"/>
          <w:i/>
          <w:iCs/>
          <w:sz w:val="22"/>
          <w:szCs w:val="22"/>
        </w:rPr>
        <w:t>Funding for energy efficiency upgrades will slash fuel bills for 20,000 social housing properties</w:t>
      </w:r>
      <w:r w:rsidRPr="00A1433A">
        <w:rPr>
          <w:rFonts w:ascii="Arial" w:hAnsi="Arial" w:cs="Arial"/>
          <w:sz w:val="22"/>
          <w:szCs w:val="22"/>
        </w:rPr>
        <w:t>. [online] GOV.UK. Available at: https://www.gov.uk/government/news/funding-for-energy-efficiency-upgrades-will-slash-fuel-bills-for-20000-social-housing-properties [Accessed 6 May 2022].</w:t>
      </w:r>
    </w:p>
    <w:p w14:paraId="4765471D"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Gov.UK (2025). </w:t>
      </w:r>
      <w:r w:rsidRPr="00A1433A">
        <w:rPr>
          <w:rFonts w:ascii="Arial" w:hAnsi="Arial" w:cs="Arial"/>
          <w:i/>
          <w:iCs/>
          <w:sz w:val="22"/>
          <w:szCs w:val="22"/>
        </w:rPr>
        <w:t>UK | Environment Analyst UK</w:t>
      </w:r>
      <w:r w:rsidRPr="00A1433A">
        <w:rPr>
          <w:rFonts w:ascii="Arial" w:hAnsi="Arial" w:cs="Arial"/>
          <w:sz w:val="22"/>
          <w:szCs w:val="22"/>
        </w:rPr>
        <w:t>. [online] Environment-analyst.com. Available at: https://environment-analyst.com/uk/67478/london-environment-strategy-a-seven-pronged-vision [Accessed 11 Nov. 2025].</w:t>
      </w:r>
    </w:p>
    <w:p w14:paraId="1365EDF1"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Hajmohammadi, H. and Heydecker, B. (2022). Evaluation of air quality effects of the London ultra-low emission zone by state-space modelling. </w:t>
      </w:r>
      <w:r w:rsidRPr="00A1433A">
        <w:rPr>
          <w:rFonts w:ascii="Arial" w:hAnsi="Arial" w:cs="Arial"/>
          <w:i/>
          <w:iCs/>
          <w:sz w:val="22"/>
          <w:szCs w:val="22"/>
        </w:rPr>
        <w:t>Atmospheric Pollution Research</w:t>
      </w:r>
      <w:r w:rsidRPr="00A1433A">
        <w:rPr>
          <w:rFonts w:ascii="Arial" w:hAnsi="Arial" w:cs="Arial"/>
          <w:sz w:val="22"/>
          <w:szCs w:val="22"/>
        </w:rPr>
        <w:t>, 13(8), p.101514. doi:https://doi.org/10.1016/j.apr.2022.101514.</w:t>
      </w:r>
    </w:p>
    <w:p w14:paraId="4865F830"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ICCROM (2014). </w:t>
      </w:r>
      <w:r w:rsidRPr="00A1433A">
        <w:rPr>
          <w:rFonts w:ascii="Arial" w:hAnsi="Arial" w:cs="Arial"/>
          <w:i/>
          <w:iCs/>
          <w:sz w:val="22"/>
          <w:szCs w:val="22"/>
        </w:rPr>
        <w:t>SDG 11.2: Affordable and Sustainable Transport Systems | ICCROM | Our Collections Matter</w:t>
      </w:r>
      <w:r w:rsidRPr="00A1433A">
        <w:rPr>
          <w:rFonts w:ascii="Arial" w:hAnsi="Arial" w:cs="Arial"/>
          <w:sz w:val="22"/>
          <w:szCs w:val="22"/>
        </w:rPr>
        <w:t>. [online] ocm.iccrom.org. Available at: https://ocm.iccrom.org/sdgs/sdg-11-sustainable-cities-and-communities/sdg-112-affordable-and-sustainable-transport-systems.</w:t>
      </w:r>
    </w:p>
    <w:p w14:paraId="0AEF27C7"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IPCC (2022). </w:t>
      </w:r>
      <w:r w:rsidRPr="00A1433A">
        <w:rPr>
          <w:rFonts w:ascii="Arial" w:hAnsi="Arial" w:cs="Arial"/>
          <w:i/>
          <w:iCs/>
          <w:sz w:val="22"/>
          <w:szCs w:val="22"/>
        </w:rPr>
        <w:t>Chapter 7: Health, Wellbeing and the Changing Structure of Communities</w:t>
      </w:r>
      <w:r w:rsidRPr="00A1433A">
        <w:rPr>
          <w:rFonts w:ascii="Arial" w:hAnsi="Arial" w:cs="Arial"/>
          <w:sz w:val="22"/>
          <w:szCs w:val="22"/>
        </w:rPr>
        <w:t>. [online] www.ipcc.ch. Available at: https://www.ipcc.ch/report/ar6/wg2/chapter/chapter-7/.</w:t>
      </w:r>
    </w:p>
    <w:p w14:paraId="13D5A4B5"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lastRenderedPageBreak/>
        <w:t xml:space="preserve">Kjellstrom, T., Lodh, M., McMichael, T., Ranmuthugala, G., Shrestha, R. and Kingsland, S. (2010). </w:t>
      </w:r>
      <w:r w:rsidRPr="00A1433A">
        <w:rPr>
          <w:rFonts w:ascii="Arial" w:hAnsi="Arial" w:cs="Arial"/>
          <w:i/>
          <w:iCs/>
          <w:sz w:val="22"/>
          <w:szCs w:val="22"/>
        </w:rPr>
        <w:t>Air and Water Pollution: Burden and Strategies for Control</w:t>
      </w:r>
      <w:r w:rsidRPr="00A1433A">
        <w:rPr>
          <w:rFonts w:ascii="Arial" w:hAnsi="Arial" w:cs="Arial"/>
          <w:sz w:val="22"/>
          <w:szCs w:val="22"/>
        </w:rPr>
        <w:t>. [online] Nih.gov. Available at: https://www.ncbi.nlm.nih.gov/books/NBK11769/.</w:t>
      </w:r>
    </w:p>
    <w:p w14:paraId="061C7C10"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Kock, L., Brown, J., Hiscock, R., Tattan-Birch, H., Smith, C. and Shahab, L. (2019). Individual-level behavioural smoking cessation interventions tailored for disadvantaged socioeconomic position: a systematic review and meta-regression. </w:t>
      </w:r>
      <w:r w:rsidRPr="00A1433A">
        <w:rPr>
          <w:rFonts w:ascii="Arial" w:hAnsi="Arial" w:cs="Arial"/>
          <w:i/>
          <w:iCs/>
          <w:sz w:val="22"/>
          <w:szCs w:val="22"/>
        </w:rPr>
        <w:t>The Lancet Public Health</w:t>
      </w:r>
      <w:r w:rsidRPr="00A1433A">
        <w:rPr>
          <w:rFonts w:ascii="Arial" w:hAnsi="Arial" w:cs="Arial"/>
          <w:sz w:val="22"/>
          <w:szCs w:val="22"/>
        </w:rPr>
        <w:t>, [online] 4(12), pp.e628–e644. doi:https://doi.org/10.1016/s2468-2667(19)30220-8.</w:t>
      </w:r>
    </w:p>
    <w:p w14:paraId="0DD03028"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London.gov.uk (2023). </w:t>
      </w:r>
      <w:r w:rsidRPr="00A1433A">
        <w:rPr>
          <w:rFonts w:ascii="Arial" w:hAnsi="Arial" w:cs="Arial"/>
          <w:i/>
          <w:iCs/>
          <w:sz w:val="22"/>
          <w:szCs w:val="22"/>
        </w:rPr>
        <w:t>INNER LONDON ULTRA LOW EMISSION ZONE - ONE YEAR REPORT</w:t>
      </w:r>
      <w:r w:rsidRPr="00A1433A">
        <w:rPr>
          <w:rFonts w:ascii="Arial" w:hAnsi="Arial" w:cs="Arial"/>
          <w:sz w:val="22"/>
          <w:szCs w:val="22"/>
        </w:rPr>
        <w:t>. [online] Available at: https://www.london.gov.uk/sites/default/files/2023-02/Inner%20London%20ULEZ%20One%20Year%20Report%20-%20final.pdf.</w:t>
      </w:r>
    </w:p>
    <w:p w14:paraId="06D426CE"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Lynch, H., Holdroyd, I., Birley, M., Black, D., Cave, B., Douglas, M., Ekermawi, R., Green, L., Haigh, F., Harris-Roxas, B., O’Mullane, M., Purdy, J., Stevenson, A., Vohra, S. and Ford, J. (2025). Health impact assessments should be mandatory for all relevant government policies. </w:t>
      </w:r>
      <w:r w:rsidRPr="00A1433A">
        <w:rPr>
          <w:rFonts w:ascii="Arial" w:hAnsi="Arial" w:cs="Arial"/>
          <w:i/>
          <w:iCs/>
          <w:sz w:val="22"/>
          <w:szCs w:val="22"/>
        </w:rPr>
        <w:t>Health policy (Amsterdam, Netherlands)</w:t>
      </w:r>
      <w:r w:rsidRPr="00A1433A">
        <w:rPr>
          <w:rFonts w:ascii="Arial" w:hAnsi="Arial" w:cs="Arial"/>
          <w:sz w:val="22"/>
          <w:szCs w:val="22"/>
        </w:rPr>
        <w:t>, [online] 162, p.105436. doi:https://doi.org/10.1016/j.healthpol.2025.105436.</w:t>
      </w:r>
    </w:p>
    <w:p w14:paraId="13E17020"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PCDN (2021). </w:t>
      </w:r>
      <w:r w:rsidRPr="00A1433A">
        <w:rPr>
          <w:rFonts w:ascii="Arial" w:hAnsi="Arial" w:cs="Arial"/>
          <w:i/>
          <w:iCs/>
          <w:sz w:val="22"/>
          <w:szCs w:val="22"/>
        </w:rPr>
        <w:t>MAKING A GOOD PLACE: How to invest in social infrastructure</w:t>
      </w:r>
      <w:r w:rsidRPr="00A1433A">
        <w:rPr>
          <w:rFonts w:ascii="Arial" w:hAnsi="Arial" w:cs="Arial"/>
          <w:sz w:val="22"/>
          <w:szCs w:val="22"/>
        </w:rPr>
        <w:t>. [online] Available at: https://s41967.pcdn.co/wp-content/uploads/Making-a-Good-Place-Report-32pp-DIGITAL-FINAL.pdf.</w:t>
      </w:r>
    </w:p>
    <w:p w14:paraId="4A973372"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Scarneo, S.E., Kerr, Z.Y., Kroshus, E., Register-Mihalik, J.K., Hosokawa, Y., Stearns, R.L., DiStefano, L.J. and Casa, D.J. (2019). The Socioecological Framework: A Multifaceted Approach to Preventing Sport-Related Deaths in High School Sports. </w:t>
      </w:r>
      <w:r w:rsidRPr="00A1433A">
        <w:rPr>
          <w:rFonts w:ascii="Arial" w:hAnsi="Arial" w:cs="Arial"/>
          <w:i/>
          <w:iCs/>
          <w:sz w:val="22"/>
          <w:szCs w:val="22"/>
        </w:rPr>
        <w:t>Journal of Athletic Training</w:t>
      </w:r>
      <w:r w:rsidRPr="00A1433A">
        <w:rPr>
          <w:rFonts w:ascii="Arial" w:hAnsi="Arial" w:cs="Arial"/>
          <w:sz w:val="22"/>
          <w:szCs w:val="22"/>
        </w:rPr>
        <w:t>, [online] 54(4), pp.356–360. doi:https://doi.org/10.4085/1062-6050-173-18.</w:t>
      </w:r>
    </w:p>
    <w:p w14:paraId="259D829E"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Sihto, M., Ollila, E. and Koivusalo, M. (2006). Principles and challenges of health in all policies. </w:t>
      </w:r>
      <w:r w:rsidRPr="00A1433A">
        <w:rPr>
          <w:rFonts w:ascii="Arial" w:hAnsi="Arial" w:cs="Arial"/>
          <w:i/>
          <w:iCs/>
          <w:sz w:val="22"/>
          <w:szCs w:val="22"/>
        </w:rPr>
        <w:t>ResearchGate</w:t>
      </w:r>
      <w:r w:rsidRPr="00A1433A">
        <w:rPr>
          <w:rFonts w:ascii="Arial" w:hAnsi="Arial" w:cs="Arial"/>
          <w:sz w:val="22"/>
          <w:szCs w:val="22"/>
        </w:rPr>
        <w:t>, [online] pp.3–20. Available at: https://www.researchgate.net/publication/286284577_Principles_and_challenges_of_health_in_all_policies [Accessed 11 Nov. 2025].</w:t>
      </w:r>
    </w:p>
    <w:p w14:paraId="26A8B7F3"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The Health Foundation (2025). </w:t>
      </w:r>
      <w:r w:rsidRPr="00A1433A">
        <w:rPr>
          <w:rFonts w:ascii="Arial" w:hAnsi="Arial" w:cs="Arial"/>
          <w:i/>
          <w:iCs/>
          <w:sz w:val="22"/>
          <w:szCs w:val="22"/>
        </w:rPr>
        <w:t>Inequalities in Life Expectancy and Healthy Life Expectancy</w:t>
      </w:r>
      <w:r w:rsidRPr="00A1433A">
        <w:rPr>
          <w:rFonts w:ascii="Arial" w:hAnsi="Arial" w:cs="Arial"/>
          <w:sz w:val="22"/>
          <w:szCs w:val="22"/>
        </w:rPr>
        <w:t>. [online] The Health Foundation. Available at: https://www.health.org.uk/evidence-hub/health-inequalities/inequalities-in-life-expectancy-and-healthy-life-expectancy.</w:t>
      </w:r>
    </w:p>
    <w:p w14:paraId="31A5A2DF"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lastRenderedPageBreak/>
        <w:t xml:space="preserve">Tunio, F.H. and Nabi, A.A. (2021). Political decentralization, fiscal centralization, and its consequences in case of Pakistan. </w:t>
      </w:r>
      <w:r w:rsidRPr="00A1433A">
        <w:rPr>
          <w:rFonts w:ascii="Arial" w:hAnsi="Arial" w:cs="Arial"/>
          <w:i/>
          <w:iCs/>
          <w:sz w:val="22"/>
          <w:szCs w:val="22"/>
        </w:rPr>
        <w:t>Cogent Social Sciences</w:t>
      </w:r>
      <w:r w:rsidRPr="00A1433A">
        <w:rPr>
          <w:rFonts w:ascii="Arial" w:hAnsi="Arial" w:cs="Arial"/>
          <w:sz w:val="22"/>
          <w:szCs w:val="22"/>
        </w:rPr>
        <w:t>, 7(1), p.1924949. doi:https://doi.org/10.1080/23311886.2021.1924949.</w:t>
      </w:r>
    </w:p>
    <w:p w14:paraId="3A660454"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UK Government (2021). </w:t>
      </w:r>
      <w:r w:rsidRPr="00A1433A">
        <w:rPr>
          <w:rFonts w:ascii="Arial" w:hAnsi="Arial" w:cs="Arial"/>
          <w:i/>
          <w:iCs/>
          <w:sz w:val="22"/>
          <w:szCs w:val="22"/>
        </w:rPr>
        <w:t>Net Zero Strategy: Build Back Greener</w:t>
      </w:r>
      <w:r w:rsidRPr="00A1433A">
        <w:rPr>
          <w:rFonts w:ascii="Arial" w:hAnsi="Arial" w:cs="Arial"/>
          <w:sz w:val="22"/>
          <w:szCs w:val="22"/>
        </w:rPr>
        <w:t>. [online] GOV.UK. Available at: https://www.gov.uk/government/publications/net-zero-strategy.</w:t>
      </w:r>
    </w:p>
    <w:p w14:paraId="76C0D0A5"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United Nations (2023). </w:t>
      </w:r>
      <w:r w:rsidRPr="00A1433A">
        <w:rPr>
          <w:rFonts w:ascii="Arial" w:hAnsi="Arial" w:cs="Arial"/>
          <w:i/>
          <w:iCs/>
          <w:sz w:val="22"/>
          <w:szCs w:val="22"/>
        </w:rPr>
        <w:t>Goal 3: Ensure healthy lives and promote well-being for all at all ages</w:t>
      </w:r>
      <w:r w:rsidRPr="00A1433A">
        <w:rPr>
          <w:rFonts w:ascii="Arial" w:hAnsi="Arial" w:cs="Arial"/>
          <w:sz w:val="22"/>
          <w:szCs w:val="22"/>
        </w:rPr>
        <w:t>. [online] United Nations Sustainable Development Goals. Available at: https://www.un.org/sustainabledevelopment/health/.</w:t>
      </w:r>
    </w:p>
    <w:p w14:paraId="5E114ABE" w14:textId="77777777" w:rsidR="00A1433A" w:rsidRPr="00A1433A" w:rsidRDefault="00A1433A" w:rsidP="00A1433A">
      <w:pPr>
        <w:pStyle w:val="NormalWeb"/>
        <w:spacing w:before="0" w:beforeAutospacing="0" w:after="240" w:afterAutospacing="0" w:line="360" w:lineRule="auto"/>
        <w:jc w:val="both"/>
        <w:rPr>
          <w:rFonts w:ascii="Arial" w:hAnsi="Arial" w:cs="Arial"/>
          <w:sz w:val="22"/>
          <w:szCs w:val="22"/>
        </w:rPr>
      </w:pPr>
      <w:r w:rsidRPr="00A1433A">
        <w:rPr>
          <w:rFonts w:ascii="Arial" w:hAnsi="Arial" w:cs="Arial"/>
          <w:sz w:val="22"/>
          <w:szCs w:val="22"/>
        </w:rPr>
        <w:t xml:space="preserve">World Health Organisation (2025). </w:t>
      </w:r>
      <w:r w:rsidRPr="00A1433A">
        <w:rPr>
          <w:rFonts w:ascii="Arial" w:hAnsi="Arial" w:cs="Arial"/>
          <w:i/>
          <w:iCs/>
          <w:sz w:val="22"/>
          <w:szCs w:val="22"/>
        </w:rPr>
        <w:t>Social determinants of health</w:t>
      </w:r>
      <w:r w:rsidRPr="00A1433A">
        <w:rPr>
          <w:rFonts w:ascii="Arial" w:hAnsi="Arial" w:cs="Arial"/>
          <w:sz w:val="22"/>
          <w:szCs w:val="22"/>
        </w:rPr>
        <w:t>. [online] World Health Organisation. Available at: https://www.who.int/news-room/fact-sheets/detail/social-determinants-of-health.</w:t>
      </w:r>
    </w:p>
    <w:p w14:paraId="3668EC11" w14:textId="77777777" w:rsidR="006517D0" w:rsidRPr="00A1433A" w:rsidRDefault="006517D0" w:rsidP="00A1433A">
      <w:pPr>
        <w:spacing w:line="360" w:lineRule="auto"/>
        <w:jc w:val="both"/>
        <w:rPr>
          <w:rFonts w:ascii="Arial" w:hAnsi="Arial" w:cs="Arial"/>
        </w:rPr>
      </w:pPr>
    </w:p>
    <w:sectPr w:rsidR="006517D0" w:rsidRPr="00A1433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C220B" w14:textId="77777777" w:rsidR="00C60305" w:rsidRDefault="00C60305" w:rsidP="00265214">
      <w:pPr>
        <w:spacing w:after="0" w:line="240" w:lineRule="auto"/>
      </w:pPr>
      <w:r>
        <w:separator/>
      </w:r>
    </w:p>
  </w:endnote>
  <w:endnote w:type="continuationSeparator" w:id="0">
    <w:p w14:paraId="481FF89E" w14:textId="77777777" w:rsidR="00C60305" w:rsidRDefault="00C60305" w:rsidP="00265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4431137"/>
      <w:docPartObj>
        <w:docPartGallery w:val="Page Numbers (Bottom of Page)"/>
        <w:docPartUnique/>
      </w:docPartObj>
    </w:sdtPr>
    <w:sdtEndPr>
      <w:rPr>
        <w:noProof/>
      </w:rPr>
    </w:sdtEndPr>
    <w:sdtContent>
      <w:p w14:paraId="776E864D" w14:textId="6C7D32B7" w:rsidR="00265214" w:rsidRDefault="002652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603DFC" w14:textId="77777777" w:rsidR="00265214" w:rsidRDefault="00265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0022B" w14:textId="77777777" w:rsidR="00C60305" w:rsidRDefault="00C60305" w:rsidP="00265214">
      <w:pPr>
        <w:spacing w:after="0" w:line="240" w:lineRule="auto"/>
      </w:pPr>
      <w:r>
        <w:separator/>
      </w:r>
    </w:p>
  </w:footnote>
  <w:footnote w:type="continuationSeparator" w:id="0">
    <w:p w14:paraId="289933E9" w14:textId="77777777" w:rsidR="00C60305" w:rsidRDefault="00C60305" w:rsidP="002652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A351A6"/>
    <w:multiLevelType w:val="hybridMultilevel"/>
    <w:tmpl w:val="2BBC3B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639917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128"/>
    <w:rsid w:val="00036E57"/>
    <w:rsid w:val="00173CFC"/>
    <w:rsid w:val="001E4054"/>
    <w:rsid w:val="00215128"/>
    <w:rsid w:val="00225A30"/>
    <w:rsid w:val="002467FC"/>
    <w:rsid w:val="00265214"/>
    <w:rsid w:val="00340B7A"/>
    <w:rsid w:val="00344E89"/>
    <w:rsid w:val="003947F0"/>
    <w:rsid w:val="003D7D17"/>
    <w:rsid w:val="00477758"/>
    <w:rsid w:val="0048273E"/>
    <w:rsid w:val="00497DF9"/>
    <w:rsid w:val="004C5988"/>
    <w:rsid w:val="004D028E"/>
    <w:rsid w:val="004E4847"/>
    <w:rsid w:val="005D614C"/>
    <w:rsid w:val="00650179"/>
    <w:rsid w:val="006517D0"/>
    <w:rsid w:val="00654A53"/>
    <w:rsid w:val="00655DB3"/>
    <w:rsid w:val="0068064C"/>
    <w:rsid w:val="006B5F9E"/>
    <w:rsid w:val="006F544D"/>
    <w:rsid w:val="00774A9D"/>
    <w:rsid w:val="007C4882"/>
    <w:rsid w:val="007E6F43"/>
    <w:rsid w:val="007F3169"/>
    <w:rsid w:val="00811180"/>
    <w:rsid w:val="008570AC"/>
    <w:rsid w:val="00884716"/>
    <w:rsid w:val="00886DE0"/>
    <w:rsid w:val="008D7BC0"/>
    <w:rsid w:val="00920B56"/>
    <w:rsid w:val="00922F98"/>
    <w:rsid w:val="00997216"/>
    <w:rsid w:val="00A1433A"/>
    <w:rsid w:val="00A47132"/>
    <w:rsid w:val="00A93431"/>
    <w:rsid w:val="00AD0167"/>
    <w:rsid w:val="00AD72B8"/>
    <w:rsid w:val="00AF3C8D"/>
    <w:rsid w:val="00C1518F"/>
    <w:rsid w:val="00C60305"/>
    <w:rsid w:val="00CA4102"/>
    <w:rsid w:val="00D55849"/>
    <w:rsid w:val="00DD29B6"/>
    <w:rsid w:val="00F11617"/>
    <w:rsid w:val="00F32C4B"/>
    <w:rsid w:val="00F730C6"/>
    <w:rsid w:val="00F94C8D"/>
    <w:rsid w:val="00FC7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77329"/>
  <w15:chartTrackingRefBased/>
  <w15:docId w15:val="{280C7524-8BF0-4DF2-B9F4-D50CC39A5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570A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8570A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link w:val="Heading3Char"/>
    <w:uiPriority w:val="9"/>
    <w:qFormat/>
    <w:rsid w:val="00215128"/>
    <w:pPr>
      <w:spacing w:before="100" w:beforeAutospacing="1" w:after="100" w:afterAutospacing="1" w:line="240" w:lineRule="auto"/>
      <w:outlineLvl w:val="2"/>
    </w:pPr>
    <w:rPr>
      <w:rFonts w:ascii="Times New Roman" w:eastAsia="Times New Roman" w:hAnsi="Times New Roman" w:cs="Times New Roman"/>
      <w:b/>
      <w:bCs/>
      <w:kern w:val="0"/>
      <w:sz w:val="27"/>
      <w:szCs w:val="27"/>
      <w:lan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5128"/>
    <w:rPr>
      <w:rFonts w:ascii="Times New Roman" w:eastAsia="Times New Roman" w:hAnsi="Times New Roman" w:cs="Times New Roman"/>
      <w:b/>
      <w:bCs/>
      <w:kern w:val="0"/>
      <w:sz w:val="27"/>
      <w:szCs w:val="27"/>
      <w:lang/>
      <w14:ligatures w14:val="none"/>
    </w:rPr>
  </w:style>
  <w:style w:type="character" w:styleId="Strong">
    <w:name w:val="Strong"/>
    <w:basedOn w:val="DefaultParagraphFont"/>
    <w:uiPriority w:val="22"/>
    <w:qFormat/>
    <w:rsid w:val="00215128"/>
    <w:rPr>
      <w:b/>
      <w:bCs/>
    </w:rPr>
  </w:style>
  <w:style w:type="paragraph" w:customStyle="1" w:styleId="ds-markdown-paragraph">
    <w:name w:val="ds-markdown-paragraph"/>
    <w:basedOn w:val="Normal"/>
    <w:rsid w:val="00215128"/>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character" w:customStyle="1" w:styleId="Heading1Char">
    <w:name w:val="Heading 1 Char"/>
    <w:basedOn w:val="DefaultParagraphFont"/>
    <w:link w:val="Heading1"/>
    <w:uiPriority w:val="9"/>
    <w:rsid w:val="008570AC"/>
    <w:rPr>
      <w:rFonts w:asciiTheme="majorHAnsi" w:eastAsiaTheme="majorEastAsia" w:hAnsiTheme="majorHAnsi" w:cstheme="majorBidi"/>
      <w:b/>
      <w:sz w:val="32"/>
      <w:szCs w:val="32"/>
      <w:lang w:val="en-GB"/>
    </w:rPr>
  </w:style>
  <w:style w:type="character" w:customStyle="1" w:styleId="Heading2Char">
    <w:name w:val="Heading 2 Char"/>
    <w:basedOn w:val="DefaultParagraphFont"/>
    <w:link w:val="Heading2"/>
    <w:uiPriority w:val="9"/>
    <w:rsid w:val="008570AC"/>
    <w:rPr>
      <w:rFonts w:asciiTheme="majorHAnsi" w:eastAsiaTheme="majorEastAsia" w:hAnsiTheme="majorHAnsi" w:cstheme="majorBidi"/>
      <w:b/>
      <w:color w:val="2F5496" w:themeColor="accent1" w:themeShade="BF"/>
      <w:sz w:val="26"/>
      <w:szCs w:val="26"/>
      <w:lang w:val="en-GB"/>
    </w:rPr>
  </w:style>
  <w:style w:type="paragraph" w:styleId="ListParagraph">
    <w:name w:val="List Paragraph"/>
    <w:basedOn w:val="Normal"/>
    <w:uiPriority w:val="34"/>
    <w:qFormat/>
    <w:rsid w:val="00DD29B6"/>
    <w:pPr>
      <w:ind w:left="720"/>
      <w:contextualSpacing/>
    </w:pPr>
  </w:style>
  <w:style w:type="paragraph" w:styleId="NormalWeb">
    <w:name w:val="Normal (Web)"/>
    <w:basedOn w:val="Normal"/>
    <w:uiPriority w:val="99"/>
    <w:semiHidden/>
    <w:unhideWhenUsed/>
    <w:rsid w:val="00C1518F"/>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paragraph" w:styleId="TOCHeading">
    <w:name w:val="TOC Heading"/>
    <w:basedOn w:val="Heading1"/>
    <w:next w:val="Normal"/>
    <w:uiPriority w:val="39"/>
    <w:unhideWhenUsed/>
    <w:qFormat/>
    <w:rsid w:val="00265214"/>
    <w:pPr>
      <w:outlineLvl w:val="9"/>
    </w:pPr>
    <w:rPr>
      <w:b w:val="0"/>
      <w:color w:val="2F5496" w:themeColor="accent1" w:themeShade="BF"/>
      <w:kern w:val="0"/>
      <w:lang w:val="en-US"/>
      <w14:ligatures w14:val="none"/>
    </w:rPr>
  </w:style>
  <w:style w:type="paragraph" w:styleId="TOC3">
    <w:name w:val="toc 3"/>
    <w:basedOn w:val="Normal"/>
    <w:next w:val="Normal"/>
    <w:autoRedefine/>
    <w:uiPriority w:val="39"/>
    <w:unhideWhenUsed/>
    <w:rsid w:val="00265214"/>
    <w:pPr>
      <w:spacing w:after="100"/>
      <w:ind w:left="440"/>
    </w:pPr>
  </w:style>
  <w:style w:type="paragraph" w:styleId="TOC1">
    <w:name w:val="toc 1"/>
    <w:basedOn w:val="Normal"/>
    <w:next w:val="Normal"/>
    <w:autoRedefine/>
    <w:uiPriority w:val="39"/>
    <w:unhideWhenUsed/>
    <w:rsid w:val="00265214"/>
    <w:pPr>
      <w:spacing w:after="100"/>
    </w:pPr>
  </w:style>
  <w:style w:type="paragraph" w:styleId="TOC2">
    <w:name w:val="toc 2"/>
    <w:basedOn w:val="Normal"/>
    <w:next w:val="Normal"/>
    <w:autoRedefine/>
    <w:uiPriority w:val="39"/>
    <w:unhideWhenUsed/>
    <w:rsid w:val="00265214"/>
    <w:pPr>
      <w:spacing w:after="100"/>
      <w:ind w:left="220"/>
    </w:pPr>
  </w:style>
  <w:style w:type="character" w:styleId="Hyperlink">
    <w:name w:val="Hyperlink"/>
    <w:basedOn w:val="DefaultParagraphFont"/>
    <w:uiPriority w:val="99"/>
    <w:unhideWhenUsed/>
    <w:rsid w:val="00265214"/>
    <w:rPr>
      <w:color w:val="0563C1" w:themeColor="hyperlink"/>
      <w:u w:val="single"/>
    </w:rPr>
  </w:style>
  <w:style w:type="paragraph" w:styleId="Header">
    <w:name w:val="header"/>
    <w:basedOn w:val="Normal"/>
    <w:link w:val="HeaderChar"/>
    <w:uiPriority w:val="99"/>
    <w:unhideWhenUsed/>
    <w:rsid w:val="002652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214"/>
    <w:rPr>
      <w:lang w:val="en-GB"/>
    </w:rPr>
  </w:style>
  <w:style w:type="paragraph" w:styleId="Footer">
    <w:name w:val="footer"/>
    <w:basedOn w:val="Normal"/>
    <w:link w:val="FooterChar"/>
    <w:uiPriority w:val="99"/>
    <w:unhideWhenUsed/>
    <w:rsid w:val="002652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21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8313">
      <w:bodyDiv w:val="1"/>
      <w:marLeft w:val="0"/>
      <w:marRight w:val="0"/>
      <w:marTop w:val="0"/>
      <w:marBottom w:val="0"/>
      <w:divBdr>
        <w:top w:val="none" w:sz="0" w:space="0" w:color="auto"/>
        <w:left w:val="none" w:sz="0" w:space="0" w:color="auto"/>
        <w:bottom w:val="none" w:sz="0" w:space="0" w:color="auto"/>
        <w:right w:val="none" w:sz="0" w:space="0" w:color="auto"/>
      </w:divBdr>
      <w:divsChild>
        <w:div w:id="1461146819">
          <w:marLeft w:val="0"/>
          <w:marRight w:val="0"/>
          <w:marTop w:val="120"/>
          <w:marBottom w:val="120"/>
          <w:divBdr>
            <w:top w:val="none" w:sz="0" w:space="0" w:color="auto"/>
            <w:left w:val="none" w:sz="0" w:space="0" w:color="auto"/>
            <w:bottom w:val="none" w:sz="0" w:space="0" w:color="auto"/>
            <w:right w:val="none" w:sz="0" w:space="0" w:color="auto"/>
          </w:divBdr>
        </w:div>
        <w:div w:id="1655261622">
          <w:marLeft w:val="0"/>
          <w:marRight w:val="0"/>
          <w:marTop w:val="120"/>
          <w:marBottom w:val="120"/>
          <w:divBdr>
            <w:top w:val="none" w:sz="0" w:space="0" w:color="auto"/>
            <w:left w:val="none" w:sz="0" w:space="0" w:color="auto"/>
            <w:bottom w:val="none" w:sz="0" w:space="0" w:color="auto"/>
            <w:right w:val="none" w:sz="0" w:space="0" w:color="auto"/>
          </w:divBdr>
        </w:div>
        <w:div w:id="1702709554">
          <w:marLeft w:val="0"/>
          <w:marRight w:val="0"/>
          <w:marTop w:val="120"/>
          <w:marBottom w:val="120"/>
          <w:divBdr>
            <w:top w:val="none" w:sz="0" w:space="0" w:color="auto"/>
            <w:left w:val="none" w:sz="0" w:space="0" w:color="auto"/>
            <w:bottom w:val="none" w:sz="0" w:space="0" w:color="auto"/>
            <w:right w:val="none" w:sz="0" w:space="0" w:color="auto"/>
          </w:divBdr>
        </w:div>
        <w:div w:id="251789582">
          <w:marLeft w:val="0"/>
          <w:marRight w:val="0"/>
          <w:marTop w:val="120"/>
          <w:marBottom w:val="120"/>
          <w:divBdr>
            <w:top w:val="none" w:sz="0" w:space="0" w:color="auto"/>
            <w:left w:val="none" w:sz="0" w:space="0" w:color="auto"/>
            <w:bottom w:val="none" w:sz="0" w:space="0" w:color="auto"/>
            <w:right w:val="none" w:sz="0" w:space="0" w:color="auto"/>
          </w:divBdr>
        </w:div>
      </w:divsChild>
    </w:div>
    <w:div w:id="30345434">
      <w:bodyDiv w:val="1"/>
      <w:marLeft w:val="0"/>
      <w:marRight w:val="0"/>
      <w:marTop w:val="0"/>
      <w:marBottom w:val="0"/>
      <w:divBdr>
        <w:top w:val="none" w:sz="0" w:space="0" w:color="auto"/>
        <w:left w:val="none" w:sz="0" w:space="0" w:color="auto"/>
        <w:bottom w:val="none" w:sz="0" w:space="0" w:color="auto"/>
        <w:right w:val="none" w:sz="0" w:space="0" w:color="auto"/>
      </w:divBdr>
      <w:divsChild>
        <w:div w:id="1340082537">
          <w:marLeft w:val="0"/>
          <w:marRight w:val="0"/>
          <w:marTop w:val="0"/>
          <w:marBottom w:val="0"/>
          <w:divBdr>
            <w:top w:val="none" w:sz="0" w:space="0" w:color="auto"/>
            <w:left w:val="none" w:sz="0" w:space="0" w:color="auto"/>
            <w:bottom w:val="none" w:sz="0" w:space="0" w:color="auto"/>
            <w:right w:val="none" w:sz="0" w:space="0" w:color="auto"/>
          </w:divBdr>
        </w:div>
      </w:divsChild>
    </w:div>
    <w:div w:id="40978759">
      <w:bodyDiv w:val="1"/>
      <w:marLeft w:val="0"/>
      <w:marRight w:val="0"/>
      <w:marTop w:val="0"/>
      <w:marBottom w:val="0"/>
      <w:divBdr>
        <w:top w:val="none" w:sz="0" w:space="0" w:color="auto"/>
        <w:left w:val="none" w:sz="0" w:space="0" w:color="auto"/>
        <w:bottom w:val="none" w:sz="0" w:space="0" w:color="auto"/>
        <w:right w:val="none" w:sz="0" w:space="0" w:color="auto"/>
      </w:divBdr>
      <w:divsChild>
        <w:div w:id="112291829">
          <w:marLeft w:val="0"/>
          <w:marRight w:val="0"/>
          <w:marTop w:val="120"/>
          <w:marBottom w:val="120"/>
          <w:divBdr>
            <w:top w:val="none" w:sz="0" w:space="0" w:color="auto"/>
            <w:left w:val="none" w:sz="0" w:space="0" w:color="auto"/>
            <w:bottom w:val="none" w:sz="0" w:space="0" w:color="auto"/>
            <w:right w:val="none" w:sz="0" w:space="0" w:color="auto"/>
          </w:divBdr>
        </w:div>
        <w:div w:id="928075247">
          <w:marLeft w:val="0"/>
          <w:marRight w:val="0"/>
          <w:marTop w:val="120"/>
          <w:marBottom w:val="120"/>
          <w:divBdr>
            <w:top w:val="none" w:sz="0" w:space="0" w:color="auto"/>
            <w:left w:val="none" w:sz="0" w:space="0" w:color="auto"/>
            <w:bottom w:val="none" w:sz="0" w:space="0" w:color="auto"/>
            <w:right w:val="none" w:sz="0" w:space="0" w:color="auto"/>
          </w:divBdr>
        </w:div>
        <w:div w:id="1959214059">
          <w:marLeft w:val="0"/>
          <w:marRight w:val="0"/>
          <w:marTop w:val="120"/>
          <w:marBottom w:val="120"/>
          <w:divBdr>
            <w:top w:val="none" w:sz="0" w:space="0" w:color="auto"/>
            <w:left w:val="none" w:sz="0" w:space="0" w:color="auto"/>
            <w:bottom w:val="none" w:sz="0" w:space="0" w:color="auto"/>
            <w:right w:val="none" w:sz="0" w:space="0" w:color="auto"/>
          </w:divBdr>
        </w:div>
        <w:div w:id="1126850632">
          <w:marLeft w:val="0"/>
          <w:marRight w:val="0"/>
          <w:marTop w:val="120"/>
          <w:marBottom w:val="120"/>
          <w:divBdr>
            <w:top w:val="none" w:sz="0" w:space="0" w:color="auto"/>
            <w:left w:val="none" w:sz="0" w:space="0" w:color="auto"/>
            <w:bottom w:val="none" w:sz="0" w:space="0" w:color="auto"/>
            <w:right w:val="none" w:sz="0" w:space="0" w:color="auto"/>
          </w:divBdr>
        </w:div>
        <w:div w:id="1640769569">
          <w:marLeft w:val="0"/>
          <w:marRight w:val="0"/>
          <w:marTop w:val="120"/>
          <w:marBottom w:val="120"/>
          <w:divBdr>
            <w:top w:val="none" w:sz="0" w:space="0" w:color="auto"/>
            <w:left w:val="none" w:sz="0" w:space="0" w:color="auto"/>
            <w:bottom w:val="none" w:sz="0" w:space="0" w:color="auto"/>
            <w:right w:val="none" w:sz="0" w:space="0" w:color="auto"/>
          </w:divBdr>
        </w:div>
      </w:divsChild>
    </w:div>
    <w:div w:id="159973421">
      <w:bodyDiv w:val="1"/>
      <w:marLeft w:val="0"/>
      <w:marRight w:val="0"/>
      <w:marTop w:val="0"/>
      <w:marBottom w:val="0"/>
      <w:divBdr>
        <w:top w:val="none" w:sz="0" w:space="0" w:color="auto"/>
        <w:left w:val="none" w:sz="0" w:space="0" w:color="auto"/>
        <w:bottom w:val="none" w:sz="0" w:space="0" w:color="auto"/>
        <w:right w:val="none" w:sz="0" w:space="0" w:color="auto"/>
      </w:divBdr>
    </w:div>
    <w:div w:id="346367957">
      <w:bodyDiv w:val="1"/>
      <w:marLeft w:val="0"/>
      <w:marRight w:val="0"/>
      <w:marTop w:val="0"/>
      <w:marBottom w:val="0"/>
      <w:divBdr>
        <w:top w:val="none" w:sz="0" w:space="0" w:color="auto"/>
        <w:left w:val="none" w:sz="0" w:space="0" w:color="auto"/>
        <w:bottom w:val="none" w:sz="0" w:space="0" w:color="auto"/>
        <w:right w:val="none" w:sz="0" w:space="0" w:color="auto"/>
      </w:divBdr>
      <w:divsChild>
        <w:div w:id="919757468">
          <w:marLeft w:val="0"/>
          <w:marRight w:val="0"/>
          <w:marTop w:val="120"/>
          <w:marBottom w:val="120"/>
          <w:divBdr>
            <w:top w:val="none" w:sz="0" w:space="0" w:color="auto"/>
            <w:left w:val="none" w:sz="0" w:space="0" w:color="auto"/>
            <w:bottom w:val="none" w:sz="0" w:space="0" w:color="auto"/>
            <w:right w:val="none" w:sz="0" w:space="0" w:color="auto"/>
          </w:divBdr>
        </w:div>
        <w:div w:id="672879259">
          <w:marLeft w:val="0"/>
          <w:marRight w:val="0"/>
          <w:marTop w:val="120"/>
          <w:marBottom w:val="120"/>
          <w:divBdr>
            <w:top w:val="none" w:sz="0" w:space="0" w:color="auto"/>
            <w:left w:val="none" w:sz="0" w:space="0" w:color="auto"/>
            <w:bottom w:val="none" w:sz="0" w:space="0" w:color="auto"/>
            <w:right w:val="none" w:sz="0" w:space="0" w:color="auto"/>
          </w:divBdr>
        </w:div>
      </w:divsChild>
    </w:div>
    <w:div w:id="394428188">
      <w:bodyDiv w:val="1"/>
      <w:marLeft w:val="0"/>
      <w:marRight w:val="0"/>
      <w:marTop w:val="0"/>
      <w:marBottom w:val="0"/>
      <w:divBdr>
        <w:top w:val="none" w:sz="0" w:space="0" w:color="auto"/>
        <w:left w:val="none" w:sz="0" w:space="0" w:color="auto"/>
        <w:bottom w:val="none" w:sz="0" w:space="0" w:color="auto"/>
        <w:right w:val="none" w:sz="0" w:space="0" w:color="auto"/>
      </w:divBdr>
      <w:divsChild>
        <w:div w:id="1638224450">
          <w:marLeft w:val="0"/>
          <w:marRight w:val="0"/>
          <w:marTop w:val="120"/>
          <w:marBottom w:val="120"/>
          <w:divBdr>
            <w:top w:val="none" w:sz="0" w:space="0" w:color="auto"/>
            <w:left w:val="none" w:sz="0" w:space="0" w:color="auto"/>
            <w:bottom w:val="none" w:sz="0" w:space="0" w:color="auto"/>
            <w:right w:val="none" w:sz="0" w:space="0" w:color="auto"/>
          </w:divBdr>
        </w:div>
        <w:div w:id="1305350773">
          <w:marLeft w:val="0"/>
          <w:marRight w:val="0"/>
          <w:marTop w:val="120"/>
          <w:marBottom w:val="120"/>
          <w:divBdr>
            <w:top w:val="none" w:sz="0" w:space="0" w:color="auto"/>
            <w:left w:val="none" w:sz="0" w:space="0" w:color="auto"/>
            <w:bottom w:val="none" w:sz="0" w:space="0" w:color="auto"/>
            <w:right w:val="none" w:sz="0" w:space="0" w:color="auto"/>
          </w:divBdr>
        </w:div>
      </w:divsChild>
    </w:div>
    <w:div w:id="410932446">
      <w:bodyDiv w:val="1"/>
      <w:marLeft w:val="0"/>
      <w:marRight w:val="0"/>
      <w:marTop w:val="0"/>
      <w:marBottom w:val="0"/>
      <w:divBdr>
        <w:top w:val="none" w:sz="0" w:space="0" w:color="auto"/>
        <w:left w:val="none" w:sz="0" w:space="0" w:color="auto"/>
        <w:bottom w:val="none" w:sz="0" w:space="0" w:color="auto"/>
        <w:right w:val="none" w:sz="0" w:space="0" w:color="auto"/>
      </w:divBdr>
    </w:div>
    <w:div w:id="418913369">
      <w:bodyDiv w:val="1"/>
      <w:marLeft w:val="0"/>
      <w:marRight w:val="0"/>
      <w:marTop w:val="0"/>
      <w:marBottom w:val="0"/>
      <w:divBdr>
        <w:top w:val="none" w:sz="0" w:space="0" w:color="auto"/>
        <w:left w:val="none" w:sz="0" w:space="0" w:color="auto"/>
        <w:bottom w:val="none" w:sz="0" w:space="0" w:color="auto"/>
        <w:right w:val="none" w:sz="0" w:space="0" w:color="auto"/>
      </w:divBdr>
    </w:div>
    <w:div w:id="553083858">
      <w:bodyDiv w:val="1"/>
      <w:marLeft w:val="0"/>
      <w:marRight w:val="0"/>
      <w:marTop w:val="0"/>
      <w:marBottom w:val="0"/>
      <w:divBdr>
        <w:top w:val="none" w:sz="0" w:space="0" w:color="auto"/>
        <w:left w:val="none" w:sz="0" w:space="0" w:color="auto"/>
        <w:bottom w:val="none" w:sz="0" w:space="0" w:color="auto"/>
        <w:right w:val="none" w:sz="0" w:space="0" w:color="auto"/>
      </w:divBdr>
    </w:div>
    <w:div w:id="593324475">
      <w:bodyDiv w:val="1"/>
      <w:marLeft w:val="0"/>
      <w:marRight w:val="0"/>
      <w:marTop w:val="0"/>
      <w:marBottom w:val="0"/>
      <w:divBdr>
        <w:top w:val="none" w:sz="0" w:space="0" w:color="auto"/>
        <w:left w:val="none" w:sz="0" w:space="0" w:color="auto"/>
        <w:bottom w:val="none" w:sz="0" w:space="0" w:color="auto"/>
        <w:right w:val="none" w:sz="0" w:space="0" w:color="auto"/>
      </w:divBdr>
    </w:div>
    <w:div w:id="681517872">
      <w:bodyDiv w:val="1"/>
      <w:marLeft w:val="0"/>
      <w:marRight w:val="0"/>
      <w:marTop w:val="0"/>
      <w:marBottom w:val="0"/>
      <w:divBdr>
        <w:top w:val="none" w:sz="0" w:space="0" w:color="auto"/>
        <w:left w:val="none" w:sz="0" w:space="0" w:color="auto"/>
        <w:bottom w:val="none" w:sz="0" w:space="0" w:color="auto"/>
        <w:right w:val="none" w:sz="0" w:space="0" w:color="auto"/>
      </w:divBdr>
    </w:div>
    <w:div w:id="899679082">
      <w:bodyDiv w:val="1"/>
      <w:marLeft w:val="0"/>
      <w:marRight w:val="0"/>
      <w:marTop w:val="0"/>
      <w:marBottom w:val="0"/>
      <w:divBdr>
        <w:top w:val="none" w:sz="0" w:space="0" w:color="auto"/>
        <w:left w:val="none" w:sz="0" w:space="0" w:color="auto"/>
        <w:bottom w:val="none" w:sz="0" w:space="0" w:color="auto"/>
        <w:right w:val="none" w:sz="0" w:space="0" w:color="auto"/>
      </w:divBdr>
      <w:divsChild>
        <w:div w:id="1433429794">
          <w:marLeft w:val="0"/>
          <w:marRight w:val="0"/>
          <w:marTop w:val="120"/>
          <w:marBottom w:val="120"/>
          <w:divBdr>
            <w:top w:val="none" w:sz="0" w:space="0" w:color="auto"/>
            <w:left w:val="none" w:sz="0" w:space="0" w:color="auto"/>
            <w:bottom w:val="none" w:sz="0" w:space="0" w:color="auto"/>
            <w:right w:val="none" w:sz="0" w:space="0" w:color="auto"/>
          </w:divBdr>
        </w:div>
      </w:divsChild>
    </w:div>
    <w:div w:id="955411295">
      <w:bodyDiv w:val="1"/>
      <w:marLeft w:val="0"/>
      <w:marRight w:val="0"/>
      <w:marTop w:val="0"/>
      <w:marBottom w:val="0"/>
      <w:divBdr>
        <w:top w:val="none" w:sz="0" w:space="0" w:color="auto"/>
        <w:left w:val="none" w:sz="0" w:space="0" w:color="auto"/>
        <w:bottom w:val="none" w:sz="0" w:space="0" w:color="auto"/>
        <w:right w:val="none" w:sz="0" w:space="0" w:color="auto"/>
      </w:divBdr>
    </w:div>
    <w:div w:id="961182239">
      <w:bodyDiv w:val="1"/>
      <w:marLeft w:val="0"/>
      <w:marRight w:val="0"/>
      <w:marTop w:val="0"/>
      <w:marBottom w:val="0"/>
      <w:divBdr>
        <w:top w:val="none" w:sz="0" w:space="0" w:color="auto"/>
        <w:left w:val="none" w:sz="0" w:space="0" w:color="auto"/>
        <w:bottom w:val="none" w:sz="0" w:space="0" w:color="auto"/>
        <w:right w:val="none" w:sz="0" w:space="0" w:color="auto"/>
      </w:divBdr>
      <w:divsChild>
        <w:div w:id="219243719">
          <w:marLeft w:val="0"/>
          <w:marRight w:val="0"/>
          <w:marTop w:val="120"/>
          <w:marBottom w:val="120"/>
          <w:divBdr>
            <w:top w:val="none" w:sz="0" w:space="0" w:color="auto"/>
            <w:left w:val="none" w:sz="0" w:space="0" w:color="auto"/>
            <w:bottom w:val="none" w:sz="0" w:space="0" w:color="auto"/>
            <w:right w:val="none" w:sz="0" w:space="0" w:color="auto"/>
          </w:divBdr>
        </w:div>
        <w:div w:id="1248465214">
          <w:marLeft w:val="0"/>
          <w:marRight w:val="0"/>
          <w:marTop w:val="120"/>
          <w:marBottom w:val="120"/>
          <w:divBdr>
            <w:top w:val="none" w:sz="0" w:space="0" w:color="auto"/>
            <w:left w:val="none" w:sz="0" w:space="0" w:color="auto"/>
            <w:bottom w:val="none" w:sz="0" w:space="0" w:color="auto"/>
            <w:right w:val="none" w:sz="0" w:space="0" w:color="auto"/>
          </w:divBdr>
        </w:div>
        <w:div w:id="64769793">
          <w:marLeft w:val="0"/>
          <w:marRight w:val="0"/>
          <w:marTop w:val="120"/>
          <w:marBottom w:val="120"/>
          <w:divBdr>
            <w:top w:val="none" w:sz="0" w:space="0" w:color="auto"/>
            <w:left w:val="none" w:sz="0" w:space="0" w:color="auto"/>
            <w:bottom w:val="none" w:sz="0" w:space="0" w:color="auto"/>
            <w:right w:val="none" w:sz="0" w:space="0" w:color="auto"/>
          </w:divBdr>
        </w:div>
        <w:div w:id="140970884">
          <w:marLeft w:val="0"/>
          <w:marRight w:val="0"/>
          <w:marTop w:val="120"/>
          <w:marBottom w:val="120"/>
          <w:divBdr>
            <w:top w:val="none" w:sz="0" w:space="0" w:color="auto"/>
            <w:left w:val="none" w:sz="0" w:space="0" w:color="auto"/>
            <w:bottom w:val="none" w:sz="0" w:space="0" w:color="auto"/>
            <w:right w:val="none" w:sz="0" w:space="0" w:color="auto"/>
          </w:divBdr>
        </w:div>
        <w:div w:id="1687905378">
          <w:marLeft w:val="0"/>
          <w:marRight w:val="0"/>
          <w:marTop w:val="120"/>
          <w:marBottom w:val="120"/>
          <w:divBdr>
            <w:top w:val="none" w:sz="0" w:space="0" w:color="auto"/>
            <w:left w:val="none" w:sz="0" w:space="0" w:color="auto"/>
            <w:bottom w:val="none" w:sz="0" w:space="0" w:color="auto"/>
            <w:right w:val="none" w:sz="0" w:space="0" w:color="auto"/>
          </w:divBdr>
        </w:div>
      </w:divsChild>
    </w:div>
    <w:div w:id="962149658">
      <w:bodyDiv w:val="1"/>
      <w:marLeft w:val="0"/>
      <w:marRight w:val="0"/>
      <w:marTop w:val="0"/>
      <w:marBottom w:val="0"/>
      <w:divBdr>
        <w:top w:val="none" w:sz="0" w:space="0" w:color="auto"/>
        <w:left w:val="none" w:sz="0" w:space="0" w:color="auto"/>
        <w:bottom w:val="none" w:sz="0" w:space="0" w:color="auto"/>
        <w:right w:val="none" w:sz="0" w:space="0" w:color="auto"/>
      </w:divBdr>
      <w:divsChild>
        <w:div w:id="1631664927">
          <w:marLeft w:val="0"/>
          <w:marRight w:val="0"/>
          <w:marTop w:val="120"/>
          <w:marBottom w:val="120"/>
          <w:divBdr>
            <w:top w:val="none" w:sz="0" w:space="0" w:color="auto"/>
            <w:left w:val="none" w:sz="0" w:space="0" w:color="auto"/>
            <w:bottom w:val="none" w:sz="0" w:space="0" w:color="auto"/>
            <w:right w:val="none" w:sz="0" w:space="0" w:color="auto"/>
          </w:divBdr>
        </w:div>
      </w:divsChild>
    </w:div>
    <w:div w:id="1090660659">
      <w:bodyDiv w:val="1"/>
      <w:marLeft w:val="0"/>
      <w:marRight w:val="0"/>
      <w:marTop w:val="0"/>
      <w:marBottom w:val="0"/>
      <w:divBdr>
        <w:top w:val="none" w:sz="0" w:space="0" w:color="auto"/>
        <w:left w:val="none" w:sz="0" w:space="0" w:color="auto"/>
        <w:bottom w:val="none" w:sz="0" w:space="0" w:color="auto"/>
        <w:right w:val="none" w:sz="0" w:space="0" w:color="auto"/>
      </w:divBdr>
      <w:divsChild>
        <w:div w:id="2058894545">
          <w:marLeft w:val="0"/>
          <w:marRight w:val="0"/>
          <w:marTop w:val="120"/>
          <w:marBottom w:val="120"/>
          <w:divBdr>
            <w:top w:val="none" w:sz="0" w:space="0" w:color="auto"/>
            <w:left w:val="none" w:sz="0" w:space="0" w:color="auto"/>
            <w:bottom w:val="none" w:sz="0" w:space="0" w:color="auto"/>
            <w:right w:val="none" w:sz="0" w:space="0" w:color="auto"/>
          </w:divBdr>
        </w:div>
        <w:div w:id="991375507">
          <w:marLeft w:val="0"/>
          <w:marRight w:val="0"/>
          <w:marTop w:val="120"/>
          <w:marBottom w:val="120"/>
          <w:divBdr>
            <w:top w:val="none" w:sz="0" w:space="0" w:color="auto"/>
            <w:left w:val="none" w:sz="0" w:space="0" w:color="auto"/>
            <w:bottom w:val="none" w:sz="0" w:space="0" w:color="auto"/>
            <w:right w:val="none" w:sz="0" w:space="0" w:color="auto"/>
          </w:divBdr>
        </w:div>
        <w:div w:id="2136751694">
          <w:marLeft w:val="0"/>
          <w:marRight w:val="0"/>
          <w:marTop w:val="120"/>
          <w:marBottom w:val="120"/>
          <w:divBdr>
            <w:top w:val="none" w:sz="0" w:space="0" w:color="auto"/>
            <w:left w:val="none" w:sz="0" w:space="0" w:color="auto"/>
            <w:bottom w:val="none" w:sz="0" w:space="0" w:color="auto"/>
            <w:right w:val="none" w:sz="0" w:space="0" w:color="auto"/>
          </w:divBdr>
        </w:div>
        <w:div w:id="1082948178">
          <w:marLeft w:val="0"/>
          <w:marRight w:val="0"/>
          <w:marTop w:val="120"/>
          <w:marBottom w:val="120"/>
          <w:divBdr>
            <w:top w:val="none" w:sz="0" w:space="0" w:color="auto"/>
            <w:left w:val="none" w:sz="0" w:space="0" w:color="auto"/>
            <w:bottom w:val="none" w:sz="0" w:space="0" w:color="auto"/>
            <w:right w:val="none" w:sz="0" w:space="0" w:color="auto"/>
          </w:divBdr>
        </w:div>
        <w:div w:id="1074819972">
          <w:marLeft w:val="0"/>
          <w:marRight w:val="0"/>
          <w:marTop w:val="120"/>
          <w:marBottom w:val="120"/>
          <w:divBdr>
            <w:top w:val="none" w:sz="0" w:space="0" w:color="auto"/>
            <w:left w:val="none" w:sz="0" w:space="0" w:color="auto"/>
            <w:bottom w:val="none" w:sz="0" w:space="0" w:color="auto"/>
            <w:right w:val="none" w:sz="0" w:space="0" w:color="auto"/>
          </w:divBdr>
        </w:div>
        <w:div w:id="1032455544">
          <w:marLeft w:val="0"/>
          <w:marRight w:val="0"/>
          <w:marTop w:val="120"/>
          <w:marBottom w:val="120"/>
          <w:divBdr>
            <w:top w:val="none" w:sz="0" w:space="0" w:color="auto"/>
            <w:left w:val="none" w:sz="0" w:space="0" w:color="auto"/>
            <w:bottom w:val="none" w:sz="0" w:space="0" w:color="auto"/>
            <w:right w:val="none" w:sz="0" w:space="0" w:color="auto"/>
          </w:divBdr>
        </w:div>
        <w:div w:id="1364089371">
          <w:marLeft w:val="0"/>
          <w:marRight w:val="0"/>
          <w:marTop w:val="120"/>
          <w:marBottom w:val="120"/>
          <w:divBdr>
            <w:top w:val="none" w:sz="0" w:space="0" w:color="auto"/>
            <w:left w:val="none" w:sz="0" w:space="0" w:color="auto"/>
            <w:bottom w:val="none" w:sz="0" w:space="0" w:color="auto"/>
            <w:right w:val="none" w:sz="0" w:space="0" w:color="auto"/>
          </w:divBdr>
        </w:div>
        <w:div w:id="1611745853">
          <w:marLeft w:val="0"/>
          <w:marRight w:val="0"/>
          <w:marTop w:val="120"/>
          <w:marBottom w:val="120"/>
          <w:divBdr>
            <w:top w:val="none" w:sz="0" w:space="0" w:color="auto"/>
            <w:left w:val="none" w:sz="0" w:space="0" w:color="auto"/>
            <w:bottom w:val="none" w:sz="0" w:space="0" w:color="auto"/>
            <w:right w:val="none" w:sz="0" w:space="0" w:color="auto"/>
          </w:divBdr>
        </w:div>
        <w:div w:id="564611731">
          <w:marLeft w:val="0"/>
          <w:marRight w:val="0"/>
          <w:marTop w:val="120"/>
          <w:marBottom w:val="120"/>
          <w:divBdr>
            <w:top w:val="none" w:sz="0" w:space="0" w:color="auto"/>
            <w:left w:val="none" w:sz="0" w:space="0" w:color="auto"/>
            <w:bottom w:val="none" w:sz="0" w:space="0" w:color="auto"/>
            <w:right w:val="none" w:sz="0" w:space="0" w:color="auto"/>
          </w:divBdr>
        </w:div>
        <w:div w:id="221017221">
          <w:marLeft w:val="0"/>
          <w:marRight w:val="0"/>
          <w:marTop w:val="120"/>
          <w:marBottom w:val="120"/>
          <w:divBdr>
            <w:top w:val="none" w:sz="0" w:space="0" w:color="auto"/>
            <w:left w:val="none" w:sz="0" w:space="0" w:color="auto"/>
            <w:bottom w:val="none" w:sz="0" w:space="0" w:color="auto"/>
            <w:right w:val="none" w:sz="0" w:space="0" w:color="auto"/>
          </w:divBdr>
        </w:div>
        <w:div w:id="879900733">
          <w:marLeft w:val="0"/>
          <w:marRight w:val="0"/>
          <w:marTop w:val="120"/>
          <w:marBottom w:val="120"/>
          <w:divBdr>
            <w:top w:val="none" w:sz="0" w:space="0" w:color="auto"/>
            <w:left w:val="none" w:sz="0" w:space="0" w:color="auto"/>
            <w:bottom w:val="none" w:sz="0" w:space="0" w:color="auto"/>
            <w:right w:val="none" w:sz="0" w:space="0" w:color="auto"/>
          </w:divBdr>
        </w:div>
        <w:div w:id="148404303">
          <w:marLeft w:val="0"/>
          <w:marRight w:val="0"/>
          <w:marTop w:val="120"/>
          <w:marBottom w:val="120"/>
          <w:divBdr>
            <w:top w:val="none" w:sz="0" w:space="0" w:color="auto"/>
            <w:left w:val="none" w:sz="0" w:space="0" w:color="auto"/>
            <w:bottom w:val="none" w:sz="0" w:space="0" w:color="auto"/>
            <w:right w:val="none" w:sz="0" w:space="0" w:color="auto"/>
          </w:divBdr>
        </w:div>
        <w:div w:id="435953843">
          <w:marLeft w:val="0"/>
          <w:marRight w:val="0"/>
          <w:marTop w:val="120"/>
          <w:marBottom w:val="120"/>
          <w:divBdr>
            <w:top w:val="none" w:sz="0" w:space="0" w:color="auto"/>
            <w:left w:val="none" w:sz="0" w:space="0" w:color="auto"/>
            <w:bottom w:val="none" w:sz="0" w:space="0" w:color="auto"/>
            <w:right w:val="none" w:sz="0" w:space="0" w:color="auto"/>
          </w:divBdr>
        </w:div>
        <w:div w:id="57436899">
          <w:marLeft w:val="0"/>
          <w:marRight w:val="0"/>
          <w:marTop w:val="120"/>
          <w:marBottom w:val="120"/>
          <w:divBdr>
            <w:top w:val="none" w:sz="0" w:space="0" w:color="auto"/>
            <w:left w:val="none" w:sz="0" w:space="0" w:color="auto"/>
            <w:bottom w:val="none" w:sz="0" w:space="0" w:color="auto"/>
            <w:right w:val="none" w:sz="0" w:space="0" w:color="auto"/>
          </w:divBdr>
        </w:div>
      </w:divsChild>
    </w:div>
    <w:div w:id="1114405228">
      <w:bodyDiv w:val="1"/>
      <w:marLeft w:val="0"/>
      <w:marRight w:val="0"/>
      <w:marTop w:val="0"/>
      <w:marBottom w:val="0"/>
      <w:divBdr>
        <w:top w:val="none" w:sz="0" w:space="0" w:color="auto"/>
        <w:left w:val="none" w:sz="0" w:space="0" w:color="auto"/>
        <w:bottom w:val="none" w:sz="0" w:space="0" w:color="auto"/>
        <w:right w:val="none" w:sz="0" w:space="0" w:color="auto"/>
      </w:divBdr>
    </w:div>
    <w:div w:id="1156533815">
      <w:bodyDiv w:val="1"/>
      <w:marLeft w:val="0"/>
      <w:marRight w:val="0"/>
      <w:marTop w:val="0"/>
      <w:marBottom w:val="0"/>
      <w:divBdr>
        <w:top w:val="none" w:sz="0" w:space="0" w:color="auto"/>
        <w:left w:val="none" w:sz="0" w:space="0" w:color="auto"/>
        <w:bottom w:val="none" w:sz="0" w:space="0" w:color="auto"/>
        <w:right w:val="none" w:sz="0" w:space="0" w:color="auto"/>
      </w:divBdr>
      <w:divsChild>
        <w:div w:id="2113746646">
          <w:marLeft w:val="0"/>
          <w:marRight w:val="0"/>
          <w:marTop w:val="0"/>
          <w:marBottom w:val="0"/>
          <w:divBdr>
            <w:top w:val="none" w:sz="0" w:space="0" w:color="auto"/>
            <w:left w:val="none" w:sz="0" w:space="0" w:color="auto"/>
            <w:bottom w:val="none" w:sz="0" w:space="0" w:color="auto"/>
            <w:right w:val="none" w:sz="0" w:space="0" w:color="auto"/>
          </w:divBdr>
        </w:div>
      </w:divsChild>
    </w:div>
    <w:div w:id="1229537525">
      <w:bodyDiv w:val="1"/>
      <w:marLeft w:val="0"/>
      <w:marRight w:val="0"/>
      <w:marTop w:val="0"/>
      <w:marBottom w:val="0"/>
      <w:divBdr>
        <w:top w:val="none" w:sz="0" w:space="0" w:color="auto"/>
        <w:left w:val="none" w:sz="0" w:space="0" w:color="auto"/>
        <w:bottom w:val="none" w:sz="0" w:space="0" w:color="auto"/>
        <w:right w:val="none" w:sz="0" w:space="0" w:color="auto"/>
      </w:divBdr>
      <w:divsChild>
        <w:div w:id="889075878">
          <w:marLeft w:val="0"/>
          <w:marRight w:val="0"/>
          <w:marTop w:val="120"/>
          <w:marBottom w:val="120"/>
          <w:divBdr>
            <w:top w:val="none" w:sz="0" w:space="0" w:color="auto"/>
            <w:left w:val="none" w:sz="0" w:space="0" w:color="auto"/>
            <w:bottom w:val="none" w:sz="0" w:space="0" w:color="auto"/>
            <w:right w:val="none" w:sz="0" w:space="0" w:color="auto"/>
          </w:divBdr>
        </w:div>
      </w:divsChild>
    </w:div>
    <w:div w:id="1259216989">
      <w:bodyDiv w:val="1"/>
      <w:marLeft w:val="0"/>
      <w:marRight w:val="0"/>
      <w:marTop w:val="0"/>
      <w:marBottom w:val="0"/>
      <w:divBdr>
        <w:top w:val="none" w:sz="0" w:space="0" w:color="auto"/>
        <w:left w:val="none" w:sz="0" w:space="0" w:color="auto"/>
        <w:bottom w:val="none" w:sz="0" w:space="0" w:color="auto"/>
        <w:right w:val="none" w:sz="0" w:space="0" w:color="auto"/>
      </w:divBdr>
    </w:div>
    <w:div w:id="1376082661">
      <w:bodyDiv w:val="1"/>
      <w:marLeft w:val="0"/>
      <w:marRight w:val="0"/>
      <w:marTop w:val="0"/>
      <w:marBottom w:val="0"/>
      <w:divBdr>
        <w:top w:val="none" w:sz="0" w:space="0" w:color="auto"/>
        <w:left w:val="none" w:sz="0" w:space="0" w:color="auto"/>
        <w:bottom w:val="none" w:sz="0" w:space="0" w:color="auto"/>
        <w:right w:val="none" w:sz="0" w:space="0" w:color="auto"/>
      </w:divBdr>
    </w:div>
    <w:div w:id="1538156069">
      <w:bodyDiv w:val="1"/>
      <w:marLeft w:val="0"/>
      <w:marRight w:val="0"/>
      <w:marTop w:val="0"/>
      <w:marBottom w:val="0"/>
      <w:divBdr>
        <w:top w:val="none" w:sz="0" w:space="0" w:color="auto"/>
        <w:left w:val="none" w:sz="0" w:space="0" w:color="auto"/>
        <w:bottom w:val="none" w:sz="0" w:space="0" w:color="auto"/>
        <w:right w:val="none" w:sz="0" w:space="0" w:color="auto"/>
      </w:divBdr>
    </w:div>
    <w:div w:id="1553930360">
      <w:bodyDiv w:val="1"/>
      <w:marLeft w:val="0"/>
      <w:marRight w:val="0"/>
      <w:marTop w:val="0"/>
      <w:marBottom w:val="0"/>
      <w:divBdr>
        <w:top w:val="none" w:sz="0" w:space="0" w:color="auto"/>
        <w:left w:val="none" w:sz="0" w:space="0" w:color="auto"/>
        <w:bottom w:val="none" w:sz="0" w:space="0" w:color="auto"/>
        <w:right w:val="none" w:sz="0" w:space="0" w:color="auto"/>
      </w:divBdr>
    </w:div>
    <w:div w:id="1575430954">
      <w:bodyDiv w:val="1"/>
      <w:marLeft w:val="0"/>
      <w:marRight w:val="0"/>
      <w:marTop w:val="0"/>
      <w:marBottom w:val="0"/>
      <w:divBdr>
        <w:top w:val="none" w:sz="0" w:space="0" w:color="auto"/>
        <w:left w:val="none" w:sz="0" w:space="0" w:color="auto"/>
        <w:bottom w:val="none" w:sz="0" w:space="0" w:color="auto"/>
        <w:right w:val="none" w:sz="0" w:space="0" w:color="auto"/>
      </w:divBdr>
    </w:div>
    <w:div w:id="1609042972">
      <w:bodyDiv w:val="1"/>
      <w:marLeft w:val="0"/>
      <w:marRight w:val="0"/>
      <w:marTop w:val="0"/>
      <w:marBottom w:val="0"/>
      <w:divBdr>
        <w:top w:val="none" w:sz="0" w:space="0" w:color="auto"/>
        <w:left w:val="none" w:sz="0" w:space="0" w:color="auto"/>
        <w:bottom w:val="none" w:sz="0" w:space="0" w:color="auto"/>
        <w:right w:val="none" w:sz="0" w:space="0" w:color="auto"/>
      </w:divBdr>
    </w:div>
    <w:div w:id="1644852212">
      <w:bodyDiv w:val="1"/>
      <w:marLeft w:val="0"/>
      <w:marRight w:val="0"/>
      <w:marTop w:val="0"/>
      <w:marBottom w:val="0"/>
      <w:divBdr>
        <w:top w:val="none" w:sz="0" w:space="0" w:color="auto"/>
        <w:left w:val="none" w:sz="0" w:space="0" w:color="auto"/>
        <w:bottom w:val="none" w:sz="0" w:space="0" w:color="auto"/>
        <w:right w:val="none" w:sz="0" w:space="0" w:color="auto"/>
      </w:divBdr>
    </w:div>
    <w:div w:id="1656907877">
      <w:bodyDiv w:val="1"/>
      <w:marLeft w:val="0"/>
      <w:marRight w:val="0"/>
      <w:marTop w:val="0"/>
      <w:marBottom w:val="0"/>
      <w:divBdr>
        <w:top w:val="none" w:sz="0" w:space="0" w:color="auto"/>
        <w:left w:val="none" w:sz="0" w:space="0" w:color="auto"/>
        <w:bottom w:val="none" w:sz="0" w:space="0" w:color="auto"/>
        <w:right w:val="none" w:sz="0" w:space="0" w:color="auto"/>
      </w:divBdr>
    </w:div>
    <w:div w:id="1757630832">
      <w:bodyDiv w:val="1"/>
      <w:marLeft w:val="0"/>
      <w:marRight w:val="0"/>
      <w:marTop w:val="0"/>
      <w:marBottom w:val="0"/>
      <w:divBdr>
        <w:top w:val="none" w:sz="0" w:space="0" w:color="auto"/>
        <w:left w:val="none" w:sz="0" w:space="0" w:color="auto"/>
        <w:bottom w:val="none" w:sz="0" w:space="0" w:color="auto"/>
        <w:right w:val="none" w:sz="0" w:space="0" w:color="auto"/>
      </w:divBdr>
    </w:div>
    <w:div w:id="1762096897">
      <w:bodyDiv w:val="1"/>
      <w:marLeft w:val="0"/>
      <w:marRight w:val="0"/>
      <w:marTop w:val="0"/>
      <w:marBottom w:val="0"/>
      <w:divBdr>
        <w:top w:val="none" w:sz="0" w:space="0" w:color="auto"/>
        <w:left w:val="none" w:sz="0" w:space="0" w:color="auto"/>
        <w:bottom w:val="none" w:sz="0" w:space="0" w:color="auto"/>
        <w:right w:val="none" w:sz="0" w:space="0" w:color="auto"/>
      </w:divBdr>
    </w:div>
    <w:div w:id="1923683730">
      <w:bodyDiv w:val="1"/>
      <w:marLeft w:val="0"/>
      <w:marRight w:val="0"/>
      <w:marTop w:val="0"/>
      <w:marBottom w:val="0"/>
      <w:divBdr>
        <w:top w:val="none" w:sz="0" w:space="0" w:color="auto"/>
        <w:left w:val="none" w:sz="0" w:space="0" w:color="auto"/>
        <w:bottom w:val="none" w:sz="0" w:space="0" w:color="auto"/>
        <w:right w:val="none" w:sz="0" w:space="0" w:color="auto"/>
      </w:divBdr>
    </w:div>
    <w:div w:id="1927030082">
      <w:bodyDiv w:val="1"/>
      <w:marLeft w:val="0"/>
      <w:marRight w:val="0"/>
      <w:marTop w:val="0"/>
      <w:marBottom w:val="0"/>
      <w:divBdr>
        <w:top w:val="none" w:sz="0" w:space="0" w:color="auto"/>
        <w:left w:val="none" w:sz="0" w:space="0" w:color="auto"/>
        <w:bottom w:val="none" w:sz="0" w:space="0" w:color="auto"/>
        <w:right w:val="none" w:sz="0" w:space="0" w:color="auto"/>
      </w:divBdr>
      <w:divsChild>
        <w:div w:id="1882207575">
          <w:marLeft w:val="0"/>
          <w:marRight w:val="0"/>
          <w:marTop w:val="120"/>
          <w:marBottom w:val="120"/>
          <w:divBdr>
            <w:top w:val="none" w:sz="0" w:space="0" w:color="auto"/>
            <w:left w:val="none" w:sz="0" w:space="0" w:color="auto"/>
            <w:bottom w:val="none" w:sz="0" w:space="0" w:color="auto"/>
            <w:right w:val="none" w:sz="0" w:space="0" w:color="auto"/>
          </w:divBdr>
        </w:div>
        <w:div w:id="1930196563">
          <w:marLeft w:val="0"/>
          <w:marRight w:val="0"/>
          <w:marTop w:val="120"/>
          <w:marBottom w:val="120"/>
          <w:divBdr>
            <w:top w:val="none" w:sz="0" w:space="0" w:color="auto"/>
            <w:left w:val="none" w:sz="0" w:space="0" w:color="auto"/>
            <w:bottom w:val="none" w:sz="0" w:space="0" w:color="auto"/>
            <w:right w:val="none" w:sz="0" w:space="0" w:color="auto"/>
          </w:divBdr>
        </w:div>
        <w:div w:id="1871448739">
          <w:marLeft w:val="0"/>
          <w:marRight w:val="0"/>
          <w:marTop w:val="120"/>
          <w:marBottom w:val="120"/>
          <w:divBdr>
            <w:top w:val="none" w:sz="0" w:space="0" w:color="auto"/>
            <w:left w:val="none" w:sz="0" w:space="0" w:color="auto"/>
            <w:bottom w:val="none" w:sz="0" w:space="0" w:color="auto"/>
            <w:right w:val="none" w:sz="0" w:space="0" w:color="auto"/>
          </w:divBdr>
        </w:div>
        <w:div w:id="760178394">
          <w:marLeft w:val="0"/>
          <w:marRight w:val="0"/>
          <w:marTop w:val="120"/>
          <w:marBottom w:val="120"/>
          <w:divBdr>
            <w:top w:val="none" w:sz="0" w:space="0" w:color="auto"/>
            <w:left w:val="none" w:sz="0" w:space="0" w:color="auto"/>
            <w:bottom w:val="none" w:sz="0" w:space="0" w:color="auto"/>
            <w:right w:val="none" w:sz="0" w:space="0" w:color="auto"/>
          </w:divBdr>
        </w:div>
      </w:divsChild>
    </w:div>
    <w:div w:id="2026011306">
      <w:bodyDiv w:val="1"/>
      <w:marLeft w:val="0"/>
      <w:marRight w:val="0"/>
      <w:marTop w:val="0"/>
      <w:marBottom w:val="0"/>
      <w:divBdr>
        <w:top w:val="none" w:sz="0" w:space="0" w:color="auto"/>
        <w:left w:val="none" w:sz="0" w:space="0" w:color="auto"/>
        <w:bottom w:val="none" w:sz="0" w:space="0" w:color="auto"/>
        <w:right w:val="none" w:sz="0" w:space="0" w:color="auto"/>
      </w:divBdr>
      <w:divsChild>
        <w:div w:id="175653350">
          <w:marLeft w:val="0"/>
          <w:marRight w:val="0"/>
          <w:marTop w:val="120"/>
          <w:marBottom w:val="120"/>
          <w:divBdr>
            <w:top w:val="none" w:sz="0" w:space="0" w:color="auto"/>
            <w:left w:val="none" w:sz="0" w:space="0" w:color="auto"/>
            <w:bottom w:val="none" w:sz="0" w:space="0" w:color="auto"/>
            <w:right w:val="none" w:sz="0" w:space="0" w:color="auto"/>
          </w:divBdr>
        </w:div>
        <w:div w:id="621620477">
          <w:marLeft w:val="0"/>
          <w:marRight w:val="0"/>
          <w:marTop w:val="120"/>
          <w:marBottom w:val="120"/>
          <w:divBdr>
            <w:top w:val="none" w:sz="0" w:space="0" w:color="auto"/>
            <w:left w:val="none" w:sz="0" w:space="0" w:color="auto"/>
            <w:bottom w:val="none" w:sz="0" w:space="0" w:color="auto"/>
            <w:right w:val="none" w:sz="0" w:space="0" w:color="auto"/>
          </w:divBdr>
        </w:div>
        <w:div w:id="2033531226">
          <w:marLeft w:val="0"/>
          <w:marRight w:val="0"/>
          <w:marTop w:val="120"/>
          <w:marBottom w:val="120"/>
          <w:divBdr>
            <w:top w:val="none" w:sz="0" w:space="0" w:color="auto"/>
            <w:left w:val="none" w:sz="0" w:space="0" w:color="auto"/>
            <w:bottom w:val="none" w:sz="0" w:space="0" w:color="auto"/>
            <w:right w:val="none" w:sz="0" w:space="0" w:color="auto"/>
          </w:divBdr>
        </w:div>
        <w:div w:id="1008873598">
          <w:marLeft w:val="0"/>
          <w:marRight w:val="0"/>
          <w:marTop w:val="120"/>
          <w:marBottom w:val="120"/>
          <w:divBdr>
            <w:top w:val="none" w:sz="0" w:space="0" w:color="auto"/>
            <w:left w:val="none" w:sz="0" w:space="0" w:color="auto"/>
            <w:bottom w:val="none" w:sz="0" w:space="0" w:color="auto"/>
            <w:right w:val="none" w:sz="0" w:space="0" w:color="auto"/>
          </w:divBdr>
        </w:div>
        <w:div w:id="1865826565">
          <w:marLeft w:val="0"/>
          <w:marRight w:val="0"/>
          <w:marTop w:val="120"/>
          <w:marBottom w:val="120"/>
          <w:divBdr>
            <w:top w:val="none" w:sz="0" w:space="0" w:color="auto"/>
            <w:left w:val="none" w:sz="0" w:space="0" w:color="auto"/>
            <w:bottom w:val="none" w:sz="0" w:space="0" w:color="auto"/>
            <w:right w:val="none" w:sz="0" w:space="0" w:color="auto"/>
          </w:divBdr>
        </w:div>
        <w:div w:id="2081436731">
          <w:marLeft w:val="0"/>
          <w:marRight w:val="0"/>
          <w:marTop w:val="120"/>
          <w:marBottom w:val="120"/>
          <w:divBdr>
            <w:top w:val="none" w:sz="0" w:space="0" w:color="auto"/>
            <w:left w:val="none" w:sz="0" w:space="0" w:color="auto"/>
            <w:bottom w:val="none" w:sz="0" w:space="0" w:color="auto"/>
            <w:right w:val="none" w:sz="0" w:space="0" w:color="auto"/>
          </w:divBdr>
        </w:div>
        <w:div w:id="1208177962">
          <w:marLeft w:val="0"/>
          <w:marRight w:val="0"/>
          <w:marTop w:val="120"/>
          <w:marBottom w:val="120"/>
          <w:divBdr>
            <w:top w:val="none" w:sz="0" w:space="0" w:color="auto"/>
            <w:left w:val="none" w:sz="0" w:space="0" w:color="auto"/>
            <w:bottom w:val="none" w:sz="0" w:space="0" w:color="auto"/>
            <w:right w:val="none" w:sz="0" w:space="0" w:color="auto"/>
          </w:divBdr>
        </w:div>
        <w:div w:id="1215433614">
          <w:marLeft w:val="0"/>
          <w:marRight w:val="0"/>
          <w:marTop w:val="120"/>
          <w:marBottom w:val="120"/>
          <w:divBdr>
            <w:top w:val="none" w:sz="0" w:space="0" w:color="auto"/>
            <w:left w:val="none" w:sz="0" w:space="0" w:color="auto"/>
            <w:bottom w:val="none" w:sz="0" w:space="0" w:color="auto"/>
            <w:right w:val="none" w:sz="0" w:space="0" w:color="auto"/>
          </w:divBdr>
        </w:div>
        <w:div w:id="1509098051">
          <w:marLeft w:val="0"/>
          <w:marRight w:val="0"/>
          <w:marTop w:val="120"/>
          <w:marBottom w:val="120"/>
          <w:divBdr>
            <w:top w:val="none" w:sz="0" w:space="0" w:color="auto"/>
            <w:left w:val="none" w:sz="0" w:space="0" w:color="auto"/>
            <w:bottom w:val="none" w:sz="0" w:space="0" w:color="auto"/>
            <w:right w:val="none" w:sz="0" w:space="0" w:color="auto"/>
          </w:divBdr>
        </w:div>
        <w:div w:id="1005127492">
          <w:marLeft w:val="0"/>
          <w:marRight w:val="0"/>
          <w:marTop w:val="120"/>
          <w:marBottom w:val="120"/>
          <w:divBdr>
            <w:top w:val="none" w:sz="0" w:space="0" w:color="auto"/>
            <w:left w:val="none" w:sz="0" w:space="0" w:color="auto"/>
            <w:bottom w:val="none" w:sz="0" w:space="0" w:color="auto"/>
            <w:right w:val="none" w:sz="0" w:space="0" w:color="auto"/>
          </w:divBdr>
        </w:div>
        <w:div w:id="968239475">
          <w:marLeft w:val="0"/>
          <w:marRight w:val="0"/>
          <w:marTop w:val="120"/>
          <w:marBottom w:val="120"/>
          <w:divBdr>
            <w:top w:val="none" w:sz="0" w:space="0" w:color="auto"/>
            <w:left w:val="none" w:sz="0" w:space="0" w:color="auto"/>
            <w:bottom w:val="none" w:sz="0" w:space="0" w:color="auto"/>
            <w:right w:val="none" w:sz="0" w:space="0" w:color="auto"/>
          </w:divBdr>
        </w:div>
        <w:div w:id="1097403179">
          <w:marLeft w:val="0"/>
          <w:marRight w:val="0"/>
          <w:marTop w:val="120"/>
          <w:marBottom w:val="120"/>
          <w:divBdr>
            <w:top w:val="none" w:sz="0" w:space="0" w:color="auto"/>
            <w:left w:val="none" w:sz="0" w:space="0" w:color="auto"/>
            <w:bottom w:val="none" w:sz="0" w:space="0" w:color="auto"/>
            <w:right w:val="none" w:sz="0" w:space="0" w:color="auto"/>
          </w:divBdr>
        </w:div>
      </w:divsChild>
    </w:div>
    <w:div w:id="2101949927">
      <w:bodyDiv w:val="1"/>
      <w:marLeft w:val="0"/>
      <w:marRight w:val="0"/>
      <w:marTop w:val="0"/>
      <w:marBottom w:val="0"/>
      <w:divBdr>
        <w:top w:val="none" w:sz="0" w:space="0" w:color="auto"/>
        <w:left w:val="none" w:sz="0" w:space="0" w:color="auto"/>
        <w:bottom w:val="none" w:sz="0" w:space="0" w:color="auto"/>
        <w:right w:val="none" w:sz="0" w:space="0" w:color="auto"/>
      </w:divBdr>
    </w:div>
    <w:div w:id="214095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89E65-15AD-420C-95F0-DEC0A39FA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3326</Words>
  <Characters>18963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Sonia Tariq (2208954)</cp:lastModifiedBy>
  <cp:revision>2</cp:revision>
  <dcterms:created xsi:type="dcterms:W3CDTF">2025-11-14T22:38:00Z</dcterms:created>
  <dcterms:modified xsi:type="dcterms:W3CDTF">2025-11-14T22:38:00Z</dcterms:modified>
</cp:coreProperties>
</file>