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000" w:firstRow="0" w:lastRow="0" w:firstColumn="0" w:lastColumn="0" w:noHBand="0" w:noVBand="0"/>
      </w:tblPr>
      <w:tblGrid>
        <w:gridCol w:w="1368"/>
        <w:gridCol w:w="3829"/>
        <w:gridCol w:w="3829"/>
      </w:tblGrid>
      <w:tr w:rsidR="009C3A56" w14:paraId="466F875F" w14:textId="77777777" w:rsidTr="009C3A56">
        <w:tblPrEx>
          <w:tblCellMar>
            <w:top w:w="0" w:type="dxa"/>
            <w:bottom w:w="0" w:type="dxa"/>
          </w:tblCellMar>
        </w:tblPrEx>
        <w:trPr>
          <w:trHeight w:val="4000"/>
        </w:trPr>
        <w:tc>
          <w:tcPr>
            <w:tcW w:w="1368" w:type="dxa"/>
          </w:tcPr>
          <w:p w14:paraId="122831A2" w14:textId="77777777" w:rsidR="009C3A56" w:rsidRDefault="009C3A56">
            <w:r>
              <w:t>Slide 1</w:t>
            </w:r>
          </w:p>
        </w:tc>
        <w:tc>
          <w:tcPr>
            <w:tcW w:w="3829" w:type="dxa"/>
          </w:tcPr>
          <w:p w14:paraId="2B04C229" w14:textId="77777777" w:rsidR="009C3A56" w:rsidRDefault="009C3A56">
            <w:r>
              <w:object w:dxaOrig="9594" w:dyaOrig="5396" w14:anchorId="30A15E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10046259" r:id="rId6"/>
              </w:object>
            </w:r>
          </w:p>
        </w:tc>
        <w:tc>
          <w:tcPr>
            <w:tcW w:w="3829" w:type="dxa"/>
          </w:tcPr>
          <w:p w14:paraId="70995C1C" w14:textId="77777777" w:rsidR="009C3A56" w:rsidRDefault="009C3A56"/>
        </w:tc>
      </w:tr>
      <w:tr w:rsidR="009C3A56" w14:paraId="1F2B6BE4" w14:textId="77777777" w:rsidTr="009C3A56">
        <w:tblPrEx>
          <w:tblCellMar>
            <w:top w:w="0" w:type="dxa"/>
            <w:bottom w:w="0" w:type="dxa"/>
          </w:tblCellMar>
        </w:tblPrEx>
        <w:trPr>
          <w:trHeight w:val="4000"/>
        </w:trPr>
        <w:tc>
          <w:tcPr>
            <w:tcW w:w="1368" w:type="dxa"/>
          </w:tcPr>
          <w:p w14:paraId="3FA92240" w14:textId="77777777" w:rsidR="009C3A56" w:rsidRDefault="009C3A56">
            <w:r>
              <w:t>Slide 2</w:t>
            </w:r>
          </w:p>
        </w:tc>
        <w:tc>
          <w:tcPr>
            <w:tcW w:w="3829" w:type="dxa"/>
          </w:tcPr>
          <w:p w14:paraId="5693C9D0" w14:textId="77777777" w:rsidR="009C3A56" w:rsidRDefault="009C3A56">
            <w:r>
              <w:object w:dxaOrig="9594" w:dyaOrig="5396" w14:anchorId="39C47E7F">
                <v:shape id="_x0000_i1030" type="#_x0000_t75" style="width:192pt;height:10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610046260" r:id="rId8"/>
              </w:object>
            </w:r>
          </w:p>
        </w:tc>
        <w:tc>
          <w:tcPr>
            <w:tcW w:w="3829" w:type="dxa"/>
          </w:tcPr>
          <w:p w14:paraId="7EB22539"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Several scholars have taken certain positions on the social meaning and relations between humans and the materiality's – and some have written more precisely on plastic. But do these two ethnographic case studies corroborate these scholars? </w:t>
            </w:r>
          </w:p>
          <w:p w14:paraId="134AF4CB" w14:textId="77777777" w:rsidR="009C3A56" w:rsidRDefault="009C3A56" w:rsidP="009C3A56">
            <w:pPr>
              <w:autoSpaceDE w:val="0"/>
              <w:autoSpaceDN w:val="0"/>
              <w:adjustRightInd w:val="0"/>
              <w:spacing w:after="0" w:line="240" w:lineRule="auto"/>
              <w:rPr>
                <w:rFonts w:ascii="Calibri" w:hAnsi="Calibri" w:cs="Calibri"/>
                <w:kern w:val="24"/>
                <w:sz w:val="24"/>
                <w:szCs w:val="24"/>
              </w:rPr>
            </w:pPr>
          </w:p>
          <w:p w14:paraId="3D9DD79A" w14:textId="77777777" w:rsidR="009C3A56" w:rsidRDefault="009C3A56" w:rsidP="009C3A56">
            <w:pPr>
              <w:autoSpaceDE w:val="0"/>
              <w:autoSpaceDN w:val="0"/>
              <w:adjustRightInd w:val="0"/>
              <w:spacing w:after="0" w:line="240" w:lineRule="auto"/>
              <w:rPr>
                <w:rFonts w:ascii="Arial" w:hAnsi="Arial" w:cs="Arial"/>
                <w:sz w:val="24"/>
                <w:szCs w:val="24"/>
              </w:rPr>
            </w:pPr>
          </w:p>
          <w:p w14:paraId="6B651033" w14:textId="77777777" w:rsidR="009C3A56" w:rsidRDefault="009C3A56"/>
        </w:tc>
      </w:tr>
      <w:tr w:rsidR="009C3A56" w14:paraId="3BE60F31" w14:textId="77777777" w:rsidTr="009C3A56">
        <w:tblPrEx>
          <w:tblCellMar>
            <w:top w:w="0" w:type="dxa"/>
            <w:bottom w:w="0" w:type="dxa"/>
          </w:tblCellMar>
        </w:tblPrEx>
        <w:trPr>
          <w:trHeight w:val="4000"/>
        </w:trPr>
        <w:tc>
          <w:tcPr>
            <w:tcW w:w="1368" w:type="dxa"/>
          </w:tcPr>
          <w:p w14:paraId="5FD6CAF0" w14:textId="77777777" w:rsidR="009C3A56" w:rsidRDefault="009C3A56">
            <w:r>
              <w:t>Slide 3</w:t>
            </w:r>
          </w:p>
        </w:tc>
        <w:tc>
          <w:tcPr>
            <w:tcW w:w="3829" w:type="dxa"/>
          </w:tcPr>
          <w:p w14:paraId="4E345378" w14:textId="77777777" w:rsidR="009C3A56" w:rsidRDefault="009C3A56">
            <w:r>
              <w:object w:dxaOrig="9594" w:dyaOrig="5396" w14:anchorId="4235AF65">
                <v:shape id="_x0000_i1036" type="#_x0000_t75" style="width:192pt;height:10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6" DrawAspect="Content" ObjectID="_1610046261" r:id="rId10"/>
              </w:object>
            </w:r>
          </w:p>
        </w:tc>
        <w:tc>
          <w:tcPr>
            <w:tcW w:w="3829" w:type="dxa"/>
          </w:tcPr>
          <w:p w14:paraId="48730D37"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Thompson had a theory of how rubbish gained value – he categorised objects in a schematic framework as either “Durable” or “Transient” (Thompson, 2017, p. 7) and the figure above demonstrates how objects were gradually re-classified into different categories (Thompson, 2017, p. 9-10). For Thompson the boundaries of what is rubbish is defined by responses to social pressures (Thompson, 2017, p. 11)</w:t>
            </w:r>
            <w:r>
              <w:rPr>
                <w:rFonts w:ascii="Calibri" w:hAnsi="Calibri" w:cs="Calibri"/>
                <w:kern w:val="24"/>
                <w:sz w:val="24"/>
                <w:szCs w:val="24"/>
              </w:rPr>
              <w:br/>
              <w:t xml:space="preserve">Thompson argued that “We have to recognise that the qualities objects have are conferred to them by society itself and that nature only plays the supporting and negative role of rejecting those qualities that happen to be physically impossible” </w:t>
            </w:r>
            <w:r>
              <w:rPr>
                <w:rFonts w:ascii="Calibri" w:hAnsi="Calibri" w:cs="Calibri"/>
                <w:kern w:val="24"/>
                <w:sz w:val="24"/>
                <w:szCs w:val="24"/>
              </w:rPr>
              <w:lastRenderedPageBreak/>
              <w:t>(1979, p. 9) He also stated that “We (also) impose order upon nature by whittling it down to manageable proportions. We make things important by making other things unimportant” (Thompson, 1979, p. 91). He argues we are feeling psychologically secure and normal when what we have rubbish in where we have designated it to be and “we only notice rubbish when it is in the wrong place” (Thompson, 2007, p. 91-92)</w:t>
            </w:r>
          </w:p>
          <w:p w14:paraId="00CEE308" w14:textId="77777777" w:rsidR="009C3A56" w:rsidRDefault="009C3A56" w:rsidP="009C3A56">
            <w:pPr>
              <w:autoSpaceDE w:val="0"/>
              <w:autoSpaceDN w:val="0"/>
              <w:adjustRightInd w:val="0"/>
              <w:spacing w:after="0" w:line="240" w:lineRule="auto"/>
              <w:rPr>
                <w:rFonts w:ascii="Arial" w:hAnsi="Arial" w:cs="Arial"/>
                <w:sz w:val="24"/>
                <w:szCs w:val="24"/>
              </w:rPr>
            </w:pPr>
          </w:p>
          <w:p w14:paraId="1BE85A8A" w14:textId="77777777" w:rsidR="009C3A56" w:rsidRDefault="009C3A56"/>
        </w:tc>
      </w:tr>
      <w:tr w:rsidR="009C3A56" w14:paraId="623E1130" w14:textId="77777777" w:rsidTr="009C3A56">
        <w:tblPrEx>
          <w:tblCellMar>
            <w:top w:w="0" w:type="dxa"/>
            <w:bottom w:w="0" w:type="dxa"/>
          </w:tblCellMar>
        </w:tblPrEx>
        <w:trPr>
          <w:trHeight w:val="4000"/>
        </w:trPr>
        <w:tc>
          <w:tcPr>
            <w:tcW w:w="1368" w:type="dxa"/>
          </w:tcPr>
          <w:p w14:paraId="03E18C7B" w14:textId="77777777" w:rsidR="009C3A56" w:rsidRDefault="009C3A56">
            <w:r>
              <w:lastRenderedPageBreak/>
              <w:t>Slide 4</w:t>
            </w:r>
          </w:p>
        </w:tc>
        <w:tc>
          <w:tcPr>
            <w:tcW w:w="3829" w:type="dxa"/>
          </w:tcPr>
          <w:p w14:paraId="7ED6F2FE" w14:textId="77777777" w:rsidR="009C3A56" w:rsidRDefault="009C3A56">
            <w:r>
              <w:object w:dxaOrig="9594" w:dyaOrig="5396" w14:anchorId="209686B1">
                <v:shape id="_x0000_i1042" type="#_x0000_t75" style="width:192pt;height: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2" DrawAspect="Content" ObjectID="_1610046262" r:id="rId12"/>
              </w:object>
            </w:r>
          </w:p>
        </w:tc>
        <w:tc>
          <w:tcPr>
            <w:tcW w:w="3829" w:type="dxa"/>
          </w:tcPr>
          <w:p w14:paraId="1734EFD7"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Argues that Thompsons doesn’t specify specific practices which effect his rubbish theory (Parsons, 2007, p. 392)</w:t>
            </w:r>
          </w:p>
          <w:p w14:paraId="64E1BE6E"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Gabriel and Lang explores the concept that rubbish and plastic in particular as well may be seen by people as a `bargain hunt` (1995, p, 67) – Parsons does explore their points (Parsons, 2007, p. 392) by suggesting that the act of finding plastic that has been thrown away by others would indicate that they have discovered a quality that others (or even themselves at points) have overlooked (Parsons, 2007, p. 392).</w:t>
            </w:r>
          </w:p>
          <w:p w14:paraId="43536C0F"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Parsons also talks about how objects would undergo a form of transformation where they would regain some value, of which instances of could be people find new uses for old things to fit in with contemporary lifestyles (i.e. the use of old bathtubs as garden planters) (Parsons, 2007, p. 392)</w:t>
            </w:r>
          </w:p>
          <w:p w14:paraId="72655D14" w14:textId="77777777" w:rsidR="009C3A56" w:rsidRDefault="009C3A56" w:rsidP="009C3A56">
            <w:pPr>
              <w:autoSpaceDE w:val="0"/>
              <w:autoSpaceDN w:val="0"/>
              <w:adjustRightInd w:val="0"/>
              <w:spacing w:after="0" w:line="240" w:lineRule="auto"/>
              <w:rPr>
                <w:rFonts w:ascii="Calibri" w:hAnsi="Calibri" w:cs="Calibri"/>
                <w:kern w:val="24"/>
                <w:sz w:val="24"/>
                <w:szCs w:val="24"/>
              </w:rPr>
            </w:pPr>
          </w:p>
          <w:p w14:paraId="35B0BC1B" w14:textId="77777777" w:rsidR="009C3A56" w:rsidRDefault="009C3A56" w:rsidP="009C3A56">
            <w:pPr>
              <w:autoSpaceDE w:val="0"/>
              <w:autoSpaceDN w:val="0"/>
              <w:adjustRightInd w:val="0"/>
              <w:spacing w:after="0" w:line="240" w:lineRule="auto"/>
              <w:rPr>
                <w:rFonts w:ascii="Calibri" w:hAnsi="Calibri" w:cs="Calibri"/>
                <w:kern w:val="24"/>
                <w:sz w:val="24"/>
                <w:szCs w:val="24"/>
              </w:rPr>
            </w:pPr>
          </w:p>
          <w:p w14:paraId="582D2AC1" w14:textId="77777777" w:rsidR="009C3A56" w:rsidRDefault="009C3A56" w:rsidP="009C3A56">
            <w:pPr>
              <w:autoSpaceDE w:val="0"/>
              <w:autoSpaceDN w:val="0"/>
              <w:adjustRightInd w:val="0"/>
              <w:spacing w:after="0" w:line="240" w:lineRule="auto"/>
              <w:rPr>
                <w:rFonts w:ascii="Calibri" w:hAnsi="Calibri" w:cs="Calibri"/>
                <w:kern w:val="24"/>
                <w:sz w:val="24"/>
                <w:szCs w:val="24"/>
              </w:rPr>
            </w:pPr>
          </w:p>
          <w:p w14:paraId="57CE0AE0" w14:textId="77777777" w:rsidR="009C3A56" w:rsidRDefault="009C3A56" w:rsidP="009C3A56">
            <w:pPr>
              <w:autoSpaceDE w:val="0"/>
              <w:autoSpaceDN w:val="0"/>
              <w:adjustRightInd w:val="0"/>
              <w:spacing w:after="0" w:line="240" w:lineRule="auto"/>
              <w:rPr>
                <w:rFonts w:ascii="Arial" w:hAnsi="Arial" w:cs="Arial"/>
                <w:sz w:val="24"/>
                <w:szCs w:val="24"/>
              </w:rPr>
            </w:pPr>
          </w:p>
          <w:p w14:paraId="16840846" w14:textId="77777777" w:rsidR="009C3A56" w:rsidRDefault="009C3A56"/>
        </w:tc>
      </w:tr>
      <w:tr w:rsidR="009C3A56" w14:paraId="58FDD5BF" w14:textId="77777777" w:rsidTr="009C3A56">
        <w:tblPrEx>
          <w:tblCellMar>
            <w:top w:w="0" w:type="dxa"/>
            <w:bottom w:w="0" w:type="dxa"/>
          </w:tblCellMar>
        </w:tblPrEx>
        <w:trPr>
          <w:trHeight w:val="4000"/>
        </w:trPr>
        <w:tc>
          <w:tcPr>
            <w:tcW w:w="1368" w:type="dxa"/>
          </w:tcPr>
          <w:p w14:paraId="02263B47" w14:textId="77777777" w:rsidR="009C3A56" w:rsidRDefault="009C3A56">
            <w:r>
              <w:lastRenderedPageBreak/>
              <w:t>Slide 5</w:t>
            </w:r>
          </w:p>
        </w:tc>
        <w:tc>
          <w:tcPr>
            <w:tcW w:w="3829" w:type="dxa"/>
          </w:tcPr>
          <w:p w14:paraId="0FBCC84C" w14:textId="77777777" w:rsidR="009C3A56" w:rsidRDefault="009C3A56">
            <w:r>
              <w:object w:dxaOrig="9594" w:dyaOrig="5396" w14:anchorId="49B9F557">
                <v:shape id="_x0000_i1048" type="#_x0000_t75" style="width:192pt;height:10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8" DrawAspect="Content" ObjectID="_1610046263" r:id="rId14"/>
              </w:object>
            </w:r>
          </w:p>
        </w:tc>
        <w:tc>
          <w:tcPr>
            <w:tcW w:w="3829" w:type="dxa"/>
          </w:tcPr>
          <w:p w14:paraId="585CB33F"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Argues the main cultural aspect of plastic is it `disposability` (Hawkins, 2017, p. 18)</w:t>
            </w:r>
          </w:p>
          <w:p w14:paraId="77556C19"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She states that plastic has culturally changed conduct: it demands ethical blindness and wastefulness (Hawkins, 2017, p. 20)</w:t>
            </w:r>
          </w:p>
          <w:p w14:paraId="2320F0B9"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This happened though it being increasingly used as a “transitional medium: something to be looked through and overlooked” via packaging. </w:t>
            </w:r>
            <w:proofErr w:type="gramStart"/>
            <w:r>
              <w:rPr>
                <w:rFonts w:ascii="Calibri" w:hAnsi="Calibri" w:cs="Calibri"/>
                <w:kern w:val="24"/>
                <w:sz w:val="24"/>
                <w:szCs w:val="24"/>
              </w:rPr>
              <w:t>So</w:t>
            </w:r>
            <w:proofErr w:type="gramEnd"/>
            <w:r>
              <w:rPr>
                <w:rFonts w:ascii="Calibri" w:hAnsi="Calibri" w:cs="Calibri"/>
                <w:kern w:val="24"/>
                <w:sz w:val="24"/>
                <w:szCs w:val="24"/>
              </w:rPr>
              <w:t xml:space="preserve"> despite </w:t>
            </w:r>
            <w:proofErr w:type="spellStart"/>
            <w:r>
              <w:rPr>
                <w:rFonts w:ascii="Calibri" w:hAnsi="Calibri" w:cs="Calibri"/>
                <w:kern w:val="24"/>
                <w:sz w:val="24"/>
                <w:szCs w:val="24"/>
              </w:rPr>
              <w:t>it’s</w:t>
            </w:r>
            <w:proofErr w:type="spellEnd"/>
            <w:r>
              <w:rPr>
                <w:rFonts w:ascii="Calibri" w:hAnsi="Calibri" w:cs="Calibri"/>
                <w:kern w:val="24"/>
                <w:sz w:val="24"/>
                <w:szCs w:val="24"/>
              </w:rPr>
              <w:t xml:space="preserve"> durability, it seen as a disposable item (Hawkins, 2017, p. 21)</w:t>
            </w:r>
          </w:p>
          <w:p w14:paraId="41BFA394"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Hawkins asserts several times that people tend to see plastic as merely some inert, passive human object of human, not something that can creatively shape us as individuals (Hawkins, 2017, p. 21, 26). This relates to her point when she says we need to see ethics as not the application of human moral autonomy, but instead as the sensibilities and interfaces that foreground modes of entanglement with the world (Hawkins, 2017, p. 19). Plastic has a fair degree of agency over us due to transitional use in society, even if we are over-looking it (Hawkins, 2017, p. 21).</w:t>
            </w:r>
          </w:p>
          <w:p w14:paraId="6FF32B58" w14:textId="77777777" w:rsidR="009C3A56" w:rsidRDefault="009C3A56" w:rsidP="009C3A56">
            <w:pPr>
              <w:autoSpaceDE w:val="0"/>
              <w:autoSpaceDN w:val="0"/>
              <w:adjustRightInd w:val="0"/>
              <w:spacing w:after="0" w:line="240" w:lineRule="auto"/>
              <w:rPr>
                <w:rFonts w:ascii="Arial" w:hAnsi="Arial" w:cs="Arial"/>
                <w:sz w:val="24"/>
                <w:szCs w:val="24"/>
              </w:rPr>
            </w:pPr>
          </w:p>
          <w:p w14:paraId="5ED2D337" w14:textId="77777777" w:rsidR="009C3A56" w:rsidRDefault="009C3A56"/>
        </w:tc>
      </w:tr>
      <w:tr w:rsidR="009C3A56" w14:paraId="3EC5050E" w14:textId="77777777" w:rsidTr="009C3A56">
        <w:tblPrEx>
          <w:tblCellMar>
            <w:top w:w="0" w:type="dxa"/>
            <w:bottom w:w="0" w:type="dxa"/>
          </w:tblCellMar>
        </w:tblPrEx>
        <w:trPr>
          <w:trHeight w:val="4000"/>
        </w:trPr>
        <w:tc>
          <w:tcPr>
            <w:tcW w:w="1368" w:type="dxa"/>
          </w:tcPr>
          <w:p w14:paraId="1CFDE864" w14:textId="77777777" w:rsidR="009C3A56" w:rsidRDefault="009C3A56">
            <w:r>
              <w:t>Slide 6</w:t>
            </w:r>
          </w:p>
        </w:tc>
        <w:tc>
          <w:tcPr>
            <w:tcW w:w="3829" w:type="dxa"/>
          </w:tcPr>
          <w:p w14:paraId="53C8FC4C" w14:textId="77777777" w:rsidR="009C3A56" w:rsidRDefault="009C3A56">
            <w:r>
              <w:object w:dxaOrig="9594" w:dyaOrig="5396" w14:anchorId="7E05D78E">
                <v:shape id="_x0000_i1054" type="#_x0000_t75" style="width:192pt;height:10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4" DrawAspect="Content" ObjectID="_1610046264" r:id="rId16"/>
              </w:object>
            </w:r>
          </w:p>
        </w:tc>
        <w:tc>
          <w:tcPr>
            <w:tcW w:w="3829" w:type="dxa"/>
          </w:tcPr>
          <w:p w14:paraId="6083E3BF" w14:textId="77777777" w:rsidR="009C3A56" w:rsidRDefault="009C3A56"/>
        </w:tc>
      </w:tr>
      <w:tr w:rsidR="009C3A56" w14:paraId="7F8CC9B4" w14:textId="77777777" w:rsidTr="009C3A56">
        <w:tblPrEx>
          <w:tblCellMar>
            <w:top w:w="0" w:type="dxa"/>
            <w:bottom w:w="0" w:type="dxa"/>
          </w:tblCellMar>
        </w:tblPrEx>
        <w:trPr>
          <w:trHeight w:val="4000"/>
        </w:trPr>
        <w:tc>
          <w:tcPr>
            <w:tcW w:w="1368" w:type="dxa"/>
          </w:tcPr>
          <w:p w14:paraId="275FCECB" w14:textId="77777777" w:rsidR="009C3A56" w:rsidRDefault="009C3A56">
            <w:r>
              <w:lastRenderedPageBreak/>
              <w:t>Slide 7</w:t>
            </w:r>
          </w:p>
        </w:tc>
        <w:tc>
          <w:tcPr>
            <w:tcW w:w="3829" w:type="dxa"/>
          </w:tcPr>
          <w:p w14:paraId="218CFA05" w14:textId="77777777" w:rsidR="009C3A56" w:rsidRDefault="009C3A56">
            <w:r>
              <w:object w:dxaOrig="9594" w:dyaOrig="5396" w14:anchorId="412B5155">
                <v:shape id="_x0000_i1059" type="#_x0000_t75" style="width:192pt;height:10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59" DrawAspect="Content" ObjectID="_1610046265" r:id="rId18"/>
              </w:object>
            </w:r>
          </w:p>
        </w:tc>
        <w:tc>
          <w:tcPr>
            <w:tcW w:w="3829" w:type="dxa"/>
          </w:tcPr>
          <w:p w14:paraId="3860551A" w14:textId="77777777" w:rsidR="009C3A56" w:rsidRDefault="009C3A56" w:rsidP="009C3A56">
            <w:pPr>
              <w:numPr>
                <w:ilvl w:val="0"/>
                <w:numId w:val="1"/>
              </w:numPr>
              <w:autoSpaceDE w:val="0"/>
              <w:autoSpaceDN w:val="0"/>
              <w:adjustRightInd w:val="0"/>
              <w:spacing w:after="0" w:line="240" w:lineRule="auto"/>
              <w:ind w:hanging="360"/>
              <w:rPr>
                <w:rFonts w:ascii="Calibri" w:hAnsi="Calibri" w:cs="Calibri"/>
                <w:color w:val="000000"/>
                <w:kern w:val="24"/>
                <w:sz w:val="24"/>
                <w:szCs w:val="24"/>
                <w:lang w:val="en-US"/>
              </w:rPr>
            </w:pPr>
            <w:r>
              <w:rPr>
                <w:rFonts w:ascii="Calibri" w:hAnsi="Calibri" w:cs="Calibri"/>
                <w:color w:val="000000"/>
                <w:kern w:val="24"/>
                <w:sz w:val="24"/>
                <w:szCs w:val="24"/>
                <w:lang w:val="en-US"/>
              </w:rPr>
              <w:t>Here scavengers simply use rubbish thrown out into dumps and find some new use for them – try not to waste anything if possible</w:t>
            </w:r>
          </w:p>
          <w:p w14:paraId="62ADA4A1" w14:textId="77777777" w:rsidR="009C3A56" w:rsidRDefault="009C3A56" w:rsidP="009C3A56">
            <w:pPr>
              <w:numPr>
                <w:ilvl w:val="0"/>
                <w:numId w:val="1"/>
              </w:numPr>
              <w:autoSpaceDE w:val="0"/>
              <w:autoSpaceDN w:val="0"/>
              <w:adjustRightInd w:val="0"/>
              <w:spacing w:after="0" w:line="240" w:lineRule="auto"/>
              <w:ind w:hanging="360"/>
              <w:rPr>
                <w:rFonts w:ascii="Calibri" w:hAnsi="Calibri" w:cs="Calibri"/>
                <w:color w:val="000000"/>
                <w:kern w:val="24"/>
                <w:sz w:val="24"/>
                <w:szCs w:val="24"/>
                <w:lang w:val="en-US"/>
              </w:rPr>
            </w:pPr>
            <w:r>
              <w:rPr>
                <w:rFonts w:ascii="Calibri" w:hAnsi="Calibri" w:cs="Calibri"/>
                <w:color w:val="000000"/>
                <w:kern w:val="24"/>
                <w:sz w:val="24"/>
                <w:szCs w:val="24"/>
                <w:lang w:val="en-US"/>
              </w:rPr>
              <w:t xml:space="preserve">Some ordinary containers are considered worth 10 naira (4 pence) – valuable by the </w:t>
            </w:r>
            <w:proofErr w:type="gramStart"/>
            <w:r>
              <w:rPr>
                <w:rFonts w:ascii="Calibri" w:hAnsi="Calibri" w:cs="Calibri"/>
                <w:color w:val="000000"/>
                <w:kern w:val="24"/>
                <w:sz w:val="24"/>
                <w:szCs w:val="24"/>
                <w:lang w:val="en-US"/>
              </w:rPr>
              <w:t>scavengers</w:t>
            </w:r>
            <w:proofErr w:type="gramEnd"/>
            <w:r>
              <w:rPr>
                <w:rFonts w:ascii="Calibri" w:hAnsi="Calibri" w:cs="Calibri"/>
                <w:color w:val="000000"/>
                <w:kern w:val="24"/>
                <w:sz w:val="24"/>
                <w:szCs w:val="24"/>
                <w:lang w:val="en-US"/>
              </w:rPr>
              <w:t xml:space="preserve"> standards (BBC, 2010)</w:t>
            </w:r>
          </w:p>
          <w:p w14:paraId="3A919AB1" w14:textId="77777777" w:rsidR="009C3A56" w:rsidRDefault="009C3A56" w:rsidP="009C3A56">
            <w:pPr>
              <w:numPr>
                <w:ilvl w:val="0"/>
                <w:numId w:val="1"/>
              </w:numPr>
              <w:autoSpaceDE w:val="0"/>
              <w:autoSpaceDN w:val="0"/>
              <w:adjustRightInd w:val="0"/>
              <w:spacing w:after="0" w:line="240" w:lineRule="auto"/>
              <w:ind w:hanging="360"/>
              <w:rPr>
                <w:rFonts w:ascii="Calibri" w:hAnsi="Calibri" w:cs="Calibri"/>
                <w:color w:val="000000"/>
                <w:kern w:val="24"/>
                <w:sz w:val="24"/>
                <w:szCs w:val="24"/>
                <w:lang w:val="en-US"/>
              </w:rPr>
            </w:pPr>
            <w:r>
              <w:rPr>
                <w:rFonts w:ascii="Calibri" w:hAnsi="Calibri" w:cs="Calibri"/>
                <w:color w:val="000000"/>
                <w:kern w:val="24"/>
                <w:sz w:val="24"/>
                <w:szCs w:val="24"/>
                <w:lang w:val="en-US"/>
              </w:rPr>
              <w:t xml:space="preserve">This in many ways backs up Parson’s point in that their evaluation, things others have designated as rubbish have qualities which are valuable – which also seems to subvert Thompson’s own theory of how value changes among objects.  </w:t>
            </w:r>
          </w:p>
          <w:p w14:paraId="7EE848D8" w14:textId="77777777" w:rsidR="009C3A56" w:rsidRDefault="009C3A56" w:rsidP="009C3A56">
            <w:pPr>
              <w:numPr>
                <w:ilvl w:val="0"/>
                <w:numId w:val="1"/>
              </w:numPr>
              <w:autoSpaceDE w:val="0"/>
              <w:autoSpaceDN w:val="0"/>
              <w:adjustRightInd w:val="0"/>
              <w:spacing w:after="0" w:line="240" w:lineRule="auto"/>
              <w:ind w:hanging="360"/>
              <w:rPr>
                <w:rFonts w:ascii="Calibri" w:hAnsi="Calibri" w:cs="Calibri"/>
                <w:color w:val="000000"/>
                <w:kern w:val="24"/>
                <w:sz w:val="24"/>
                <w:szCs w:val="24"/>
                <w:lang w:val="en-US"/>
              </w:rPr>
            </w:pPr>
            <w:r>
              <w:rPr>
                <w:rFonts w:ascii="Calibri" w:hAnsi="Calibri" w:cs="Calibri"/>
                <w:color w:val="000000"/>
                <w:kern w:val="24"/>
                <w:sz w:val="24"/>
                <w:szCs w:val="24"/>
                <w:lang w:val="en-US"/>
              </w:rPr>
              <w:t xml:space="preserve">It also backs up Parsons points about how the scavengers are transforming what objects are through finding uses in them. </w:t>
            </w:r>
          </w:p>
          <w:p w14:paraId="303F90CA" w14:textId="77777777" w:rsidR="009C3A56" w:rsidRDefault="009C3A56" w:rsidP="009C3A56">
            <w:pPr>
              <w:autoSpaceDE w:val="0"/>
              <w:autoSpaceDN w:val="0"/>
              <w:adjustRightInd w:val="0"/>
              <w:spacing w:after="0" w:line="240" w:lineRule="auto"/>
              <w:ind w:hanging="360"/>
              <w:rPr>
                <w:rFonts w:ascii="Calibri" w:hAnsi="Calibri" w:cs="Calibri"/>
                <w:color w:val="000000"/>
                <w:kern w:val="24"/>
                <w:sz w:val="24"/>
                <w:szCs w:val="24"/>
                <w:lang w:val="en-US"/>
              </w:rPr>
            </w:pPr>
          </w:p>
          <w:p w14:paraId="11A254DA" w14:textId="77777777" w:rsidR="009C3A56" w:rsidRDefault="009C3A56" w:rsidP="009C3A56">
            <w:pPr>
              <w:autoSpaceDE w:val="0"/>
              <w:autoSpaceDN w:val="0"/>
              <w:adjustRightInd w:val="0"/>
              <w:spacing w:after="0" w:line="240" w:lineRule="auto"/>
              <w:ind w:hanging="360"/>
              <w:rPr>
                <w:rFonts w:ascii="Calibri" w:hAnsi="Calibri" w:cs="Calibri"/>
                <w:color w:val="000000"/>
                <w:kern w:val="24"/>
                <w:sz w:val="24"/>
                <w:szCs w:val="24"/>
                <w:lang w:val="en-US"/>
              </w:rPr>
            </w:pPr>
          </w:p>
          <w:p w14:paraId="1B9DDCE7" w14:textId="77777777" w:rsidR="009C3A56" w:rsidRDefault="009C3A56" w:rsidP="009C3A56">
            <w:pPr>
              <w:autoSpaceDE w:val="0"/>
              <w:autoSpaceDN w:val="0"/>
              <w:adjustRightInd w:val="0"/>
              <w:spacing w:after="0" w:line="240" w:lineRule="auto"/>
              <w:rPr>
                <w:rFonts w:ascii="Calibri" w:hAnsi="Calibri" w:cs="Calibri"/>
                <w:color w:val="000000"/>
                <w:kern w:val="24"/>
                <w:sz w:val="24"/>
                <w:szCs w:val="24"/>
                <w:lang w:val="en-US"/>
              </w:rPr>
            </w:pPr>
          </w:p>
          <w:p w14:paraId="12305C1E" w14:textId="77777777" w:rsidR="009C3A56" w:rsidRDefault="009C3A56" w:rsidP="009C3A56">
            <w:pPr>
              <w:autoSpaceDE w:val="0"/>
              <w:autoSpaceDN w:val="0"/>
              <w:adjustRightInd w:val="0"/>
              <w:spacing w:after="0" w:line="240" w:lineRule="auto"/>
              <w:rPr>
                <w:rFonts w:ascii="Calibri" w:hAnsi="Calibri" w:cs="Calibri"/>
                <w:kern w:val="24"/>
                <w:sz w:val="24"/>
                <w:szCs w:val="24"/>
              </w:rPr>
            </w:pPr>
          </w:p>
          <w:p w14:paraId="644AA856" w14:textId="77777777" w:rsidR="009C3A56" w:rsidRDefault="009C3A56" w:rsidP="009C3A56">
            <w:pPr>
              <w:autoSpaceDE w:val="0"/>
              <w:autoSpaceDN w:val="0"/>
              <w:adjustRightInd w:val="0"/>
              <w:spacing w:after="0" w:line="240" w:lineRule="auto"/>
              <w:rPr>
                <w:rFonts w:ascii="Arial" w:hAnsi="Arial" w:cs="Arial"/>
                <w:sz w:val="24"/>
                <w:szCs w:val="24"/>
              </w:rPr>
            </w:pPr>
          </w:p>
          <w:p w14:paraId="1F28E959" w14:textId="77777777" w:rsidR="009C3A56" w:rsidRDefault="009C3A56"/>
        </w:tc>
      </w:tr>
      <w:tr w:rsidR="009C3A56" w14:paraId="0C8C31BF" w14:textId="77777777" w:rsidTr="009C3A56">
        <w:tblPrEx>
          <w:tblCellMar>
            <w:top w:w="0" w:type="dxa"/>
            <w:bottom w:w="0" w:type="dxa"/>
          </w:tblCellMar>
        </w:tblPrEx>
        <w:trPr>
          <w:trHeight w:val="4000"/>
        </w:trPr>
        <w:tc>
          <w:tcPr>
            <w:tcW w:w="1368" w:type="dxa"/>
          </w:tcPr>
          <w:p w14:paraId="5722FE71" w14:textId="77777777" w:rsidR="009C3A56" w:rsidRDefault="009C3A56">
            <w:r>
              <w:t>Slide 8</w:t>
            </w:r>
          </w:p>
        </w:tc>
        <w:tc>
          <w:tcPr>
            <w:tcW w:w="3829" w:type="dxa"/>
          </w:tcPr>
          <w:p w14:paraId="74881F39" w14:textId="77777777" w:rsidR="009C3A56" w:rsidRDefault="009C3A56">
            <w:r>
              <w:object w:dxaOrig="9594" w:dyaOrig="5396" w14:anchorId="35DBEF57">
                <v:shape id="_x0000_i1065" type="#_x0000_t75" style="width:192pt;height:10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5" DrawAspect="Content" ObjectID="_1610046266" r:id="rId20"/>
              </w:object>
            </w:r>
          </w:p>
        </w:tc>
        <w:tc>
          <w:tcPr>
            <w:tcW w:w="3829" w:type="dxa"/>
          </w:tcPr>
          <w:p w14:paraId="2522B64F"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 think the other people must have come here and collected the rubbish from the beach”</w:t>
            </w:r>
            <w:r>
              <w:rPr>
                <w:rFonts w:ascii="Calibri" w:hAnsi="Calibri" w:cs="Calibri"/>
                <w:kern w:val="24"/>
                <w:sz w:val="24"/>
                <w:szCs w:val="24"/>
              </w:rPr>
              <w:br/>
              <w:t>It is almost like Thida, 8, assumes that the relationship she has with plastic is commonly shared.</w:t>
            </w:r>
          </w:p>
          <w:p w14:paraId="3FB8BE0E"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They don’t feel any physical discomfort or separateness from the environment. Perhaps if what Thompson suggests that humans socially try to impose order on nature is true, it seems however that the children in Sihanoukville don’t have any misgivings about the large amounts of rubbish that surrounds them.  To them, the rubbish has been their constant, and also livelihood.</w:t>
            </w:r>
          </w:p>
          <w:p w14:paraId="2D5FF242" w14:textId="77777777" w:rsidR="009C3A56" w:rsidRDefault="009C3A56" w:rsidP="009C3A5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She seems to take at least some degree of enjoyment from shifting through waste – sees everything as being potentially used for something </w:t>
            </w:r>
            <w:r>
              <w:rPr>
                <w:rFonts w:ascii="Calibri" w:hAnsi="Calibri" w:cs="Calibri"/>
                <w:kern w:val="24"/>
                <w:sz w:val="24"/>
                <w:szCs w:val="24"/>
              </w:rPr>
              <w:lastRenderedPageBreak/>
              <w:t xml:space="preserve">else. She seems to have on her own acquired a worldview where there isn’t waste. You could argue that Thida sees plastic more like how Hawkins says it ought to be seen as something with the capacity to become an integral element in the enactment of new ethics and politics, a participant rather than an inert environmental object (Hawkins, 2017, p. 23). </w:t>
            </w:r>
            <w:r>
              <w:rPr>
                <w:rFonts w:ascii="Calibri" w:hAnsi="Calibri" w:cs="Calibri"/>
                <w:kern w:val="24"/>
                <w:sz w:val="24"/>
                <w:szCs w:val="24"/>
              </w:rPr>
              <w:br/>
            </w:r>
          </w:p>
          <w:p w14:paraId="54DD9947" w14:textId="77777777" w:rsidR="009C3A56" w:rsidRDefault="009C3A56" w:rsidP="009C3A56">
            <w:pPr>
              <w:autoSpaceDE w:val="0"/>
              <w:autoSpaceDN w:val="0"/>
              <w:adjustRightInd w:val="0"/>
              <w:spacing w:after="0" w:line="240" w:lineRule="auto"/>
              <w:rPr>
                <w:rFonts w:ascii="Calibri" w:hAnsi="Calibri" w:cs="Calibri"/>
                <w:kern w:val="24"/>
                <w:sz w:val="24"/>
                <w:szCs w:val="24"/>
              </w:rPr>
            </w:pPr>
          </w:p>
          <w:p w14:paraId="544E27B0" w14:textId="77777777" w:rsidR="009C3A56" w:rsidRDefault="009C3A56" w:rsidP="009C3A56">
            <w:pPr>
              <w:autoSpaceDE w:val="0"/>
              <w:autoSpaceDN w:val="0"/>
              <w:adjustRightInd w:val="0"/>
              <w:spacing w:after="0" w:line="240" w:lineRule="auto"/>
              <w:rPr>
                <w:rFonts w:ascii="Calibri" w:hAnsi="Calibri" w:cs="Calibri"/>
                <w:kern w:val="24"/>
                <w:sz w:val="24"/>
                <w:szCs w:val="24"/>
              </w:rPr>
            </w:pPr>
          </w:p>
          <w:p w14:paraId="55555E2F" w14:textId="77777777" w:rsidR="009C3A56" w:rsidRDefault="009C3A56" w:rsidP="009C3A56">
            <w:pPr>
              <w:autoSpaceDE w:val="0"/>
              <w:autoSpaceDN w:val="0"/>
              <w:adjustRightInd w:val="0"/>
              <w:spacing w:after="0" w:line="240" w:lineRule="auto"/>
              <w:rPr>
                <w:rFonts w:ascii="Arial" w:hAnsi="Arial" w:cs="Arial"/>
                <w:sz w:val="24"/>
                <w:szCs w:val="24"/>
              </w:rPr>
            </w:pPr>
          </w:p>
          <w:p w14:paraId="470B0358" w14:textId="77777777" w:rsidR="009C3A56" w:rsidRDefault="009C3A56"/>
        </w:tc>
      </w:tr>
      <w:tr w:rsidR="009C3A56" w14:paraId="034F61F6" w14:textId="77777777" w:rsidTr="009C3A56">
        <w:tblPrEx>
          <w:tblCellMar>
            <w:top w:w="0" w:type="dxa"/>
            <w:bottom w:w="0" w:type="dxa"/>
          </w:tblCellMar>
        </w:tblPrEx>
        <w:trPr>
          <w:trHeight w:val="4000"/>
        </w:trPr>
        <w:tc>
          <w:tcPr>
            <w:tcW w:w="1368" w:type="dxa"/>
          </w:tcPr>
          <w:p w14:paraId="795D19A4" w14:textId="77777777" w:rsidR="009C3A56" w:rsidRDefault="009C3A56">
            <w:r>
              <w:lastRenderedPageBreak/>
              <w:t>Slide 9</w:t>
            </w:r>
          </w:p>
        </w:tc>
        <w:tc>
          <w:tcPr>
            <w:tcW w:w="3829" w:type="dxa"/>
          </w:tcPr>
          <w:p w14:paraId="03AD9DB2" w14:textId="77777777" w:rsidR="009C3A56" w:rsidRDefault="009C3A56">
            <w:r>
              <w:object w:dxaOrig="9594" w:dyaOrig="5396" w14:anchorId="51799EB1">
                <v:shape id="_x0000_i1071" type="#_x0000_t75" style="width:192pt;height:10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1" DrawAspect="Content" ObjectID="_1610046267" r:id="rId22"/>
              </w:object>
            </w:r>
          </w:p>
        </w:tc>
        <w:tc>
          <w:tcPr>
            <w:tcW w:w="3829" w:type="dxa"/>
          </w:tcPr>
          <w:p w14:paraId="3687658B" w14:textId="77777777" w:rsidR="009C3A56" w:rsidRDefault="009C3A56"/>
        </w:tc>
      </w:tr>
      <w:tr w:rsidR="009C3A56" w14:paraId="54ACA845" w14:textId="77777777" w:rsidTr="009C3A56">
        <w:tblPrEx>
          <w:tblCellMar>
            <w:top w:w="0" w:type="dxa"/>
            <w:bottom w:w="0" w:type="dxa"/>
          </w:tblCellMar>
        </w:tblPrEx>
        <w:trPr>
          <w:trHeight w:val="4000"/>
        </w:trPr>
        <w:tc>
          <w:tcPr>
            <w:tcW w:w="1368" w:type="dxa"/>
          </w:tcPr>
          <w:p w14:paraId="176DD364" w14:textId="77777777" w:rsidR="009C3A56" w:rsidRDefault="009C3A56">
            <w:r>
              <w:t>Slide 10</w:t>
            </w:r>
          </w:p>
        </w:tc>
        <w:bookmarkStart w:id="0" w:name="_GoBack"/>
        <w:tc>
          <w:tcPr>
            <w:tcW w:w="3829" w:type="dxa"/>
          </w:tcPr>
          <w:p w14:paraId="6B535F92" w14:textId="1E8D4D85" w:rsidR="009C3A56" w:rsidRDefault="008F5DFD">
            <w:r>
              <w:object w:dxaOrig="9594" w:dyaOrig="5396" w14:anchorId="41C9CE15">
                <v:shape id="_x0000_i1088" type="#_x0000_t75" style="width:183pt;height:102.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88" DrawAspect="Content" ObjectID="_1610046268" r:id="rId24"/>
              </w:object>
            </w:r>
            <w:bookmarkEnd w:id="0"/>
          </w:p>
        </w:tc>
        <w:tc>
          <w:tcPr>
            <w:tcW w:w="3829" w:type="dxa"/>
          </w:tcPr>
          <w:p w14:paraId="78865660" w14:textId="77777777" w:rsidR="009C3A56" w:rsidRDefault="009C3A56"/>
        </w:tc>
      </w:tr>
    </w:tbl>
    <w:p w14:paraId="7EC04198" w14:textId="77777777" w:rsidR="000D09B4" w:rsidRDefault="008F5DFD"/>
    <w:sectPr w:rsidR="000D09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D149070"/>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A56"/>
    <w:rsid w:val="008F5DFD"/>
    <w:rsid w:val="009C3A56"/>
    <w:rsid w:val="00A869BF"/>
    <w:rsid w:val="00AF6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8FB29"/>
  <w15:chartTrackingRefBased/>
  <w15:docId w15:val="{47DEC09B-8143-4BC7-8357-6E29DD4D7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779</Words>
  <Characters>4446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Olds</dc:creator>
  <cp:keywords/>
  <dc:description/>
  <cp:lastModifiedBy>Tobias Olds</cp:lastModifiedBy>
  <cp:revision>3</cp:revision>
  <dcterms:created xsi:type="dcterms:W3CDTF">2019-01-26T22:15:00Z</dcterms:created>
  <dcterms:modified xsi:type="dcterms:W3CDTF">2019-01-26T22:17:00Z</dcterms:modified>
</cp:coreProperties>
</file>