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C1BE4" w14:textId="77777777" w:rsidR="005842AE" w:rsidRDefault="00000000">
      <w:pPr>
        <w:spacing w:after="203" w:line="259" w:lineRule="auto"/>
        <w:ind w:left="0" w:right="0" w:firstLine="0"/>
        <w:jc w:val="left"/>
      </w:pPr>
      <w:r>
        <w:t xml:space="preserve">                           </w:t>
      </w:r>
      <w:r>
        <w:rPr>
          <w:b/>
          <w:sz w:val="36"/>
        </w:rPr>
        <w:t xml:space="preserve">Management Accounting for Managers </w:t>
      </w:r>
    </w:p>
    <w:p w14:paraId="7536D4CA" w14:textId="77777777" w:rsidR="005842AE" w:rsidRDefault="00000000">
      <w:pPr>
        <w:spacing w:after="195" w:line="259" w:lineRule="auto"/>
        <w:ind w:left="0" w:right="0" w:firstLine="0"/>
        <w:jc w:val="left"/>
      </w:pPr>
      <w:r>
        <w:rPr>
          <w:sz w:val="36"/>
        </w:rPr>
        <w:t xml:space="preserve">                                             {</w:t>
      </w:r>
      <w:r>
        <w:rPr>
          <w:color w:val="FF0000"/>
          <w:sz w:val="36"/>
        </w:rPr>
        <w:t>LCBB5010</w:t>
      </w:r>
      <w:r>
        <w:rPr>
          <w:sz w:val="36"/>
        </w:rPr>
        <w:t xml:space="preserve">} </w:t>
      </w:r>
    </w:p>
    <w:p w14:paraId="538E36DA" w14:textId="77777777" w:rsidR="005842AE" w:rsidRDefault="00000000">
      <w:pPr>
        <w:spacing w:after="197" w:line="259" w:lineRule="auto"/>
        <w:ind w:left="0" w:right="0" w:firstLine="0"/>
        <w:jc w:val="left"/>
      </w:pPr>
      <w:r>
        <w:rPr>
          <w:sz w:val="36"/>
        </w:rPr>
        <w:t xml:space="preserve"> </w:t>
      </w:r>
    </w:p>
    <w:p w14:paraId="11DB3193" w14:textId="77777777" w:rsidR="005842AE" w:rsidRDefault="00000000">
      <w:pPr>
        <w:spacing w:after="195" w:line="259" w:lineRule="auto"/>
        <w:ind w:left="0" w:right="0" w:firstLine="0"/>
        <w:jc w:val="left"/>
      </w:pPr>
      <w:r>
        <w:rPr>
          <w:sz w:val="36"/>
        </w:rPr>
        <w:t xml:space="preserve"> </w:t>
      </w:r>
    </w:p>
    <w:p w14:paraId="210988DB" w14:textId="77777777" w:rsidR="005842AE" w:rsidRDefault="00000000">
      <w:pPr>
        <w:spacing w:after="81" w:line="259" w:lineRule="auto"/>
        <w:ind w:left="0" w:right="0" w:firstLine="0"/>
        <w:jc w:val="left"/>
      </w:pPr>
      <w:r>
        <w:rPr>
          <w:sz w:val="36"/>
        </w:rPr>
        <w:t xml:space="preserve"> </w:t>
      </w:r>
    </w:p>
    <w:p w14:paraId="05D3F2BC" w14:textId="77777777" w:rsidR="005842AE" w:rsidRDefault="00000000">
      <w:pPr>
        <w:spacing w:after="231" w:line="259" w:lineRule="auto"/>
        <w:ind w:left="0" w:right="173" w:firstLine="0"/>
        <w:jc w:val="right"/>
      </w:pPr>
      <w:r>
        <w:rPr>
          <w:noProof/>
        </w:rPr>
        <w:drawing>
          <wp:inline distT="0" distB="0" distL="0" distR="0" wp14:anchorId="047B15B2" wp14:editId="00FBF35B">
            <wp:extent cx="5724525" cy="2247900"/>
            <wp:effectExtent l="0" t="0" r="0" b="0"/>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5724525" cy="2247900"/>
                    </a:xfrm>
                    <a:prstGeom prst="rect">
                      <a:avLst/>
                    </a:prstGeom>
                  </pic:spPr>
                </pic:pic>
              </a:graphicData>
            </a:graphic>
          </wp:inline>
        </w:drawing>
      </w:r>
      <w:r>
        <w:t xml:space="preserve"> </w:t>
      </w:r>
    </w:p>
    <w:p w14:paraId="2F13BA1D" w14:textId="77777777" w:rsidR="005842AE" w:rsidRDefault="00000000">
      <w:pPr>
        <w:spacing w:after="197" w:line="259" w:lineRule="auto"/>
        <w:ind w:left="0" w:right="0" w:firstLine="0"/>
        <w:jc w:val="left"/>
      </w:pPr>
      <w:r>
        <w:rPr>
          <w:sz w:val="36"/>
        </w:rPr>
        <w:t xml:space="preserve"> </w:t>
      </w:r>
    </w:p>
    <w:p w14:paraId="22D7BDA2" w14:textId="77777777" w:rsidR="005842AE" w:rsidRDefault="00000000">
      <w:pPr>
        <w:spacing w:after="80" w:line="259" w:lineRule="auto"/>
        <w:ind w:left="0" w:right="0" w:firstLine="0"/>
        <w:jc w:val="left"/>
      </w:pPr>
      <w:r>
        <w:rPr>
          <w:sz w:val="36"/>
        </w:rPr>
        <w:t xml:space="preserve"> </w:t>
      </w:r>
    </w:p>
    <w:p w14:paraId="4992B430" w14:textId="77777777" w:rsidR="005842AE" w:rsidRDefault="00000000">
      <w:pPr>
        <w:spacing w:after="185" w:line="259" w:lineRule="auto"/>
        <w:ind w:left="0" w:right="0" w:firstLine="0"/>
        <w:jc w:val="left"/>
      </w:pPr>
      <w:r>
        <w:t xml:space="preserve"> </w:t>
      </w:r>
    </w:p>
    <w:p w14:paraId="1C176217" w14:textId="77777777" w:rsidR="005842AE" w:rsidRDefault="00000000">
      <w:pPr>
        <w:spacing w:after="183" w:line="259" w:lineRule="auto"/>
        <w:ind w:left="0" w:right="0" w:firstLine="0"/>
        <w:jc w:val="left"/>
      </w:pPr>
      <w:r>
        <w:t xml:space="preserve"> </w:t>
      </w:r>
    </w:p>
    <w:p w14:paraId="481ADF3A" w14:textId="77777777" w:rsidR="005842AE" w:rsidRDefault="00000000">
      <w:pPr>
        <w:spacing w:after="185" w:line="259" w:lineRule="auto"/>
        <w:ind w:left="0" w:right="0" w:firstLine="0"/>
        <w:jc w:val="left"/>
      </w:pPr>
      <w:r>
        <w:t xml:space="preserve"> </w:t>
      </w:r>
    </w:p>
    <w:p w14:paraId="49F289DD" w14:textId="77777777" w:rsidR="005842AE" w:rsidRDefault="00000000">
      <w:pPr>
        <w:spacing w:after="183" w:line="259" w:lineRule="auto"/>
        <w:ind w:left="0" w:right="0" w:firstLine="0"/>
        <w:jc w:val="left"/>
      </w:pPr>
      <w:r>
        <w:t xml:space="preserve"> </w:t>
      </w:r>
    </w:p>
    <w:p w14:paraId="789FBC4C" w14:textId="77777777" w:rsidR="005842AE" w:rsidRDefault="00000000">
      <w:pPr>
        <w:spacing w:after="186" w:line="259" w:lineRule="auto"/>
        <w:ind w:left="0" w:right="0" w:firstLine="0"/>
        <w:jc w:val="left"/>
      </w:pPr>
      <w:r>
        <w:rPr>
          <w:b/>
          <w:color w:val="FF0000"/>
        </w:rPr>
        <w:t xml:space="preserve"> </w:t>
      </w:r>
    </w:p>
    <w:p w14:paraId="2307A7B9" w14:textId="77777777" w:rsidR="005842AE" w:rsidRDefault="00000000">
      <w:pPr>
        <w:spacing w:after="185" w:line="259" w:lineRule="auto"/>
        <w:ind w:left="0" w:right="0" w:firstLine="0"/>
        <w:jc w:val="left"/>
      </w:pPr>
      <w:r>
        <w:rPr>
          <w:b/>
          <w:color w:val="FF0000"/>
        </w:rPr>
        <w:t xml:space="preserve"> </w:t>
      </w:r>
    </w:p>
    <w:p w14:paraId="77BA1E46" w14:textId="77777777" w:rsidR="005842AE" w:rsidRDefault="00000000">
      <w:pPr>
        <w:spacing w:after="183" w:line="259" w:lineRule="auto"/>
        <w:ind w:left="0" w:right="0" w:firstLine="0"/>
        <w:jc w:val="left"/>
      </w:pPr>
      <w:r>
        <w:rPr>
          <w:b/>
          <w:color w:val="FF0000"/>
        </w:rPr>
        <w:t xml:space="preserve"> </w:t>
      </w:r>
    </w:p>
    <w:p w14:paraId="3A285ADE" w14:textId="77777777" w:rsidR="005842AE" w:rsidRDefault="00000000">
      <w:pPr>
        <w:spacing w:after="185" w:line="259" w:lineRule="auto"/>
        <w:ind w:left="0" w:right="0" w:firstLine="0"/>
        <w:jc w:val="left"/>
      </w:pPr>
      <w:r>
        <w:rPr>
          <w:b/>
          <w:color w:val="FF0000"/>
        </w:rPr>
        <w:t xml:space="preserve"> </w:t>
      </w:r>
    </w:p>
    <w:p w14:paraId="3932BECE" w14:textId="77777777" w:rsidR="005842AE" w:rsidRDefault="00000000">
      <w:pPr>
        <w:spacing w:after="262" w:line="259" w:lineRule="auto"/>
        <w:ind w:left="-5" w:right="0"/>
        <w:jc w:val="left"/>
      </w:pPr>
      <w:r>
        <w:rPr>
          <w:b/>
          <w:color w:val="FF0000"/>
        </w:rPr>
        <w:t>Student:</w:t>
      </w:r>
      <w:r>
        <w:t xml:space="preserve"> Malina-Gabriela </w:t>
      </w:r>
      <w:proofErr w:type="spellStart"/>
      <w:r>
        <w:t>Bojean</w:t>
      </w:r>
      <w:proofErr w:type="spellEnd"/>
      <w:r>
        <w:t xml:space="preserve"> (2235979)</w:t>
      </w:r>
      <w:r>
        <w:rPr>
          <w:b/>
          <w:color w:val="FF0000"/>
        </w:rPr>
        <w:t xml:space="preserve"> </w:t>
      </w:r>
    </w:p>
    <w:p w14:paraId="6ACEBB9A" w14:textId="77777777" w:rsidR="005842AE" w:rsidRDefault="00000000">
      <w:pPr>
        <w:spacing w:after="304" w:line="259" w:lineRule="auto"/>
        <w:ind w:left="-5" w:right="0"/>
        <w:jc w:val="left"/>
      </w:pPr>
      <w:r>
        <w:rPr>
          <w:b/>
          <w:color w:val="FF0000"/>
        </w:rPr>
        <w:t xml:space="preserve">Lecturer/Module: </w:t>
      </w:r>
      <w:r>
        <w:t xml:space="preserve">Dr Rita Ukachi-Lois </w:t>
      </w:r>
    </w:p>
    <w:p w14:paraId="17FFE9D3" w14:textId="77777777" w:rsidR="005842AE" w:rsidRDefault="00000000">
      <w:pPr>
        <w:spacing w:after="262" w:line="259" w:lineRule="auto"/>
        <w:ind w:left="-5" w:right="0"/>
        <w:jc w:val="left"/>
        <w:rPr>
          <w:b/>
          <w:sz w:val="28"/>
        </w:rPr>
      </w:pPr>
      <w:r>
        <w:rPr>
          <w:b/>
          <w:color w:val="FF0000"/>
        </w:rPr>
        <w:t>Leader:</w:t>
      </w:r>
      <w:r>
        <w:t xml:space="preserve"> Zainab Atta</w:t>
      </w:r>
      <w:r>
        <w:rPr>
          <w:b/>
          <w:sz w:val="28"/>
        </w:rPr>
        <w:t xml:space="preserve"> </w:t>
      </w:r>
    </w:p>
    <w:p w14:paraId="41197D95" w14:textId="77777777" w:rsidR="00B04E2A" w:rsidRDefault="00B04E2A">
      <w:pPr>
        <w:spacing w:after="262" w:line="259" w:lineRule="auto"/>
        <w:ind w:left="-5" w:right="0"/>
        <w:jc w:val="left"/>
      </w:pPr>
    </w:p>
    <w:p w14:paraId="4FBA0643" w14:textId="77777777" w:rsidR="005842AE" w:rsidRDefault="00000000">
      <w:pPr>
        <w:spacing w:after="227" w:line="259" w:lineRule="auto"/>
        <w:ind w:left="0" w:right="0" w:firstLine="0"/>
        <w:jc w:val="left"/>
      </w:pPr>
      <w:r>
        <w:rPr>
          <w:b/>
          <w:sz w:val="28"/>
        </w:rPr>
        <w:lastRenderedPageBreak/>
        <w:t xml:space="preserve">Table of contents: </w:t>
      </w:r>
    </w:p>
    <w:p w14:paraId="2E8F248A" w14:textId="2931E8FE" w:rsidR="005842AE" w:rsidRDefault="00000000">
      <w:pPr>
        <w:spacing w:after="265" w:line="259" w:lineRule="auto"/>
        <w:ind w:left="-5" w:right="0"/>
        <w:jc w:val="left"/>
      </w:pPr>
      <w:r>
        <w:rPr>
          <w:b/>
        </w:rPr>
        <w:t>Introduction.........................................................................................................</w:t>
      </w:r>
      <w:r w:rsidR="0003593D">
        <w:rPr>
          <w:b/>
        </w:rPr>
        <w:t>...................</w:t>
      </w:r>
      <w:r>
        <w:t xml:space="preserve"> </w:t>
      </w:r>
    </w:p>
    <w:p w14:paraId="447980B3" w14:textId="4A136D33" w:rsidR="005842AE" w:rsidRDefault="00000000">
      <w:pPr>
        <w:spacing w:after="265" w:line="259" w:lineRule="auto"/>
        <w:ind w:left="-5" w:right="0"/>
        <w:jc w:val="left"/>
      </w:pPr>
      <w:r>
        <w:rPr>
          <w:b/>
        </w:rPr>
        <w:t>Cost Analysis and Business Model........................................................................</w:t>
      </w:r>
      <w:r w:rsidR="0003593D">
        <w:rPr>
          <w:b/>
        </w:rPr>
        <w:t>...................</w:t>
      </w:r>
      <w:r>
        <w:rPr>
          <w:b/>
        </w:rPr>
        <w:t xml:space="preserve"> </w:t>
      </w:r>
    </w:p>
    <w:p w14:paraId="044B2035" w14:textId="693755F2" w:rsidR="005842AE" w:rsidRDefault="00000000">
      <w:pPr>
        <w:spacing w:after="265" w:line="259" w:lineRule="auto"/>
        <w:ind w:left="-5" w:right="0"/>
        <w:jc w:val="left"/>
      </w:pPr>
      <w:r>
        <w:rPr>
          <w:b/>
        </w:rPr>
        <w:t>Budgeting and Financial Planning..........................................................................</w:t>
      </w:r>
      <w:r w:rsidR="0003593D">
        <w:rPr>
          <w:b/>
        </w:rPr>
        <w:t>..................</w:t>
      </w:r>
      <w:r>
        <w:rPr>
          <w:b/>
        </w:rPr>
        <w:t xml:space="preserve"> </w:t>
      </w:r>
    </w:p>
    <w:p w14:paraId="511F482D" w14:textId="0E09D537" w:rsidR="005842AE" w:rsidRDefault="00000000">
      <w:pPr>
        <w:spacing w:after="265" w:line="259" w:lineRule="auto"/>
        <w:ind w:left="-5" w:right="0"/>
        <w:jc w:val="left"/>
      </w:pPr>
      <w:r>
        <w:rPr>
          <w:b/>
        </w:rPr>
        <w:t>Performance Measurement and Decision-Making..................................................</w:t>
      </w:r>
      <w:r w:rsidR="0003593D">
        <w:rPr>
          <w:b/>
        </w:rPr>
        <w:t>.................</w:t>
      </w:r>
      <w:r>
        <w:rPr>
          <w:b/>
        </w:rPr>
        <w:t xml:space="preserve"> </w:t>
      </w:r>
    </w:p>
    <w:p w14:paraId="3820C5A8" w14:textId="5789C3F0" w:rsidR="005842AE" w:rsidRDefault="00000000">
      <w:pPr>
        <w:spacing w:after="265" w:line="259" w:lineRule="auto"/>
        <w:ind w:left="-5" w:right="0"/>
        <w:jc w:val="left"/>
      </w:pPr>
      <w:r>
        <w:rPr>
          <w:b/>
        </w:rPr>
        <w:t>Sustainability and Ethical Considerations.............................................................</w:t>
      </w:r>
      <w:r w:rsidR="0003593D">
        <w:rPr>
          <w:b/>
        </w:rPr>
        <w:t>...................</w:t>
      </w:r>
      <w:r>
        <w:rPr>
          <w:b/>
        </w:rPr>
        <w:t xml:space="preserve">. </w:t>
      </w:r>
    </w:p>
    <w:p w14:paraId="5C4B99AB" w14:textId="4B1E6A32" w:rsidR="005842AE" w:rsidRDefault="00000000">
      <w:pPr>
        <w:spacing w:after="265" w:line="259" w:lineRule="auto"/>
        <w:ind w:left="-5" w:right="0"/>
        <w:jc w:val="left"/>
      </w:pPr>
      <w:r>
        <w:rPr>
          <w:b/>
        </w:rPr>
        <w:t>Conclusion and Recommendations......................................................................</w:t>
      </w:r>
      <w:r w:rsidR="0003593D">
        <w:rPr>
          <w:b/>
        </w:rPr>
        <w:t>....................</w:t>
      </w:r>
    </w:p>
    <w:p w14:paraId="5B531494" w14:textId="771C228D" w:rsidR="005842AE" w:rsidRDefault="00000000">
      <w:pPr>
        <w:spacing w:after="303" w:line="259" w:lineRule="auto"/>
        <w:ind w:left="-5" w:right="0"/>
        <w:jc w:val="left"/>
      </w:pPr>
      <w:r>
        <w:rPr>
          <w:b/>
        </w:rPr>
        <w:t>References..........................................................................................................</w:t>
      </w:r>
      <w:r w:rsidR="0003593D">
        <w:rPr>
          <w:b/>
        </w:rPr>
        <w:t>....................</w:t>
      </w:r>
      <w:r>
        <w:rPr>
          <w:b/>
        </w:rPr>
        <w:t xml:space="preserve">. </w:t>
      </w:r>
    </w:p>
    <w:p w14:paraId="1D495B58" w14:textId="77777777" w:rsidR="005842AE" w:rsidRDefault="00000000">
      <w:pPr>
        <w:spacing w:after="187" w:line="259" w:lineRule="auto"/>
        <w:ind w:left="0" w:right="0" w:firstLine="0"/>
        <w:jc w:val="left"/>
      </w:pPr>
      <w:r>
        <w:rPr>
          <w:sz w:val="28"/>
        </w:rPr>
        <w:t xml:space="preserve"> </w:t>
      </w:r>
    </w:p>
    <w:p w14:paraId="2241EFD3" w14:textId="77777777" w:rsidR="005842AE" w:rsidRDefault="00000000">
      <w:pPr>
        <w:spacing w:after="187" w:line="259" w:lineRule="auto"/>
        <w:ind w:left="0" w:right="0" w:firstLine="0"/>
        <w:jc w:val="left"/>
      </w:pPr>
      <w:r>
        <w:rPr>
          <w:sz w:val="28"/>
        </w:rPr>
        <w:t xml:space="preserve"> </w:t>
      </w:r>
    </w:p>
    <w:p w14:paraId="569A359C" w14:textId="77777777" w:rsidR="005842AE" w:rsidRDefault="00000000">
      <w:pPr>
        <w:spacing w:after="148" w:line="259" w:lineRule="auto"/>
        <w:ind w:left="0" w:right="0" w:firstLine="0"/>
        <w:jc w:val="left"/>
      </w:pPr>
      <w:r>
        <w:rPr>
          <w:sz w:val="28"/>
        </w:rPr>
        <w:t xml:space="preserve"> </w:t>
      </w:r>
    </w:p>
    <w:p w14:paraId="75079835" w14:textId="77777777" w:rsidR="005842AE" w:rsidRDefault="00000000">
      <w:pPr>
        <w:spacing w:after="157" w:line="259" w:lineRule="auto"/>
        <w:ind w:left="0" w:right="0" w:firstLine="0"/>
        <w:jc w:val="right"/>
      </w:pPr>
      <w:r>
        <w:rPr>
          <w:noProof/>
        </w:rPr>
        <w:drawing>
          <wp:inline distT="0" distB="0" distL="0" distR="0" wp14:anchorId="5CB3AB8B" wp14:editId="73C8EA41">
            <wp:extent cx="5834253" cy="2633980"/>
            <wp:effectExtent l="0" t="0" r="0" b="0"/>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8"/>
                    <a:stretch>
                      <a:fillRect/>
                    </a:stretch>
                  </pic:blipFill>
                  <pic:spPr>
                    <a:xfrm>
                      <a:off x="0" y="0"/>
                      <a:ext cx="5834253" cy="2633980"/>
                    </a:xfrm>
                    <a:prstGeom prst="rect">
                      <a:avLst/>
                    </a:prstGeom>
                  </pic:spPr>
                </pic:pic>
              </a:graphicData>
            </a:graphic>
          </wp:inline>
        </w:drawing>
      </w:r>
      <w:r>
        <w:t xml:space="preserve"> </w:t>
      </w:r>
    </w:p>
    <w:p w14:paraId="3F6710BB" w14:textId="77777777" w:rsidR="005842AE" w:rsidRDefault="00000000">
      <w:pPr>
        <w:spacing w:after="189" w:line="259" w:lineRule="auto"/>
        <w:ind w:left="0" w:right="0" w:firstLine="0"/>
        <w:jc w:val="left"/>
      </w:pPr>
      <w:r>
        <w:rPr>
          <w:b/>
          <w:sz w:val="28"/>
        </w:rPr>
        <w:t xml:space="preserve"> </w:t>
      </w:r>
    </w:p>
    <w:p w14:paraId="6FF9A9ED" w14:textId="77777777" w:rsidR="005842AE" w:rsidRDefault="00000000">
      <w:pPr>
        <w:spacing w:after="187" w:line="259" w:lineRule="auto"/>
        <w:ind w:left="0" w:right="0" w:firstLine="0"/>
        <w:jc w:val="left"/>
      </w:pPr>
      <w:r>
        <w:rPr>
          <w:b/>
          <w:sz w:val="28"/>
        </w:rPr>
        <w:t xml:space="preserve"> </w:t>
      </w:r>
    </w:p>
    <w:p w14:paraId="57F8DAB0" w14:textId="77777777" w:rsidR="005842AE" w:rsidRDefault="00000000">
      <w:pPr>
        <w:spacing w:after="187" w:line="259" w:lineRule="auto"/>
        <w:ind w:left="0" w:right="0" w:firstLine="0"/>
        <w:jc w:val="left"/>
        <w:rPr>
          <w:b/>
          <w:sz w:val="28"/>
        </w:rPr>
      </w:pPr>
      <w:r>
        <w:rPr>
          <w:b/>
          <w:sz w:val="28"/>
        </w:rPr>
        <w:t xml:space="preserve"> </w:t>
      </w:r>
    </w:p>
    <w:p w14:paraId="550BC462" w14:textId="77777777" w:rsidR="0003593D" w:rsidRDefault="0003593D">
      <w:pPr>
        <w:spacing w:after="187" w:line="259" w:lineRule="auto"/>
        <w:ind w:left="0" w:right="0" w:firstLine="0"/>
        <w:jc w:val="left"/>
        <w:rPr>
          <w:b/>
          <w:sz w:val="28"/>
        </w:rPr>
      </w:pPr>
    </w:p>
    <w:p w14:paraId="3E149653" w14:textId="77777777" w:rsidR="0003593D" w:rsidRDefault="0003593D">
      <w:pPr>
        <w:spacing w:after="187" w:line="259" w:lineRule="auto"/>
        <w:ind w:left="0" w:right="0" w:firstLine="0"/>
        <w:jc w:val="left"/>
      </w:pPr>
    </w:p>
    <w:p w14:paraId="00EA79DE" w14:textId="77777777" w:rsidR="005842AE" w:rsidRDefault="00000000">
      <w:pPr>
        <w:spacing w:after="187" w:line="259" w:lineRule="auto"/>
        <w:ind w:left="0" w:right="0" w:firstLine="0"/>
        <w:jc w:val="left"/>
      </w:pPr>
      <w:r>
        <w:rPr>
          <w:b/>
          <w:sz w:val="28"/>
        </w:rPr>
        <w:t xml:space="preserve"> </w:t>
      </w:r>
    </w:p>
    <w:p w14:paraId="3E51EAA7" w14:textId="77777777" w:rsidR="005842AE" w:rsidRDefault="00000000">
      <w:pPr>
        <w:spacing w:after="189" w:line="259" w:lineRule="auto"/>
        <w:ind w:left="0" w:right="0" w:firstLine="0"/>
        <w:jc w:val="left"/>
      </w:pPr>
      <w:r>
        <w:rPr>
          <w:b/>
          <w:sz w:val="28"/>
        </w:rPr>
        <w:t xml:space="preserve"> </w:t>
      </w:r>
    </w:p>
    <w:p w14:paraId="67A3DA90" w14:textId="77777777" w:rsidR="005842AE" w:rsidRDefault="00000000">
      <w:pPr>
        <w:spacing w:after="0" w:line="259" w:lineRule="auto"/>
        <w:ind w:left="0" w:right="0" w:firstLine="0"/>
        <w:jc w:val="left"/>
      </w:pPr>
      <w:r>
        <w:rPr>
          <w:b/>
          <w:sz w:val="28"/>
        </w:rPr>
        <w:lastRenderedPageBreak/>
        <w:t xml:space="preserve"> </w:t>
      </w:r>
    </w:p>
    <w:p w14:paraId="1404C013" w14:textId="77777777" w:rsidR="005842AE" w:rsidRDefault="00000000">
      <w:pPr>
        <w:numPr>
          <w:ilvl w:val="0"/>
          <w:numId w:val="1"/>
        </w:numPr>
        <w:spacing w:after="227" w:line="259" w:lineRule="auto"/>
        <w:ind w:right="0" w:hanging="278"/>
        <w:jc w:val="left"/>
      </w:pPr>
      <w:r>
        <w:rPr>
          <w:b/>
          <w:sz w:val="28"/>
        </w:rPr>
        <w:t xml:space="preserve">Introduction: </w:t>
      </w:r>
    </w:p>
    <w:p w14:paraId="154952C0" w14:textId="77777777" w:rsidR="005842AE" w:rsidRDefault="00000000">
      <w:pPr>
        <w:ind w:left="-5" w:right="199"/>
      </w:pPr>
      <w:r>
        <w:t xml:space="preserve">Tesla, Inc., founded in 2003 and headquartered in Austin, Texas, is a leading global manufacturer of electric vehicles (EVs), renewable energy solutions and battery storage systems. Operating within the automotive and clean-energy industries, Tesla has grown into a multinational corporation with over 140,000 employees and a strong global presence across North America, Europe and Asia. Its core products include the Model 3, Model Y, Model S and Model X vehicles, alongside energy storage products such as Powerwall and Megapack. </w:t>
      </w:r>
    </w:p>
    <w:p w14:paraId="38F84BEB" w14:textId="77777777" w:rsidR="005842AE" w:rsidRDefault="00000000">
      <w:pPr>
        <w:ind w:left="-5" w:right="199"/>
      </w:pPr>
      <w:r>
        <w:t xml:space="preserve">In today’s competitive and technology-driven business environment, management accounting plays a crucial role in supporting financial decision-making. For companies like Tesla, which operate in a capital-intensive and innovation-focused industry, accurate cost analysis, budgeting and performance measurement are essential for maintaining profitability and strategic advantage. Management accounting provides the data and insights required for pricing decisions, cost control, investment evaluation and long-term planning, enabling Tesla to respond effectively to market changes and operational challenges. </w:t>
      </w:r>
    </w:p>
    <w:p w14:paraId="28854ABE" w14:textId="77777777" w:rsidR="005842AE" w:rsidRDefault="00000000">
      <w:pPr>
        <w:spacing w:after="224" w:line="259" w:lineRule="auto"/>
        <w:ind w:left="0" w:right="0" w:firstLine="0"/>
        <w:jc w:val="left"/>
      </w:pPr>
      <w:r>
        <w:t xml:space="preserve"> </w:t>
      </w:r>
    </w:p>
    <w:p w14:paraId="1C9122BB" w14:textId="77777777" w:rsidR="005842AE" w:rsidRDefault="00000000">
      <w:pPr>
        <w:numPr>
          <w:ilvl w:val="0"/>
          <w:numId w:val="1"/>
        </w:numPr>
        <w:spacing w:after="227" w:line="259" w:lineRule="auto"/>
        <w:ind w:right="0" w:hanging="278"/>
        <w:jc w:val="left"/>
      </w:pPr>
      <w:r>
        <w:rPr>
          <w:b/>
          <w:sz w:val="28"/>
        </w:rPr>
        <w:t>Cost Analysis and Business Model</w:t>
      </w:r>
      <w:r>
        <w:rPr>
          <w:b/>
        </w:rPr>
        <w:t xml:space="preserve">: </w:t>
      </w:r>
    </w:p>
    <w:p w14:paraId="06EE3342" w14:textId="77777777" w:rsidR="005842AE" w:rsidRDefault="00000000">
      <w:pPr>
        <w:ind w:left="-5" w:right="199"/>
      </w:pPr>
      <w:r>
        <w:t xml:space="preserve">Tesla’s business model is built on designing, manufacturing and selling electric vehicles, energy storage systems and renewable energy products. A defining feature of Tesla’s model is vertical integration: the company controls large portions of its supply chain, from battery production at Gigafactories to retail distribution through its own stores and website. This reduces dependency on third parties and allows tighter control over costs, quality and pricing. Tesla generates revenue primarily through automotive sales, regulatory credits, energy generation and storage solutions, and software-based income streams such as Full </w:t>
      </w:r>
      <w:proofErr w:type="spellStart"/>
      <w:r>
        <w:t>SelfDriving</w:t>
      </w:r>
      <w:proofErr w:type="spellEnd"/>
      <w:r>
        <w:t xml:space="preserve"> (FSD) subscriptions and over-the-air upgrades. The combination of hardware and software revenue strengthens its long-term profitability, giving the company recurring income beyond traditional car sales. </w:t>
      </w:r>
    </w:p>
    <w:p w14:paraId="7B311DD9" w14:textId="77777777" w:rsidR="005842AE" w:rsidRDefault="00000000">
      <w:pPr>
        <w:ind w:left="-5" w:right="199"/>
      </w:pPr>
      <w:r>
        <w:t xml:space="preserve">Tesla’s cost structure is heavily influenced by large-scale manufacturing, research and development (R&amp;D), and raw material volatility. A major portion of its fixed costs includes Gigafactory infrastructure, machinery, long-term leases, salaried labour, depreciation of equipment and ongoing investments in autonomous driving software. These fixed costs remain relatively constant regardless of production volume, meaning Tesla benefits significantly from economies of scale—the more vehicles it produces, the lower the fixed cost per unit. </w:t>
      </w:r>
    </w:p>
    <w:p w14:paraId="26531AD9" w14:textId="77777777" w:rsidR="005842AE" w:rsidRDefault="00000000">
      <w:pPr>
        <w:ind w:left="-5" w:right="199"/>
      </w:pPr>
      <w:r>
        <w:lastRenderedPageBreak/>
        <w:t xml:space="preserve">Variable costs constitute another major segment of Tesla’s expenditure. These include raw materials such as lithium, nickel and cobalt for battery production, plastics, electronics, tyres, logistics and hourly manufacturing labour.  </w:t>
      </w:r>
    </w:p>
    <w:p w14:paraId="5D39CAFA" w14:textId="77777777" w:rsidR="005842AE" w:rsidRDefault="00000000">
      <w:pPr>
        <w:ind w:left="-5" w:right="199"/>
      </w:pPr>
      <w:r>
        <w:t xml:space="preserve">Because batteries represent the most expensive component of EVs, fluctuations in mineral prices can strongly affect Tesla’s variable costs. The company has responded by investing in long-term supply contracts, exploring in-house battery production and redesigning battery architecture to reduce material usage. </w:t>
      </w:r>
    </w:p>
    <w:p w14:paraId="0D2CB1FD" w14:textId="77777777" w:rsidR="005842AE" w:rsidRDefault="00000000">
      <w:pPr>
        <w:ind w:left="-5" w:right="199"/>
      </w:pPr>
      <w:r>
        <w:t xml:space="preserve">Another important cost factor comes from software development and artificial intelligence training for autonomous driving, which, although categorized largely as fixed R&amp;D expenditure, supports revenue generation without increasing variable costs—significantly boosting margin potential once development costs are recovered. Tesla also benefits from a direct-to-consumer sales model, which reduces dealership commission costs and enhances pricing control, but increases fixed costs related to showrooms and service infrastructure. Tesla’s cost structure is a mix of high fixed manufacturing and R&amp;D costs balanced by variable material and production costs. The company’s success depends heavily on scaling production efficiently, managing supply chain risks and reducing battery costs—elements that are central to its long-term financial decision-making and competitive strategy. </w:t>
      </w:r>
    </w:p>
    <w:p w14:paraId="06B4F03C" w14:textId="77777777" w:rsidR="005842AE" w:rsidRDefault="00000000">
      <w:pPr>
        <w:spacing w:after="305" w:line="259" w:lineRule="auto"/>
        <w:ind w:left="0" w:right="0" w:firstLine="0"/>
        <w:jc w:val="left"/>
      </w:pPr>
      <w:r>
        <w:t xml:space="preserve"> </w:t>
      </w:r>
    </w:p>
    <w:p w14:paraId="6670DF8C" w14:textId="77777777" w:rsidR="005842AE" w:rsidRDefault="00000000">
      <w:pPr>
        <w:spacing w:after="227" w:line="259" w:lineRule="auto"/>
        <w:ind w:left="-5" w:right="0"/>
        <w:jc w:val="left"/>
      </w:pPr>
      <w:r>
        <w:rPr>
          <w:b/>
          <w:sz w:val="28"/>
        </w:rPr>
        <w:t xml:space="preserve">3. Budgeting and Financial Planning: </w:t>
      </w:r>
    </w:p>
    <w:p w14:paraId="133CEF14" w14:textId="77777777" w:rsidR="005842AE" w:rsidRDefault="00000000">
      <w:pPr>
        <w:ind w:left="-5" w:right="199"/>
      </w:pPr>
      <w:r>
        <w:t xml:space="preserve">Budgeting plays a central role in the operations of Tesla, Inc., supporting investment planning, cost management and strategic decision-making across its global manufacturing, energy storage and software businesses. Given Tesla’s capital-intensive manufacturing model, </w:t>
      </w:r>
      <w:proofErr w:type="spellStart"/>
      <w:r>
        <w:t>hightechnology</w:t>
      </w:r>
      <w:proofErr w:type="spellEnd"/>
      <w:r>
        <w:t xml:space="preserve"> development (e.g., battery innovation, autonomous driving software) and global supply chain exposure, rigorous budgeting enables the company to allocate resources to factory capacity, R&amp;D, logistics, staffing and marketing while monitoring variance against actual outcomes. A well-structured budget allows Tesla to assess anticipated fixed and variable cost drivers, determine break-even volumes, plan cash-flow requirements and set targets for operational efficiency and margin improvement. </w:t>
      </w:r>
    </w:p>
    <w:p w14:paraId="23AC975A" w14:textId="77777777" w:rsidR="005842AE" w:rsidRDefault="00000000">
      <w:pPr>
        <w:ind w:left="-5" w:right="199"/>
      </w:pPr>
      <w:r>
        <w:t xml:space="preserve">From publicly available financial data, Tesla’s total operating expenses have been increasing annually. For example, its operating expenses rose from approximately </w:t>
      </w:r>
      <w:r>
        <w:rPr>
          <w:b/>
          <w:color w:val="FF0000"/>
        </w:rPr>
        <w:t>US$29.6 billion</w:t>
      </w:r>
      <w:r>
        <w:t xml:space="preserve"> in 2020 to about </w:t>
      </w:r>
      <w:r>
        <w:rPr>
          <w:b/>
          <w:color w:val="FF0000"/>
        </w:rPr>
        <w:t>US$90.0 billion</w:t>
      </w:r>
      <w:r>
        <w:t xml:space="preserve"> in 2024. In the latest update for the twelve months ending September 30, 2025, operating expenses were </w:t>
      </w:r>
      <w:r>
        <w:rPr>
          <w:b/>
          <w:color w:val="FF0000"/>
        </w:rPr>
        <w:t>US$91.1 billion</w:t>
      </w:r>
      <w:r>
        <w:t xml:space="preserve">, representing a year-on-year increase of around 1.7%.  </w:t>
      </w:r>
    </w:p>
    <w:p w14:paraId="2F371D4E" w14:textId="77777777" w:rsidR="005842AE" w:rsidRDefault="00000000">
      <w:pPr>
        <w:ind w:left="-5" w:right="199"/>
      </w:pPr>
      <w:r>
        <w:t xml:space="preserve">In the company’s Q2 2025 update, Tesla noted several budgetary and planning decisions and influences: the decrease in vehicle deliveries (-12% YoY) and lower average selling prices (due </w:t>
      </w:r>
      <w:r>
        <w:lastRenderedPageBreak/>
        <w:t xml:space="preserve">to mix) impacted revenue. At the same time, operating expenses increased — driven by AI and other R&amp;D projects, stock-based compensation and restructuring charges.  These internal decisions demonstrate the budgeting emphasis on innovation and software-centric growth, even as vehicle margins tighten. </w:t>
      </w:r>
    </w:p>
    <w:p w14:paraId="706C095B" w14:textId="77777777" w:rsidR="005842AE" w:rsidRDefault="00000000">
      <w:pPr>
        <w:ind w:left="-5" w:right="199"/>
      </w:pPr>
      <w:r>
        <w:t xml:space="preserve">External macro-economic and industry-specific factors also influenced Tesla’s budgeting and expense planning. For example, rising tariffs on imported auto-parts increased costs (Tesla CFO noted over US$400 million in tariffs in a recent quarter). Supply-chain disruption and raw material volatility (particularly battery-critical minerals) force the company to include contingency budgeting and sensitivity analysis. The fading of regulatory credit revenue (which historically supported profitability) required Tesla to adjust its cost-base expectations and allocate more budget toward core operations rather than relying on credit-income windfalls.  </w:t>
      </w:r>
    </w:p>
    <w:p w14:paraId="7BAFE7F5" w14:textId="77777777" w:rsidR="005842AE" w:rsidRDefault="00000000">
      <w:pPr>
        <w:ind w:left="-5" w:right="199"/>
      </w:pPr>
      <w:r>
        <w:t xml:space="preserve">In practice, Tesla’s budgeting and financial planning process therefore </w:t>
      </w:r>
      <w:proofErr w:type="gramStart"/>
      <w:r>
        <w:t>combines:</w:t>
      </w:r>
      <w:proofErr w:type="gramEnd"/>
      <w:r>
        <w:t xml:space="preserve"> setting ambitious targets for scale (to drive fixed-cost absorption), allocating capital to R&amp;D and software platforms (which serve as future revenue streams), and creating flexible cost models that allow for raw-material swings, trade-tariff burdens and changing regulatory credit regimes. Through these budgeting tools and techniques (forecasting, variance analysis, scenario planning), management accounting supports Tesla’s ability to make informed decisions about factory expansions, product pricing, cost-cutting initiatives and R&amp;D investment. </w:t>
      </w:r>
    </w:p>
    <w:p w14:paraId="2662A49B" w14:textId="77777777" w:rsidR="005842AE" w:rsidRDefault="00000000">
      <w:pPr>
        <w:spacing w:after="305" w:line="259" w:lineRule="auto"/>
        <w:ind w:left="0" w:right="0" w:firstLine="0"/>
        <w:jc w:val="left"/>
      </w:pPr>
      <w:r>
        <w:t xml:space="preserve"> </w:t>
      </w:r>
    </w:p>
    <w:p w14:paraId="315198DD" w14:textId="77777777" w:rsidR="005842AE" w:rsidRDefault="00000000">
      <w:pPr>
        <w:spacing w:after="227" w:line="259" w:lineRule="auto"/>
        <w:ind w:left="-5" w:right="0"/>
        <w:jc w:val="left"/>
      </w:pPr>
      <w:r>
        <w:rPr>
          <w:b/>
          <w:sz w:val="28"/>
        </w:rPr>
        <w:t xml:space="preserve">4. Performance Measurement and Decision-Making: </w:t>
      </w:r>
    </w:p>
    <w:p w14:paraId="226225DC" w14:textId="77777777" w:rsidR="005842AE" w:rsidRDefault="00000000">
      <w:pPr>
        <w:ind w:left="-5" w:right="199"/>
      </w:pPr>
      <w:r>
        <w:t xml:space="preserve">Tesla relies on a mix of financial and non-financial Key Performance Indicators (KPIs) to measure performance, guide strategic decisions and support long-term planning. These KPIs reflect its dual focus on manufacturing efficiency and technological innovation. Below are </w:t>
      </w:r>
      <w:r>
        <w:rPr>
          <w:color w:val="FF0000"/>
        </w:rPr>
        <w:t>five commonly reported KPIs drawn from Tesla</w:t>
      </w:r>
      <w:r>
        <w:t xml:space="preserve">’s annual reports and mainstream financial platforms such as Yahoo Finance and Google Finance: </w:t>
      </w:r>
    </w:p>
    <w:p w14:paraId="2A533F04" w14:textId="77777777" w:rsidR="005842AE" w:rsidRDefault="00000000">
      <w:pPr>
        <w:spacing w:after="309" w:line="259" w:lineRule="auto"/>
        <w:ind w:left="0" w:right="0" w:firstLine="0"/>
        <w:jc w:val="left"/>
      </w:pPr>
      <w:r>
        <w:t xml:space="preserve"> </w:t>
      </w:r>
    </w:p>
    <w:p w14:paraId="56A54AFA" w14:textId="77777777" w:rsidR="005842AE" w:rsidRDefault="00000000">
      <w:pPr>
        <w:spacing w:after="26" w:line="259" w:lineRule="auto"/>
        <w:ind w:left="-5" w:right="0"/>
        <w:jc w:val="left"/>
      </w:pPr>
      <w:r>
        <w:rPr>
          <w:b/>
          <w:color w:val="FF0000"/>
        </w:rPr>
        <w:t>1.Revenue Growth:</w:t>
      </w:r>
      <w:r>
        <w:t xml:space="preserve"> </w:t>
      </w:r>
    </w:p>
    <w:p w14:paraId="1E3A4073" w14:textId="77777777" w:rsidR="005842AE" w:rsidRDefault="00000000">
      <w:pPr>
        <w:spacing w:after="270" w:line="294" w:lineRule="auto"/>
        <w:ind w:left="-5" w:right="185"/>
        <w:jc w:val="left"/>
      </w:pPr>
      <w:r>
        <w:t xml:space="preserve">Revenue growth is one of Tesla’s core financial KPIs, reflecting demand for its vehicles, energy products and software. Changes in revenue indicate how well Tesla is performing in competitive EV markets and help management evaluate pricing strategies, market expansion and production scaling. </w:t>
      </w:r>
    </w:p>
    <w:p w14:paraId="3BC73745" w14:textId="77777777" w:rsidR="005842AE" w:rsidRDefault="00000000">
      <w:pPr>
        <w:pStyle w:val="Heading1"/>
        <w:numPr>
          <w:ilvl w:val="0"/>
          <w:numId w:val="0"/>
        </w:numPr>
        <w:ind w:left="-5"/>
      </w:pPr>
      <w:r>
        <w:lastRenderedPageBreak/>
        <w:t>2.Operating Margin</w:t>
      </w:r>
      <w:r>
        <w:rPr>
          <w:b w:val="0"/>
          <w:color w:val="000000"/>
        </w:rPr>
        <w:t xml:space="preserve"> </w:t>
      </w:r>
    </w:p>
    <w:p w14:paraId="64A03472" w14:textId="77777777" w:rsidR="005842AE" w:rsidRDefault="00000000">
      <w:pPr>
        <w:spacing w:after="270" w:line="294" w:lineRule="auto"/>
        <w:ind w:left="-5" w:right="185"/>
        <w:jc w:val="left"/>
      </w:pPr>
      <w:r>
        <w:t xml:space="preserve"> Operating margin measures operational efficiency. Tesla closely tracks this KPI because EV manufacturing involves heavy capital expenditure and fluctuating battery material costs. When margins decline, management may respond through cost-cutting, factory optimisation or pricing adjustments. </w:t>
      </w:r>
    </w:p>
    <w:p w14:paraId="7108E635" w14:textId="77777777" w:rsidR="005842AE" w:rsidRDefault="00000000">
      <w:pPr>
        <w:pStyle w:val="Heading1"/>
        <w:ind w:left="227" w:hanging="242"/>
      </w:pPr>
      <w:r>
        <w:t>Research &amp; Development (R&amp;D) Spend</w:t>
      </w:r>
      <w:r>
        <w:rPr>
          <w:b w:val="0"/>
          <w:color w:val="000000"/>
        </w:rPr>
        <w:t xml:space="preserve"> </w:t>
      </w:r>
    </w:p>
    <w:p w14:paraId="7D747590" w14:textId="77777777" w:rsidR="005842AE" w:rsidRDefault="00000000">
      <w:pPr>
        <w:spacing w:after="270" w:line="294" w:lineRule="auto"/>
        <w:ind w:left="-5" w:right="185"/>
        <w:jc w:val="left"/>
      </w:pPr>
      <w:r>
        <w:t xml:space="preserve"> As an innovation-driven company, Tesla monitors R&amp;D expenditure to ensure sufficient investment into autonomous driving, AI training, robotics and battery technology. R&amp;D as a percentage of revenue helps determine whether Tesla is balancing innovation with financial sustainability. </w:t>
      </w:r>
    </w:p>
    <w:p w14:paraId="77CF0E52" w14:textId="77777777" w:rsidR="005842AE" w:rsidRDefault="00000000">
      <w:pPr>
        <w:pStyle w:val="Heading1"/>
        <w:numPr>
          <w:ilvl w:val="0"/>
          <w:numId w:val="0"/>
        </w:numPr>
        <w:ind w:left="-5"/>
      </w:pPr>
      <w:r>
        <w:t>4.VehicleProductionandDeliveryVolumes</w:t>
      </w:r>
      <w:r>
        <w:rPr>
          <w:b w:val="0"/>
          <w:color w:val="000000"/>
        </w:rPr>
        <w:t xml:space="preserve"> </w:t>
      </w:r>
    </w:p>
    <w:p w14:paraId="5D65471D" w14:textId="77777777" w:rsidR="005842AE" w:rsidRDefault="00000000">
      <w:pPr>
        <w:spacing w:after="270" w:line="294" w:lineRule="auto"/>
        <w:ind w:left="-5" w:right="185"/>
        <w:jc w:val="left"/>
      </w:pPr>
      <w:r>
        <w:t xml:space="preserve"> This is one of Tesla’s most important non-financial KPIs. Production volume indicates manufacturing efficiency, while delivery volume measures demand fulfilment. These metrics often drive major decisions such as factory expansion, workforce adjustments and </w:t>
      </w:r>
      <w:proofErr w:type="spellStart"/>
      <w:r>
        <w:t>supplychain</w:t>
      </w:r>
      <w:proofErr w:type="spellEnd"/>
      <w:r>
        <w:t xml:space="preserve"> planning. </w:t>
      </w:r>
    </w:p>
    <w:p w14:paraId="11660FF6" w14:textId="77777777" w:rsidR="005842AE" w:rsidRDefault="00000000">
      <w:pPr>
        <w:pStyle w:val="Heading1"/>
        <w:numPr>
          <w:ilvl w:val="0"/>
          <w:numId w:val="0"/>
        </w:numPr>
        <w:ind w:left="-5"/>
      </w:pPr>
      <w:r>
        <w:t>5.CO₂ Reduction / Sustainability KPIs</w:t>
      </w:r>
      <w:r>
        <w:rPr>
          <w:b w:val="0"/>
          <w:color w:val="000000"/>
        </w:rPr>
        <w:t xml:space="preserve"> </w:t>
      </w:r>
    </w:p>
    <w:p w14:paraId="137EFD7A" w14:textId="77777777" w:rsidR="005842AE" w:rsidRDefault="00000000">
      <w:pPr>
        <w:spacing w:after="307" w:line="294" w:lineRule="auto"/>
        <w:ind w:left="-5" w:right="185"/>
        <w:jc w:val="left"/>
      </w:pPr>
      <w:r>
        <w:t xml:space="preserve">Tesla reports on non-financial environmental KPIs, such as lifetime emissions avoided by its vehicles and energy storage systems. These KPIs guide investment in green production, recycling systems and sustainable sourcing strategies. They also support Tesla’s brand positioning as a clean-energy provider. </w:t>
      </w:r>
    </w:p>
    <w:p w14:paraId="09CEF223" w14:textId="77777777" w:rsidR="005842AE" w:rsidRDefault="00000000">
      <w:pPr>
        <w:spacing w:after="268" w:line="259" w:lineRule="auto"/>
        <w:ind w:left="0" w:right="0" w:firstLine="0"/>
        <w:jc w:val="left"/>
      </w:pPr>
      <w:r>
        <w:rPr>
          <w:b/>
          <w:color w:val="00B0F0"/>
          <w:sz w:val="28"/>
        </w:rPr>
        <w:t xml:space="preserve">Strategic Decisions Based on KPI Insights: </w:t>
      </w:r>
    </w:p>
    <w:p w14:paraId="255A6D96" w14:textId="7E7BFE8E" w:rsidR="005842AE" w:rsidRDefault="00000000" w:rsidP="0003593D">
      <w:pPr>
        <w:ind w:left="-5" w:right="199"/>
      </w:pPr>
      <w:r>
        <w:t xml:space="preserve">Tesla has consistently used financial and non-financial KPIs to make strategic decisions. A notable example is its global expansion strategy: rising production and delivery KPIs encouraged Tesla to build Gigafactories in Berlin, Shanghai and Texas, reducing logistics costs and increasing output capacity. Fluctuations in operating margin have pushed Tesla to adjust pricing several times—most notably in 2023–2024 when global EV demand softened and the company reduced prices to maintain volume, even though margins temporarily declined. </w:t>
      </w:r>
    </w:p>
    <w:p w14:paraId="07AE1B37" w14:textId="239BBC09" w:rsidR="005842AE" w:rsidRDefault="00000000" w:rsidP="0003593D">
      <w:pPr>
        <w:ind w:left="-5" w:right="199"/>
      </w:pPr>
      <w:r>
        <w:t xml:space="preserve">Similarly, high R&amp;D spend has driven strategic investments in AI, Dojo supercomputing, and new battery technologies. These decisions aim to create long-term competitive advantages by reducing variable battery costs and improving autonomous driving capabilities. Sustainability KPIs have influenced decisions such as expanding battery-recycling operations and transitioning factories toward renewable energy. Briefly, performance measurement allows Tesla to make informed decisions about expansions, pricing, cost management, and technology innovation ensuring the company remains competitive and financially sustainable. </w:t>
      </w:r>
    </w:p>
    <w:p w14:paraId="59B890BC" w14:textId="0712FCE1" w:rsidR="005842AE" w:rsidRDefault="00000000" w:rsidP="0003593D">
      <w:pPr>
        <w:spacing w:after="264" w:line="259" w:lineRule="auto"/>
        <w:ind w:left="0" w:right="0" w:firstLine="0"/>
        <w:jc w:val="left"/>
      </w:pPr>
      <w:r>
        <w:lastRenderedPageBreak/>
        <w:t xml:space="preserve"> </w:t>
      </w:r>
    </w:p>
    <w:p w14:paraId="189558E9" w14:textId="77777777" w:rsidR="005842AE" w:rsidRDefault="00000000">
      <w:pPr>
        <w:numPr>
          <w:ilvl w:val="0"/>
          <w:numId w:val="2"/>
        </w:numPr>
        <w:spacing w:after="227" w:line="259" w:lineRule="auto"/>
        <w:ind w:right="0" w:hanging="278"/>
        <w:jc w:val="left"/>
      </w:pPr>
      <w:r>
        <w:rPr>
          <w:b/>
          <w:sz w:val="28"/>
        </w:rPr>
        <w:t xml:space="preserve">Sustainability and Ethical Considerations: </w:t>
      </w:r>
    </w:p>
    <w:p w14:paraId="3480A99A" w14:textId="77777777" w:rsidR="005842AE" w:rsidRDefault="00000000">
      <w:pPr>
        <w:ind w:left="-5" w:right="199"/>
      </w:pPr>
      <w:r>
        <w:t xml:space="preserve">Sustainability is deeply embedded in Tesla’s mission and financial decision-making processes. The company’s core purpose accelerating the world’s transition to sustainable energy drives strategic investments, operational choices and long-term budgeting. Tesla integrates sustainability by prioritising renewable energy in its Gigafactories, investing heavily in battery technology that reduces environmental impact and expanding recycling programmes to minimise waste. For instance, the company’s battery-recycling initiatives aim to recover critical minerals such as lithium, nickel and cobalt, reducing reliance on mining and lowering long-term material costs. These sustainability efforts influence financial decision-making by lowering production costs over time, reducing regulatory risks, and strengthening Tesla’s appeal to eco-conscious consumers and investors. Tesla also incorporates sustainability into cost management by investing in energy-efficient manufacturing equipment, solar-powered facilities and improved battery chemistry. These investments may raise short-term capital and operating expenses but create long-term financial benefits by lowering energy costs and improving margins.  </w:t>
      </w:r>
    </w:p>
    <w:p w14:paraId="1943D9CA" w14:textId="37F34B00" w:rsidR="005842AE" w:rsidRDefault="00000000" w:rsidP="0003593D">
      <w:pPr>
        <w:ind w:left="-5" w:right="199"/>
      </w:pPr>
      <w:r>
        <w:t xml:space="preserve">Ethically, Tesla faces important considerations in its cost management and pricing strategies. A key concern relates to supply-chain ethics, particularly sourcing of minerals like cobalt and lithium. Tesla aims to address this by expanding traceable supply chains, partnering with responsible mining operations and transitioning toward cobalt-free battery technologies. Another ethical issue concerns pricing decisions. Tesla has frequently adjusted vehicle prices in response to demand, competition and margin pressures. Although dynamic pricing can make EVs more accessible, sudden price cuts have sometimes raised concerns about fairness for existing customers. Tesla must ensure ethical labour practices in its factories and maintain transparency in reporting environmental and social impacts. These ethical considerations directly influence management accounting, as the company must balance profitability with sustainable and responsible operations to maintain its long-term reputation and stakeholder trust. </w:t>
      </w:r>
    </w:p>
    <w:p w14:paraId="5B06D6EC" w14:textId="77777777" w:rsidR="005842AE" w:rsidRDefault="00000000">
      <w:pPr>
        <w:numPr>
          <w:ilvl w:val="0"/>
          <w:numId w:val="2"/>
        </w:numPr>
        <w:spacing w:after="269" w:line="259" w:lineRule="auto"/>
        <w:ind w:right="0" w:hanging="278"/>
        <w:jc w:val="left"/>
      </w:pPr>
      <w:r>
        <w:rPr>
          <w:b/>
          <w:sz w:val="28"/>
        </w:rPr>
        <w:t xml:space="preserve">Conclusion and Recommendations: </w:t>
      </w:r>
    </w:p>
    <w:p w14:paraId="307012F2" w14:textId="77777777" w:rsidR="005842AE" w:rsidRDefault="00000000">
      <w:pPr>
        <w:ind w:left="-5" w:right="199"/>
      </w:pPr>
      <w:r>
        <w:t xml:space="preserve">In summary, Tesla’s use of management accounting tools and techniques plays a critical role in guiding financial decisions across its global operations. Through cost analysis, the company manages a complex mix of high fixed manufacturing costs and variable material expenses, while its budgeting processes support strategic investment in innovation, factory expansion and operational efficiency. Performance measurement using financial and non-financial KPIs enables Tesla to make informed decisions regarding pricing, production, sustainability initiatives and long-term growth. </w:t>
      </w:r>
    </w:p>
    <w:p w14:paraId="5693A761" w14:textId="77777777" w:rsidR="005842AE" w:rsidRDefault="00000000">
      <w:pPr>
        <w:spacing w:after="0" w:line="259" w:lineRule="auto"/>
        <w:ind w:left="-5" w:right="0"/>
        <w:jc w:val="left"/>
      </w:pPr>
      <w:r>
        <w:rPr>
          <w:b/>
          <w:sz w:val="28"/>
        </w:rPr>
        <w:lastRenderedPageBreak/>
        <w:t>Recommendations:</w:t>
      </w:r>
      <w:r>
        <w:t xml:space="preserve"> </w:t>
      </w:r>
    </w:p>
    <w:p w14:paraId="7989096E" w14:textId="77777777" w:rsidR="005842AE" w:rsidRDefault="00000000">
      <w:pPr>
        <w:ind w:left="-5" w:right="199"/>
      </w:pPr>
      <w:r>
        <w:t xml:space="preserve">Tesla should continue expanding its battery-recycling capabilities to further reduce material costs and supply-chain risks. The company should also strengthen transparency in labour and sourcing practices to address ethical concerns. Tesla would benefit from enhancing scenario planning within its budgeting process to better navigate market volatility, regulatory changes and raw material price fluctuations. </w:t>
      </w:r>
    </w:p>
    <w:p w14:paraId="193BAEF5" w14:textId="77777777" w:rsidR="005842AE" w:rsidRDefault="00000000">
      <w:pPr>
        <w:spacing w:after="224" w:line="259" w:lineRule="auto"/>
        <w:ind w:left="0" w:right="0" w:firstLine="0"/>
        <w:jc w:val="left"/>
      </w:pPr>
      <w:r>
        <w:t xml:space="preserve"> </w:t>
      </w:r>
    </w:p>
    <w:p w14:paraId="21B3B95C" w14:textId="77777777" w:rsidR="005842AE" w:rsidRDefault="00000000">
      <w:pPr>
        <w:spacing w:after="187" w:line="259" w:lineRule="auto"/>
        <w:ind w:left="0" w:right="0" w:firstLine="0"/>
        <w:jc w:val="left"/>
      </w:pPr>
      <w:r>
        <w:rPr>
          <w:b/>
          <w:sz w:val="28"/>
        </w:rPr>
        <w:t xml:space="preserve"> </w:t>
      </w:r>
    </w:p>
    <w:p w14:paraId="06DAB56C" w14:textId="77777777" w:rsidR="005842AE" w:rsidRDefault="00000000">
      <w:pPr>
        <w:numPr>
          <w:ilvl w:val="0"/>
          <w:numId w:val="2"/>
        </w:numPr>
        <w:spacing w:after="227" w:line="259" w:lineRule="auto"/>
        <w:ind w:right="0" w:hanging="278"/>
        <w:jc w:val="left"/>
      </w:pPr>
      <w:r>
        <w:rPr>
          <w:b/>
          <w:sz w:val="28"/>
        </w:rPr>
        <w:t xml:space="preserve">References: </w:t>
      </w:r>
    </w:p>
    <w:p w14:paraId="0F6EB027" w14:textId="77777777" w:rsidR="005842AE" w:rsidRDefault="00000000">
      <w:pPr>
        <w:spacing w:after="198" w:line="316" w:lineRule="auto"/>
        <w:ind w:left="-5" w:right="0"/>
        <w:jc w:val="left"/>
      </w:pPr>
      <w:r>
        <w:t xml:space="preserve">Beresford, C. (2024) </w:t>
      </w:r>
      <w:r>
        <w:rPr>
          <w:i/>
        </w:rPr>
        <w:t>Tesla slashes prices as EV demand slows across global markets</w:t>
      </w:r>
      <w:r>
        <w:t xml:space="preserve">. Reuters. Available at: </w:t>
      </w:r>
      <w:hyperlink r:id="rId9">
        <w:r w:rsidR="005842AE">
          <w:rPr>
            <w:color w:val="467886"/>
            <w:u w:val="single" w:color="467886"/>
          </w:rPr>
          <w:t>https://www.reuters.com</w:t>
        </w:r>
      </w:hyperlink>
      <w:hyperlink r:id="rId10">
        <w:r w:rsidR="005842AE">
          <w:t xml:space="preserve"> </w:t>
        </w:r>
      </w:hyperlink>
      <w:r>
        <w:t xml:space="preserve">(Accessed: </w:t>
      </w:r>
      <w:r>
        <w:rPr>
          <w:b/>
        </w:rPr>
        <w:t>4 November 2025</w:t>
      </w:r>
      <w:r>
        <w:t xml:space="preserve">). </w:t>
      </w:r>
    </w:p>
    <w:p w14:paraId="24687953" w14:textId="77777777" w:rsidR="005842AE" w:rsidRDefault="00000000">
      <w:pPr>
        <w:spacing w:after="40"/>
        <w:ind w:left="-5" w:right="199"/>
      </w:pPr>
      <w:r>
        <w:t xml:space="preserve">Google Finance (2025) </w:t>
      </w:r>
      <w:r>
        <w:rPr>
          <w:i/>
        </w:rPr>
        <w:t>Tesla Inc. (TSLA) – Financial Overview</w:t>
      </w:r>
      <w:r>
        <w:t xml:space="preserve">. Available at: </w:t>
      </w:r>
    </w:p>
    <w:p w14:paraId="57031E9F" w14:textId="77777777" w:rsidR="005842AE" w:rsidRDefault="005842AE">
      <w:pPr>
        <w:spacing w:after="268" w:line="259" w:lineRule="auto"/>
        <w:ind w:left="-5" w:right="0"/>
        <w:jc w:val="left"/>
      </w:pPr>
      <w:hyperlink r:id="rId11">
        <w:r>
          <w:rPr>
            <w:color w:val="467886"/>
            <w:u w:val="single" w:color="467886"/>
          </w:rPr>
          <w:t>https://www.google.com/finance</w:t>
        </w:r>
      </w:hyperlink>
      <w:hyperlink r:id="rId12">
        <w:r>
          <w:t xml:space="preserve"> </w:t>
        </w:r>
      </w:hyperlink>
      <w:r w:rsidR="00000000">
        <w:t xml:space="preserve">(Accessed: </w:t>
      </w:r>
      <w:r w:rsidR="00000000">
        <w:rPr>
          <w:b/>
        </w:rPr>
        <w:t>12 November 2025</w:t>
      </w:r>
      <w:r w:rsidR="00000000">
        <w:t xml:space="preserve">). </w:t>
      </w:r>
    </w:p>
    <w:p w14:paraId="2DBA9FD1" w14:textId="77777777" w:rsidR="005842AE" w:rsidRDefault="00000000">
      <w:pPr>
        <w:ind w:left="-5" w:right="199"/>
      </w:pPr>
      <w:r>
        <w:t xml:space="preserve">Macrotrends (2025) </w:t>
      </w:r>
      <w:r>
        <w:rPr>
          <w:i/>
        </w:rPr>
        <w:t>Tesla Operating Expenses 2010–2025</w:t>
      </w:r>
      <w:r>
        <w:t xml:space="preserve">. Available at: </w:t>
      </w:r>
      <w:hyperlink r:id="rId13">
        <w:r w:rsidR="005842AE">
          <w:rPr>
            <w:color w:val="467886"/>
            <w:u w:val="single" w:color="467886"/>
          </w:rPr>
          <w:t>https://www.macrotrends.net</w:t>
        </w:r>
      </w:hyperlink>
      <w:hyperlink r:id="rId14">
        <w:r w:rsidR="005842AE">
          <w:t xml:space="preserve"> </w:t>
        </w:r>
      </w:hyperlink>
      <w:r>
        <w:t xml:space="preserve">(Accessed: </w:t>
      </w:r>
      <w:r>
        <w:rPr>
          <w:b/>
        </w:rPr>
        <w:t>9 November 2025</w:t>
      </w:r>
      <w:r>
        <w:t xml:space="preserve">). </w:t>
      </w:r>
    </w:p>
    <w:p w14:paraId="6B91D789" w14:textId="77777777" w:rsidR="005842AE" w:rsidRDefault="00000000">
      <w:pPr>
        <w:spacing w:after="13" w:line="316" w:lineRule="auto"/>
        <w:ind w:left="-5" w:right="0"/>
        <w:jc w:val="left"/>
      </w:pPr>
      <w:r>
        <w:t xml:space="preserve">MarketWatch (2025) </w:t>
      </w:r>
      <w:r>
        <w:rPr>
          <w:i/>
        </w:rPr>
        <w:t>Tesla Financial Statements – Annual Income Data</w:t>
      </w:r>
      <w:r>
        <w:t xml:space="preserve">. Available at: </w:t>
      </w:r>
    </w:p>
    <w:p w14:paraId="55068EF7" w14:textId="77777777" w:rsidR="005842AE" w:rsidRDefault="005842AE">
      <w:pPr>
        <w:spacing w:after="268" w:line="259" w:lineRule="auto"/>
        <w:ind w:left="-5" w:right="0"/>
        <w:jc w:val="left"/>
      </w:pPr>
      <w:hyperlink r:id="rId15">
        <w:r>
          <w:rPr>
            <w:color w:val="467886"/>
            <w:u w:val="single" w:color="467886"/>
          </w:rPr>
          <w:t>https://www.marketwatch.com</w:t>
        </w:r>
      </w:hyperlink>
      <w:hyperlink r:id="rId16">
        <w:r>
          <w:t xml:space="preserve"> </w:t>
        </w:r>
      </w:hyperlink>
      <w:r w:rsidR="00000000">
        <w:t xml:space="preserve">(Accessed: </w:t>
      </w:r>
      <w:r w:rsidR="00000000">
        <w:rPr>
          <w:b/>
        </w:rPr>
        <w:t>6 November 2025</w:t>
      </w:r>
      <w:r w:rsidR="00000000">
        <w:t xml:space="preserve">). </w:t>
      </w:r>
    </w:p>
    <w:p w14:paraId="77A77EA8" w14:textId="77777777" w:rsidR="005842AE" w:rsidRDefault="00000000">
      <w:pPr>
        <w:spacing w:after="40"/>
        <w:ind w:left="-5" w:right="199"/>
      </w:pPr>
      <w:r>
        <w:t xml:space="preserve">Tesla, Inc. (2025a) </w:t>
      </w:r>
      <w:r>
        <w:rPr>
          <w:i/>
        </w:rPr>
        <w:t>Q2 2025 Update Report</w:t>
      </w:r>
      <w:r>
        <w:t xml:space="preserve">. Tesla Investor Relations. Available at: </w:t>
      </w:r>
    </w:p>
    <w:p w14:paraId="6FB2E691" w14:textId="77777777" w:rsidR="005842AE" w:rsidRDefault="005842AE">
      <w:pPr>
        <w:spacing w:after="268" w:line="259" w:lineRule="auto"/>
        <w:ind w:left="-5" w:right="0"/>
        <w:jc w:val="left"/>
      </w:pPr>
      <w:hyperlink r:id="rId17">
        <w:r>
          <w:rPr>
            <w:color w:val="467886"/>
            <w:u w:val="single" w:color="467886"/>
          </w:rPr>
          <w:t>https://www.tesla.com/investor</w:t>
        </w:r>
      </w:hyperlink>
      <w:hyperlink r:id="rId18">
        <w:r>
          <w:t xml:space="preserve"> </w:t>
        </w:r>
      </w:hyperlink>
      <w:r w:rsidR="00000000">
        <w:t xml:space="preserve">(Accessed: </w:t>
      </w:r>
      <w:r w:rsidR="00000000">
        <w:rPr>
          <w:b/>
        </w:rPr>
        <w:t>14 November 2025</w:t>
      </w:r>
      <w:r w:rsidR="00000000">
        <w:t xml:space="preserve">). </w:t>
      </w:r>
    </w:p>
    <w:p w14:paraId="3D444C7A" w14:textId="77777777" w:rsidR="005842AE" w:rsidRDefault="00000000">
      <w:pPr>
        <w:spacing w:after="38"/>
        <w:ind w:left="-5" w:right="199"/>
      </w:pPr>
      <w:r>
        <w:t xml:space="preserve">Tesla, Inc. (2025b) </w:t>
      </w:r>
      <w:r>
        <w:rPr>
          <w:i/>
        </w:rPr>
        <w:t>Q3 2025 Update Report</w:t>
      </w:r>
      <w:r>
        <w:t xml:space="preserve">. Tesla Investor Relations. Available at: </w:t>
      </w:r>
    </w:p>
    <w:p w14:paraId="0036AB48" w14:textId="77777777" w:rsidR="005842AE" w:rsidRDefault="005842AE">
      <w:pPr>
        <w:spacing w:after="268" w:line="259" w:lineRule="auto"/>
        <w:ind w:left="-5" w:right="0"/>
        <w:jc w:val="left"/>
      </w:pPr>
      <w:hyperlink r:id="rId19">
        <w:r>
          <w:rPr>
            <w:color w:val="467886"/>
            <w:u w:val="single" w:color="467886"/>
          </w:rPr>
          <w:t>https://www.tesla.com/investor</w:t>
        </w:r>
      </w:hyperlink>
      <w:hyperlink r:id="rId20">
        <w:r>
          <w:t xml:space="preserve"> </w:t>
        </w:r>
      </w:hyperlink>
      <w:r w:rsidR="00000000">
        <w:t xml:space="preserve">(Accessed: </w:t>
      </w:r>
      <w:r w:rsidR="00000000">
        <w:rPr>
          <w:b/>
        </w:rPr>
        <w:t>19 November 2025</w:t>
      </w:r>
      <w:r w:rsidR="00000000">
        <w:t xml:space="preserve">). </w:t>
      </w:r>
    </w:p>
    <w:p w14:paraId="4C559D28" w14:textId="77777777" w:rsidR="005842AE" w:rsidRDefault="00000000">
      <w:pPr>
        <w:ind w:left="-5" w:right="199"/>
      </w:pPr>
      <w:r>
        <w:t xml:space="preserve">Tesla, Inc. (2024) </w:t>
      </w:r>
      <w:r>
        <w:rPr>
          <w:i/>
        </w:rPr>
        <w:t>Impact Report 2024</w:t>
      </w:r>
      <w:r>
        <w:t xml:space="preserve">. Tesla Sustainability Reports. Available at: </w:t>
      </w:r>
      <w:hyperlink r:id="rId21">
        <w:r w:rsidR="005842AE">
          <w:rPr>
            <w:color w:val="467886"/>
            <w:u w:val="single" w:color="467886"/>
          </w:rPr>
          <w:t>https://www.tesla.com/impact</w:t>
        </w:r>
      </w:hyperlink>
      <w:hyperlink r:id="rId22">
        <w:r w:rsidR="005842AE">
          <w:t xml:space="preserve"> </w:t>
        </w:r>
      </w:hyperlink>
      <w:r>
        <w:t xml:space="preserve">(Accessed: </w:t>
      </w:r>
      <w:r>
        <w:rPr>
          <w:b/>
        </w:rPr>
        <w:t>2 November 2025</w:t>
      </w:r>
      <w:r>
        <w:t xml:space="preserve">). </w:t>
      </w:r>
    </w:p>
    <w:p w14:paraId="0B7AE3A0" w14:textId="77777777" w:rsidR="005842AE" w:rsidRDefault="00000000">
      <w:pPr>
        <w:spacing w:after="13" w:line="316" w:lineRule="auto"/>
        <w:ind w:left="-5" w:right="0"/>
        <w:jc w:val="left"/>
      </w:pPr>
      <w:r>
        <w:t xml:space="preserve">Yahoo Finance (2025) </w:t>
      </w:r>
      <w:r>
        <w:rPr>
          <w:i/>
        </w:rPr>
        <w:t>Tesla Inc. (TSLA) – Key Statistics and Financial Data</w:t>
      </w:r>
      <w:r>
        <w:t xml:space="preserve">. Available at: </w:t>
      </w:r>
      <w:hyperlink r:id="rId23">
        <w:r w:rsidR="005842AE">
          <w:rPr>
            <w:color w:val="467886"/>
            <w:u w:val="single" w:color="467886"/>
          </w:rPr>
          <w:t>https://finance.yahoo.com</w:t>
        </w:r>
      </w:hyperlink>
      <w:hyperlink r:id="rId24">
        <w:r w:rsidR="005842AE">
          <w:t xml:space="preserve"> </w:t>
        </w:r>
      </w:hyperlink>
      <w:r>
        <w:t xml:space="preserve">(Accessed: </w:t>
      </w:r>
      <w:r>
        <w:rPr>
          <w:b/>
        </w:rPr>
        <w:t>16 November 2025</w:t>
      </w:r>
      <w:r>
        <w:t xml:space="preserve">). </w:t>
      </w:r>
    </w:p>
    <w:sectPr w:rsidR="005842AE">
      <w:footerReference w:type="even" r:id="rId25"/>
      <w:footerReference w:type="default" r:id="rId26"/>
      <w:footerReference w:type="first" r:id="rId27"/>
      <w:pgSz w:w="11906" w:h="16838"/>
      <w:pgMar w:top="1441" w:right="1228" w:bottom="1470" w:left="1440"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79B7E" w14:textId="77777777" w:rsidR="00624B17" w:rsidRDefault="00624B17">
      <w:pPr>
        <w:spacing w:after="0" w:line="240" w:lineRule="auto"/>
      </w:pPr>
      <w:r>
        <w:separator/>
      </w:r>
    </w:p>
  </w:endnote>
  <w:endnote w:type="continuationSeparator" w:id="0">
    <w:p w14:paraId="7AD557E0" w14:textId="77777777" w:rsidR="00624B17" w:rsidRDefault="00624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6C158" w14:textId="77777777" w:rsidR="005842AE" w:rsidRDefault="00000000">
    <w:pPr>
      <w:tabs>
        <w:tab w:val="center" w:pos="4508"/>
        <w:tab w:val="center" w:pos="8960"/>
      </w:tabs>
      <w:spacing w:after="0" w:line="259" w:lineRule="auto"/>
      <w:ind w:left="-7" w:right="0" w:firstLine="0"/>
      <w:jc w:val="left"/>
    </w:pPr>
    <w:r>
      <w:t xml:space="preserve"> </w:t>
    </w:r>
    <w:r>
      <w:tab/>
      <w:t xml:space="preserve"> </w:t>
    </w:r>
    <w:r>
      <w:tab/>
    </w:r>
    <w:r>
      <w:fldChar w:fldCharType="begin"/>
    </w:r>
    <w:r>
      <w:instrText xml:space="preserve"> PAGE   \* MERGEFORMAT </w:instrText>
    </w:r>
    <w:r>
      <w:fldChar w:fldCharType="separate"/>
    </w:r>
    <w:r>
      <w:t>1</w:t>
    </w:r>
    <w:r>
      <w:fldChar w:fldCharType="end"/>
    </w:r>
  </w:p>
  <w:p w14:paraId="5CF43232" w14:textId="77777777" w:rsidR="005842AE" w:rsidRDefault="00000000">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DB7C9" w14:textId="77777777" w:rsidR="005842AE" w:rsidRDefault="00000000">
    <w:pPr>
      <w:tabs>
        <w:tab w:val="center" w:pos="4508"/>
        <w:tab w:val="center" w:pos="8960"/>
      </w:tabs>
      <w:spacing w:after="0" w:line="259" w:lineRule="auto"/>
      <w:ind w:left="-7" w:right="0" w:firstLine="0"/>
      <w:jc w:val="left"/>
    </w:pPr>
    <w:r>
      <w:t xml:space="preserve"> </w:t>
    </w:r>
    <w:r>
      <w:tab/>
      <w:t xml:space="preserve"> </w:t>
    </w:r>
    <w:r>
      <w:tab/>
    </w:r>
    <w:r>
      <w:fldChar w:fldCharType="begin"/>
    </w:r>
    <w:r>
      <w:instrText xml:space="preserve"> PAGE   \* MERGEFORMAT </w:instrText>
    </w:r>
    <w:r>
      <w:fldChar w:fldCharType="separate"/>
    </w:r>
    <w:r>
      <w:t>1</w:t>
    </w:r>
    <w:r>
      <w:fldChar w:fldCharType="end"/>
    </w:r>
  </w:p>
  <w:p w14:paraId="0B305478" w14:textId="77777777" w:rsidR="005842AE" w:rsidRDefault="00000000">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DA06C" w14:textId="77777777" w:rsidR="005842AE" w:rsidRDefault="00000000">
    <w:pPr>
      <w:tabs>
        <w:tab w:val="center" w:pos="4508"/>
        <w:tab w:val="center" w:pos="8960"/>
      </w:tabs>
      <w:spacing w:after="0" w:line="259" w:lineRule="auto"/>
      <w:ind w:left="-7" w:right="0" w:firstLine="0"/>
      <w:jc w:val="left"/>
    </w:pPr>
    <w:r>
      <w:t xml:space="preserve"> </w:t>
    </w:r>
    <w:r>
      <w:tab/>
      <w:t xml:space="preserve"> </w:t>
    </w:r>
    <w:r>
      <w:tab/>
    </w:r>
    <w:r>
      <w:fldChar w:fldCharType="begin"/>
    </w:r>
    <w:r>
      <w:instrText xml:space="preserve"> PAGE   \* MERGEFORMAT </w:instrText>
    </w:r>
    <w:r>
      <w:fldChar w:fldCharType="separate"/>
    </w:r>
    <w:r>
      <w:t>1</w:t>
    </w:r>
    <w:r>
      <w:fldChar w:fldCharType="end"/>
    </w:r>
  </w:p>
  <w:p w14:paraId="511019F0" w14:textId="77777777" w:rsidR="005842AE" w:rsidRDefault="00000000">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0CE6A" w14:textId="77777777" w:rsidR="00624B17" w:rsidRDefault="00624B17">
      <w:pPr>
        <w:spacing w:after="0" w:line="240" w:lineRule="auto"/>
      </w:pPr>
      <w:r>
        <w:separator/>
      </w:r>
    </w:p>
  </w:footnote>
  <w:footnote w:type="continuationSeparator" w:id="0">
    <w:p w14:paraId="6AF9F5F0" w14:textId="77777777" w:rsidR="00624B17" w:rsidRDefault="00624B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655A"/>
    <w:multiLevelType w:val="hybridMultilevel"/>
    <w:tmpl w:val="D7A0BC3A"/>
    <w:lvl w:ilvl="0" w:tplc="A4C220A0">
      <w:start w:val="3"/>
      <w:numFmt w:val="decimal"/>
      <w:pStyle w:val="Heading1"/>
      <w:lvlText w:val="%1."/>
      <w:lvlJc w:val="left"/>
      <w:pPr>
        <w:ind w:left="0"/>
      </w:pPr>
      <w:rPr>
        <w:rFonts w:ascii="Calibri" w:eastAsia="Calibri" w:hAnsi="Calibri" w:cs="Calibri"/>
        <w:b/>
        <w:bCs/>
        <w:i w:val="0"/>
        <w:strike w:val="0"/>
        <w:dstrike w:val="0"/>
        <w:color w:val="FF0000"/>
        <w:sz w:val="24"/>
        <w:szCs w:val="24"/>
        <w:u w:val="none" w:color="000000"/>
        <w:bdr w:val="none" w:sz="0" w:space="0" w:color="auto"/>
        <w:shd w:val="clear" w:color="auto" w:fill="auto"/>
        <w:vertAlign w:val="baseline"/>
      </w:rPr>
    </w:lvl>
    <w:lvl w:ilvl="1" w:tplc="EA020A36">
      <w:start w:val="1"/>
      <w:numFmt w:val="lowerLetter"/>
      <w:lvlText w:val="%2"/>
      <w:lvlJc w:val="left"/>
      <w:pPr>
        <w:ind w:left="1080"/>
      </w:pPr>
      <w:rPr>
        <w:rFonts w:ascii="Calibri" w:eastAsia="Calibri" w:hAnsi="Calibri" w:cs="Calibri"/>
        <w:b/>
        <w:bCs/>
        <w:i w:val="0"/>
        <w:strike w:val="0"/>
        <w:dstrike w:val="0"/>
        <w:color w:val="FF0000"/>
        <w:sz w:val="24"/>
        <w:szCs w:val="24"/>
        <w:u w:val="none" w:color="000000"/>
        <w:bdr w:val="none" w:sz="0" w:space="0" w:color="auto"/>
        <w:shd w:val="clear" w:color="auto" w:fill="auto"/>
        <w:vertAlign w:val="baseline"/>
      </w:rPr>
    </w:lvl>
    <w:lvl w:ilvl="2" w:tplc="F5AEB872">
      <w:start w:val="1"/>
      <w:numFmt w:val="lowerRoman"/>
      <w:lvlText w:val="%3"/>
      <w:lvlJc w:val="left"/>
      <w:pPr>
        <w:ind w:left="1800"/>
      </w:pPr>
      <w:rPr>
        <w:rFonts w:ascii="Calibri" w:eastAsia="Calibri" w:hAnsi="Calibri" w:cs="Calibri"/>
        <w:b/>
        <w:bCs/>
        <w:i w:val="0"/>
        <w:strike w:val="0"/>
        <w:dstrike w:val="0"/>
        <w:color w:val="FF0000"/>
        <w:sz w:val="24"/>
        <w:szCs w:val="24"/>
        <w:u w:val="none" w:color="000000"/>
        <w:bdr w:val="none" w:sz="0" w:space="0" w:color="auto"/>
        <w:shd w:val="clear" w:color="auto" w:fill="auto"/>
        <w:vertAlign w:val="baseline"/>
      </w:rPr>
    </w:lvl>
    <w:lvl w:ilvl="3" w:tplc="7FA42AD2">
      <w:start w:val="1"/>
      <w:numFmt w:val="decimal"/>
      <w:lvlText w:val="%4"/>
      <w:lvlJc w:val="left"/>
      <w:pPr>
        <w:ind w:left="2520"/>
      </w:pPr>
      <w:rPr>
        <w:rFonts w:ascii="Calibri" w:eastAsia="Calibri" w:hAnsi="Calibri" w:cs="Calibri"/>
        <w:b/>
        <w:bCs/>
        <w:i w:val="0"/>
        <w:strike w:val="0"/>
        <w:dstrike w:val="0"/>
        <w:color w:val="FF0000"/>
        <w:sz w:val="24"/>
        <w:szCs w:val="24"/>
        <w:u w:val="none" w:color="000000"/>
        <w:bdr w:val="none" w:sz="0" w:space="0" w:color="auto"/>
        <w:shd w:val="clear" w:color="auto" w:fill="auto"/>
        <w:vertAlign w:val="baseline"/>
      </w:rPr>
    </w:lvl>
    <w:lvl w:ilvl="4" w:tplc="2C16BDA0">
      <w:start w:val="1"/>
      <w:numFmt w:val="lowerLetter"/>
      <w:lvlText w:val="%5"/>
      <w:lvlJc w:val="left"/>
      <w:pPr>
        <w:ind w:left="3240"/>
      </w:pPr>
      <w:rPr>
        <w:rFonts w:ascii="Calibri" w:eastAsia="Calibri" w:hAnsi="Calibri" w:cs="Calibri"/>
        <w:b/>
        <w:bCs/>
        <w:i w:val="0"/>
        <w:strike w:val="0"/>
        <w:dstrike w:val="0"/>
        <w:color w:val="FF0000"/>
        <w:sz w:val="24"/>
        <w:szCs w:val="24"/>
        <w:u w:val="none" w:color="000000"/>
        <w:bdr w:val="none" w:sz="0" w:space="0" w:color="auto"/>
        <w:shd w:val="clear" w:color="auto" w:fill="auto"/>
        <w:vertAlign w:val="baseline"/>
      </w:rPr>
    </w:lvl>
    <w:lvl w:ilvl="5" w:tplc="2DE05D0E">
      <w:start w:val="1"/>
      <w:numFmt w:val="lowerRoman"/>
      <w:lvlText w:val="%6"/>
      <w:lvlJc w:val="left"/>
      <w:pPr>
        <w:ind w:left="3960"/>
      </w:pPr>
      <w:rPr>
        <w:rFonts w:ascii="Calibri" w:eastAsia="Calibri" w:hAnsi="Calibri" w:cs="Calibri"/>
        <w:b/>
        <w:bCs/>
        <w:i w:val="0"/>
        <w:strike w:val="0"/>
        <w:dstrike w:val="0"/>
        <w:color w:val="FF0000"/>
        <w:sz w:val="24"/>
        <w:szCs w:val="24"/>
        <w:u w:val="none" w:color="000000"/>
        <w:bdr w:val="none" w:sz="0" w:space="0" w:color="auto"/>
        <w:shd w:val="clear" w:color="auto" w:fill="auto"/>
        <w:vertAlign w:val="baseline"/>
      </w:rPr>
    </w:lvl>
    <w:lvl w:ilvl="6" w:tplc="6BDEA584">
      <w:start w:val="1"/>
      <w:numFmt w:val="decimal"/>
      <w:lvlText w:val="%7"/>
      <w:lvlJc w:val="left"/>
      <w:pPr>
        <w:ind w:left="4680"/>
      </w:pPr>
      <w:rPr>
        <w:rFonts w:ascii="Calibri" w:eastAsia="Calibri" w:hAnsi="Calibri" w:cs="Calibri"/>
        <w:b/>
        <w:bCs/>
        <w:i w:val="0"/>
        <w:strike w:val="0"/>
        <w:dstrike w:val="0"/>
        <w:color w:val="FF0000"/>
        <w:sz w:val="24"/>
        <w:szCs w:val="24"/>
        <w:u w:val="none" w:color="000000"/>
        <w:bdr w:val="none" w:sz="0" w:space="0" w:color="auto"/>
        <w:shd w:val="clear" w:color="auto" w:fill="auto"/>
        <w:vertAlign w:val="baseline"/>
      </w:rPr>
    </w:lvl>
    <w:lvl w:ilvl="7" w:tplc="63DC577A">
      <w:start w:val="1"/>
      <w:numFmt w:val="lowerLetter"/>
      <w:lvlText w:val="%8"/>
      <w:lvlJc w:val="left"/>
      <w:pPr>
        <w:ind w:left="5400"/>
      </w:pPr>
      <w:rPr>
        <w:rFonts w:ascii="Calibri" w:eastAsia="Calibri" w:hAnsi="Calibri" w:cs="Calibri"/>
        <w:b/>
        <w:bCs/>
        <w:i w:val="0"/>
        <w:strike w:val="0"/>
        <w:dstrike w:val="0"/>
        <w:color w:val="FF0000"/>
        <w:sz w:val="24"/>
        <w:szCs w:val="24"/>
        <w:u w:val="none" w:color="000000"/>
        <w:bdr w:val="none" w:sz="0" w:space="0" w:color="auto"/>
        <w:shd w:val="clear" w:color="auto" w:fill="auto"/>
        <w:vertAlign w:val="baseline"/>
      </w:rPr>
    </w:lvl>
    <w:lvl w:ilvl="8" w:tplc="4920E1C8">
      <w:start w:val="1"/>
      <w:numFmt w:val="lowerRoman"/>
      <w:lvlText w:val="%9"/>
      <w:lvlJc w:val="left"/>
      <w:pPr>
        <w:ind w:left="6120"/>
      </w:pPr>
      <w:rPr>
        <w:rFonts w:ascii="Calibri" w:eastAsia="Calibri" w:hAnsi="Calibri" w:cs="Calibri"/>
        <w:b/>
        <w:bCs/>
        <w:i w:val="0"/>
        <w:strike w:val="0"/>
        <w:dstrike w:val="0"/>
        <w:color w:val="FF0000"/>
        <w:sz w:val="24"/>
        <w:szCs w:val="24"/>
        <w:u w:val="none" w:color="000000"/>
        <w:bdr w:val="none" w:sz="0" w:space="0" w:color="auto"/>
        <w:shd w:val="clear" w:color="auto" w:fill="auto"/>
        <w:vertAlign w:val="baseline"/>
      </w:rPr>
    </w:lvl>
  </w:abstractNum>
  <w:abstractNum w:abstractNumId="1" w15:restartNumberingAfterBreak="0">
    <w:nsid w:val="1ADA4F1F"/>
    <w:multiLevelType w:val="hybridMultilevel"/>
    <w:tmpl w:val="388E043A"/>
    <w:lvl w:ilvl="0" w:tplc="A0626990">
      <w:start w:val="1"/>
      <w:numFmt w:val="decimal"/>
      <w:lvlText w:val="%1."/>
      <w:lvlJc w:val="left"/>
      <w:pPr>
        <w:ind w:left="27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5ABC3080">
      <w:start w:val="1"/>
      <w:numFmt w:val="lowerLetter"/>
      <w:lvlText w:val="%2"/>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20047A00">
      <w:start w:val="1"/>
      <w:numFmt w:val="lowerRoman"/>
      <w:lvlText w:val="%3"/>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DC1A7634">
      <w:start w:val="1"/>
      <w:numFmt w:val="decimal"/>
      <w:lvlText w:val="%4"/>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1660BCF0">
      <w:start w:val="1"/>
      <w:numFmt w:val="lowerLetter"/>
      <w:lvlText w:val="%5"/>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D3A88464">
      <w:start w:val="1"/>
      <w:numFmt w:val="lowerRoman"/>
      <w:lvlText w:val="%6"/>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750A8C8E">
      <w:start w:val="1"/>
      <w:numFmt w:val="decimal"/>
      <w:lvlText w:val="%7"/>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B712DCBC">
      <w:start w:val="1"/>
      <w:numFmt w:val="lowerLetter"/>
      <w:lvlText w:val="%8"/>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B36835B4">
      <w:start w:val="1"/>
      <w:numFmt w:val="lowerRoman"/>
      <w:lvlText w:val="%9"/>
      <w:lvlJc w:val="left"/>
      <w:pPr>
        <w:ind w:left="6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5C724D30"/>
    <w:multiLevelType w:val="hybridMultilevel"/>
    <w:tmpl w:val="EE0495BE"/>
    <w:lvl w:ilvl="0" w:tplc="1C2C4998">
      <w:start w:val="5"/>
      <w:numFmt w:val="decimal"/>
      <w:lvlText w:val="%1."/>
      <w:lvlJc w:val="left"/>
      <w:pPr>
        <w:ind w:left="278"/>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E12003D6">
      <w:start w:val="1"/>
      <w:numFmt w:val="lowerLetter"/>
      <w:lvlText w:val="%2"/>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66E600E8">
      <w:start w:val="1"/>
      <w:numFmt w:val="lowerRoman"/>
      <w:lvlText w:val="%3"/>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FE826B5A">
      <w:start w:val="1"/>
      <w:numFmt w:val="decimal"/>
      <w:lvlText w:val="%4"/>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BC2A1624">
      <w:start w:val="1"/>
      <w:numFmt w:val="lowerLetter"/>
      <w:lvlText w:val="%5"/>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A4EA1C6E">
      <w:start w:val="1"/>
      <w:numFmt w:val="lowerRoman"/>
      <w:lvlText w:val="%6"/>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13A4FC4A">
      <w:start w:val="1"/>
      <w:numFmt w:val="decimal"/>
      <w:lvlText w:val="%7"/>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62000790">
      <w:start w:val="1"/>
      <w:numFmt w:val="lowerLetter"/>
      <w:lvlText w:val="%8"/>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71009B70">
      <w:start w:val="1"/>
      <w:numFmt w:val="lowerRoman"/>
      <w:lvlText w:val="%9"/>
      <w:lvlJc w:val="left"/>
      <w:pPr>
        <w:ind w:left="6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num w:numId="1" w16cid:durableId="133525638">
    <w:abstractNumId w:val="1"/>
  </w:num>
  <w:num w:numId="2" w16cid:durableId="464928656">
    <w:abstractNumId w:val="2"/>
  </w:num>
  <w:num w:numId="3" w16cid:durableId="1667316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2AE"/>
    <w:rsid w:val="0003593D"/>
    <w:rsid w:val="00087397"/>
    <w:rsid w:val="00257A14"/>
    <w:rsid w:val="005842AE"/>
    <w:rsid w:val="00624B17"/>
    <w:rsid w:val="0086501E"/>
    <w:rsid w:val="00B04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56B8C"/>
  <w15:docId w15:val="{2954BB39-B247-4DD7-BDE4-B8E4FB493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0" w:line="288" w:lineRule="auto"/>
      <w:ind w:left="10" w:right="208"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numPr>
        <w:numId w:val="3"/>
      </w:numPr>
      <w:spacing w:after="26" w:line="259" w:lineRule="auto"/>
      <w:ind w:left="10" w:hanging="10"/>
      <w:outlineLvl w:val="0"/>
    </w:pPr>
    <w:rPr>
      <w:rFonts w:ascii="Calibri" w:eastAsia="Calibri" w:hAnsi="Calibri" w:cs="Calibri"/>
      <w:b/>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FF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macrotrends.net/" TargetMode="External"/><Relationship Id="rId18" Type="http://schemas.openxmlformats.org/officeDocument/2006/relationships/hyperlink" Target="https://www.tesla.com/investor"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tesla.com/impact" TargetMode="External"/><Relationship Id="rId7" Type="http://schemas.openxmlformats.org/officeDocument/2006/relationships/image" Target="media/image1.jpg"/><Relationship Id="rId12" Type="http://schemas.openxmlformats.org/officeDocument/2006/relationships/hyperlink" Target="https://www.google.com/finance" TargetMode="External"/><Relationship Id="rId17" Type="http://schemas.openxmlformats.org/officeDocument/2006/relationships/hyperlink" Target="https://www.tesla.com/investor"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marketwatch.com/" TargetMode="External"/><Relationship Id="rId20" Type="http://schemas.openxmlformats.org/officeDocument/2006/relationships/hyperlink" Target="https://www.tesla.com/investo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finance" TargetMode="External"/><Relationship Id="rId24" Type="http://schemas.openxmlformats.org/officeDocument/2006/relationships/hyperlink" Target="https://finance.yahoo.com/" TargetMode="External"/><Relationship Id="rId5" Type="http://schemas.openxmlformats.org/officeDocument/2006/relationships/footnotes" Target="footnotes.xml"/><Relationship Id="rId15" Type="http://schemas.openxmlformats.org/officeDocument/2006/relationships/hyperlink" Target="https://www.marketwatch.com/" TargetMode="External"/><Relationship Id="rId23" Type="http://schemas.openxmlformats.org/officeDocument/2006/relationships/hyperlink" Target="https://finance.yahoo.com/" TargetMode="External"/><Relationship Id="rId28" Type="http://schemas.openxmlformats.org/officeDocument/2006/relationships/fontTable" Target="fontTable.xml"/><Relationship Id="rId10" Type="http://schemas.openxmlformats.org/officeDocument/2006/relationships/hyperlink" Target="https://www.reuters.com/" TargetMode="External"/><Relationship Id="rId19" Type="http://schemas.openxmlformats.org/officeDocument/2006/relationships/hyperlink" Target="https://www.tesla.com/investor" TargetMode="External"/><Relationship Id="rId4" Type="http://schemas.openxmlformats.org/officeDocument/2006/relationships/webSettings" Target="webSettings.xml"/><Relationship Id="rId9" Type="http://schemas.openxmlformats.org/officeDocument/2006/relationships/hyperlink" Target="https://www.reuters.com/" TargetMode="External"/><Relationship Id="rId14" Type="http://schemas.openxmlformats.org/officeDocument/2006/relationships/hyperlink" Target="https://www.macrotrends.net/" TargetMode="External"/><Relationship Id="rId22" Type="http://schemas.openxmlformats.org/officeDocument/2006/relationships/hyperlink" Target="https://www.tesla.com/impact"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2489</Words>
  <Characters>14192</Characters>
  <Application>Microsoft Office Word</Application>
  <DocSecurity>0</DocSecurity>
  <Lines>118</Lines>
  <Paragraphs>33</Paragraphs>
  <ScaleCrop>false</ScaleCrop>
  <Company/>
  <LinksUpToDate>false</LinksUpToDate>
  <CharactersWithSpaces>16648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Hondor</dc:creator>
  <cp:keywords/>
  <cp:lastModifiedBy>Leonard Hondor</cp:lastModifiedBy>
  <cp:revision>4</cp:revision>
  <dcterms:created xsi:type="dcterms:W3CDTF">2025-11-22T11:33:00Z</dcterms:created>
  <dcterms:modified xsi:type="dcterms:W3CDTF">2025-11-22T11:33:00Z</dcterms:modified>
</cp:coreProperties>
</file>