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1A2F7" w14:textId="77777777" w:rsidR="000906ED" w:rsidRPr="000906ED" w:rsidRDefault="000906ED" w:rsidP="000906ED">
      <w:pPr>
        <w:spacing w:before="240" w:after="240" w:line="360" w:lineRule="auto"/>
        <w:rPr>
          <w:rFonts w:ascii="Aptos" w:eastAsia="Aptos" w:hAnsi="Aptos" w:cs="Aptos"/>
          <w:color w:val="000000" w:themeColor="text1"/>
          <w:lang w:eastAsia="en-US"/>
        </w:rPr>
      </w:pPr>
      <w:r w:rsidRPr="000906ED">
        <w:rPr>
          <w:rFonts w:ascii="Aptos" w:eastAsia="Aptos" w:hAnsi="Aptos" w:cs="Aptos"/>
          <w:color w:val="000000" w:themeColor="text1"/>
          <w:vertAlign w:val="superscript"/>
          <w:lang w:eastAsia="en-US"/>
        </w:rPr>
        <w:endnoteReference w:id="1"/>
      </w:r>
      <w:r w:rsidRPr="000906ED">
        <w:rPr>
          <w:rFonts w:ascii="Aptos" w:eastAsia="Aptos" w:hAnsi="Aptos" w:cs="Aptos"/>
          <w:color w:val="000000" w:themeColor="text1"/>
          <w:lang w:eastAsia="en-US"/>
        </w:rPr>
        <w:t xml:space="preserve">                                                                    </w:t>
      </w:r>
      <w:r w:rsidRPr="000906ED">
        <w:rPr>
          <w:noProof/>
          <w:lang w:eastAsia="en-US"/>
        </w:rPr>
        <w:drawing>
          <wp:inline distT="0" distB="0" distL="0" distR="0" wp14:anchorId="093C90CB" wp14:editId="738B7B22">
            <wp:extent cx="1409700" cy="742950"/>
            <wp:effectExtent l="0" t="0" r="0" b="0"/>
            <wp:docPr id="495224860" name="Picture 495224860"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409700" cy="742950"/>
                    </a:xfrm>
                    <a:prstGeom prst="rect">
                      <a:avLst/>
                    </a:prstGeom>
                  </pic:spPr>
                </pic:pic>
              </a:graphicData>
            </a:graphic>
          </wp:inline>
        </w:drawing>
      </w:r>
    </w:p>
    <w:p w14:paraId="7CE5C02F" w14:textId="77777777" w:rsidR="000906ED" w:rsidRPr="000906ED" w:rsidRDefault="000906ED" w:rsidP="000906ED">
      <w:pPr>
        <w:spacing w:before="240" w:after="240" w:line="360" w:lineRule="auto"/>
        <w:rPr>
          <w:rFonts w:ascii="Aptos" w:eastAsia="Aptos" w:hAnsi="Aptos" w:cs="Aptos"/>
          <w:color w:val="000000" w:themeColor="text1"/>
          <w:lang w:eastAsia="en-US"/>
        </w:rPr>
      </w:pPr>
    </w:p>
    <w:p w14:paraId="150ABED7" w14:textId="40228DCA" w:rsidR="000906ED" w:rsidRPr="000906ED" w:rsidRDefault="2ED9BC42" w:rsidP="3A388F9E">
      <w:pPr>
        <w:pBdr>
          <w:top w:val="single" w:sz="8" w:space="6" w:color="5B9BD5"/>
          <w:bottom w:val="single" w:sz="8" w:space="6" w:color="5B9BD5"/>
        </w:pBdr>
        <w:spacing w:after="240" w:line="240" w:lineRule="auto"/>
        <w:jc w:val="center"/>
        <w:rPr>
          <w:color w:val="5B9BD5"/>
          <w:sz w:val="40"/>
          <w:szCs w:val="40"/>
          <w:lang w:eastAsia="en-US"/>
        </w:rPr>
      </w:pPr>
      <w:r w:rsidRPr="3A388F9E">
        <w:rPr>
          <w:caps/>
          <w:color w:val="5B9BD5"/>
          <w:sz w:val="40"/>
          <w:szCs w:val="40"/>
        </w:rPr>
        <w:t xml:space="preserve">Financial performance analysis of marks &amp; </w:t>
      </w:r>
      <w:r w:rsidR="2B392FDB" w:rsidRPr="3A388F9E">
        <w:rPr>
          <w:caps/>
          <w:color w:val="5B9BD5"/>
          <w:sz w:val="40"/>
          <w:szCs w:val="40"/>
        </w:rPr>
        <w:t>Spencer</w:t>
      </w:r>
      <w:r w:rsidR="000906ED" w:rsidRPr="3A388F9E">
        <w:rPr>
          <w:caps/>
          <w:color w:val="5B9BD5"/>
          <w:sz w:val="40"/>
          <w:szCs w:val="40"/>
        </w:rPr>
        <w:t xml:space="preserve"> </w:t>
      </w:r>
      <w:r w:rsidR="1B8CA148" w:rsidRPr="3A388F9E">
        <w:rPr>
          <w:caps/>
          <w:color w:val="5B9BD5"/>
          <w:sz w:val="40"/>
          <w:szCs w:val="40"/>
        </w:rPr>
        <w:t>group plc</w:t>
      </w:r>
    </w:p>
    <w:p w14:paraId="58480A02" w14:textId="7156B1D9" w:rsidR="000906ED" w:rsidRPr="000906ED" w:rsidRDefault="000906ED" w:rsidP="5A6E1312">
      <w:pPr>
        <w:spacing w:before="240" w:after="240" w:line="360" w:lineRule="auto"/>
        <w:jc w:val="center"/>
        <w:rPr>
          <w:rFonts w:ascii="Calibri" w:eastAsia="Calibri" w:hAnsi="Calibri" w:cs="Calibri"/>
          <w:color w:val="5B9BD5"/>
          <w:sz w:val="28"/>
          <w:szCs w:val="28"/>
          <w:lang w:eastAsia="en-US"/>
        </w:rPr>
      </w:pPr>
      <w:r w:rsidRPr="3A388F9E">
        <w:rPr>
          <w:rFonts w:ascii="Calibri" w:eastAsia="Calibri" w:hAnsi="Calibri" w:cs="Calibri"/>
          <w:color w:val="5B9BD5"/>
          <w:sz w:val="28"/>
          <w:szCs w:val="28"/>
        </w:rPr>
        <w:t xml:space="preserve">       [</w:t>
      </w:r>
      <w:r w:rsidR="4D7BFF42" w:rsidRPr="3A388F9E">
        <w:rPr>
          <w:rFonts w:ascii="Calibri" w:eastAsia="Calibri" w:hAnsi="Calibri" w:cs="Calibri"/>
          <w:color w:val="5B9BD5"/>
          <w:sz w:val="28"/>
          <w:szCs w:val="28"/>
        </w:rPr>
        <w:t xml:space="preserve">investment Appraisal and Financing </w:t>
      </w:r>
      <w:r w:rsidR="0E73A705" w:rsidRPr="3A388F9E">
        <w:rPr>
          <w:rFonts w:ascii="Calibri" w:eastAsia="Calibri" w:hAnsi="Calibri" w:cs="Calibri"/>
          <w:color w:val="5B9BD5"/>
          <w:sz w:val="28"/>
          <w:szCs w:val="28"/>
        </w:rPr>
        <w:t>O</w:t>
      </w:r>
      <w:r w:rsidR="4D7BFF42" w:rsidRPr="3A388F9E">
        <w:rPr>
          <w:rFonts w:ascii="Calibri" w:eastAsia="Calibri" w:hAnsi="Calibri" w:cs="Calibri"/>
          <w:color w:val="5B9BD5"/>
          <w:sz w:val="28"/>
          <w:szCs w:val="28"/>
        </w:rPr>
        <w:t>ptions</w:t>
      </w:r>
      <w:r w:rsidR="5A0CB0CF" w:rsidRPr="3A388F9E">
        <w:rPr>
          <w:rFonts w:ascii="Calibri" w:eastAsia="Calibri" w:hAnsi="Calibri" w:cs="Calibri"/>
          <w:color w:val="5B9BD5"/>
          <w:sz w:val="28"/>
          <w:szCs w:val="28"/>
        </w:rPr>
        <w:t xml:space="preserve"> For Jordons Bu</w:t>
      </w:r>
      <w:r w:rsidR="3755DE8D" w:rsidRPr="3A388F9E">
        <w:rPr>
          <w:rFonts w:ascii="Calibri" w:eastAsia="Calibri" w:hAnsi="Calibri" w:cs="Calibri"/>
          <w:color w:val="5B9BD5"/>
          <w:sz w:val="28"/>
          <w:szCs w:val="28"/>
        </w:rPr>
        <w:t>siness Expansion]</w:t>
      </w:r>
    </w:p>
    <w:p w14:paraId="5EB4C8A4" w14:textId="77777777" w:rsidR="000906ED" w:rsidRPr="000906ED" w:rsidRDefault="000906ED" w:rsidP="000906ED">
      <w:pPr>
        <w:spacing w:before="240" w:after="240" w:line="360" w:lineRule="auto"/>
        <w:rPr>
          <w:rFonts w:ascii="Calibri" w:eastAsia="Calibri" w:hAnsi="Calibri" w:cs="Calibri"/>
          <w:color w:val="5B9BD5"/>
          <w:sz w:val="28"/>
          <w:szCs w:val="28"/>
          <w:lang w:eastAsia="en-US"/>
        </w:rPr>
      </w:pPr>
      <w:r w:rsidRPr="3A388F9E">
        <w:rPr>
          <w:rFonts w:ascii="Calibri" w:eastAsia="Calibri" w:hAnsi="Calibri" w:cs="Calibri"/>
          <w:color w:val="5B9BD5"/>
          <w:sz w:val="28"/>
          <w:szCs w:val="28"/>
        </w:rPr>
        <w:t xml:space="preserve">                                                          </w:t>
      </w:r>
      <w:r>
        <w:rPr>
          <w:noProof/>
        </w:rPr>
        <w:drawing>
          <wp:inline distT="0" distB="0" distL="0" distR="0" wp14:anchorId="48FFBAD1" wp14:editId="7E83208E">
            <wp:extent cx="1200150" cy="657225"/>
            <wp:effectExtent l="0" t="0" r="0" b="0"/>
            <wp:docPr id="526268235" name="Picture 52626823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6268235"/>
                    <pic:cNvPicPr/>
                  </pic:nvPicPr>
                  <pic:blipFill>
                    <a:blip r:embed="rId8">
                      <a:extLst>
                        <a:ext uri="{28A0092B-C50C-407E-A947-70E740481C1C}">
                          <a14:useLocalDpi xmlns:a14="http://schemas.microsoft.com/office/drawing/2010/main" val="0"/>
                        </a:ext>
                      </a:extLst>
                    </a:blip>
                    <a:stretch>
                      <a:fillRect/>
                    </a:stretch>
                  </pic:blipFill>
                  <pic:spPr>
                    <a:xfrm>
                      <a:off x="0" y="0"/>
                      <a:ext cx="1200150" cy="657225"/>
                    </a:xfrm>
                    <a:prstGeom prst="rect">
                      <a:avLst/>
                    </a:prstGeom>
                  </pic:spPr>
                </pic:pic>
              </a:graphicData>
            </a:graphic>
          </wp:inline>
        </w:drawing>
      </w:r>
    </w:p>
    <w:p w14:paraId="58821438" w14:textId="77777777" w:rsidR="000906ED" w:rsidRPr="000906ED" w:rsidRDefault="000906ED" w:rsidP="000906ED">
      <w:pPr>
        <w:spacing w:before="240" w:after="240" w:line="360" w:lineRule="auto"/>
        <w:rPr>
          <w:color w:val="000000" w:themeColor="text1"/>
          <w:sz w:val="28"/>
          <w:szCs w:val="28"/>
          <w:lang w:eastAsia="en-US"/>
        </w:rPr>
      </w:pPr>
      <w:r w:rsidRPr="3A388F9E">
        <w:rPr>
          <w:color w:val="000000" w:themeColor="text1"/>
          <w:sz w:val="28"/>
          <w:szCs w:val="28"/>
        </w:rPr>
        <w:t>Month: July 2025.</w:t>
      </w:r>
    </w:p>
    <w:p w14:paraId="3D17C4FF" w14:textId="3C028BE2" w:rsidR="000906ED" w:rsidRPr="000906ED" w:rsidRDefault="000906ED" w:rsidP="5A6E1312">
      <w:pPr>
        <w:spacing w:before="240" w:after="240" w:line="360" w:lineRule="auto"/>
        <w:rPr>
          <w:color w:val="000000" w:themeColor="text1"/>
          <w:sz w:val="28"/>
          <w:szCs w:val="28"/>
          <w:lang w:eastAsia="en-US"/>
        </w:rPr>
      </w:pPr>
      <w:r w:rsidRPr="3A388F9E">
        <w:rPr>
          <w:color w:val="000000" w:themeColor="text1"/>
          <w:sz w:val="28"/>
          <w:szCs w:val="28"/>
        </w:rPr>
        <w:t xml:space="preserve">Course Name And Code: </w:t>
      </w:r>
      <w:r w:rsidR="7920C0DE" w:rsidRPr="3A388F9E">
        <w:rPr>
          <w:color w:val="000000" w:themeColor="text1"/>
          <w:sz w:val="28"/>
          <w:szCs w:val="28"/>
        </w:rPr>
        <w:t>Finance for</w:t>
      </w:r>
      <w:r w:rsidRPr="3A388F9E">
        <w:rPr>
          <w:color w:val="000000" w:themeColor="text1"/>
          <w:sz w:val="28"/>
          <w:szCs w:val="28"/>
        </w:rPr>
        <w:t xml:space="preserve"> Business </w:t>
      </w:r>
      <w:r w:rsidR="7920C0DE" w:rsidRPr="3A388F9E">
        <w:rPr>
          <w:color w:val="000000" w:themeColor="text1"/>
          <w:sz w:val="28"/>
          <w:szCs w:val="28"/>
        </w:rPr>
        <w:t xml:space="preserve">Managers </w:t>
      </w:r>
    </w:p>
    <w:p w14:paraId="114E7D9E" w14:textId="52A8A3D2" w:rsidR="000906ED" w:rsidRPr="000906ED" w:rsidRDefault="000906ED" w:rsidP="000906ED">
      <w:pPr>
        <w:spacing w:before="240" w:after="240" w:line="360" w:lineRule="auto"/>
        <w:rPr>
          <w:color w:val="000000" w:themeColor="text1"/>
          <w:sz w:val="28"/>
          <w:szCs w:val="28"/>
          <w:lang w:eastAsia="en-US"/>
        </w:rPr>
      </w:pPr>
      <w:r w:rsidRPr="3A388F9E">
        <w:rPr>
          <w:color w:val="000000" w:themeColor="text1"/>
          <w:sz w:val="28"/>
          <w:szCs w:val="28"/>
        </w:rPr>
        <w:t>BMMB700</w:t>
      </w:r>
      <w:r w:rsidR="545DB909" w:rsidRPr="3A388F9E">
        <w:rPr>
          <w:color w:val="000000" w:themeColor="text1"/>
          <w:sz w:val="28"/>
          <w:szCs w:val="28"/>
        </w:rPr>
        <w:t>5D</w:t>
      </w:r>
    </w:p>
    <w:p w14:paraId="0B35BEA3" w14:textId="77777777" w:rsidR="000906ED" w:rsidRPr="000906ED" w:rsidRDefault="000906ED" w:rsidP="000906ED">
      <w:pPr>
        <w:spacing w:before="240" w:after="240" w:line="360" w:lineRule="auto"/>
        <w:rPr>
          <w:color w:val="000000" w:themeColor="text1"/>
          <w:sz w:val="28"/>
          <w:szCs w:val="28"/>
          <w:lang w:eastAsia="en-US"/>
        </w:rPr>
      </w:pPr>
      <w:r w:rsidRPr="3A388F9E">
        <w:rPr>
          <w:color w:val="000000" w:themeColor="text1"/>
          <w:sz w:val="28"/>
          <w:szCs w:val="28"/>
        </w:rPr>
        <w:t xml:space="preserve">Name: </w:t>
      </w:r>
      <w:proofErr w:type="spellStart"/>
      <w:r w:rsidRPr="3A388F9E">
        <w:rPr>
          <w:color w:val="000000" w:themeColor="text1"/>
          <w:sz w:val="28"/>
          <w:szCs w:val="28"/>
        </w:rPr>
        <w:t>Simo</w:t>
      </w:r>
      <w:proofErr w:type="spellEnd"/>
      <w:r w:rsidRPr="3A388F9E">
        <w:rPr>
          <w:color w:val="000000" w:themeColor="text1"/>
          <w:sz w:val="28"/>
          <w:szCs w:val="28"/>
        </w:rPr>
        <w:t xml:space="preserve"> </w:t>
      </w:r>
      <w:proofErr w:type="spellStart"/>
      <w:r w:rsidRPr="3A388F9E">
        <w:rPr>
          <w:color w:val="000000" w:themeColor="text1"/>
          <w:sz w:val="28"/>
          <w:szCs w:val="28"/>
        </w:rPr>
        <w:t>Victorine</w:t>
      </w:r>
      <w:proofErr w:type="spellEnd"/>
      <w:r w:rsidRPr="3A388F9E">
        <w:rPr>
          <w:color w:val="000000" w:themeColor="text1"/>
          <w:sz w:val="28"/>
          <w:szCs w:val="28"/>
        </w:rPr>
        <w:t>.</w:t>
      </w:r>
    </w:p>
    <w:p w14:paraId="27DF3B73" w14:textId="77777777" w:rsidR="000906ED" w:rsidRPr="000906ED" w:rsidRDefault="000906ED" w:rsidP="000906ED">
      <w:pPr>
        <w:spacing w:before="240" w:after="240" w:line="360" w:lineRule="auto"/>
        <w:rPr>
          <w:color w:val="000000" w:themeColor="text1"/>
          <w:sz w:val="28"/>
          <w:szCs w:val="28"/>
          <w:lang w:eastAsia="en-US"/>
        </w:rPr>
      </w:pPr>
      <w:r w:rsidRPr="3A388F9E">
        <w:rPr>
          <w:color w:val="000000" w:themeColor="text1"/>
          <w:sz w:val="28"/>
          <w:szCs w:val="28"/>
        </w:rPr>
        <w:t>Student Number: 2423778.</w:t>
      </w:r>
    </w:p>
    <w:p w14:paraId="39F86226" w14:textId="77777777" w:rsidR="000906ED" w:rsidRPr="000906ED" w:rsidRDefault="000906ED" w:rsidP="000906ED">
      <w:pPr>
        <w:spacing w:before="240" w:after="240" w:line="360" w:lineRule="auto"/>
        <w:rPr>
          <w:rFonts w:ascii="Calibri" w:eastAsia="Calibri" w:hAnsi="Calibri" w:cs="Calibri"/>
          <w:color w:val="5B9BD5"/>
          <w:sz w:val="28"/>
          <w:szCs w:val="28"/>
          <w:lang w:eastAsia="en-US"/>
        </w:rPr>
      </w:pPr>
    </w:p>
    <w:p w14:paraId="35390D39" w14:textId="77777777" w:rsidR="000906ED" w:rsidRPr="000906ED" w:rsidRDefault="000906ED" w:rsidP="000906ED">
      <w:pPr>
        <w:spacing w:before="240" w:after="240" w:line="360" w:lineRule="auto"/>
        <w:rPr>
          <w:rFonts w:ascii="Aptos" w:eastAsia="Aptos" w:hAnsi="Aptos" w:cs="Aptos"/>
          <w:color w:val="000000" w:themeColor="text1"/>
          <w:lang w:eastAsia="en-US"/>
        </w:rPr>
      </w:pPr>
    </w:p>
    <w:p w14:paraId="68BD2569" w14:textId="77777777" w:rsidR="000906ED" w:rsidRPr="000906ED" w:rsidRDefault="000906ED" w:rsidP="000906ED">
      <w:pPr>
        <w:spacing w:after="40" w:line="360" w:lineRule="auto"/>
        <w:jc w:val="center"/>
        <w:rPr>
          <w:rFonts w:ascii="Aptos" w:eastAsia="Aptos" w:hAnsi="Aptos" w:cs="Aptos"/>
          <w:color w:val="000000" w:themeColor="text1"/>
          <w:lang w:eastAsia="en-US"/>
        </w:rPr>
      </w:pPr>
    </w:p>
    <w:p w14:paraId="3B5127F4" w14:textId="77777777" w:rsidR="000906ED" w:rsidRPr="000906ED" w:rsidRDefault="000906ED" w:rsidP="000906ED">
      <w:pPr>
        <w:spacing w:after="40" w:line="360" w:lineRule="auto"/>
        <w:jc w:val="center"/>
        <w:rPr>
          <w:rFonts w:ascii="Aptos" w:eastAsia="Aptos" w:hAnsi="Aptos" w:cs="Aptos"/>
          <w:color w:val="000000" w:themeColor="text1"/>
          <w:lang w:eastAsia="en-US"/>
        </w:rPr>
      </w:pPr>
    </w:p>
    <w:p w14:paraId="33768A51" w14:textId="2B5BE6D7" w:rsidR="000906ED" w:rsidRPr="000906ED" w:rsidRDefault="000906ED" w:rsidP="000906ED">
      <w:pPr>
        <w:spacing w:after="40" w:line="360" w:lineRule="auto"/>
        <w:jc w:val="center"/>
        <w:rPr>
          <w:rFonts w:ascii="Calibri" w:eastAsia="Calibri" w:hAnsi="Calibri" w:cs="Calibri"/>
          <w:color w:val="5B9BD5"/>
          <w:sz w:val="28"/>
          <w:szCs w:val="28"/>
          <w:lang w:eastAsia="en-US"/>
        </w:rPr>
      </w:pPr>
      <w:r w:rsidRPr="3A388F9E">
        <w:rPr>
          <w:rFonts w:ascii="Aptos" w:eastAsia="Aptos" w:hAnsi="Aptos" w:cs="Aptos"/>
          <w:color w:val="000000" w:themeColor="text1"/>
        </w:rPr>
        <w:t xml:space="preserve">     </w:t>
      </w:r>
      <w:r w:rsidRPr="3A388F9E">
        <w:rPr>
          <w:rFonts w:ascii="Calibri" w:eastAsia="Calibri" w:hAnsi="Calibri" w:cs="Calibri"/>
          <w:caps/>
          <w:color w:val="5B9BD5"/>
          <w:sz w:val="28"/>
          <w:szCs w:val="28"/>
        </w:rPr>
        <w:t>[21. 07.2025]</w:t>
      </w:r>
    </w:p>
    <w:p w14:paraId="33481DC7" w14:textId="6C266D25" w:rsidR="000906ED" w:rsidRPr="009C2748" w:rsidRDefault="000906ED" w:rsidP="009C2748">
      <w:pPr>
        <w:spacing w:after="0" w:line="240" w:lineRule="auto"/>
        <w:jc w:val="center"/>
        <w:rPr>
          <w:rFonts w:ascii="Calibri" w:eastAsia="Calibri" w:hAnsi="Calibri" w:cs="Calibri"/>
          <w:color w:val="5B9BD5"/>
          <w:sz w:val="22"/>
          <w:szCs w:val="22"/>
          <w:lang w:eastAsia="en-US"/>
        </w:rPr>
      </w:pPr>
      <w:r w:rsidRPr="3A388F9E">
        <w:rPr>
          <w:rFonts w:ascii="Calibri" w:eastAsia="Calibri" w:hAnsi="Calibri" w:cs="Calibri"/>
          <w:caps/>
          <w:color w:val="5B9BD5"/>
          <w:sz w:val="22"/>
          <w:szCs w:val="22"/>
        </w:rPr>
        <w:t>University of Wales Trinity Saint David</w:t>
      </w:r>
    </w:p>
    <w:p w14:paraId="6C8A9696" w14:textId="6C1C24B7" w:rsidR="000906ED" w:rsidRPr="00EF3F63" w:rsidRDefault="41DDB265" w:rsidP="009C2748">
      <w:pPr>
        <w:pStyle w:val="Heading1"/>
        <w:spacing w:line="360" w:lineRule="auto"/>
        <w:rPr>
          <w:b/>
          <w:bCs/>
        </w:rPr>
      </w:pPr>
      <w:bookmarkStart w:id="0" w:name="_Toc1879242240"/>
      <w:r w:rsidRPr="00EF3F63">
        <w:rPr>
          <w:b/>
          <w:bCs/>
        </w:rPr>
        <w:lastRenderedPageBreak/>
        <w:t>Executive Summary</w:t>
      </w:r>
      <w:bookmarkEnd w:id="0"/>
    </w:p>
    <w:p w14:paraId="21019783" w14:textId="6F48E9F6" w:rsidR="40DD6452" w:rsidRPr="00A41B89" w:rsidRDefault="6EAF064C" w:rsidP="00A41452">
      <w:pPr>
        <w:spacing w:line="360" w:lineRule="auto"/>
      </w:pPr>
      <w:r>
        <w:t xml:space="preserve">The purpose of this report </w:t>
      </w:r>
      <w:r w:rsidR="0AA3B13A">
        <w:t>is to analyse the financial perf</w:t>
      </w:r>
      <w:r w:rsidR="05CD7F89">
        <w:t xml:space="preserve">ormance of Marks &amp; </w:t>
      </w:r>
      <w:r w:rsidR="66BF76BE">
        <w:t>Spencer</w:t>
      </w:r>
      <w:r w:rsidR="4615D0AB">
        <w:t xml:space="preserve"> </w:t>
      </w:r>
      <w:r w:rsidR="0C0820C3">
        <w:t>Group plc [M&amp;S] o</w:t>
      </w:r>
      <w:r w:rsidR="5BEBEC4F">
        <w:t>ver the last two fiscal years</w:t>
      </w:r>
      <w:r w:rsidR="3087ACDC">
        <w:t xml:space="preserve">. </w:t>
      </w:r>
      <w:r w:rsidR="5BEBEC4F">
        <w:t>Marks &amp; Spencer Group plc (M&amp;S) has shown tremendous financial and strategic growth, which culminated in the 202</w:t>
      </w:r>
      <w:r w:rsidR="075B7CA0">
        <w:t>3</w:t>
      </w:r>
      <w:r w:rsidR="5BEBEC4F">
        <w:t>–202</w:t>
      </w:r>
      <w:r w:rsidR="285D4381">
        <w:t>4</w:t>
      </w:r>
      <w:r w:rsidR="5BEBEC4F">
        <w:t xml:space="preserve"> results. With a stronger balance sheet and better underlying operational performance </w:t>
      </w:r>
      <w:r w:rsidR="3FDD0BCE">
        <w:t>because of</w:t>
      </w:r>
      <w:r w:rsidR="5BEBEC4F">
        <w:t xml:space="preserve"> the company's "Reshaping for Growth" strategy, M&amp;S is now in its best financial position in almost thirty years. A strong picture is presented by the examination of important financial ratios. Profitability ratios have significantly improved, indicating more effective use of capital and assets, especially Return on Capital Employed (ROCE) and Return on Assets (ROA). A retail company with a high turnover rate and excellent inventory management is still characterised by liquidity ratios. With the company entering a net funds position, gearing has greatly </w:t>
      </w:r>
      <w:r w:rsidR="253B7B85">
        <w:t>improved,</w:t>
      </w:r>
      <w:r w:rsidR="5BEBEC4F">
        <w:t xml:space="preserve"> and financial risk has been significantly reduced.</w:t>
      </w:r>
      <w:r w:rsidR="678874E0">
        <w:t xml:space="preserve"> T</w:t>
      </w:r>
      <w:r w:rsidR="5BEBEC4F">
        <w:t>he market's growing appreciation of M&amp;S's strategic change and enhanced financial stability is reflected in investor ratios.</w:t>
      </w:r>
      <w:r w:rsidR="4B9C369E">
        <w:t xml:space="preserve"> </w:t>
      </w:r>
      <w:r w:rsidR="785F42A3">
        <w:t>Again, m</w:t>
      </w:r>
      <w:r w:rsidR="57FB9734">
        <w:t>aintaining the momentum of cost-cutting initiatives, strategically addressing the performance of the Ocado Retail joint venture, optimising capital allocation for sustained high returns, and making sure stakeholders are aware of the company's financial narrative are all important areas for ongoing focus, according to this evaluation.</w:t>
      </w:r>
    </w:p>
    <w:p w14:paraId="32F5C760" w14:textId="7E849B7B" w:rsidR="50689C6F" w:rsidRDefault="0082DBB5" w:rsidP="00A41452">
      <w:pPr>
        <w:spacing w:line="360" w:lineRule="auto"/>
      </w:pPr>
      <w:r>
        <w:t>The</w:t>
      </w:r>
      <w:r w:rsidR="50689C6F">
        <w:t xml:space="preserve"> </w:t>
      </w:r>
      <w:r>
        <w:t xml:space="preserve">purpose of this report will be to </w:t>
      </w:r>
      <w:r w:rsidR="2454B498">
        <w:t>carry out</w:t>
      </w:r>
      <w:r>
        <w:t xml:space="preserve"> a</w:t>
      </w:r>
      <w:r w:rsidR="50689C6F">
        <w:t xml:space="preserve"> thorough financial and strategic analysis of Jordons Plc's proposed business </w:t>
      </w:r>
      <w:r w:rsidR="79994041">
        <w:t>expansion</w:t>
      </w:r>
      <w:r w:rsidR="7FBE2EF1">
        <w:t>,</w:t>
      </w:r>
      <w:r w:rsidR="50689C6F">
        <w:t xml:space="preserve"> which assesses three different options: growing the retail location, establishing online sales, and manufacturing Roman blinds and curtains. With the highest positive NPV of £767,993.25, the analysis, which uses the Net Present Value (NPV) technique as the main appraisal method, shows that Option B: Develop Internet Sales is the most financially viable option. Its estimated 39.59% Internal Rate of Return (IRR) is much higher than the business's 6% cost of capital. </w:t>
      </w:r>
      <w:r w:rsidR="2E164606">
        <w:t xml:space="preserve">The best course of action in the case of capital rationing with a £2,000,000 cap and divisible projects is to fully execute Option B and then invest a portion of Option A, yielding an NPV of £883,675.25. Beyond financial metrics, the report identifies important qualitative and quantitative factors that the Board should </w:t>
      </w:r>
      <w:r w:rsidR="20CAC237">
        <w:t>consider</w:t>
      </w:r>
      <w:r w:rsidR="2E164606">
        <w:t>, further explains the theoretical strengths of NPV, and explains the ongoing practical appeal of non-discounting appraisal methods. Lastly, it offers guidance on possible funding approaches, weighing the benefits and drawbacks of different funding options to help Jordons Plc achieve its expansion goals.</w:t>
      </w:r>
    </w:p>
    <w:p w14:paraId="41FF8223" w14:textId="72E3F76A" w:rsidR="62B8CB02" w:rsidRDefault="59775A22" w:rsidP="3A388F9E">
      <w:pPr>
        <w:pStyle w:val="Heading1"/>
        <w:spacing w:line="360" w:lineRule="auto"/>
        <w:rPr>
          <w:b/>
          <w:bCs/>
          <w:sz w:val="28"/>
          <w:szCs w:val="28"/>
        </w:rPr>
      </w:pPr>
      <w:bookmarkStart w:id="1" w:name="_Toc47314051"/>
      <w:r w:rsidRPr="3A388F9E">
        <w:rPr>
          <w:b/>
          <w:bCs/>
          <w:sz w:val="28"/>
          <w:szCs w:val="28"/>
        </w:rPr>
        <w:lastRenderedPageBreak/>
        <w:t>Table of Contents</w:t>
      </w:r>
      <w:bookmarkEnd w:id="1"/>
    </w:p>
    <w:sdt>
      <w:sdtPr>
        <w:id w:val="17791534"/>
        <w:docPartObj>
          <w:docPartGallery w:val="Table of Contents"/>
          <w:docPartUnique/>
        </w:docPartObj>
      </w:sdtPr>
      <w:sdtEndPr/>
      <w:sdtContent>
        <w:p w14:paraId="14ABCE50" w14:textId="2F46AD4F" w:rsidR="3A388F9E" w:rsidRDefault="3D41C490" w:rsidP="3A388F9E">
          <w:pPr>
            <w:pStyle w:val="TOC1"/>
            <w:tabs>
              <w:tab w:val="right" w:leader="dot" w:pos="9015"/>
            </w:tabs>
            <w:rPr>
              <w:rStyle w:val="Hyperlink"/>
            </w:rPr>
          </w:pPr>
          <w:r>
            <w:fldChar w:fldCharType="begin"/>
          </w:r>
          <w:r w:rsidR="3A388F9E">
            <w:instrText>TOC \o "1-9" \z \u \h</w:instrText>
          </w:r>
          <w:r>
            <w:fldChar w:fldCharType="separate"/>
          </w:r>
          <w:hyperlink w:anchor="_Toc1879242240">
            <w:r w:rsidRPr="3D41C490">
              <w:rPr>
                <w:rStyle w:val="Hyperlink"/>
              </w:rPr>
              <w:t>Executive Summary</w:t>
            </w:r>
            <w:r w:rsidR="3A388F9E">
              <w:tab/>
            </w:r>
            <w:r w:rsidR="3A388F9E">
              <w:fldChar w:fldCharType="begin"/>
            </w:r>
            <w:r w:rsidR="3A388F9E">
              <w:instrText>PAGEREF _Toc1879242240 \h</w:instrText>
            </w:r>
            <w:r w:rsidR="3A388F9E">
              <w:fldChar w:fldCharType="separate"/>
            </w:r>
            <w:r w:rsidRPr="3D41C490">
              <w:rPr>
                <w:rStyle w:val="Hyperlink"/>
              </w:rPr>
              <w:t>1</w:t>
            </w:r>
            <w:r w:rsidR="3A388F9E">
              <w:fldChar w:fldCharType="end"/>
            </w:r>
          </w:hyperlink>
        </w:p>
        <w:p w14:paraId="3866B578" w14:textId="1BC112EE" w:rsidR="3A388F9E" w:rsidRDefault="3D41C490" w:rsidP="3A388F9E">
          <w:pPr>
            <w:pStyle w:val="TOC1"/>
            <w:tabs>
              <w:tab w:val="right" w:leader="dot" w:pos="9015"/>
            </w:tabs>
            <w:rPr>
              <w:rStyle w:val="Hyperlink"/>
            </w:rPr>
          </w:pPr>
          <w:hyperlink w:anchor="_Toc47314051">
            <w:r w:rsidRPr="3D41C490">
              <w:rPr>
                <w:rStyle w:val="Hyperlink"/>
              </w:rPr>
              <w:t>Table of Contents</w:t>
            </w:r>
            <w:r w:rsidR="3A388F9E">
              <w:tab/>
            </w:r>
            <w:r w:rsidR="3A388F9E">
              <w:fldChar w:fldCharType="begin"/>
            </w:r>
            <w:r w:rsidR="3A388F9E">
              <w:instrText>PAGEREF _Toc47314051 \h</w:instrText>
            </w:r>
            <w:r w:rsidR="3A388F9E">
              <w:fldChar w:fldCharType="separate"/>
            </w:r>
            <w:r w:rsidRPr="3D41C490">
              <w:rPr>
                <w:rStyle w:val="Hyperlink"/>
              </w:rPr>
              <w:t>2</w:t>
            </w:r>
            <w:r w:rsidR="3A388F9E">
              <w:fldChar w:fldCharType="end"/>
            </w:r>
          </w:hyperlink>
        </w:p>
        <w:p w14:paraId="3DAC2300" w14:textId="35DADF2D" w:rsidR="3A388F9E" w:rsidRDefault="3D41C490" w:rsidP="3A388F9E">
          <w:pPr>
            <w:pStyle w:val="TOC1"/>
            <w:tabs>
              <w:tab w:val="right" w:leader="dot" w:pos="9015"/>
            </w:tabs>
            <w:rPr>
              <w:rStyle w:val="Hyperlink"/>
            </w:rPr>
          </w:pPr>
          <w:hyperlink w:anchor="_Toc282750352">
            <w:r w:rsidRPr="3D41C490">
              <w:rPr>
                <w:rStyle w:val="Hyperlink"/>
              </w:rPr>
              <w:t>Introduction</w:t>
            </w:r>
            <w:r w:rsidR="3A388F9E">
              <w:tab/>
            </w:r>
            <w:r w:rsidR="3A388F9E">
              <w:fldChar w:fldCharType="begin"/>
            </w:r>
            <w:r w:rsidR="3A388F9E">
              <w:instrText>PAGEREF _Toc282750352 \h</w:instrText>
            </w:r>
            <w:r w:rsidR="3A388F9E">
              <w:fldChar w:fldCharType="separate"/>
            </w:r>
            <w:r w:rsidRPr="3D41C490">
              <w:rPr>
                <w:rStyle w:val="Hyperlink"/>
              </w:rPr>
              <w:t>3</w:t>
            </w:r>
            <w:r w:rsidR="3A388F9E">
              <w:fldChar w:fldCharType="end"/>
            </w:r>
          </w:hyperlink>
        </w:p>
        <w:p w14:paraId="58F24DBF" w14:textId="409E6C50" w:rsidR="3A388F9E" w:rsidRDefault="3D41C490" w:rsidP="3D41C490">
          <w:pPr>
            <w:pStyle w:val="TOC1"/>
            <w:tabs>
              <w:tab w:val="right" w:leader="dot" w:pos="9015"/>
            </w:tabs>
            <w:rPr>
              <w:rStyle w:val="Hyperlink"/>
            </w:rPr>
          </w:pPr>
          <w:hyperlink w:anchor="_Toc2147165840">
            <w:r w:rsidRPr="3D41C490">
              <w:rPr>
                <w:rStyle w:val="Hyperlink"/>
              </w:rPr>
              <w:t>Task 1.</w:t>
            </w:r>
            <w:r w:rsidR="3A388F9E">
              <w:tab/>
            </w:r>
            <w:r w:rsidR="3A388F9E">
              <w:fldChar w:fldCharType="begin"/>
            </w:r>
            <w:r w:rsidR="3A388F9E">
              <w:instrText>PAGEREF _Toc2147165840 \h</w:instrText>
            </w:r>
            <w:r w:rsidR="3A388F9E">
              <w:fldChar w:fldCharType="separate"/>
            </w:r>
            <w:r w:rsidRPr="3D41C490">
              <w:rPr>
                <w:rStyle w:val="Hyperlink"/>
              </w:rPr>
              <w:t>4</w:t>
            </w:r>
            <w:r w:rsidR="3A388F9E">
              <w:fldChar w:fldCharType="end"/>
            </w:r>
          </w:hyperlink>
        </w:p>
        <w:p w14:paraId="14E71717" w14:textId="12568693" w:rsidR="3A388F9E" w:rsidRDefault="3D41C490" w:rsidP="3A388F9E">
          <w:pPr>
            <w:pStyle w:val="TOC1"/>
            <w:tabs>
              <w:tab w:val="left" w:pos="480"/>
              <w:tab w:val="right" w:leader="dot" w:pos="9015"/>
            </w:tabs>
            <w:rPr>
              <w:rStyle w:val="Hyperlink"/>
            </w:rPr>
          </w:pPr>
          <w:hyperlink w:anchor="_Toc1017115748">
            <w:r w:rsidRPr="3D41C490">
              <w:rPr>
                <w:rStyle w:val="Hyperlink"/>
              </w:rPr>
              <w:t>1.</w:t>
            </w:r>
            <w:r w:rsidR="3A388F9E">
              <w:tab/>
            </w:r>
            <w:r w:rsidRPr="3D41C490">
              <w:rPr>
                <w:rStyle w:val="Hyperlink"/>
              </w:rPr>
              <w:t>Financial Ratios Analysis (2023 &amp; 2024)</w:t>
            </w:r>
            <w:r w:rsidR="3A388F9E">
              <w:tab/>
            </w:r>
            <w:r w:rsidR="3A388F9E">
              <w:fldChar w:fldCharType="begin"/>
            </w:r>
            <w:r w:rsidR="3A388F9E">
              <w:instrText>PAGEREF _Toc1017115748 \h</w:instrText>
            </w:r>
            <w:r w:rsidR="3A388F9E">
              <w:fldChar w:fldCharType="separate"/>
            </w:r>
            <w:r w:rsidRPr="3D41C490">
              <w:rPr>
                <w:rStyle w:val="Hyperlink"/>
              </w:rPr>
              <w:t>4</w:t>
            </w:r>
            <w:r w:rsidR="3A388F9E">
              <w:fldChar w:fldCharType="end"/>
            </w:r>
          </w:hyperlink>
        </w:p>
        <w:p w14:paraId="2515F930" w14:textId="6C9CF3F6" w:rsidR="3A388F9E" w:rsidRDefault="3D41C490" w:rsidP="3D41C490">
          <w:pPr>
            <w:pStyle w:val="TOC1"/>
            <w:tabs>
              <w:tab w:val="left" w:pos="480"/>
              <w:tab w:val="right" w:leader="dot" w:pos="9015"/>
            </w:tabs>
            <w:rPr>
              <w:rStyle w:val="Hyperlink"/>
            </w:rPr>
          </w:pPr>
          <w:hyperlink w:anchor="_Toc2061074236">
            <w:r w:rsidRPr="3D41C490">
              <w:rPr>
                <w:rStyle w:val="Hyperlink"/>
              </w:rPr>
              <w:t>A.</w:t>
            </w:r>
            <w:r w:rsidR="3A388F9E">
              <w:tab/>
            </w:r>
            <w:r w:rsidRPr="3D41C490">
              <w:rPr>
                <w:rStyle w:val="Hyperlink"/>
              </w:rPr>
              <w:t>Profitability Ratio</w:t>
            </w:r>
            <w:r w:rsidR="3A388F9E">
              <w:tab/>
            </w:r>
            <w:r w:rsidR="3A388F9E">
              <w:fldChar w:fldCharType="begin"/>
            </w:r>
            <w:r w:rsidR="3A388F9E">
              <w:instrText>PAGEREF _Toc2061074236 \h</w:instrText>
            </w:r>
            <w:r w:rsidR="3A388F9E">
              <w:fldChar w:fldCharType="separate"/>
            </w:r>
            <w:r w:rsidRPr="3D41C490">
              <w:rPr>
                <w:rStyle w:val="Hyperlink"/>
              </w:rPr>
              <w:t>4</w:t>
            </w:r>
            <w:r w:rsidR="3A388F9E">
              <w:fldChar w:fldCharType="end"/>
            </w:r>
          </w:hyperlink>
        </w:p>
        <w:p w14:paraId="653C448F" w14:textId="5C75429E" w:rsidR="3A388F9E" w:rsidRDefault="3D41C490" w:rsidP="3A388F9E">
          <w:pPr>
            <w:pStyle w:val="TOC1"/>
            <w:tabs>
              <w:tab w:val="right" w:leader="dot" w:pos="9015"/>
            </w:tabs>
            <w:rPr>
              <w:rStyle w:val="Hyperlink"/>
            </w:rPr>
          </w:pPr>
          <w:hyperlink w:anchor="_Toc828674503">
            <w:r w:rsidRPr="3D41C490">
              <w:rPr>
                <w:rStyle w:val="Hyperlink"/>
              </w:rPr>
              <w:t>B. Liquidity Ratios</w:t>
            </w:r>
            <w:r w:rsidR="3A388F9E">
              <w:tab/>
            </w:r>
            <w:r w:rsidR="3A388F9E">
              <w:fldChar w:fldCharType="begin"/>
            </w:r>
            <w:r w:rsidR="3A388F9E">
              <w:instrText>PAGEREF _Toc828674503 \h</w:instrText>
            </w:r>
            <w:r w:rsidR="3A388F9E">
              <w:fldChar w:fldCharType="separate"/>
            </w:r>
            <w:r w:rsidRPr="3D41C490">
              <w:rPr>
                <w:rStyle w:val="Hyperlink"/>
              </w:rPr>
              <w:t>6</w:t>
            </w:r>
            <w:r w:rsidR="3A388F9E">
              <w:fldChar w:fldCharType="end"/>
            </w:r>
          </w:hyperlink>
        </w:p>
        <w:p w14:paraId="4665CDF9" w14:textId="746DD875" w:rsidR="3A388F9E" w:rsidRDefault="3D41C490" w:rsidP="3D41C490">
          <w:pPr>
            <w:pStyle w:val="TOC1"/>
            <w:tabs>
              <w:tab w:val="right" w:leader="dot" w:pos="9015"/>
            </w:tabs>
            <w:rPr>
              <w:rStyle w:val="Hyperlink"/>
            </w:rPr>
          </w:pPr>
          <w:hyperlink w:anchor="_Toc816957335">
            <w:r w:rsidRPr="3D41C490">
              <w:rPr>
                <w:rStyle w:val="Hyperlink"/>
              </w:rPr>
              <w:t>C. Efficiency Ratios</w:t>
            </w:r>
            <w:r w:rsidR="3A388F9E">
              <w:tab/>
            </w:r>
            <w:r w:rsidR="3A388F9E">
              <w:fldChar w:fldCharType="begin"/>
            </w:r>
            <w:r w:rsidR="3A388F9E">
              <w:instrText>PAGEREF _Toc816957335 \h</w:instrText>
            </w:r>
            <w:r w:rsidR="3A388F9E">
              <w:fldChar w:fldCharType="separate"/>
            </w:r>
            <w:r w:rsidRPr="3D41C490">
              <w:rPr>
                <w:rStyle w:val="Hyperlink"/>
              </w:rPr>
              <w:t>6</w:t>
            </w:r>
            <w:r w:rsidR="3A388F9E">
              <w:fldChar w:fldCharType="end"/>
            </w:r>
          </w:hyperlink>
        </w:p>
        <w:p w14:paraId="387411A5" w14:textId="7A54A50A" w:rsidR="3A388F9E" w:rsidRDefault="3D41C490" w:rsidP="3D41C490">
          <w:pPr>
            <w:pStyle w:val="TOC3"/>
            <w:tabs>
              <w:tab w:val="right" w:leader="dot" w:pos="9015"/>
            </w:tabs>
            <w:rPr>
              <w:rStyle w:val="Hyperlink"/>
            </w:rPr>
          </w:pPr>
          <w:hyperlink w:anchor="_Toc706011312">
            <w:r w:rsidRPr="3D41C490">
              <w:rPr>
                <w:rStyle w:val="Hyperlink"/>
              </w:rPr>
              <w:t>D. Gearing Ratios</w:t>
            </w:r>
            <w:r w:rsidR="3A388F9E">
              <w:tab/>
            </w:r>
            <w:r w:rsidR="3A388F9E">
              <w:fldChar w:fldCharType="begin"/>
            </w:r>
            <w:r w:rsidR="3A388F9E">
              <w:instrText>PAGEREF _Toc706011312 \h</w:instrText>
            </w:r>
            <w:r w:rsidR="3A388F9E">
              <w:fldChar w:fldCharType="separate"/>
            </w:r>
            <w:r w:rsidRPr="3D41C490">
              <w:rPr>
                <w:rStyle w:val="Hyperlink"/>
              </w:rPr>
              <w:t>7</w:t>
            </w:r>
            <w:r w:rsidR="3A388F9E">
              <w:fldChar w:fldCharType="end"/>
            </w:r>
          </w:hyperlink>
        </w:p>
        <w:p w14:paraId="7B64B6B7" w14:textId="35734AB3" w:rsidR="3A388F9E" w:rsidRDefault="3D41C490" w:rsidP="3A388F9E">
          <w:pPr>
            <w:pStyle w:val="TOC1"/>
            <w:tabs>
              <w:tab w:val="right" w:leader="dot" w:pos="9015"/>
            </w:tabs>
            <w:rPr>
              <w:rStyle w:val="Hyperlink"/>
            </w:rPr>
          </w:pPr>
          <w:hyperlink w:anchor="_Toc729783535">
            <w:r w:rsidRPr="3D41C490">
              <w:rPr>
                <w:rStyle w:val="Hyperlink"/>
              </w:rPr>
              <w:t>2. Critical Evaluation of Financial Performance</w:t>
            </w:r>
            <w:r w:rsidR="3A388F9E">
              <w:tab/>
            </w:r>
            <w:r w:rsidR="3A388F9E">
              <w:fldChar w:fldCharType="begin"/>
            </w:r>
            <w:r w:rsidR="3A388F9E">
              <w:instrText>PAGEREF _Toc729783535 \h</w:instrText>
            </w:r>
            <w:r w:rsidR="3A388F9E">
              <w:fldChar w:fldCharType="separate"/>
            </w:r>
            <w:r w:rsidRPr="3D41C490">
              <w:rPr>
                <w:rStyle w:val="Hyperlink"/>
              </w:rPr>
              <w:t>8</w:t>
            </w:r>
            <w:r w:rsidR="3A388F9E">
              <w:fldChar w:fldCharType="end"/>
            </w:r>
          </w:hyperlink>
        </w:p>
        <w:p w14:paraId="556B68C3" w14:textId="4F1F2B97" w:rsidR="3A388F9E" w:rsidRDefault="3D41C490" w:rsidP="3A388F9E">
          <w:pPr>
            <w:pStyle w:val="TOC1"/>
            <w:tabs>
              <w:tab w:val="right" w:leader="dot" w:pos="9015"/>
            </w:tabs>
            <w:rPr>
              <w:rStyle w:val="Hyperlink"/>
            </w:rPr>
          </w:pPr>
          <w:hyperlink w:anchor="_Toc335012615">
            <w:r w:rsidRPr="3D41C490">
              <w:rPr>
                <w:rStyle w:val="Hyperlink"/>
              </w:rPr>
              <w:t>3. Limitations to ratio analysis</w:t>
            </w:r>
            <w:r w:rsidR="3A388F9E">
              <w:tab/>
            </w:r>
            <w:r w:rsidR="3A388F9E">
              <w:fldChar w:fldCharType="begin"/>
            </w:r>
            <w:r w:rsidR="3A388F9E">
              <w:instrText>PAGEREF _Toc335012615 \h</w:instrText>
            </w:r>
            <w:r w:rsidR="3A388F9E">
              <w:fldChar w:fldCharType="separate"/>
            </w:r>
            <w:r w:rsidRPr="3D41C490">
              <w:rPr>
                <w:rStyle w:val="Hyperlink"/>
              </w:rPr>
              <w:t>9</w:t>
            </w:r>
            <w:r w:rsidR="3A388F9E">
              <w:fldChar w:fldCharType="end"/>
            </w:r>
          </w:hyperlink>
        </w:p>
        <w:p w14:paraId="247A541D" w14:textId="542E7716" w:rsidR="3A388F9E" w:rsidRDefault="3D41C490" w:rsidP="3A388F9E">
          <w:pPr>
            <w:pStyle w:val="TOC1"/>
            <w:tabs>
              <w:tab w:val="right" w:leader="dot" w:pos="9015"/>
            </w:tabs>
            <w:rPr>
              <w:rStyle w:val="Hyperlink"/>
            </w:rPr>
          </w:pPr>
          <w:hyperlink w:anchor="_Toc2017706399">
            <w:r w:rsidRPr="3D41C490">
              <w:rPr>
                <w:rStyle w:val="Hyperlink"/>
              </w:rPr>
              <w:t>4. Recommendation</w:t>
            </w:r>
            <w:r w:rsidR="3A388F9E">
              <w:tab/>
            </w:r>
            <w:r w:rsidR="3A388F9E">
              <w:fldChar w:fldCharType="begin"/>
            </w:r>
            <w:r w:rsidR="3A388F9E">
              <w:instrText>PAGEREF _Toc2017706399 \h</w:instrText>
            </w:r>
            <w:r w:rsidR="3A388F9E">
              <w:fldChar w:fldCharType="separate"/>
            </w:r>
            <w:r w:rsidRPr="3D41C490">
              <w:rPr>
                <w:rStyle w:val="Hyperlink"/>
              </w:rPr>
              <w:t>10</w:t>
            </w:r>
            <w:r w:rsidR="3A388F9E">
              <w:fldChar w:fldCharType="end"/>
            </w:r>
          </w:hyperlink>
        </w:p>
        <w:p w14:paraId="723DBDDF" w14:textId="5BD33756" w:rsidR="3A388F9E" w:rsidRDefault="3D41C490" w:rsidP="3D41C490">
          <w:pPr>
            <w:pStyle w:val="TOC1"/>
            <w:tabs>
              <w:tab w:val="right" w:leader="dot" w:pos="9015"/>
            </w:tabs>
            <w:rPr>
              <w:rStyle w:val="Hyperlink"/>
            </w:rPr>
          </w:pPr>
          <w:hyperlink w:anchor="_Toc1330824884">
            <w:r w:rsidRPr="3D41C490">
              <w:rPr>
                <w:rStyle w:val="Hyperlink"/>
              </w:rPr>
              <w:t>Tasks 2.</w:t>
            </w:r>
            <w:r w:rsidR="3A388F9E">
              <w:tab/>
            </w:r>
            <w:r w:rsidR="3A388F9E">
              <w:fldChar w:fldCharType="begin"/>
            </w:r>
            <w:r w:rsidR="3A388F9E">
              <w:instrText>PAGEREF _Toc1330824884 \h</w:instrText>
            </w:r>
            <w:r w:rsidR="3A388F9E">
              <w:fldChar w:fldCharType="separate"/>
            </w:r>
            <w:r w:rsidRPr="3D41C490">
              <w:rPr>
                <w:rStyle w:val="Hyperlink"/>
              </w:rPr>
              <w:t>11</w:t>
            </w:r>
            <w:r w:rsidR="3A388F9E">
              <w:fldChar w:fldCharType="end"/>
            </w:r>
          </w:hyperlink>
        </w:p>
        <w:p w14:paraId="4CC609E8" w14:textId="47E5DA9D" w:rsidR="3A388F9E" w:rsidRDefault="3D41C490" w:rsidP="3D41C490">
          <w:pPr>
            <w:pStyle w:val="TOC1"/>
            <w:tabs>
              <w:tab w:val="left" w:pos="480"/>
              <w:tab w:val="right" w:leader="dot" w:pos="9015"/>
            </w:tabs>
            <w:rPr>
              <w:rStyle w:val="Hyperlink"/>
            </w:rPr>
          </w:pPr>
          <w:hyperlink w:anchor="_Toc562035245">
            <w:r w:rsidRPr="3D41C490">
              <w:rPr>
                <w:rStyle w:val="Hyperlink"/>
              </w:rPr>
              <w:t>A.</w:t>
            </w:r>
            <w:r w:rsidR="3A388F9E">
              <w:tab/>
            </w:r>
            <w:r w:rsidRPr="3D41C490">
              <w:rPr>
                <w:rStyle w:val="Hyperlink"/>
              </w:rPr>
              <w:t>Investment Appraisal using Net Present Value (NPV)</w:t>
            </w:r>
            <w:r w:rsidR="3A388F9E">
              <w:tab/>
            </w:r>
            <w:r w:rsidR="3A388F9E">
              <w:fldChar w:fldCharType="begin"/>
            </w:r>
            <w:r w:rsidR="3A388F9E">
              <w:instrText>PAGEREF _Toc562035245 \h</w:instrText>
            </w:r>
            <w:r w:rsidR="3A388F9E">
              <w:fldChar w:fldCharType="separate"/>
            </w:r>
            <w:r w:rsidRPr="3D41C490">
              <w:rPr>
                <w:rStyle w:val="Hyperlink"/>
              </w:rPr>
              <w:t>12</w:t>
            </w:r>
            <w:r w:rsidR="3A388F9E">
              <w:fldChar w:fldCharType="end"/>
            </w:r>
          </w:hyperlink>
        </w:p>
        <w:p w14:paraId="781A3C2E" w14:textId="7E3E4384" w:rsidR="3A388F9E" w:rsidRDefault="3D41C490" w:rsidP="3D41C490">
          <w:pPr>
            <w:pStyle w:val="TOC3"/>
            <w:tabs>
              <w:tab w:val="right" w:leader="dot" w:pos="9015"/>
            </w:tabs>
            <w:rPr>
              <w:rStyle w:val="Hyperlink"/>
            </w:rPr>
          </w:pPr>
          <w:hyperlink w:anchor="_Toc1960785306">
            <w:r w:rsidRPr="3D41C490">
              <w:rPr>
                <w:rStyle w:val="Hyperlink"/>
              </w:rPr>
              <w:t>Option A: Expand Retail Outlet</w:t>
            </w:r>
            <w:r w:rsidR="3A388F9E">
              <w:tab/>
            </w:r>
            <w:r w:rsidR="3A388F9E">
              <w:fldChar w:fldCharType="begin"/>
            </w:r>
            <w:r w:rsidR="3A388F9E">
              <w:instrText>PAGEREF _Toc1960785306 \h</w:instrText>
            </w:r>
            <w:r w:rsidR="3A388F9E">
              <w:fldChar w:fldCharType="separate"/>
            </w:r>
            <w:r w:rsidRPr="3D41C490">
              <w:rPr>
                <w:rStyle w:val="Hyperlink"/>
              </w:rPr>
              <w:t>12</w:t>
            </w:r>
            <w:r w:rsidR="3A388F9E">
              <w:fldChar w:fldCharType="end"/>
            </w:r>
          </w:hyperlink>
        </w:p>
        <w:p w14:paraId="2A7FC4E5" w14:textId="6C2DA4A2" w:rsidR="3A388F9E" w:rsidRDefault="3D41C490" w:rsidP="3D41C490">
          <w:pPr>
            <w:pStyle w:val="TOC1"/>
            <w:tabs>
              <w:tab w:val="left" w:pos="480"/>
              <w:tab w:val="right" w:leader="dot" w:pos="9015"/>
            </w:tabs>
            <w:rPr>
              <w:rStyle w:val="Hyperlink"/>
            </w:rPr>
          </w:pPr>
          <w:hyperlink w:anchor="_Toc2041839822">
            <w:r w:rsidRPr="3D41C490">
              <w:rPr>
                <w:rStyle w:val="Hyperlink"/>
              </w:rPr>
              <w:t>B.</w:t>
            </w:r>
            <w:r w:rsidR="3A388F9E">
              <w:tab/>
            </w:r>
            <w:r w:rsidRPr="3D41C490">
              <w:rPr>
                <w:rStyle w:val="Hyperlink"/>
              </w:rPr>
              <w:t>Internal Rate of Return (IRR) Analysis</w:t>
            </w:r>
            <w:r w:rsidR="3A388F9E">
              <w:tab/>
            </w:r>
            <w:r w:rsidR="3A388F9E">
              <w:fldChar w:fldCharType="begin"/>
            </w:r>
            <w:r w:rsidR="3A388F9E">
              <w:instrText>PAGEREF _Toc2041839822 \h</w:instrText>
            </w:r>
            <w:r w:rsidR="3A388F9E">
              <w:fldChar w:fldCharType="separate"/>
            </w:r>
            <w:r w:rsidRPr="3D41C490">
              <w:rPr>
                <w:rStyle w:val="Hyperlink"/>
              </w:rPr>
              <w:t>14</w:t>
            </w:r>
            <w:r w:rsidR="3A388F9E">
              <w:fldChar w:fldCharType="end"/>
            </w:r>
          </w:hyperlink>
        </w:p>
        <w:p w14:paraId="1DF8AEBE" w14:textId="7F8402C5" w:rsidR="3A388F9E" w:rsidRDefault="3D41C490" w:rsidP="3D41C490">
          <w:pPr>
            <w:pStyle w:val="TOC3"/>
            <w:tabs>
              <w:tab w:val="right" w:leader="dot" w:pos="9015"/>
            </w:tabs>
            <w:rPr>
              <w:rStyle w:val="Hyperlink"/>
            </w:rPr>
          </w:pPr>
          <w:hyperlink w:anchor="_Toc1686917555">
            <w:r w:rsidRPr="3D41C490">
              <w:rPr>
                <w:rStyle w:val="Hyperlink"/>
              </w:rPr>
              <w:t>Optimal Investment Policy and Resulting Total NPV</w:t>
            </w:r>
            <w:r w:rsidR="3A388F9E">
              <w:tab/>
            </w:r>
            <w:r w:rsidR="3A388F9E">
              <w:fldChar w:fldCharType="begin"/>
            </w:r>
            <w:r w:rsidR="3A388F9E">
              <w:instrText>PAGEREF _Toc1686917555 \h</w:instrText>
            </w:r>
            <w:r w:rsidR="3A388F9E">
              <w:fldChar w:fldCharType="separate"/>
            </w:r>
            <w:r w:rsidRPr="3D41C490">
              <w:rPr>
                <w:rStyle w:val="Hyperlink"/>
              </w:rPr>
              <w:t>17</w:t>
            </w:r>
            <w:r w:rsidR="3A388F9E">
              <w:fldChar w:fldCharType="end"/>
            </w:r>
          </w:hyperlink>
        </w:p>
        <w:p w14:paraId="00382392" w14:textId="28F16BF4" w:rsidR="3A388F9E" w:rsidRDefault="3D41C490" w:rsidP="3A388F9E">
          <w:pPr>
            <w:pStyle w:val="TOC1"/>
            <w:tabs>
              <w:tab w:val="left" w:pos="480"/>
              <w:tab w:val="right" w:leader="dot" w:pos="9015"/>
            </w:tabs>
            <w:rPr>
              <w:rStyle w:val="Hyperlink"/>
            </w:rPr>
          </w:pPr>
          <w:hyperlink w:anchor="_Toc213011896">
            <w:r w:rsidRPr="3D41C490">
              <w:rPr>
                <w:rStyle w:val="Hyperlink"/>
              </w:rPr>
              <w:t>E.</w:t>
            </w:r>
            <w:r w:rsidR="3A388F9E">
              <w:tab/>
            </w:r>
            <w:r w:rsidRPr="3D41C490">
              <w:rPr>
                <w:rStyle w:val="Hyperlink"/>
              </w:rPr>
              <w:t>Financing the Proposed Investment Programme</w:t>
            </w:r>
            <w:r w:rsidR="3A388F9E">
              <w:tab/>
            </w:r>
            <w:r w:rsidR="3A388F9E">
              <w:fldChar w:fldCharType="begin"/>
            </w:r>
            <w:r w:rsidR="3A388F9E">
              <w:instrText>PAGEREF _Toc213011896 \h</w:instrText>
            </w:r>
            <w:r w:rsidR="3A388F9E">
              <w:fldChar w:fldCharType="separate"/>
            </w:r>
            <w:r w:rsidRPr="3D41C490">
              <w:rPr>
                <w:rStyle w:val="Hyperlink"/>
              </w:rPr>
              <w:t>18</w:t>
            </w:r>
            <w:r w:rsidR="3A388F9E">
              <w:fldChar w:fldCharType="end"/>
            </w:r>
          </w:hyperlink>
        </w:p>
        <w:p w14:paraId="313240D6" w14:textId="67169CA1" w:rsidR="3A388F9E" w:rsidRDefault="3D41C490" w:rsidP="3A388F9E">
          <w:pPr>
            <w:pStyle w:val="TOC1"/>
            <w:tabs>
              <w:tab w:val="left" w:pos="480"/>
              <w:tab w:val="right" w:leader="dot" w:pos="9015"/>
            </w:tabs>
            <w:rPr>
              <w:rStyle w:val="Hyperlink"/>
            </w:rPr>
          </w:pPr>
          <w:hyperlink w:anchor="_Toc589293793">
            <w:r w:rsidRPr="3D41C490">
              <w:rPr>
                <w:rStyle w:val="Hyperlink"/>
              </w:rPr>
              <w:t>F.</w:t>
            </w:r>
            <w:r w:rsidR="3A388F9E">
              <w:tab/>
            </w:r>
            <w:r w:rsidRPr="3D41C490">
              <w:rPr>
                <w:rStyle w:val="Hyperlink"/>
              </w:rPr>
              <w:t>CONCLUSION</w:t>
            </w:r>
            <w:r w:rsidR="3A388F9E">
              <w:tab/>
            </w:r>
            <w:r w:rsidR="3A388F9E">
              <w:fldChar w:fldCharType="begin"/>
            </w:r>
            <w:r w:rsidR="3A388F9E">
              <w:instrText>PAGEREF _Toc589293793 \h</w:instrText>
            </w:r>
            <w:r w:rsidR="3A388F9E">
              <w:fldChar w:fldCharType="separate"/>
            </w:r>
            <w:r w:rsidRPr="3D41C490">
              <w:rPr>
                <w:rStyle w:val="Hyperlink"/>
              </w:rPr>
              <w:t>19</w:t>
            </w:r>
            <w:r w:rsidR="3A388F9E">
              <w:fldChar w:fldCharType="end"/>
            </w:r>
          </w:hyperlink>
        </w:p>
        <w:p w14:paraId="09EEA539" w14:textId="5410E6C4" w:rsidR="3A388F9E" w:rsidRDefault="3D41C490" w:rsidP="3D41C490">
          <w:pPr>
            <w:pStyle w:val="TOC1"/>
            <w:tabs>
              <w:tab w:val="left" w:pos="480"/>
              <w:tab w:val="right" w:leader="dot" w:pos="9015"/>
            </w:tabs>
            <w:rPr>
              <w:rStyle w:val="Hyperlink"/>
            </w:rPr>
          </w:pPr>
          <w:hyperlink w:anchor="_Toc1989003783">
            <w:r w:rsidRPr="3D41C490">
              <w:rPr>
                <w:rStyle w:val="Hyperlink"/>
              </w:rPr>
              <w:t>G.</w:t>
            </w:r>
            <w:r w:rsidR="3A388F9E">
              <w:tab/>
            </w:r>
            <w:r w:rsidRPr="3D41C490">
              <w:rPr>
                <w:rStyle w:val="Hyperlink"/>
              </w:rPr>
              <w:t>Strategic Recommendations for Financing</w:t>
            </w:r>
            <w:r w:rsidR="3A388F9E">
              <w:tab/>
            </w:r>
            <w:r w:rsidR="3A388F9E">
              <w:fldChar w:fldCharType="begin"/>
            </w:r>
            <w:r w:rsidR="3A388F9E">
              <w:instrText>PAGEREF _Toc1989003783 \h</w:instrText>
            </w:r>
            <w:r w:rsidR="3A388F9E">
              <w:fldChar w:fldCharType="separate"/>
            </w:r>
            <w:r w:rsidRPr="3D41C490">
              <w:rPr>
                <w:rStyle w:val="Hyperlink"/>
              </w:rPr>
              <w:t>20</w:t>
            </w:r>
            <w:r w:rsidR="3A388F9E">
              <w:fldChar w:fldCharType="end"/>
            </w:r>
          </w:hyperlink>
        </w:p>
        <w:p w14:paraId="44169BC0" w14:textId="0F4AC94A" w:rsidR="3A388F9E" w:rsidRDefault="3D41C490" w:rsidP="3A388F9E">
          <w:pPr>
            <w:pStyle w:val="TOC1"/>
            <w:tabs>
              <w:tab w:val="right" w:leader="dot" w:pos="9015"/>
            </w:tabs>
            <w:rPr>
              <w:rStyle w:val="Hyperlink"/>
            </w:rPr>
          </w:pPr>
          <w:hyperlink w:anchor="_Toc1612678021">
            <w:r w:rsidRPr="3D41C490">
              <w:rPr>
                <w:rStyle w:val="Hyperlink"/>
              </w:rPr>
              <w:t>REFERENCE</w:t>
            </w:r>
            <w:r w:rsidR="3A388F9E">
              <w:tab/>
            </w:r>
            <w:r w:rsidR="3A388F9E">
              <w:fldChar w:fldCharType="begin"/>
            </w:r>
            <w:r w:rsidR="3A388F9E">
              <w:instrText>PAGEREF _Toc1612678021 \h</w:instrText>
            </w:r>
            <w:r w:rsidR="3A388F9E">
              <w:fldChar w:fldCharType="separate"/>
            </w:r>
            <w:r w:rsidRPr="3D41C490">
              <w:rPr>
                <w:rStyle w:val="Hyperlink"/>
              </w:rPr>
              <w:t>21</w:t>
            </w:r>
            <w:r w:rsidR="3A388F9E">
              <w:fldChar w:fldCharType="end"/>
            </w:r>
          </w:hyperlink>
        </w:p>
        <w:p w14:paraId="6F84898F" w14:textId="6C9E2761" w:rsidR="3D41C490" w:rsidRDefault="3D41C490" w:rsidP="3D41C490">
          <w:pPr>
            <w:pStyle w:val="TOC1"/>
            <w:tabs>
              <w:tab w:val="right" w:leader="dot" w:pos="9015"/>
            </w:tabs>
            <w:rPr>
              <w:rStyle w:val="Hyperlink"/>
            </w:rPr>
          </w:pPr>
          <w:hyperlink w:anchor="_Toc265599461">
            <w:r w:rsidRPr="3D41C490">
              <w:rPr>
                <w:rStyle w:val="Hyperlink"/>
              </w:rPr>
              <w:t>APPENDIX</w:t>
            </w:r>
            <w:r>
              <w:tab/>
            </w:r>
            <w:r>
              <w:fldChar w:fldCharType="begin"/>
            </w:r>
            <w:r>
              <w:instrText>PAGEREF _Toc265599461 \h</w:instrText>
            </w:r>
            <w:r>
              <w:fldChar w:fldCharType="separate"/>
            </w:r>
            <w:r w:rsidRPr="3D41C490">
              <w:rPr>
                <w:rStyle w:val="Hyperlink"/>
              </w:rPr>
              <w:t>25</w:t>
            </w:r>
            <w:r>
              <w:fldChar w:fldCharType="end"/>
            </w:r>
          </w:hyperlink>
          <w:r>
            <w:fldChar w:fldCharType="end"/>
          </w:r>
        </w:p>
      </w:sdtContent>
    </w:sdt>
    <w:p w14:paraId="2DC0F012" w14:textId="16302FD7" w:rsidR="62B8CB02" w:rsidRDefault="62B8CB02" w:rsidP="3A388F9E"/>
    <w:p w14:paraId="3E86EBD9" w14:textId="05889395" w:rsidR="62B8CB02" w:rsidRDefault="62B8CB02" w:rsidP="3A388F9E">
      <w:pPr>
        <w:pStyle w:val="Heading1"/>
        <w:spacing w:line="360" w:lineRule="auto"/>
        <w:rPr>
          <w:b/>
          <w:bCs/>
          <w:sz w:val="28"/>
          <w:szCs w:val="28"/>
        </w:rPr>
      </w:pPr>
    </w:p>
    <w:p w14:paraId="4468B18F" w14:textId="77777777" w:rsidR="009C2748" w:rsidRDefault="009C2748" w:rsidP="3A388F9E">
      <w:pPr>
        <w:pStyle w:val="Heading1"/>
        <w:spacing w:line="360" w:lineRule="auto"/>
        <w:jc w:val="center"/>
        <w:rPr>
          <w:b/>
          <w:bCs/>
          <w:sz w:val="28"/>
          <w:szCs w:val="28"/>
        </w:rPr>
      </w:pPr>
    </w:p>
    <w:p w14:paraId="2CC7FBF9" w14:textId="77777777" w:rsidR="009C2748" w:rsidRDefault="009C2748" w:rsidP="3A388F9E">
      <w:pPr>
        <w:pStyle w:val="Heading1"/>
        <w:spacing w:line="360" w:lineRule="auto"/>
        <w:jc w:val="center"/>
        <w:rPr>
          <w:b/>
          <w:bCs/>
          <w:sz w:val="28"/>
          <w:szCs w:val="28"/>
        </w:rPr>
      </w:pPr>
    </w:p>
    <w:p w14:paraId="38E3C375" w14:textId="75A74326" w:rsidR="40DD6452" w:rsidRPr="00A41B89" w:rsidRDefault="40DD6452" w:rsidP="3A388F9E">
      <w:pPr>
        <w:pStyle w:val="Heading1"/>
        <w:spacing w:line="360" w:lineRule="auto"/>
        <w:jc w:val="center"/>
        <w:rPr>
          <w:b/>
          <w:bCs/>
          <w:sz w:val="28"/>
          <w:szCs w:val="28"/>
        </w:rPr>
      </w:pPr>
      <w:bookmarkStart w:id="2" w:name="_Toc282750352"/>
      <w:r w:rsidRPr="3A388F9E">
        <w:rPr>
          <w:b/>
          <w:bCs/>
          <w:sz w:val="28"/>
          <w:szCs w:val="28"/>
        </w:rPr>
        <w:t>Introduction</w:t>
      </w:r>
      <w:bookmarkEnd w:id="2"/>
      <w:r w:rsidRPr="3A388F9E">
        <w:rPr>
          <w:b/>
          <w:bCs/>
          <w:sz w:val="28"/>
          <w:szCs w:val="28"/>
        </w:rPr>
        <w:t xml:space="preserve"> </w:t>
      </w:r>
    </w:p>
    <w:p w14:paraId="05B63AE3" w14:textId="7807B344" w:rsidR="7B66119F" w:rsidRDefault="7B66119F" w:rsidP="00212F36">
      <w:pPr>
        <w:spacing w:line="360" w:lineRule="auto"/>
      </w:pPr>
      <w:r>
        <w:t>Marks &amp; Spencer Group plc, a well-known British multinational retailer</w:t>
      </w:r>
      <w:r w:rsidR="005D61F8">
        <w:t xml:space="preserve"> of </w:t>
      </w:r>
      <w:r w:rsidR="003F5EAE">
        <w:t>food</w:t>
      </w:r>
      <w:r w:rsidR="0064292E">
        <w:t xml:space="preserve">, </w:t>
      </w:r>
      <w:r w:rsidR="000F37B3">
        <w:t>clothing</w:t>
      </w:r>
      <w:r w:rsidR="00E62978">
        <w:t xml:space="preserve">, </w:t>
      </w:r>
      <w:r w:rsidR="4ED27441">
        <w:t>home,</w:t>
      </w:r>
      <w:r w:rsidR="00E62978">
        <w:t xml:space="preserve"> and other </w:t>
      </w:r>
      <w:r w:rsidR="005A001C">
        <w:t xml:space="preserve">retail </w:t>
      </w:r>
      <w:r w:rsidR="007475E1">
        <w:t xml:space="preserve">businesses </w:t>
      </w:r>
      <w:r w:rsidR="1203C610">
        <w:t>(MarketLine),</w:t>
      </w:r>
      <w:r w:rsidR="006A7AE0">
        <w:t xml:space="preserve"> </w:t>
      </w:r>
      <w:r>
        <w:t>is part of the prestigious FTSE 100 Index</w:t>
      </w:r>
      <w:r w:rsidR="00C65467">
        <w:t xml:space="preserve"> and </w:t>
      </w:r>
      <w:r>
        <w:t>has a rich history dating back to 1884, growing from a penny bazaar to a cornerstone of British retail known for its strength in both food and fashion/home goods [Marks &amp; Spencer Group PLC].</w:t>
      </w:r>
      <w:r w:rsidR="1E8C74CC">
        <w:t xml:space="preserve"> </w:t>
      </w:r>
      <w:r w:rsidR="13BE535F">
        <w:t>Its strategic direction is encapsulated by the "Reshaping for Growth" plan, a comprehensive initiative designed to protect the M&amp;S brand's enduring essence by setting ambitious targets to increase market share by 1% in both its UK food and fashion/home &amp; beauty (FHB) businesses by 2027/28, as well as specific operating margin goals of more than 4% for Food and 10% for FHB.</w:t>
      </w:r>
      <w:r w:rsidR="1E4DDFC2">
        <w:t xml:space="preserve"> </w:t>
      </w:r>
      <w:r w:rsidR="1C47C98F">
        <w:t>The strategic pivot has significantly improved the company's financial standing, resulting in its "best financial health for nearly 30 years," with a net funds position of over £400 million (Marks&amp; Spencer Annual Report).</w:t>
      </w:r>
    </w:p>
    <w:p w14:paraId="734D826B" w14:textId="2D99DA0E" w:rsidR="1C47C98F" w:rsidRDefault="1C47C98F" w:rsidP="00212F36">
      <w:pPr>
        <w:spacing w:line="360" w:lineRule="auto"/>
      </w:pPr>
      <w:r>
        <w:t>This report presents a comprehensive financial analysis of Marks &amp; Spencer Group plc for the fiscal years ending March 202</w:t>
      </w:r>
      <w:r w:rsidR="00E37FDF">
        <w:t>3</w:t>
      </w:r>
      <w:r>
        <w:t xml:space="preserve"> and March 202</w:t>
      </w:r>
      <w:r w:rsidR="00E37FDF">
        <w:t>4</w:t>
      </w:r>
      <w:r>
        <w:t>.</w:t>
      </w:r>
      <w:r w:rsidR="6518FF0C">
        <w:t xml:space="preserve"> </w:t>
      </w:r>
      <w:r w:rsidR="77DBB8D2">
        <w:t>The primary goal is to critically evaluate M&amp;S's financial health using key financial ratios, benchmark its performance against industry standards, identify underlying trends, and make strategic recommendations to the Board of Directors to improve its financial management.</w:t>
      </w:r>
      <w:r w:rsidR="6518FF0C">
        <w:t xml:space="preserve"> </w:t>
      </w:r>
      <w:r w:rsidR="6D0402BF">
        <w:t xml:space="preserve">This evaluation is intended to inform decisions about M&amp;S's financial health, operational effectiveness, and strategic trajectory in the dynamic UK retail landscape. </w:t>
      </w:r>
    </w:p>
    <w:p w14:paraId="7272D13D" w14:textId="336836F8" w:rsidR="215A41F1" w:rsidRDefault="215A41F1" w:rsidP="00212F36">
      <w:pPr>
        <w:spacing w:before="240" w:after="240" w:line="360" w:lineRule="auto"/>
      </w:pPr>
      <w:r>
        <w:t>Jordons Plc, a well-known manufacturer of high-quality internal wooden window blinds, is at a crossroads, considering opportunities for significant business growth.</w:t>
      </w:r>
      <w:r w:rsidR="5621A6E2">
        <w:t xml:space="preserve"> </w:t>
      </w:r>
      <w:r w:rsidR="62E7E456">
        <w:t>The Board of Directors has identified three primary options for a four-year strategic plan: A) expanding its successful retail outlet to include all products, B) expanding into internet sales, and C) diversifying into the production of curtains and Roman blinds.</w:t>
      </w:r>
      <w:r w:rsidR="5621A6E2">
        <w:t xml:space="preserve"> </w:t>
      </w:r>
      <w:r w:rsidR="53E52A0A">
        <w:t>Each option requires significant initial capital investment and is expected to produce varying cash flows over a four-year period.</w:t>
      </w:r>
    </w:p>
    <w:p w14:paraId="4DCFDD66" w14:textId="4CFAF50D" w:rsidR="314E5DCF" w:rsidRDefault="314E5DCF" w:rsidP="00212F36">
      <w:pPr>
        <w:spacing w:before="240" w:after="240" w:line="360" w:lineRule="auto"/>
      </w:pPr>
      <w:r>
        <w:lastRenderedPageBreak/>
        <w:t xml:space="preserve">The </w:t>
      </w:r>
      <w:r w:rsidR="2975E7FF">
        <w:t>aim</w:t>
      </w:r>
      <w:r>
        <w:t xml:space="preserve"> is to provide a rigorous financial evaluation of these investment proposals by calculating the NPV for 4 years and evaluating the profitability of each investment while deciding which year will yield more profits for the business and providing recommendations for the chosen year. Also, given the best investment, the required IRR will be provided, coupled with strategic insights and practical advice on financing. The analysis incorporates a 25% corporation tax rate and 20% straight-line capital allowances, applying a 6% cost of capital. The objective is to equip the Board with the necessary information to make an informed decision about whether to undertake one of these projects, explore alternative opportunities, or consider possible ways to finance this investment so that it can grow through retained earnings and asset sales. The recommendation to provide further strategic sources of finance is to be flexible in chosen financial options and balance debts and equity to avoid future risks.</w:t>
      </w:r>
    </w:p>
    <w:p w14:paraId="7C2F0056" w14:textId="77777777" w:rsidR="009C2748" w:rsidRDefault="009C2748" w:rsidP="00212F36">
      <w:pPr>
        <w:spacing w:before="240" w:after="240" w:line="360" w:lineRule="auto"/>
      </w:pPr>
    </w:p>
    <w:p w14:paraId="149EB29D" w14:textId="77777777" w:rsidR="00D36C08" w:rsidRDefault="47C2DF8A" w:rsidP="00212F36">
      <w:pPr>
        <w:pStyle w:val="Heading1"/>
        <w:spacing w:line="360" w:lineRule="auto"/>
        <w:rPr>
          <w:b/>
          <w:bCs/>
          <w:sz w:val="28"/>
          <w:szCs w:val="28"/>
        </w:rPr>
      </w:pPr>
      <w:bookmarkStart w:id="3" w:name="_Toc2147165840"/>
      <w:r w:rsidRPr="3A388F9E">
        <w:rPr>
          <w:b/>
          <w:bCs/>
          <w:sz w:val="28"/>
          <w:szCs w:val="28"/>
        </w:rPr>
        <w:t>Task 1.</w:t>
      </w:r>
      <w:bookmarkEnd w:id="3"/>
      <w:r w:rsidRPr="3A388F9E">
        <w:rPr>
          <w:b/>
          <w:bCs/>
          <w:sz w:val="28"/>
          <w:szCs w:val="28"/>
        </w:rPr>
        <w:t xml:space="preserve"> </w:t>
      </w:r>
    </w:p>
    <w:p w14:paraId="7642F2F9" w14:textId="5BE871A0" w:rsidR="64C0D316" w:rsidRPr="00C56925" w:rsidRDefault="64C0D316" w:rsidP="00212F36">
      <w:pPr>
        <w:pStyle w:val="Heading1"/>
        <w:numPr>
          <w:ilvl w:val="0"/>
          <w:numId w:val="24"/>
        </w:numPr>
        <w:spacing w:line="360" w:lineRule="auto"/>
        <w:rPr>
          <w:b/>
          <w:bCs/>
          <w:sz w:val="28"/>
          <w:szCs w:val="28"/>
        </w:rPr>
      </w:pPr>
      <w:bookmarkStart w:id="4" w:name="_Toc1017115748"/>
      <w:r w:rsidRPr="3A388F9E">
        <w:rPr>
          <w:b/>
          <w:bCs/>
          <w:sz w:val="28"/>
          <w:szCs w:val="28"/>
        </w:rPr>
        <w:t xml:space="preserve">Financial </w:t>
      </w:r>
      <w:r w:rsidR="11F0707E" w:rsidRPr="3A388F9E">
        <w:rPr>
          <w:b/>
          <w:bCs/>
          <w:sz w:val="28"/>
          <w:szCs w:val="28"/>
        </w:rPr>
        <w:t xml:space="preserve">Ratios </w:t>
      </w:r>
      <w:r w:rsidRPr="3A388F9E">
        <w:rPr>
          <w:b/>
          <w:bCs/>
          <w:sz w:val="28"/>
          <w:szCs w:val="28"/>
        </w:rPr>
        <w:t>Analysis (2023 &amp; 2024)</w:t>
      </w:r>
      <w:bookmarkEnd w:id="4"/>
    </w:p>
    <w:p w14:paraId="6D8A2085" w14:textId="0E23D38B" w:rsidR="1DFD752B" w:rsidRDefault="69C2E61A" w:rsidP="00212F36">
      <w:pPr>
        <w:spacing w:line="360" w:lineRule="auto"/>
      </w:pPr>
      <w:r>
        <w:t xml:space="preserve">According to </w:t>
      </w:r>
      <w:proofErr w:type="spellStart"/>
      <w:r>
        <w:t>Chobater</w:t>
      </w:r>
      <w:proofErr w:type="spellEnd"/>
      <w:r>
        <w:t xml:space="preserve"> (1989), financial ratios are the relationship between two figures taken from an </w:t>
      </w:r>
      <w:r w:rsidR="27CAE3B0">
        <w:t xml:space="preserve">organisation </w:t>
      </w:r>
      <w:r>
        <w:t>'s operating statement, balance sheet, and related records.</w:t>
      </w:r>
      <w:r w:rsidR="09FCEB49">
        <w:t xml:space="preserve"> </w:t>
      </w:r>
      <w:r w:rsidR="085D0A17">
        <w:t>In this section, Marks &amp; Spencer's financial ratios for 2023 and 2024 are thoroughly examined and compared to pertinent industry averages.</w:t>
      </w:r>
    </w:p>
    <w:p w14:paraId="7879880D" w14:textId="0D5BA83A" w:rsidR="6E6ED990" w:rsidRPr="00F37E65" w:rsidRDefault="6E6ED990" w:rsidP="00212F36">
      <w:pPr>
        <w:pStyle w:val="Heading1"/>
        <w:numPr>
          <w:ilvl w:val="0"/>
          <w:numId w:val="10"/>
        </w:numPr>
        <w:spacing w:line="360" w:lineRule="auto"/>
        <w:rPr>
          <w:b/>
          <w:bCs/>
          <w:sz w:val="28"/>
          <w:szCs w:val="28"/>
        </w:rPr>
      </w:pPr>
      <w:bookmarkStart w:id="5" w:name="_Toc2061074236"/>
      <w:r w:rsidRPr="3A388F9E">
        <w:rPr>
          <w:b/>
          <w:bCs/>
          <w:sz w:val="28"/>
          <w:szCs w:val="28"/>
        </w:rPr>
        <w:t>Profitability Ratio</w:t>
      </w:r>
      <w:bookmarkEnd w:id="5"/>
    </w:p>
    <w:p w14:paraId="0EFF5D3A" w14:textId="22B92A38" w:rsidR="000F0293" w:rsidRDefault="05FF0E82" w:rsidP="00212F36">
      <w:pPr>
        <w:spacing w:line="360" w:lineRule="auto"/>
      </w:pPr>
      <w:r>
        <w:t xml:space="preserve">Profitability ratios are </w:t>
      </w:r>
      <w:r w:rsidR="69B7EF37" w:rsidRPr="0DF1E216">
        <w:t>crucial for businesses to assess their success in generating</w:t>
      </w:r>
      <w:r>
        <w:t xml:space="preserve"> earnings </w:t>
      </w:r>
      <w:r w:rsidR="69B7EF37" w:rsidRPr="0DF1E216">
        <w:t>compared</w:t>
      </w:r>
      <w:r>
        <w:t xml:space="preserve"> to revenue, assets, and equity, </w:t>
      </w:r>
      <w:r w:rsidR="69B7EF37" w:rsidRPr="0DF1E216">
        <w:t xml:space="preserve">providing </w:t>
      </w:r>
      <w:r>
        <w:t>insights into operational efficiency and financial viability</w:t>
      </w:r>
      <w:r w:rsidR="69B7EF37" w:rsidRPr="0DF1E216">
        <w:t>, as they help evaluate a company's financial viability [Peter 2020].</w:t>
      </w:r>
    </w:p>
    <w:p w14:paraId="6A6C3B1B" w14:textId="27AD0135" w:rsidR="52B9D163" w:rsidRPr="00794AA4" w:rsidRDefault="52B9D163" w:rsidP="00212F36">
      <w:pPr>
        <w:pStyle w:val="ListParagraph"/>
        <w:numPr>
          <w:ilvl w:val="0"/>
          <w:numId w:val="11"/>
        </w:numPr>
        <w:spacing w:line="360" w:lineRule="auto"/>
        <w:rPr>
          <w:sz w:val="28"/>
          <w:szCs w:val="28"/>
        </w:rPr>
      </w:pPr>
      <w:r w:rsidRPr="3A388F9E">
        <w:rPr>
          <w:b/>
          <w:bCs/>
          <w:sz w:val="28"/>
          <w:szCs w:val="28"/>
        </w:rPr>
        <w:t>Operating Profit Margin:</w:t>
      </w:r>
    </w:p>
    <w:p w14:paraId="32A0506A" w14:textId="72A4AB1F" w:rsidR="75239984" w:rsidRDefault="52B9D163" w:rsidP="00212F36">
      <w:pPr>
        <w:spacing w:line="360" w:lineRule="auto"/>
      </w:pPr>
      <w:r>
        <w:t xml:space="preserve">This ratio </w:t>
      </w:r>
      <w:r w:rsidR="42643382">
        <w:t>calculates</w:t>
      </w:r>
      <w:r>
        <w:t xml:space="preserve"> the </w:t>
      </w:r>
      <w:r w:rsidR="42643382">
        <w:t>portion</w:t>
      </w:r>
      <w:r>
        <w:t xml:space="preserve"> of revenue </w:t>
      </w:r>
      <w:r w:rsidR="42643382">
        <w:t>that is left over</w:t>
      </w:r>
      <w:r>
        <w:t xml:space="preserve"> after operating </w:t>
      </w:r>
      <w:r w:rsidR="42643382">
        <w:t>costs are paid. [Bragg, 2012] Between 2023 and 2024,</w:t>
      </w:r>
      <w:r w:rsidR="3BC1BF9C">
        <w:t xml:space="preserve"> M&amp;S's statutory operating profit margin </w:t>
      </w:r>
      <w:r w:rsidR="42643382">
        <w:t>grew</w:t>
      </w:r>
      <w:r w:rsidR="3BC1BF9C">
        <w:t xml:space="preserve"> from 5.2% to </w:t>
      </w:r>
      <w:r w:rsidR="01A53E61">
        <w:t>6.0</w:t>
      </w:r>
      <w:r w:rsidR="42643382">
        <w:t>%. The</w:t>
      </w:r>
      <w:r w:rsidR="3BC1BF9C">
        <w:t xml:space="preserve"> 202</w:t>
      </w:r>
      <w:r w:rsidR="1EBA02F5">
        <w:t>4</w:t>
      </w:r>
      <w:r w:rsidR="42643382">
        <w:t xml:space="preserve"> margin is greater than</w:t>
      </w:r>
      <w:r w:rsidR="3BC1BF9C">
        <w:t xml:space="preserve"> the 202</w:t>
      </w:r>
      <w:r w:rsidR="1A35EBEA">
        <w:t>3</w:t>
      </w:r>
      <w:r w:rsidR="3BC1BF9C">
        <w:t xml:space="preserve"> margin</w:t>
      </w:r>
      <w:r w:rsidR="42643382">
        <w:t>, which</w:t>
      </w:r>
      <w:r w:rsidR="3BC1BF9C">
        <w:t xml:space="preserve"> was </w:t>
      </w:r>
      <w:r w:rsidR="42643382">
        <w:t>about</w:t>
      </w:r>
      <w:r w:rsidR="3BC1BF9C">
        <w:t xml:space="preserve"> in line with the average</w:t>
      </w:r>
      <w:r w:rsidR="42643382">
        <w:t xml:space="preserve"> for</w:t>
      </w:r>
      <w:r w:rsidR="3BC1BF9C">
        <w:t xml:space="preserve"> the </w:t>
      </w:r>
      <w:r w:rsidR="42643382">
        <w:t>retail sector. Without affecting demand, this</w:t>
      </w:r>
      <w:r w:rsidR="051CF8FB">
        <w:t xml:space="preserve"> increase </w:t>
      </w:r>
      <w:r w:rsidR="42643382">
        <w:t>might</w:t>
      </w:r>
      <w:r w:rsidR="051CF8FB">
        <w:t xml:space="preserve"> be </w:t>
      </w:r>
      <w:r w:rsidR="3FD570DB">
        <w:t xml:space="preserve">the </w:t>
      </w:r>
      <w:r w:rsidR="42643382">
        <w:t xml:space="preserve">result </w:t>
      </w:r>
      <w:r w:rsidR="42643382">
        <w:lastRenderedPageBreak/>
        <w:t xml:space="preserve">of higher </w:t>
      </w:r>
      <w:r w:rsidR="3FD570DB">
        <w:t>sales of goods and services,</w:t>
      </w:r>
      <w:r w:rsidR="679770DB">
        <w:t xml:space="preserve"> </w:t>
      </w:r>
      <w:r w:rsidR="42643382">
        <w:t>which would help</w:t>
      </w:r>
      <w:r w:rsidR="0E5409B5">
        <w:t xml:space="preserve"> the </w:t>
      </w:r>
      <w:r w:rsidR="42643382">
        <w:t>corporation achieve its goal of "</w:t>
      </w:r>
      <w:r w:rsidR="0E5409B5">
        <w:t>strong financial progress</w:t>
      </w:r>
      <w:r w:rsidR="42643382">
        <w:t>."</w:t>
      </w:r>
    </w:p>
    <w:p w14:paraId="623265B5" w14:textId="62D496A8" w:rsidR="4A1824EC" w:rsidRDefault="4A1824EC" w:rsidP="00212F36">
      <w:pPr>
        <w:pStyle w:val="ListParagraph"/>
        <w:numPr>
          <w:ilvl w:val="0"/>
          <w:numId w:val="12"/>
        </w:numPr>
        <w:spacing w:line="360" w:lineRule="auto"/>
      </w:pPr>
      <w:r w:rsidRPr="3A388F9E">
        <w:rPr>
          <w:b/>
          <w:bCs/>
          <w:sz w:val="28"/>
          <w:szCs w:val="28"/>
        </w:rPr>
        <w:t>Net Profit Margin</w:t>
      </w:r>
      <w:r w:rsidRPr="3A388F9E">
        <w:rPr>
          <w:b/>
          <w:bCs/>
        </w:rPr>
        <w:t>:</w:t>
      </w:r>
    </w:p>
    <w:p w14:paraId="3AA21135" w14:textId="5338E921" w:rsidR="25943B03" w:rsidRDefault="4D9BDF6F" w:rsidP="00212F36">
      <w:pPr>
        <w:spacing w:line="360" w:lineRule="auto"/>
      </w:pPr>
      <w:r>
        <w:t xml:space="preserve">According to </w:t>
      </w:r>
      <w:proofErr w:type="spellStart"/>
      <w:r>
        <w:t>Nariswari</w:t>
      </w:r>
      <w:proofErr w:type="spellEnd"/>
      <w:r>
        <w:t xml:space="preserve"> et al. (2020), this</w:t>
      </w:r>
      <w:r w:rsidR="4A1824EC">
        <w:t xml:space="preserve"> ratio </w:t>
      </w:r>
      <w:r>
        <w:t>shows</w:t>
      </w:r>
      <w:r w:rsidR="4A1824EC">
        <w:t xml:space="preserve"> the </w:t>
      </w:r>
      <w:r>
        <w:t>proportion</w:t>
      </w:r>
      <w:r w:rsidR="4A1824EC">
        <w:t xml:space="preserve"> of revenue </w:t>
      </w:r>
      <w:r>
        <w:t>that is converted</w:t>
      </w:r>
      <w:r w:rsidR="4A1824EC">
        <w:t xml:space="preserve"> into net income.</w:t>
      </w:r>
      <w:r w:rsidR="7F1C881C">
        <w:t xml:space="preserve"> </w:t>
      </w:r>
      <w:r>
        <w:t>With a</w:t>
      </w:r>
      <w:r w:rsidR="7F1C881C">
        <w:t xml:space="preserve"> net profit margin </w:t>
      </w:r>
      <w:r>
        <w:t xml:space="preserve">of 3.0% in </w:t>
      </w:r>
      <w:r w:rsidR="7F1C881C">
        <w:t xml:space="preserve">2023 and </w:t>
      </w:r>
      <w:r>
        <w:t>3.3% in</w:t>
      </w:r>
      <w:r w:rsidR="7F1C881C">
        <w:t xml:space="preserve"> 20</w:t>
      </w:r>
      <w:r w:rsidR="2639FA4D">
        <w:t>24</w:t>
      </w:r>
      <w:r>
        <w:t>, M&amp;S outperformed</w:t>
      </w:r>
      <w:r w:rsidR="4B79FC6B">
        <w:t xml:space="preserve"> the UK retail </w:t>
      </w:r>
      <w:r w:rsidR="0980854F">
        <w:t>benchmark</w:t>
      </w:r>
      <w:r w:rsidR="4B79FC6B">
        <w:t xml:space="preserve"> </w:t>
      </w:r>
      <w:r>
        <w:t>in</w:t>
      </w:r>
      <w:r w:rsidR="753CD85F">
        <w:t xml:space="preserve"> both the grocery (2.1%) and </w:t>
      </w:r>
      <w:r>
        <w:t>clothing (3.1%)</w:t>
      </w:r>
      <w:r w:rsidR="753CD85F">
        <w:t xml:space="preserve"> segments</w:t>
      </w:r>
      <w:r>
        <w:t>,</w:t>
      </w:r>
      <w:r w:rsidR="7693E214">
        <w:t xml:space="preserve"> which </w:t>
      </w:r>
      <w:r>
        <w:t xml:space="preserve">account for </w:t>
      </w:r>
      <w:proofErr w:type="spellStart"/>
      <w:r>
        <w:t>sizable</w:t>
      </w:r>
      <w:proofErr w:type="spellEnd"/>
      <w:r>
        <w:t xml:space="preserve"> amounts of the company's operations. Despite difficulties facing the </w:t>
      </w:r>
      <w:r w:rsidR="41734131">
        <w:t>industry, this</w:t>
      </w:r>
      <w:r>
        <w:t xml:space="preserve"> solid margin points to efficient cost control.</w:t>
      </w:r>
    </w:p>
    <w:p w14:paraId="2FDDB3E8" w14:textId="2012C433" w:rsidR="2F2BC66F" w:rsidRPr="00794AA4" w:rsidRDefault="2F2BC66F" w:rsidP="00212F36">
      <w:pPr>
        <w:pStyle w:val="ListParagraph"/>
        <w:numPr>
          <w:ilvl w:val="0"/>
          <w:numId w:val="13"/>
        </w:numPr>
        <w:spacing w:line="360" w:lineRule="auto"/>
        <w:rPr>
          <w:sz w:val="28"/>
          <w:szCs w:val="28"/>
        </w:rPr>
      </w:pPr>
      <w:r w:rsidRPr="3A388F9E">
        <w:rPr>
          <w:b/>
          <w:bCs/>
          <w:sz w:val="28"/>
          <w:szCs w:val="28"/>
        </w:rPr>
        <w:t>Return on Capital Employed (ROCE):</w:t>
      </w:r>
    </w:p>
    <w:p w14:paraId="7D37957D" w14:textId="1AE8D076" w:rsidR="5EE39ED1" w:rsidRDefault="2EFA05F2" w:rsidP="00212F36">
      <w:pPr>
        <w:spacing w:line="360" w:lineRule="auto"/>
      </w:pPr>
      <w:r>
        <w:t>ROCE indicates the link between the average long-term capital investment in the firm and the operating profit earned over a given period, indicating how effectively a company uses its capital to generate profits [Singh and Yadav 2013]. In 2024, M&amp;S's ROCE increased from 9.71% in 2023 to 12.89%.</w:t>
      </w:r>
      <w:r w:rsidR="1EA79012">
        <w:t xml:space="preserve"> M&amp;S's exceptional capital return generation surpasses the FTSE 100 benchmark of 3.26%, indicating improved profit-making efficiency and a focus on disciplined capital allocation, demonstrating its superior ability to generate returns.</w:t>
      </w:r>
    </w:p>
    <w:p w14:paraId="768D5E96" w14:textId="43AD4139" w:rsidR="5EE39ED1" w:rsidRPr="00794AA4" w:rsidRDefault="5EE39ED1" w:rsidP="00212F36">
      <w:pPr>
        <w:pStyle w:val="ListParagraph"/>
        <w:numPr>
          <w:ilvl w:val="0"/>
          <w:numId w:val="14"/>
        </w:numPr>
        <w:spacing w:line="360" w:lineRule="auto"/>
        <w:rPr>
          <w:sz w:val="28"/>
          <w:szCs w:val="28"/>
        </w:rPr>
      </w:pPr>
      <w:r w:rsidRPr="3A388F9E">
        <w:rPr>
          <w:b/>
          <w:bCs/>
          <w:sz w:val="28"/>
          <w:szCs w:val="28"/>
        </w:rPr>
        <w:t>Return on Equity (ROE):</w:t>
      </w:r>
      <w:r w:rsidRPr="3A388F9E">
        <w:rPr>
          <w:sz w:val="28"/>
          <w:szCs w:val="28"/>
        </w:rPr>
        <w:t xml:space="preserve"> </w:t>
      </w:r>
    </w:p>
    <w:p w14:paraId="4E6843B0" w14:textId="76A51A3C" w:rsidR="783D1B4F" w:rsidRDefault="6B960253" w:rsidP="00212F36">
      <w:pPr>
        <w:spacing w:line="360" w:lineRule="auto"/>
      </w:pPr>
      <w:r>
        <w:t xml:space="preserve">According to </w:t>
      </w:r>
      <w:proofErr w:type="spellStart"/>
      <w:r>
        <w:t>Kharatyan</w:t>
      </w:r>
      <w:proofErr w:type="spellEnd"/>
      <w:r>
        <w:t xml:space="preserve"> et al. (2016), ROE shows the profit made for every unit of shareholders' equity. Compared to the overall FTSE 100 average of 3.6%, M&amp;S's return on equity (ROE) climbed from 12.9% in 2023 to 15.2% in 2024, indicating more efficiency in making money </w:t>
      </w:r>
      <w:r w:rsidR="6AE12D62">
        <w:t>for shareholders'</w:t>
      </w:r>
      <w:r>
        <w:t xml:space="preserve"> investments. </w:t>
      </w:r>
      <w:r w:rsidR="0486282C">
        <w:t>M&amp;S's rising ROE demonstrates its superior return to shareholders due to its disciplined capital allocation and stronger balance sheet, indicating a more conservative financial structure rather than relying on leverage for equity returns, despite a robust ROCE.</w:t>
      </w:r>
    </w:p>
    <w:p w14:paraId="7716EF65" w14:textId="45944456" w:rsidR="783D1B4F" w:rsidRPr="00794AA4" w:rsidRDefault="783D1B4F" w:rsidP="00212F36">
      <w:pPr>
        <w:pStyle w:val="ListParagraph"/>
        <w:numPr>
          <w:ilvl w:val="0"/>
          <w:numId w:val="15"/>
        </w:numPr>
        <w:spacing w:line="360" w:lineRule="auto"/>
        <w:rPr>
          <w:sz w:val="28"/>
          <w:szCs w:val="28"/>
        </w:rPr>
      </w:pPr>
      <w:r w:rsidRPr="3A388F9E">
        <w:rPr>
          <w:b/>
          <w:bCs/>
          <w:sz w:val="28"/>
          <w:szCs w:val="28"/>
        </w:rPr>
        <w:t>Return on Assets (ROA):</w:t>
      </w:r>
      <w:r w:rsidRPr="3A388F9E">
        <w:rPr>
          <w:sz w:val="28"/>
          <w:szCs w:val="28"/>
        </w:rPr>
        <w:t xml:space="preserve"> </w:t>
      </w:r>
    </w:p>
    <w:p w14:paraId="5AD3F253" w14:textId="32EF6797" w:rsidR="44DF86C1" w:rsidRDefault="72326154" w:rsidP="00212F36">
      <w:pPr>
        <w:spacing w:line="360" w:lineRule="auto"/>
      </w:pPr>
      <w:r>
        <w:t>ROA gauges how well a business makes use of its resources to produce profits [</w:t>
      </w:r>
      <w:proofErr w:type="spellStart"/>
      <w:r>
        <w:t>Keter</w:t>
      </w:r>
      <w:proofErr w:type="spellEnd"/>
      <w:r>
        <w:t xml:space="preserve"> et al. 2023]. M&amp;S's return on assets (ROA) increased</w:t>
      </w:r>
      <w:r w:rsidR="2C6972AE">
        <w:t xml:space="preserve"> from </w:t>
      </w:r>
      <w:r>
        <w:t>3.9</w:t>
      </w:r>
      <w:r w:rsidR="2C6972AE">
        <w:t>% in 2023 to 4.</w:t>
      </w:r>
      <w:r>
        <w:t>8</w:t>
      </w:r>
      <w:r w:rsidR="2C6972AE">
        <w:t xml:space="preserve">% in 2024, </w:t>
      </w:r>
      <w:r>
        <w:t>surpassing</w:t>
      </w:r>
      <w:r w:rsidR="2C6972AE">
        <w:t xml:space="preserve"> the FTSE 100 average of 0.15%. This </w:t>
      </w:r>
      <w:r>
        <w:t xml:space="preserve">suggests </w:t>
      </w:r>
      <w:r w:rsidR="2C6972AE">
        <w:t xml:space="preserve">that the </w:t>
      </w:r>
      <w:r>
        <w:t>business</w:t>
      </w:r>
      <w:r w:rsidR="2C6972AE">
        <w:t xml:space="preserve"> is </w:t>
      </w:r>
      <w:r>
        <w:t>making</w:t>
      </w:r>
      <w:r w:rsidR="2C6972AE">
        <w:t xml:space="preserve"> more </w:t>
      </w:r>
      <w:r>
        <w:t>money</w:t>
      </w:r>
      <w:r w:rsidR="2C6972AE">
        <w:t xml:space="preserve"> for </w:t>
      </w:r>
      <w:r>
        <w:t>each</w:t>
      </w:r>
      <w:r w:rsidR="2C6972AE">
        <w:t xml:space="preserve"> pound of assets it </w:t>
      </w:r>
      <w:r>
        <w:t>uses.</w:t>
      </w:r>
      <w:r w:rsidR="2C6972AE">
        <w:t xml:space="preserve"> The </w:t>
      </w:r>
      <w:r>
        <w:t>rise</w:t>
      </w:r>
      <w:r w:rsidR="2C6972AE">
        <w:t xml:space="preserve"> in ROA </w:t>
      </w:r>
      <w:r>
        <w:t>indicates better</w:t>
      </w:r>
      <w:r w:rsidR="2C6972AE">
        <w:t xml:space="preserve"> asset </w:t>
      </w:r>
      <w:r>
        <w:t>use, which is consistent</w:t>
      </w:r>
      <w:r w:rsidR="2C6972AE">
        <w:t xml:space="preserve"> with the "Reshaping for Growth" strategy's </w:t>
      </w:r>
      <w:r>
        <w:t xml:space="preserve">emphasis on shop optimisation and </w:t>
      </w:r>
      <w:r w:rsidR="2C6972AE">
        <w:t xml:space="preserve">operational </w:t>
      </w:r>
      <w:r>
        <w:t>effectiveness</w:t>
      </w:r>
      <w:r w:rsidR="2C6972AE">
        <w:t>.</w:t>
      </w:r>
    </w:p>
    <w:p w14:paraId="70E5271F" w14:textId="0A6CC056" w:rsidR="46FA3565" w:rsidRPr="00D834F9" w:rsidRDefault="46FA3565" w:rsidP="00212F36">
      <w:pPr>
        <w:pStyle w:val="Heading1"/>
        <w:spacing w:line="360" w:lineRule="auto"/>
        <w:rPr>
          <w:b/>
          <w:bCs/>
          <w:sz w:val="28"/>
          <w:szCs w:val="28"/>
        </w:rPr>
      </w:pPr>
      <w:bookmarkStart w:id="6" w:name="_Toc828674503"/>
      <w:r w:rsidRPr="3A388F9E">
        <w:rPr>
          <w:b/>
          <w:bCs/>
          <w:sz w:val="28"/>
          <w:szCs w:val="28"/>
        </w:rPr>
        <w:lastRenderedPageBreak/>
        <w:t>B. Liquidity Ratios</w:t>
      </w:r>
      <w:bookmarkEnd w:id="6"/>
    </w:p>
    <w:p w14:paraId="14CDB9B8" w14:textId="27680FE0" w:rsidR="544424CA" w:rsidRDefault="22829631" w:rsidP="00212F36">
      <w:pPr>
        <w:spacing w:line="360" w:lineRule="auto"/>
      </w:pPr>
      <w:r>
        <w:t>Liquidity ratios assess a company's ability to meet its short-term obligations, which is crucial for operational stability and financial flexibility</w:t>
      </w:r>
      <w:r w:rsidR="42A98EFA">
        <w:t xml:space="preserve"> [</w:t>
      </w:r>
      <w:proofErr w:type="spellStart"/>
      <w:r w:rsidR="42A98EFA">
        <w:t>Hasidi</w:t>
      </w:r>
      <w:proofErr w:type="spellEnd"/>
      <w:r w:rsidR="42A98EFA">
        <w:t xml:space="preserve"> et al. 2024].</w:t>
      </w:r>
    </w:p>
    <w:p w14:paraId="64B4CD20" w14:textId="312B8CAC" w:rsidR="22829631" w:rsidRPr="00794AA4" w:rsidRDefault="22829631" w:rsidP="00212F36">
      <w:pPr>
        <w:pStyle w:val="ListParagraph"/>
        <w:numPr>
          <w:ilvl w:val="0"/>
          <w:numId w:val="16"/>
        </w:numPr>
        <w:spacing w:line="360" w:lineRule="auto"/>
        <w:rPr>
          <w:sz w:val="28"/>
          <w:szCs w:val="28"/>
        </w:rPr>
      </w:pPr>
      <w:r w:rsidRPr="3A388F9E">
        <w:rPr>
          <w:b/>
          <w:bCs/>
          <w:sz w:val="28"/>
          <w:szCs w:val="28"/>
        </w:rPr>
        <w:t>Current Ratio:</w:t>
      </w:r>
    </w:p>
    <w:p w14:paraId="5BB3F207" w14:textId="3ED54D89" w:rsidR="6E30C758" w:rsidRDefault="6E30C758" w:rsidP="00212F36">
      <w:pPr>
        <w:spacing w:before="240" w:after="240" w:line="360" w:lineRule="auto"/>
      </w:pPr>
      <w:r>
        <w:t>According to Herrick (1944), this ratio shows how much current assets cover current obligations. From 0.80 times in 2023 to 0.86 times in 2024, M&amp;S's current ratio showed a little improvement. Both numbers fall short of the majority of retail industry norms as well as the universally recognised healthy benchmark range of 1.5–3.0. This suggests that M&amp;S relies on quick inventory turnover or longer payment terms with suppliers because it has more current liabilities than current assets.</w:t>
      </w:r>
    </w:p>
    <w:p w14:paraId="713F3F70" w14:textId="11E7DFB7" w:rsidR="43F84313" w:rsidRPr="00794AA4" w:rsidRDefault="738F3C03" w:rsidP="00212F36">
      <w:pPr>
        <w:pStyle w:val="ListParagraph"/>
        <w:numPr>
          <w:ilvl w:val="0"/>
          <w:numId w:val="17"/>
        </w:numPr>
        <w:spacing w:before="240" w:after="240" w:line="360" w:lineRule="auto"/>
        <w:rPr>
          <w:sz w:val="28"/>
          <w:szCs w:val="28"/>
        </w:rPr>
      </w:pPr>
      <w:r w:rsidRPr="3A388F9E">
        <w:rPr>
          <w:b/>
          <w:bCs/>
          <w:sz w:val="28"/>
          <w:szCs w:val="28"/>
        </w:rPr>
        <w:t>Quick Ratio (Acid-Test Ratio):</w:t>
      </w:r>
    </w:p>
    <w:p w14:paraId="28C19B91" w14:textId="69BE3F67" w:rsidR="689BE434" w:rsidRDefault="689BE434" w:rsidP="00212F36">
      <w:pPr>
        <w:spacing w:line="360" w:lineRule="auto"/>
      </w:pPr>
      <w:r>
        <w:t>Apart from inventories, this ratio assesses a company's capacity to satisfy short-term obligations with its most liquid assets [</w:t>
      </w:r>
      <w:proofErr w:type="spellStart"/>
      <w:r>
        <w:t>Gunawan</w:t>
      </w:r>
      <w:proofErr w:type="spellEnd"/>
      <w:r>
        <w:t xml:space="preserve"> 2023]. From 0.51 times in 2023 to 0.55 times in 2024, M&amp;S's fast ratio increased. </w:t>
      </w:r>
      <w:r w:rsidR="476D8F8D">
        <w:t xml:space="preserve">The low current ratio and low quick ratio in M&amp;S's retail operations are normal for large inventory </w:t>
      </w:r>
      <w:proofErr w:type="spellStart"/>
      <w:r w:rsidR="476D8F8D">
        <w:t>organizations</w:t>
      </w:r>
      <w:proofErr w:type="spellEnd"/>
      <w:r w:rsidR="476D8F8D">
        <w:t>, indicating a reliance on inventory conversion for short-term requirements. This is particularly relevant in the food division, where inventory is perishable and turnover is rapid.</w:t>
      </w:r>
    </w:p>
    <w:p w14:paraId="1153A565" w14:textId="725D0BBA" w:rsidR="3B76B427" w:rsidRPr="0043650E" w:rsidRDefault="23616AC6" w:rsidP="00212F36">
      <w:pPr>
        <w:pStyle w:val="Heading1"/>
        <w:spacing w:line="360" w:lineRule="auto"/>
        <w:rPr>
          <w:b/>
          <w:bCs/>
          <w:sz w:val="28"/>
          <w:szCs w:val="28"/>
        </w:rPr>
      </w:pPr>
      <w:bookmarkStart w:id="7" w:name="_Toc816957335"/>
      <w:r w:rsidRPr="3A388F9E">
        <w:rPr>
          <w:b/>
          <w:bCs/>
          <w:sz w:val="28"/>
          <w:szCs w:val="28"/>
        </w:rPr>
        <w:t>C</w:t>
      </w:r>
      <w:r w:rsidR="4B32E4DC" w:rsidRPr="3A388F9E">
        <w:rPr>
          <w:b/>
          <w:bCs/>
          <w:sz w:val="28"/>
          <w:szCs w:val="28"/>
        </w:rPr>
        <w:t>. Efficiency Ratios</w:t>
      </w:r>
      <w:bookmarkEnd w:id="7"/>
    </w:p>
    <w:p w14:paraId="2BD5D562" w14:textId="7046C91C" w:rsidR="3B76B427" w:rsidRDefault="4B32E4DC" w:rsidP="00212F36">
      <w:pPr>
        <w:spacing w:before="240" w:after="240" w:line="360" w:lineRule="auto"/>
      </w:pPr>
      <w:r>
        <w:t xml:space="preserve">Efficiency ratios measure how effectively a company is </w:t>
      </w:r>
      <w:r w:rsidR="01377E63">
        <w:t>utilising</w:t>
      </w:r>
      <w:r>
        <w:t xml:space="preserve"> its assets to generate sales and manage its operations</w:t>
      </w:r>
      <w:r w:rsidR="77298546">
        <w:t xml:space="preserve"> [Rashid 2021].</w:t>
      </w:r>
    </w:p>
    <w:p w14:paraId="1DBCE5C5" w14:textId="45A14ED7" w:rsidR="3596CF9F" w:rsidRDefault="1E9FFEFF" w:rsidP="00212F36">
      <w:pPr>
        <w:pStyle w:val="ListParagraph"/>
        <w:numPr>
          <w:ilvl w:val="0"/>
          <w:numId w:val="18"/>
        </w:numPr>
        <w:spacing w:before="240" w:after="240" w:line="360" w:lineRule="auto"/>
      </w:pPr>
      <w:r w:rsidRPr="3A388F9E">
        <w:rPr>
          <w:b/>
          <w:bCs/>
          <w:sz w:val="28"/>
          <w:szCs w:val="28"/>
        </w:rPr>
        <w:t>Inventory Turnover</w:t>
      </w:r>
      <w:r w:rsidRPr="3A388F9E">
        <w:rPr>
          <w:b/>
          <w:bCs/>
        </w:rPr>
        <w:t>:</w:t>
      </w:r>
    </w:p>
    <w:p w14:paraId="103346D8" w14:textId="10787B17" w:rsidR="3586B932" w:rsidRDefault="1E9FFEFF" w:rsidP="00212F36">
      <w:pPr>
        <w:spacing w:before="240" w:after="240" w:line="360" w:lineRule="auto"/>
      </w:pPr>
      <w:r>
        <w:t>This ratio indicates how many times inventory is sold and replaced over a period</w:t>
      </w:r>
      <w:r w:rsidR="162B5990">
        <w:t xml:space="preserve"> [</w:t>
      </w:r>
      <w:proofErr w:type="spellStart"/>
      <w:r w:rsidR="162B5990">
        <w:t>Yusup</w:t>
      </w:r>
      <w:proofErr w:type="spellEnd"/>
      <w:r w:rsidR="162B5990">
        <w:t xml:space="preserve"> et al. 2023]. </w:t>
      </w:r>
      <w:r w:rsidR="3BF74E61">
        <w:t>M&amp;S's inventory turnover increased from 1</w:t>
      </w:r>
      <w:r w:rsidR="0080671E">
        <w:t>5.</w:t>
      </w:r>
      <w:r w:rsidR="00156F33">
        <w:t>6</w:t>
      </w:r>
      <w:r w:rsidR="3BF74E61">
        <w:t xml:space="preserve"> times in 2023 to 1</w:t>
      </w:r>
      <w:r w:rsidR="00E3039B">
        <w:t>6.</w:t>
      </w:r>
      <w:r w:rsidR="00156F33">
        <w:t xml:space="preserve">7 </w:t>
      </w:r>
      <w:r w:rsidR="3BF74E61">
        <w:t xml:space="preserve">times in 2024. This is significantly higher than the average UK retailer [10.86 times], indicating highly efficient inventory management and rapid sales conversion. This high and improving inventory turnover is a critical driver of M&amp;S's liquidity and overall operational efficiency, particularly important given its low current and quick ratios. It validates the effectiveness of their supply chain and merchandising strategies. </w:t>
      </w:r>
    </w:p>
    <w:p w14:paraId="1F60B8A5" w14:textId="497A47FF" w:rsidR="4097105E" w:rsidRPr="0070256D" w:rsidRDefault="35F9867C" w:rsidP="00212F36">
      <w:pPr>
        <w:pStyle w:val="ListParagraph"/>
        <w:numPr>
          <w:ilvl w:val="0"/>
          <w:numId w:val="19"/>
        </w:numPr>
        <w:spacing w:before="240" w:after="240" w:line="360" w:lineRule="auto"/>
        <w:rPr>
          <w:sz w:val="28"/>
          <w:szCs w:val="28"/>
        </w:rPr>
      </w:pPr>
      <w:r w:rsidRPr="3A388F9E">
        <w:rPr>
          <w:b/>
          <w:bCs/>
          <w:sz w:val="28"/>
          <w:szCs w:val="28"/>
        </w:rPr>
        <w:lastRenderedPageBreak/>
        <w:t>Asset Turnover:</w:t>
      </w:r>
    </w:p>
    <w:p w14:paraId="637DB6F1" w14:textId="4F557663" w:rsidR="5CA905DB" w:rsidRDefault="5CA905DB" w:rsidP="00212F36">
      <w:pPr>
        <w:spacing w:line="360" w:lineRule="auto"/>
      </w:pPr>
      <w:r>
        <w:t xml:space="preserve">This ratio assesses how well a business generates sales revenue from its assets [Patin et al. 2020]. From 2023 to 2024, M&amp;S's asset turnover increased from 1.2 to 1.4 times. </w:t>
      </w:r>
      <w:r w:rsidR="0A6DC72F">
        <w:t xml:space="preserve">M&amp;S is generating more revenue from sales per pound of assets, indicating better use of its current asset base and successful income generation from new investments. This improvement suggests either increasing sales from existing infrastructure and stores or increasing productivity through strategic asset base </w:t>
      </w:r>
      <w:r w:rsidR="79BD6C4C">
        <w:t>optimisation.</w:t>
      </w:r>
    </w:p>
    <w:p w14:paraId="71787372" w14:textId="1EAF7A99" w:rsidR="425F798A" w:rsidRDefault="425F798A" w:rsidP="00212F36">
      <w:pPr>
        <w:pStyle w:val="Heading3"/>
        <w:spacing w:before="281" w:after="281" w:line="360" w:lineRule="auto"/>
        <w:rPr>
          <w:rFonts w:eastAsia="Times New Roman" w:cs="Times New Roman"/>
          <w:b/>
          <w:bCs/>
        </w:rPr>
      </w:pPr>
      <w:bookmarkStart w:id="8" w:name="_Toc706011312"/>
      <w:r w:rsidRPr="3A388F9E">
        <w:rPr>
          <w:rFonts w:eastAsia="Times New Roman" w:cs="Times New Roman"/>
          <w:b/>
          <w:bCs/>
        </w:rPr>
        <w:t>D. Gearing Ratios</w:t>
      </w:r>
      <w:bookmarkEnd w:id="8"/>
    </w:p>
    <w:p w14:paraId="5387FDF7" w14:textId="691F6362" w:rsidR="425F798A" w:rsidRDefault="3B0AEEBB" w:rsidP="00212F36">
      <w:pPr>
        <w:spacing w:before="240" w:after="240" w:line="360" w:lineRule="auto"/>
      </w:pPr>
      <w:r>
        <w:t>Gearing ratios assess the extent to which a company's operations are financed by debt versus equity, providing an indication of financial risk and long-term solvency</w:t>
      </w:r>
      <w:r w:rsidR="3A85769C">
        <w:t xml:space="preserve"> [</w:t>
      </w:r>
      <w:proofErr w:type="spellStart"/>
      <w:r w:rsidR="3A85769C">
        <w:t>Ezennia</w:t>
      </w:r>
      <w:proofErr w:type="spellEnd"/>
      <w:r w:rsidR="3A85769C">
        <w:t xml:space="preserve"> and </w:t>
      </w:r>
      <w:proofErr w:type="spellStart"/>
      <w:r w:rsidR="3A85769C">
        <w:t>Amahalu</w:t>
      </w:r>
      <w:proofErr w:type="spellEnd"/>
      <w:r w:rsidR="3A85769C">
        <w:t xml:space="preserve"> 2024].</w:t>
      </w:r>
      <w:r w:rsidR="7DB0FA00">
        <w:t xml:space="preserve"> </w:t>
      </w:r>
    </w:p>
    <w:p w14:paraId="0C200D4B" w14:textId="21FE0B3A" w:rsidR="16580285" w:rsidRPr="001272BA" w:rsidRDefault="7DB0FA00" w:rsidP="00212F36">
      <w:pPr>
        <w:pStyle w:val="ListParagraph"/>
        <w:numPr>
          <w:ilvl w:val="0"/>
          <w:numId w:val="20"/>
        </w:numPr>
        <w:spacing w:before="240" w:after="240" w:line="360" w:lineRule="auto"/>
        <w:rPr>
          <w:sz w:val="28"/>
          <w:szCs w:val="28"/>
        </w:rPr>
      </w:pPr>
      <w:r w:rsidRPr="3A388F9E">
        <w:rPr>
          <w:b/>
          <w:bCs/>
          <w:sz w:val="28"/>
          <w:szCs w:val="28"/>
        </w:rPr>
        <w:t>Debt-to-Equity Ratio:</w:t>
      </w:r>
    </w:p>
    <w:p w14:paraId="4DA95553" w14:textId="1176230B" w:rsidR="16580285" w:rsidRDefault="53DA1399" w:rsidP="00212F36">
      <w:pPr>
        <w:spacing w:before="240" w:after="240" w:line="360" w:lineRule="auto"/>
      </w:pPr>
      <w:r>
        <w:t xml:space="preserve">The percentage of debt financing in relation to equity financing is shown by this ratio [Ghosh and Moon 2010]. From 1.2 in 2023 to 1.10 in 2024, </w:t>
      </w:r>
      <w:r w:rsidR="6E09B097">
        <w:t>M&amp;S's debt-to-equity ratio improved significantly, matching retail industry benchmarks. This indicates increased solvency and decreased financial leverage. In 2025, M&amp;S reduced net debt by £900m and had net funds of over £400m, reducing risk and increasing growth potential by transitioning from a net debt position to a net cash position.</w:t>
      </w:r>
    </w:p>
    <w:p w14:paraId="4951A580" w14:textId="2CF2414F" w:rsidR="16580285" w:rsidRPr="00722D1E" w:rsidRDefault="7CF5EEB0" w:rsidP="00212F36">
      <w:pPr>
        <w:pStyle w:val="ListParagraph"/>
        <w:numPr>
          <w:ilvl w:val="0"/>
          <w:numId w:val="21"/>
        </w:numPr>
        <w:spacing w:before="240" w:after="240" w:line="360" w:lineRule="auto"/>
        <w:rPr>
          <w:sz w:val="28"/>
          <w:szCs w:val="28"/>
        </w:rPr>
      </w:pPr>
      <w:r w:rsidRPr="3A388F9E">
        <w:rPr>
          <w:b/>
          <w:bCs/>
          <w:sz w:val="28"/>
          <w:szCs w:val="28"/>
        </w:rPr>
        <w:t>Interest Coverage Ratio:</w:t>
      </w:r>
    </w:p>
    <w:p w14:paraId="6861BE38" w14:textId="242A5755" w:rsidR="7AB87B27" w:rsidRDefault="250309F2" w:rsidP="00212F36">
      <w:pPr>
        <w:spacing w:before="240" w:after="240" w:line="360" w:lineRule="auto"/>
      </w:pPr>
      <w:r w:rsidRPr="0DF1E216">
        <w:t xml:space="preserve">This ratio assesses how well a business can use its operating profits to pay for its interest costs. In 2024, M&amp;S's interest coverage increased from </w:t>
      </w:r>
      <w:r w:rsidR="00A85E5D">
        <w:t>3.01</w:t>
      </w:r>
      <w:r w:rsidRPr="0DF1E216">
        <w:t xml:space="preserve"> times in 2023 to </w:t>
      </w:r>
      <w:r w:rsidR="000E69D0">
        <w:t>4.</w:t>
      </w:r>
      <w:r w:rsidR="00E80D3D">
        <w:t>21</w:t>
      </w:r>
      <w:r w:rsidRPr="0DF1E216">
        <w:t xml:space="preserve"> times.</w:t>
      </w:r>
      <w:r w:rsidR="7F6E22E8" w:rsidRPr="0DF1E216">
        <w:t xml:space="preserve"> The company's ability to use operating income to pay interest payments has improved due to effective debt management and higher operating profit. By 2025, this ratio will be strengthened by reducing debt and moving to a net funds position, enhancing its debt-to-equity ratio.</w:t>
      </w:r>
    </w:p>
    <w:p w14:paraId="622297A6" w14:textId="79BAD24A" w:rsidR="7AB87B27" w:rsidRDefault="0AE77EC5" w:rsidP="00212F36">
      <w:pPr>
        <w:spacing w:before="240" w:after="240" w:line="360" w:lineRule="auto"/>
      </w:pPr>
      <w:r w:rsidRPr="0DF1E216">
        <w:rPr>
          <w:b/>
          <w:bCs/>
          <w:sz w:val="28"/>
          <w:szCs w:val="28"/>
        </w:rPr>
        <w:t>E. Investor Ratios</w:t>
      </w:r>
    </w:p>
    <w:p w14:paraId="701AB63F" w14:textId="70794959" w:rsidR="7AB87B27" w:rsidRDefault="11AA2BD6" w:rsidP="00212F36">
      <w:pPr>
        <w:spacing w:before="240" w:after="240" w:line="360" w:lineRule="auto"/>
      </w:pPr>
      <w:r w:rsidRPr="0DF1E216">
        <w:lastRenderedPageBreak/>
        <w:t>Investor ratios, which represent profitability, valuation, and returns, offer information about the company's performance from the viewpoint of its shareholders [Lee 2014]</w:t>
      </w:r>
    </w:p>
    <w:p w14:paraId="2101ACBB" w14:textId="2C8B17EB" w:rsidR="7AB87B27" w:rsidRPr="00A91DB9" w:rsidRDefault="7D9C9135" w:rsidP="00212F36">
      <w:pPr>
        <w:pStyle w:val="ListParagraph"/>
        <w:numPr>
          <w:ilvl w:val="0"/>
          <w:numId w:val="22"/>
        </w:numPr>
        <w:spacing w:before="240" w:after="240" w:line="360" w:lineRule="auto"/>
        <w:rPr>
          <w:sz w:val="28"/>
          <w:szCs w:val="28"/>
        </w:rPr>
      </w:pPr>
      <w:r w:rsidRPr="3A388F9E">
        <w:rPr>
          <w:b/>
          <w:bCs/>
          <w:sz w:val="28"/>
          <w:szCs w:val="28"/>
        </w:rPr>
        <w:t>Earnings Per Share (EPS):</w:t>
      </w:r>
      <w:r w:rsidRPr="3A388F9E">
        <w:rPr>
          <w:sz w:val="28"/>
          <w:szCs w:val="28"/>
        </w:rPr>
        <w:t xml:space="preserve"> </w:t>
      </w:r>
    </w:p>
    <w:p w14:paraId="19075632" w14:textId="75341E13" w:rsidR="7AB87B27" w:rsidRDefault="0AE0BA34" w:rsidP="00212F36">
      <w:pPr>
        <w:spacing w:before="240" w:after="240" w:line="360" w:lineRule="auto"/>
      </w:pPr>
      <w:r>
        <w:t>The percentage of a company's earnings allotted to each outstanding share is known as EPS. Healthy growth was demonstrated by M&amp;S's basic EPS, which rose from 18.5p in 2023 to 21.9p in 2024. This suggests that the business is making more money for its owners per share. Despite the complicated financial environment, the robust growth in basic EPS in 2024 highlights the underlying operational enhancements.</w:t>
      </w:r>
    </w:p>
    <w:p w14:paraId="226C28D1" w14:textId="04E3B5FB" w:rsidR="7AB87B27" w:rsidRPr="00A91DB9" w:rsidRDefault="58F000C6" w:rsidP="00212F36">
      <w:pPr>
        <w:pStyle w:val="ListParagraph"/>
        <w:numPr>
          <w:ilvl w:val="0"/>
          <w:numId w:val="23"/>
        </w:numPr>
        <w:spacing w:before="240" w:after="240" w:line="360" w:lineRule="auto"/>
        <w:rPr>
          <w:sz w:val="28"/>
          <w:szCs w:val="28"/>
        </w:rPr>
      </w:pPr>
      <w:r w:rsidRPr="3A388F9E">
        <w:rPr>
          <w:b/>
          <w:bCs/>
          <w:sz w:val="28"/>
          <w:szCs w:val="28"/>
        </w:rPr>
        <w:t>Price-to-Earnings (P/E) Ratio:</w:t>
      </w:r>
      <w:r w:rsidRPr="3A388F9E">
        <w:rPr>
          <w:sz w:val="28"/>
          <w:szCs w:val="28"/>
        </w:rPr>
        <w:t xml:space="preserve"> </w:t>
      </w:r>
    </w:p>
    <w:p w14:paraId="599E6ED0" w14:textId="0205513C" w:rsidR="7AB87B27" w:rsidRDefault="34FDDEEE" w:rsidP="00212F36">
      <w:pPr>
        <w:spacing w:before="240" w:after="240" w:line="360" w:lineRule="auto"/>
      </w:pPr>
      <w:r>
        <w:t xml:space="preserve">This ratio shows how much investors are ready to pay for each unit of earnings by comparing a company's share price to earnings per share [Banjar and </w:t>
      </w:r>
      <w:proofErr w:type="spellStart"/>
      <w:r>
        <w:t>Saleh</w:t>
      </w:r>
      <w:proofErr w:type="spellEnd"/>
      <w:r>
        <w:t xml:space="preserve"> 2023]. In 2023 and 2024, M&amp;S's calculated P/E was 20.23 and 17.10, respectively. This suggests that the value is changing. The 2024 P/E was higher than the overall FTSE 100 average (13), but it was somewhat in line with the UK stock market average (18.13). This implies that investors are placing a higher value on M&amp;S, most likely because of the company's impressive, adjusted earnings performance or projected future growth.</w:t>
      </w:r>
    </w:p>
    <w:p w14:paraId="230DC33C" w14:textId="1E1726FB" w:rsidR="7AB87B27" w:rsidRDefault="000017EA" w:rsidP="00212F36">
      <w:pPr>
        <w:pStyle w:val="Heading1"/>
        <w:spacing w:line="360" w:lineRule="auto"/>
        <w:rPr>
          <w:rFonts w:ascii="Aptos Display" w:eastAsia="Aptos Display" w:hAnsi="Aptos Display" w:cs="Aptos Display"/>
          <w:lang w:val="en-US"/>
        </w:rPr>
      </w:pPr>
      <w:bookmarkStart w:id="9" w:name="_Toc729783535"/>
      <w:r w:rsidRPr="3A388F9E">
        <w:rPr>
          <w:rFonts w:ascii="Aptos Display" w:eastAsia="Aptos Display" w:hAnsi="Aptos Display" w:cs="Aptos Display"/>
        </w:rPr>
        <w:t xml:space="preserve">2. </w:t>
      </w:r>
      <w:r w:rsidR="5CF790B6" w:rsidRPr="3A388F9E">
        <w:rPr>
          <w:rFonts w:ascii="Aptos Display" w:eastAsia="Aptos Display" w:hAnsi="Aptos Display" w:cs="Aptos Display"/>
        </w:rPr>
        <w:t>Critical Evaluation of Financial Performance</w:t>
      </w:r>
      <w:bookmarkEnd w:id="9"/>
    </w:p>
    <w:p w14:paraId="7D89B1FB" w14:textId="34E40A22" w:rsidR="7AB87B27" w:rsidRDefault="330B4704" w:rsidP="00212F36">
      <w:pPr>
        <w:pStyle w:val="ListParagraph"/>
        <w:numPr>
          <w:ilvl w:val="0"/>
          <w:numId w:val="9"/>
        </w:numPr>
        <w:spacing w:before="240" w:after="240" w:line="360" w:lineRule="auto"/>
        <w:rPr>
          <w:lang w:val="en-US"/>
        </w:rPr>
      </w:pPr>
      <w:r>
        <w:t>The corporation has reduced risk by transitioning from a net debt position to a net funds position, allowing for greater financial freedom and potential for future investment. This restructuring has resulted in M&amp;S's "best financial health for nearly 30 years," increasing market resilience and enabling internal expansion plans. The strengthened cash flow and balance sheet have led to a dividend for shareholders</w:t>
      </w:r>
      <w:r w:rsidR="155D2F36">
        <w:t xml:space="preserve"> [Almeida et al. 2011].</w:t>
      </w:r>
    </w:p>
    <w:p w14:paraId="4A5F4DB0" w14:textId="34837534" w:rsidR="7AB87B27" w:rsidRDefault="330B4704" w:rsidP="00212F36">
      <w:pPr>
        <w:pStyle w:val="ListParagraph"/>
        <w:numPr>
          <w:ilvl w:val="0"/>
          <w:numId w:val="9"/>
        </w:numPr>
        <w:spacing w:before="240" w:after="240" w:line="360" w:lineRule="auto"/>
        <w:rPr>
          <w:color w:val="222222"/>
          <w:lang w:val="en-US"/>
        </w:rPr>
      </w:pPr>
      <w:r>
        <w:t xml:space="preserve">M&amp;S's "Reshaping for Growth" strategy has led to improved adjusted operating profit and strong trends in </w:t>
      </w:r>
      <w:r w:rsidR="4ACB485F">
        <w:t>return</w:t>
      </w:r>
      <w:r>
        <w:t xml:space="preserve"> on </w:t>
      </w:r>
      <w:r w:rsidR="58A0AED1">
        <w:t>equity</w:t>
      </w:r>
      <w:r>
        <w:t xml:space="preserve"> and </w:t>
      </w:r>
      <w:r w:rsidR="15669A66">
        <w:t>return</w:t>
      </w:r>
      <w:r>
        <w:t xml:space="preserve"> on </w:t>
      </w:r>
      <w:r w:rsidR="531D29DD">
        <w:t>capital employed.</w:t>
      </w:r>
      <w:r>
        <w:t xml:space="preserve"> The food industry has seen significant growth, with volume and value share increasing by 3.6% and sales increasing by 8.6% in 2024. M&amp;S's future profitability and asset </w:t>
      </w:r>
      <w:r w:rsidR="7914DCB9">
        <w:t>utilisation</w:t>
      </w:r>
      <w:r>
        <w:t xml:space="preserve"> are supported by investments in additional stores and structural cost reduction</w:t>
      </w:r>
      <w:r w:rsidR="148B6196">
        <w:t xml:space="preserve"> [</w:t>
      </w:r>
      <w:proofErr w:type="spellStart"/>
      <w:r w:rsidR="148B6196">
        <w:t>Boyani</w:t>
      </w:r>
      <w:proofErr w:type="spellEnd"/>
      <w:r w:rsidR="148B6196">
        <w:t xml:space="preserve"> 2024].</w:t>
      </w:r>
    </w:p>
    <w:p w14:paraId="739B8239" w14:textId="4A4BAA3A" w:rsidR="7AB87B27" w:rsidRDefault="330B4704" w:rsidP="00212F36">
      <w:pPr>
        <w:pStyle w:val="ListParagraph"/>
        <w:numPr>
          <w:ilvl w:val="0"/>
          <w:numId w:val="9"/>
        </w:numPr>
        <w:spacing w:before="240" w:after="240" w:line="360" w:lineRule="auto"/>
        <w:rPr>
          <w:color w:val="222222"/>
          <w:lang w:val="en-US"/>
        </w:rPr>
      </w:pPr>
      <w:r>
        <w:lastRenderedPageBreak/>
        <w:t xml:space="preserve">M&amp;S's high inventory turnover and improved asset turnover demonstrate its operational proficiency in managing its retail presence. High inventory turnover is crucial for fresh stock and cash conversion, while increasing asset turnover indicates efficient use of property, plant, and equipment. Maintaining these efficiency gains and </w:t>
      </w:r>
      <w:proofErr w:type="spellStart"/>
      <w:r>
        <w:t>optimizing</w:t>
      </w:r>
      <w:proofErr w:type="spellEnd"/>
      <w:r>
        <w:t xml:space="preserve"> the company's asset base requires continuous investments in logistics and in-store procedures</w:t>
      </w:r>
    </w:p>
    <w:p w14:paraId="5D07E072" w14:textId="447252DA" w:rsidR="7AB87B27" w:rsidRDefault="5CF790B6" w:rsidP="00212F36">
      <w:pPr>
        <w:pStyle w:val="ListParagraph"/>
        <w:numPr>
          <w:ilvl w:val="0"/>
          <w:numId w:val="9"/>
        </w:numPr>
        <w:spacing w:before="240" w:after="240" w:line="360" w:lineRule="auto"/>
        <w:rPr>
          <w:color w:val="222222"/>
          <w:lang w:val="en-US"/>
        </w:rPr>
      </w:pPr>
      <w:r w:rsidRPr="3A388F9E">
        <w:rPr>
          <w:color w:val="222222"/>
        </w:rPr>
        <w:t>Over the last two years, Marks &amp; Spencer's financial performance has significantly improved, with notable gains in balance sheet strength and operational profitability. To determine its actual health and strategic direction, the business must differentiate between statutory and adjusted financial data. The Board should emphasise strategic de-risking of the balance sheet and ongoing improvement in core retail operations to prevent misunderstandings of headline statutory data</w:t>
      </w:r>
      <w:r w:rsidR="3C0D8C1E" w:rsidRPr="3A388F9E">
        <w:rPr>
          <w:color w:val="222222"/>
        </w:rPr>
        <w:t>.</w:t>
      </w:r>
    </w:p>
    <w:p w14:paraId="3D44F216" w14:textId="78645A27" w:rsidR="7AB87B27" w:rsidRDefault="000017EA" w:rsidP="00212F36">
      <w:pPr>
        <w:pStyle w:val="Heading1"/>
        <w:spacing w:line="360" w:lineRule="auto"/>
        <w:rPr>
          <w:rFonts w:ascii="Aptos Display" w:eastAsia="Aptos Display" w:hAnsi="Aptos Display" w:cs="Aptos Display"/>
        </w:rPr>
      </w:pPr>
      <w:bookmarkStart w:id="10" w:name="_Toc335012615"/>
      <w:r w:rsidRPr="3A388F9E">
        <w:rPr>
          <w:rFonts w:ascii="Aptos Display" w:eastAsia="Aptos Display" w:hAnsi="Aptos Display" w:cs="Aptos Display"/>
        </w:rPr>
        <w:t xml:space="preserve">3. </w:t>
      </w:r>
      <w:r w:rsidR="5CF790B6" w:rsidRPr="3A388F9E">
        <w:rPr>
          <w:rFonts w:ascii="Aptos Display" w:eastAsia="Aptos Display" w:hAnsi="Aptos Display" w:cs="Aptos Display"/>
        </w:rPr>
        <w:t>Limitations to ratio analysis</w:t>
      </w:r>
      <w:bookmarkEnd w:id="10"/>
    </w:p>
    <w:p w14:paraId="38DB7FB9" w14:textId="678CF98A" w:rsidR="7AB87B27" w:rsidRDefault="12DF279E" w:rsidP="00212F36">
      <w:pPr>
        <w:pStyle w:val="ListParagraph"/>
        <w:numPr>
          <w:ilvl w:val="0"/>
          <w:numId w:val="8"/>
        </w:numPr>
        <w:spacing w:before="240" w:after="240" w:line="360" w:lineRule="auto"/>
        <w:rPr>
          <w:color w:val="222222"/>
          <w:lang w:val="en-US"/>
        </w:rPr>
      </w:pPr>
      <w:r>
        <w:t xml:space="preserve">A financial ratio consists of a denominator and a numerator, which can be inaccurate if either is misstated. Human error, such as a mistake in gathering information from financial statements or earnings management strategies like falsifying accruals, can cause data </w:t>
      </w:r>
      <w:r w:rsidR="7C3B5787">
        <w:t>misstating</w:t>
      </w:r>
      <w:r>
        <w:t>. This can lead to incorrect conclusions drawn by scholars and users of financial statements, as they may get results from their analysis that are misleading [McNichols 2000, and Beaver 1966].</w:t>
      </w:r>
    </w:p>
    <w:p w14:paraId="381C945D" w14:textId="76DF7214" w:rsidR="7AB87B27" w:rsidRDefault="43C5C414" w:rsidP="00212F36">
      <w:pPr>
        <w:pStyle w:val="ListParagraph"/>
        <w:numPr>
          <w:ilvl w:val="0"/>
          <w:numId w:val="8"/>
        </w:numPr>
        <w:spacing w:before="240" w:after="240" w:line="360" w:lineRule="auto"/>
        <w:rPr>
          <w:color w:val="222222"/>
          <w:lang w:val="en-US"/>
        </w:rPr>
      </w:pPr>
      <w:r>
        <w:t xml:space="preserve">A ratio per share is not crucial in financial and operating </w:t>
      </w:r>
      <w:r w:rsidR="5DF1E8DF">
        <w:t>ratios,</w:t>
      </w:r>
      <w:r>
        <w:t xml:space="preserve"> as it is merely a hint for research and analysis. Ratios do not indicate viable research directions without reliable standards. Establishing appropriate standards is not always simple and is continually revised after being established. Therefore, a ratio per share is not a reliable tool for managerial decisions [Paton 1928, and Peter 2016].</w:t>
      </w:r>
    </w:p>
    <w:p w14:paraId="5B7AA012" w14:textId="087477CD" w:rsidR="7AB87B27" w:rsidRDefault="43C5C414" w:rsidP="00212F36">
      <w:pPr>
        <w:pStyle w:val="ListParagraph"/>
        <w:numPr>
          <w:ilvl w:val="0"/>
          <w:numId w:val="8"/>
        </w:numPr>
        <w:spacing w:before="240" w:after="240" w:line="360" w:lineRule="auto"/>
        <w:rPr>
          <w:color w:val="222222"/>
          <w:lang w:val="en-US"/>
        </w:rPr>
      </w:pPr>
      <w:r>
        <w:t>M&amp;S, a multi-segment shop, faces challenges in finding comparable standards due to the significant differences in average ratios among retail sub-sectors. A composite "retail average" may not accurately reflect M&amp;S's blended business model's best performance, requiring a more sophisticated strategy of understanding that overall ratios are a combination of various business lines or using segment-specific benchmarking</w:t>
      </w:r>
      <w:r w:rsidR="5CF790B6" w:rsidRPr="3A388F9E">
        <w:rPr>
          <w:color w:val="222222"/>
        </w:rPr>
        <w:t>.</w:t>
      </w:r>
    </w:p>
    <w:p w14:paraId="3E89D3BB" w14:textId="40A0263F" w:rsidR="7AB87B27" w:rsidRDefault="5CF790B6" w:rsidP="00212F36">
      <w:pPr>
        <w:pStyle w:val="ListParagraph"/>
        <w:numPr>
          <w:ilvl w:val="0"/>
          <w:numId w:val="8"/>
        </w:numPr>
        <w:spacing w:before="240" w:after="240" w:line="360" w:lineRule="auto"/>
        <w:rPr>
          <w:color w:val="222222"/>
          <w:lang w:val="en-US"/>
        </w:rPr>
      </w:pPr>
      <w:r w:rsidRPr="3A388F9E">
        <w:rPr>
          <w:color w:val="222222"/>
        </w:rPr>
        <w:lastRenderedPageBreak/>
        <w:t>Because they are based on historical financial performance, ratios might not necessarily predict future outcomes, especially in a retail market that is changing quickly. Historical ratios may not adequately reflect the continuous structural changes that are a part of M&amp;S's "Reshaping for Growth" plan [</w:t>
      </w:r>
      <w:proofErr w:type="spellStart"/>
      <w:r w:rsidRPr="3A388F9E">
        <w:rPr>
          <w:color w:val="222222"/>
        </w:rPr>
        <w:t>Nikolaos</w:t>
      </w:r>
      <w:proofErr w:type="spellEnd"/>
      <w:r w:rsidRPr="3A388F9E">
        <w:rPr>
          <w:color w:val="222222"/>
        </w:rPr>
        <w:t xml:space="preserve"> 2020].</w:t>
      </w:r>
    </w:p>
    <w:p w14:paraId="2B2A7F04" w14:textId="55915622" w:rsidR="7AB87B27" w:rsidRDefault="5CF790B6" w:rsidP="00212F36">
      <w:pPr>
        <w:pStyle w:val="ListParagraph"/>
        <w:numPr>
          <w:ilvl w:val="0"/>
          <w:numId w:val="8"/>
        </w:numPr>
        <w:spacing w:before="240" w:after="240" w:line="360" w:lineRule="auto"/>
        <w:rPr>
          <w:color w:val="222222"/>
          <w:lang w:val="en-US"/>
        </w:rPr>
      </w:pPr>
      <w:r w:rsidRPr="3A388F9E">
        <w:rPr>
          <w:color w:val="222222"/>
        </w:rPr>
        <w:t>Seasonal variations and short-term shifts in financial status, which are frequent in the cyclical retail sector, may not be reflected in balance sheet ratios, which show a financial position at a particular moment in time. For instance, seasonal enterprises frequently have a fiscal year-end that falls during a period of low economic activity [Geoffrey 1998].</w:t>
      </w:r>
    </w:p>
    <w:p w14:paraId="016387BD" w14:textId="52DA7AD4" w:rsidR="7AB87B27" w:rsidRDefault="000017EA" w:rsidP="00212F36">
      <w:pPr>
        <w:spacing w:before="240" w:after="240" w:line="360" w:lineRule="auto"/>
        <w:rPr>
          <w:color w:val="222222"/>
          <w:sz w:val="28"/>
          <w:szCs w:val="28"/>
        </w:rPr>
      </w:pPr>
      <w:bookmarkStart w:id="11" w:name="_Toc2017706399"/>
      <w:r w:rsidRPr="3A388F9E">
        <w:rPr>
          <w:rStyle w:val="Heading1Char"/>
          <w:rFonts w:ascii="Aptos Display" w:eastAsia="Aptos Display" w:hAnsi="Aptos Display" w:cs="Aptos Display"/>
        </w:rPr>
        <w:t xml:space="preserve">4. </w:t>
      </w:r>
      <w:r w:rsidR="5CF790B6" w:rsidRPr="3A388F9E">
        <w:rPr>
          <w:rStyle w:val="Heading1Char"/>
          <w:rFonts w:ascii="Aptos Display" w:eastAsia="Aptos Display" w:hAnsi="Aptos Display" w:cs="Aptos Display"/>
        </w:rPr>
        <w:t>Recommendation</w:t>
      </w:r>
      <w:bookmarkEnd w:id="11"/>
      <w:r w:rsidR="5CF790B6" w:rsidRPr="3A388F9E">
        <w:rPr>
          <w:b/>
          <w:bCs/>
          <w:color w:val="222222"/>
          <w:sz w:val="28"/>
          <w:szCs w:val="28"/>
        </w:rPr>
        <w:t xml:space="preserve"> </w:t>
      </w:r>
    </w:p>
    <w:p w14:paraId="1B28FD9F" w14:textId="3BC22890" w:rsidR="7AB87B27" w:rsidRDefault="5CF790B6" w:rsidP="00212F36">
      <w:pPr>
        <w:spacing w:before="240" w:after="240" w:line="360" w:lineRule="auto"/>
        <w:rPr>
          <w:color w:val="222222"/>
          <w:lang w:val="en-US"/>
        </w:rPr>
      </w:pPr>
      <w:r w:rsidRPr="3A388F9E">
        <w:rPr>
          <w:color w:val="222222"/>
        </w:rPr>
        <w:t>To further improve financial management and support the "Reshaping for Growth" strategy, the following suggestions are made in light of the critical assessment of M&amp;S's financial performance.</w:t>
      </w:r>
    </w:p>
    <w:p w14:paraId="1545D9A4" w14:textId="0634AD84" w:rsidR="7AB87B27" w:rsidRDefault="5CF790B6" w:rsidP="00212F36">
      <w:pPr>
        <w:pStyle w:val="Subtitle"/>
        <w:numPr>
          <w:ilvl w:val="0"/>
          <w:numId w:val="7"/>
        </w:numPr>
        <w:spacing w:before="240" w:after="240" w:line="360" w:lineRule="auto"/>
        <w:rPr>
          <w:rFonts w:eastAsia="Times New Roman" w:cs="Times New Roman"/>
          <w:color w:val="000000" w:themeColor="text1"/>
          <w:lang w:val="en-US"/>
        </w:rPr>
      </w:pPr>
      <w:r w:rsidRPr="3A388F9E">
        <w:rPr>
          <w:rFonts w:eastAsia="Times New Roman" w:cs="Times New Roman"/>
          <w:b/>
          <w:bCs/>
          <w:color w:val="000000" w:themeColor="text1"/>
        </w:rPr>
        <w:t>Boost Margin Resilience and Core Profitability</w:t>
      </w:r>
      <w:r w:rsidRPr="3A388F9E">
        <w:rPr>
          <w:rFonts w:eastAsia="Times New Roman" w:cs="Times New Roman"/>
          <w:color w:val="000000" w:themeColor="text1"/>
        </w:rPr>
        <w:t xml:space="preserve"> </w:t>
      </w:r>
    </w:p>
    <w:p w14:paraId="4AC9B774" w14:textId="655D53C6" w:rsidR="7AB87B27" w:rsidRDefault="5925CBB1" w:rsidP="00212F36">
      <w:pPr>
        <w:spacing w:line="360" w:lineRule="auto"/>
      </w:pPr>
      <w:r>
        <w:t>M&amp;S should continue reducing structural costs and improving operational efficiency, focusing on in-store procedures and logistics. The company's significant improvement in adjusted operating profit and net profit in 2024 demonstrates the effectiveness of these initiatives. The goal of saving over £500 million by 2027-2028 is a solid starting point. Proactive cost management improves the perceived quality of earnings, making earnings more predictable and valuable. Consistent operational efficiency, represented in adjusted profits, reassures investors [Xu 2023, and Jain 2024].</w:t>
      </w:r>
    </w:p>
    <w:p w14:paraId="1A40672A" w14:textId="3C824EAF" w:rsidR="7AB87B27" w:rsidRDefault="5CF790B6" w:rsidP="00212F36">
      <w:pPr>
        <w:pStyle w:val="ListParagraph"/>
        <w:numPr>
          <w:ilvl w:val="0"/>
          <w:numId w:val="6"/>
        </w:numPr>
        <w:spacing w:before="240" w:after="240" w:line="360" w:lineRule="auto"/>
        <w:rPr>
          <w:color w:val="595959" w:themeColor="text1" w:themeTint="A6"/>
          <w:sz w:val="28"/>
          <w:szCs w:val="28"/>
          <w:lang w:val="en-US"/>
        </w:rPr>
      </w:pPr>
      <w:r w:rsidRPr="3A388F9E">
        <w:rPr>
          <w:rStyle w:val="SubtitleChar"/>
          <w:rFonts w:eastAsia="Times New Roman" w:cs="Times New Roman"/>
          <w:b/>
          <w:bCs/>
        </w:rPr>
        <w:t>Optimise Shareholder Interaction and Value Proposition</w:t>
      </w:r>
    </w:p>
    <w:p w14:paraId="6DE28789" w14:textId="31877F24" w:rsidR="7AB87B27" w:rsidRDefault="271B2759" w:rsidP="00212F36">
      <w:pPr>
        <w:spacing w:before="240" w:after="240" w:line="360" w:lineRule="auto"/>
        <w:rPr>
          <w:color w:val="595959" w:themeColor="text1" w:themeTint="A6"/>
          <w:sz w:val="28"/>
          <w:szCs w:val="28"/>
          <w:lang w:val="en-US"/>
        </w:rPr>
      </w:pPr>
      <w:r>
        <w:t xml:space="preserve">M&amp;S needs to clearly communicate its financial performance, operational growth, and dividend policy to the market. The difference between statutory and adjusted earnings may cause confusion for investors, and concerns over shareholder returns may arise due to its low yield. Open and honest information about the reinvestment plan for long-term growth is crucial. Proactive and transparent communication can help M&amp;S control investor expectations and foster trust by outlining the effects of adjusting items and reinvesting </w:t>
      </w:r>
      <w:r>
        <w:lastRenderedPageBreak/>
        <w:t>retained earnings for future growth. This transparency supports the optimistic message of "Reshaping for Growth." [Li 2023].</w:t>
      </w:r>
    </w:p>
    <w:p w14:paraId="0CA5AA92" w14:textId="46F4DF0F" w:rsidR="7AB87B27" w:rsidRDefault="5CF790B6" w:rsidP="00212F36">
      <w:pPr>
        <w:pStyle w:val="Subtitle"/>
        <w:numPr>
          <w:ilvl w:val="0"/>
          <w:numId w:val="5"/>
        </w:numPr>
        <w:spacing w:before="240" w:after="240" w:line="360" w:lineRule="auto"/>
        <w:rPr>
          <w:rFonts w:eastAsia="Times New Roman" w:cs="Times New Roman"/>
          <w:color w:val="000000" w:themeColor="text1"/>
          <w:lang w:val="en-US"/>
        </w:rPr>
      </w:pPr>
      <w:r w:rsidRPr="3A388F9E">
        <w:rPr>
          <w:rFonts w:eastAsia="Times New Roman" w:cs="Times New Roman"/>
          <w:b/>
          <w:bCs/>
          <w:color w:val="000000" w:themeColor="text1"/>
        </w:rPr>
        <w:t>Maximise Capital Distribution for Long-Term Development</w:t>
      </w:r>
    </w:p>
    <w:p w14:paraId="114E48A6" w14:textId="1E6CA076" w:rsidR="7AB87B27" w:rsidRDefault="231687CA" w:rsidP="00212F36">
      <w:pPr>
        <w:spacing w:line="360" w:lineRule="auto"/>
        <w:rPr>
          <w:lang w:val="en-US"/>
        </w:rPr>
      </w:pPr>
      <w:r>
        <w:t xml:space="preserve">The current capital deployment strategy, a "disciplined capital allocation," has improved ROCE and ROA by </w:t>
      </w:r>
      <w:r w:rsidR="300F0DB4">
        <w:t>prioritising</w:t>
      </w:r>
      <w:r>
        <w:t xml:space="preserve"> high-return investments like new Food and Full Line stores. M&amp;S's net funds position allows it to make strategic investments, ensuring financial stability and higher returns. M&amp;S's robust balance sheet allows it to finance its capital investment with internal resources or minimal borrowing, acting as a buffer against economic downturns and rising interest rates. This strategic advantage should be used to accelerate growth initiatives in line with the "Reshaping for Growth" plan [Jones 2004, and </w:t>
      </w:r>
      <w:proofErr w:type="spellStart"/>
      <w:r>
        <w:t>Atrill</w:t>
      </w:r>
      <w:proofErr w:type="spellEnd"/>
      <w:r>
        <w:t xml:space="preserve"> 2006].</w:t>
      </w:r>
    </w:p>
    <w:p w14:paraId="6C2C854F" w14:textId="30DA543A" w:rsidR="7AB87B27" w:rsidRDefault="5CF790B6" w:rsidP="00212F36">
      <w:pPr>
        <w:pStyle w:val="Subtitle"/>
        <w:numPr>
          <w:ilvl w:val="0"/>
          <w:numId w:val="4"/>
        </w:numPr>
        <w:spacing w:before="240" w:after="240" w:line="360" w:lineRule="auto"/>
        <w:rPr>
          <w:rFonts w:eastAsia="Times New Roman" w:cs="Times New Roman"/>
          <w:color w:val="000000" w:themeColor="text1"/>
        </w:rPr>
      </w:pPr>
      <w:r w:rsidRPr="3A388F9E">
        <w:rPr>
          <w:rFonts w:eastAsia="Times New Roman" w:cs="Times New Roman"/>
          <w:b/>
          <w:bCs/>
          <w:color w:val="000000" w:themeColor="text1"/>
        </w:rPr>
        <w:t>Strategic Management of the Ocado Retail Joint Venture</w:t>
      </w:r>
    </w:p>
    <w:p w14:paraId="00A70E59" w14:textId="0FBDB62B" w:rsidR="7AB87B27" w:rsidRDefault="649DEF0E" w:rsidP="00212F36">
      <w:pPr>
        <w:spacing w:before="240" w:after="240" w:line="360" w:lineRule="auto"/>
      </w:pPr>
      <w:r>
        <w:t xml:space="preserve">The Ocado Retail joint venture is facing a £248.5 million impairment due to high delivery and leasing costs, affecting statutory profitability. To prevent further value erosion, the JV needs a clear route to profitability or a reassessment of the partnership's structure. Resolving the Ocado difficulties is crucial for M&amp;S to improve transparency, strengthen investor confidence, and create a more </w:t>
      </w:r>
      <w:proofErr w:type="spellStart"/>
      <w:r>
        <w:t>favorable</w:t>
      </w:r>
      <w:proofErr w:type="spellEnd"/>
      <w:r>
        <w:t xml:space="preserve"> financial picture. Addressing this could result in increased operational profitability, restructuring, or divestiture for the Food and Fashion, Home &amp; Beauty, and joint venture segments [</w:t>
      </w:r>
      <w:proofErr w:type="spellStart"/>
      <w:r>
        <w:t>Detti</w:t>
      </w:r>
      <w:proofErr w:type="spellEnd"/>
      <w:r>
        <w:t xml:space="preserve"> 2023].</w:t>
      </w:r>
    </w:p>
    <w:p w14:paraId="504881C0" w14:textId="77777777" w:rsidR="00834CAF" w:rsidRDefault="00834CAF" w:rsidP="00212F36">
      <w:pPr>
        <w:spacing w:before="240" w:after="240" w:line="360" w:lineRule="auto"/>
      </w:pPr>
    </w:p>
    <w:p w14:paraId="6A61FA71" w14:textId="77777777" w:rsidR="00236291" w:rsidRDefault="00236291" w:rsidP="00212F36">
      <w:pPr>
        <w:spacing w:before="240" w:after="240" w:line="360" w:lineRule="auto"/>
      </w:pPr>
    </w:p>
    <w:p w14:paraId="48ECCC6A" w14:textId="77777777" w:rsidR="00236291" w:rsidRDefault="00236291" w:rsidP="00212F36">
      <w:pPr>
        <w:spacing w:before="240" w:after="240" w:line="360" w:lineRule="auto"/>
      </w:pPr>
    </w:p>
    <w:p w14:paraId="018779AC" w14:textId="77777777" w:rsidR="00236291" w:rsidRDefault="00236291" w:rsidP="00212F36">
      <w:pPr>
        <w:spacing w:before="240" w:after="240" w:line="360" w:lineRule="auto"/>
      </w:pPr>
    </w:p>
    <w:p w14:paraId="2B3F5747" w14:textId="77777777" w:rsidR="00236291" w:rsidRDefault="00236291" w:rsidP="00212F36">
      <w:pPr>
        <w:spacing w:before="240" w:after="240" w:line="360" w:lineRule="auto"/>
      </w:pPr>
    </w:p>
    <w:p w14:paraId="0CF03608" w14:textId="77777777" w:rsidR="00236291" w:rsidRDefault="00236291" w:rsidP="00212F36">
      <w:pPr>
        <w:spacing w:before="240" w:after="240" w:line="360" w:lineRule="auto"/>
      </w:pPr>
    </w:p>
    <w:p w14:paraId="4A936BF6" w14:textId="77777777" w:rsidR="00236291" w:rsidRDefault="00236291" w:rsidP="00212F36">
      <w:pPr>
        <w:spacing w:before="240" w:after="240" w:line="360" w:lineRule="auto"/>
      </w:pPr>
    </w:p>
    <w:p w14:paraId="0C4814A7" w14:textId="77777777" w:rsidR="00236291" w:rsidRDefault="00236291" w:rsidP="00212F36">
      <w:pPr>
        <w:spacing w:before="240" w:after="240" w:line="360" w:lineRule="auto"/>
      </w:pPr>
    </w:p>
    <w:p w14:paraId="5779D1BA" w14:textId="77777777" w:rsidR="00236291" w:rsidRDefault="00236291" w:rsidP="00212F36">
      <w:pPr>
        <w:spacing w:before="240" w:after="240" w:line="360" w:lineRule="auto"/>
      </w:pPr>
    </w:p>
    <w:p w14:paraId="6464298E" w14:textId="77777777" w:rsidR="00834CAF" w:rsidRPr="00834CAF" w:rsidRDefault="00834CAF" w:rsidP="00212F36">
      <w:pPr>
        <w:keepNext/>
        <w:keepLines/>
        <w:spacing w:before="360" w:after="80" w:line="360" w:lineRule="auto"/>
        <w:outlineLvl w:val="0"/>
        <w:rPr>
          <w:b/>
          <w:bCs/>
          <w:color w:val="222222"/>
          <w:sz w:val="28"/>
          <w:szCs w:val="28"/>
        </w:rPr>
      </w:pPr>
      <w:bookmarkStart w:id="12" w:name="_Toc1330824884"/>
      <w:r w:rsidRPr="3A388F9E">
        <w:rPr>
          <w:b/>
          <w:bCs/>
          <w:color w:val="0F4761" w:themeColor="accent1" w:themeShade="BF"/>
          <w:sz w:val="28"/>
          <w:szCs w:val="28"/>
        </w:rPr>
        <w:t>Tasks 2.</w:t>
      </w:r>
      <w:bookmarkEnd w:id="12"/>
      <w:r w:rsidRPr="3A388F9E">
        <w:rPr>
          <w:b/>
          <w:bCs/>
          <w:color w:val="0F4761" w:themeColor="accent1" w:themeShade="BF"/>
          <w:sz w:val="28"/>
          <w:szCs w:val="28"/>
        </w:rPr>
        <w:t xml:space="preserve"> </w:t>
      </w:r>
    </w:p>
    <w:p w14:paraId="719B243E" w14:textId="77777777" w:rsidR="00834CAF" w:rsidRPr="00834CAF" w:rsidRDefault="00834CAF" w:rsidP="00212F36">
      <w:pPr>
        <w:keepNext/>
        <w:keepLines/>
        <w:numPr>
          <w:ilvl w:val="0"/>
          <w:numId w:val="28"/>
        </w:numPr>
        <w:spacing w:before="360" w:after="80" w:line="360" w:lineRule="auto"/>
        <w:outlineLvl w:val="0"/>
        <w:rPr>
          <w:b/>
          <w:bCs/>
          <w:color w:val="222222"/>
          <w:sz w:val="28"/>
          <w:szCs w:val="28"/>
        </w:rPr>
      </w:pPr>
      <w:bookmarkStart w:id="13" w:name="_Toc562035245"/>
      <w:r w:rsidRPr="3A388F9E">
        <w:rPr>
          <w:b/>
          <w:bCs/>
          <w:color w:val="0F4761" w:themeColor="accent1" w:themeShade="BF"/>
          <w:sz w:val="28"/>
          <w:szCs w:val="28"/>
        </w:rPr>
        <w:t>Investment Appraisal using Net Present Value (NPV)</w:t>
      </w:r>
      <w:bookmarkEnd w:id="13"/>
    </w:p>
    <w:p w14:paraId="67CA61CC" w14:textId="77777777" w:rsidR="00834CAF" w:rsidRPr="00834CAF" w:rsidRDefault="00834CAF" w:rsidP="00212F36">
      <w:pPr>
        <w:spacing w:line="360" w:lineRule="auto"/>
        <w:rPr>
          <w:color w:val="222222"/>
        </w:rPr>
      </w:pPr>
      <w:r w:rsidRPr="3A388F9E">
        <w:rPr>
          <w:color w:val="222222"/>
        </w:rPr>
        <w:t>NPV is a fundamental capital budgeting technique used to assess the profitability of a project by discounting all future cash flows back to their present value and comparing this sum to the initial investment [</w:t>
      </w:r>
      <w:proofErr w:type="spellStart"/>
      <w:r w:rsidRPr="3A388F9E">
        <w:rPr>
          <w:color w:val="222222"/>
        </w:rPr>
        <w:t>Shou</w:t>
      </w:r>
      <w:proofErr w:type="spellEnd"/>
      <w:r w:rsidRPr="3A388F9E">
        <w:rPr>
          <w:color w:val="222222"/>
        </w:rPr>
        <w:t xml:space="preserve"> 2022]. Because it considers the time value of money and uses a discount rate, such as the 6% cost of capital for Jordans Plc, to discount future cash flows, net present value (NPV) is a superior tool for evaluating investments. This rate, which accounts for inherent risk, is the lowest allowable rate of return for the business. A project with a positive net present value (NPV) has the potential to increase shareholder wealth by producing more value than it costs. Usually, corporation tax is paid one year behind schedule. The taxable profit is decreased by capital allowances, which are tax-deductible amounts for capital expenditures. The tax benefit of these allowances is realised when corporate tax is paid, which is also one year behind schedule. To fully account for the impact of these lag tax payments, the NPV calculation for a four-year project must be extended to Year 5.</w:t>
      </w:r>
    </w:p>
    <w:p w14:paraId="5A16B1F0" w14:textId="77777777" w:rsidR="00834CAF" w:rsidRPr="00834CAF" w:rsidRDefault="00834CAF" w:rsidP="00212F36">
      <w:pPr>
        <w:spacing w:line="360" w:lineRule="auto"/>
        <w:rPr>
          <w:color w:val="222222"/>
        </w:rPr>
      </w:pPr>
    </w:p>
    <w:p w14:paraId="33B5346E" w14:textId="77777777" w:rsidR="00834CAF" w:rsidRPr="00834CAF" w:rsidRDefault="00834CAF" w:rsidP="00212F36">
      <w:pPr>
        <w:spacing w:line="360" w:lineRule="auto"/>
        <w:rPr>
          <w:color w:val="222222"/>
        </w:rPr>
      </w:pPr>
      <w:r w:rsidRPr="3A388F9E">
        <w:rPr>
          <w:color w:val="222222"/>
        </w:rPr>
        <w:t>NPV= Cash Flow / [1+ r] ^ n – Initial Investment.</w:t>
      </w:r>
    </w:p>
    <w:p w14:paraId="49A93D8C" w14:textId="77777777" w:rsidR="00834CAF" w:rsidRPr="00834CAF" w:rsidRDefault="00834CAF" w:rsidP="00212F36">
      <w:pPr>
        <w:keepNext/>
        <w:keepLines/>
        <w:spacing w:before="281" w:after="281" w:line="360" w:lineRule="auto"/>
        <w:outlineLvl w:val="2"/>
        <w:rPr>
          <w:rFonts w:eastAsiaTheme="majorEastAsia" w:cstheme="majorBidi"/>
          <w:b/>
          <w:bCs/>
          <w:color w:val="595959" w:themeColor="text1" w:themeTint="A6"/>
          <w:spacing w:val="15"/>
          <w:sz w:val="28"/>
          <w:szCs w:val="28"/>
        </w:rPr>
      </w:pPr>
      <w:bookmarkStart w:id="14" w:name="_Toc1960785306"/>
      <w:r w:rsidRPr="3A388F9E">
        <w:rPr>
          <w:rFonts w:eastAsiaTheme="majorEastAsia" w:cstheme="majorBidi"/>
          <w:b/>
          <w:bCs/>
          <w:color w:val="595959" w:themeColor="text1" w:themeTint="A6"/>
          <w:spacing w:val="15"/>
          <w:sz w:val="28"/>
          <w:szCs w:val="28"/>
        </w:rPr>
        <w:t>Option A: Expand Retail Outlet</w:t>
      </w:r>
      <w:bookmarkEnd w:id="14"/>
    </w:p>
    <w:p w14:paraId="7CAAF8AD" w14:textId="77777777" w:rsidR="00834CAF" w:rsidRPr="00834CAF" w:rsidRDefault="00834CAF" w:rsidP="00212F36">
      <w:pPr>
        <w:spacing w:before="240" w:after="240" w:line="360" w:lineRule="auto"/>
        <w:rPr>
          <w:color w:val="222222"/>
        </w:rPr>
      </w:pPr>
      <w:r w:rsidRPr="3A388F9E">
        <w:rPr>
          <w:color w:val="222222"/>
        </w:rPr>
        <w:t>The initial investment for this option is £600,000. The annual capital allowance (CA) on a straight-line basis over four years is £600,000 * 20% = £120,000. The corporation tax rate is 25%. The "year-end cash flows" provided are assumed to be operating cash flows (OCF) before corporation tax and capital allowances.</w:t>
      </w:r>
    </w:p>
    <w:p w14:paraId="4612F65D" w14:textId="77777777" w:rsidR="00834CAF" w:rsidRDefault="00834CAF" w:rsidP="00212F36">
      <w:pPr>
        <w:spacing w:before="240" w:after="240" w:line="360" w:lineRule="auto"/>
        <w:rPr>
          <w:color w:val="222222"/>
        </w:rPr>
      </w:pPr>
      <w:r w:rsidRPr="3A388F9E">
        <w:rPr>
          <w:color w:val="222222"/>
        </w:rPr>
        <w:t>The NPV calculation for Option A is:</w:t>
      </w:r>
    </w:p>
    <w:p w14:paraId="2129AF67" w14:textId="77777777" w:rsidR="0066168E" w:rsidRDefault="0066168E" w:rsidP="00212F36">
      <w:pPr>
        <w:spacing w:before="240" w:after="240" w:line="360" w:lineRule="auto"/>
        <w:rPr>
          <w:color w:val="222222"/>
        </w:rPr>
      </w:pPr>
    </w:p>
    <w:p w14:paraId="073AAC00" w14:textId="77777777" w:rsidR="0066168E" w:rsidRPr="00834CAF" w:rsidRDefault="0066168E" w:rsidP="00212F36">
      <w:pPr>
        <w:spacing w:before="240" w:after="240" w:line="360" w:lineRule="auto"/>
        <w:rPr>
          <w:color w:val="222222"/>
        </w:rPr>
      </w:pPr>
    </w:p>
    <w:tbl>
      <w:tblPr>
        <w:tblStyle w:val="TableGrid"/>
        <w:tblW w:w="0" w:type="auto"/>
        <w:tblLayout w:type="fixed"/>
        <w:tblLook w:val="06A0" w:firstRow="1" w:lastRow="0" w:firstColumn="1" w:lastColumn="0" w:noHBand="1" w:noVBand="1"/>
      </w:tblPr>
      <w:tblGrid>
        <w:gridCol w:w="1337"/>
        <w:gridCol w:w="1337"/>
        <w:gridCol w:w="1337"/>
        <w:gridCol w:w="1500"/>
        <w:gridCol w:w="1320"/>
        <w:gridCol w:w="1191"/>
        <w:gridCol w:w="1337"/>
      </w:tblGrid>
      <w:tr w:rsidR="00834CAF" w:rsidRPr="00834CAF" w14:paraId="0B597D85" w14:textId="77777777" w:rsidTr="3A388F9E">
        <w:trPr>
          <w:trHeight w:val="300"/>
        </w:trPr>
        <w:tc>
          <w:tcPr>
            <w:tcW w:w="1337" w:type="dxa"/>
          </w:tcPr>
          <w:p w14:paraId="60822ED1" w14:textId="77777777" w:rsidR="00834CAF" w:rsidRPr="00834CAF" w:rsidRDefault="00834CAF" w:rsidP="00212F36">
            <w:pPr>
              <w:spacing w:line="360" w:lineRule="auto"/>
              <w:rPr>
                <w:color w:val="222222"/>
              </w:rPr>
            </w:pPr>
            <w:r w:rsidRPr="3A388F9E">
              <w:rPr>
                <w:color w:val="222222"/>
              </w:rPr>
              <w:lastRenderedPageBreak/>
              <w:t xml:space="preserve">Periods </w:t>
            </w:r>
          </w:p>
        </w:tc>
        <w:tc>
          <w:tcPr>
            <w:tcW w:w="1337" w:type="dxa"/>
          </w:tcPr>
          <w:p w14:paraId="7D4AEA61" w14:textId="77777777" w:rsidR="00834CAF" w:rsidRPr="00834CAF" w:rsidRDefault="00834CAF" w:rsidP="00212F36">
            <w:pPr>
              <w:spacing w:line="360" w:lineRule="auto"/>
              <w:rPr>
                <w:color w:val="222222"/>
              </w:rPr>
            </w:pPr>
            <w:r w:rsidRPr="3A388F9E">
              <w:rPr>
                <w:color w:val="222222"/>
              </w:rPr>
              <w:t>Cash Flow [£)</w:t>
            </w:r>
          </w:p>
        </w:tc>
        <w:tc>
          <w:tcPr>
            <w:tcW w:w="1337" w:type="dxa"/>
          </w:tcPr>
          <w:p w14:paraId="3E0E7F01" w14:textId="77777777" w:rsidR="00834CAF" w:rsidRPr="00834CAF" w:rsidRDefault="00834CAF" w:rsidP="00212F36">
            <w:pPr>
              <w:spacing w:line="360" w:lineRule="auto"/>
              <w:rPr>
                <w:color w:val="222222"/>
              </w:rPr>
            </w:pPr>
            <w:r w:rsidRPr="3A388F9E">
              <w:rPr>
                <w:color w:val="222222"/>
              </w:rPr>
              <w:t>Capital Allowance</w:t>
            </w:r>
          </w:p>
        </w:tc>
        <w:tc>
          <w:tcPr>
            <w:tcW w:w="1500" w:type="dxa"/>
          </w:tcPr>
          <w:p w14:paraId="4D2B1544" w14:textId="77777777" w:rsidR="00834CAF" w:rsidRPr="00834CAF" w:rsidRDefault="00834CAF" w:rsidP="00212F36">
            <w:pPr>
              <w:spacing w:line="360" w:lineRule="auto"/>
              <w:rPr>
                <w:color w:val="222222"/>
              </w:rPr>
            </w:pPr>
            <w:r w:rsidRPr="3A388F9E">
              <w:rPr>
                <w:color w:val="222222"/>
              </w:rPr>
              <w:t>Corporation Tax [25%]</w:t>
            </w:r>
          </w:p>
        </w:tc>
        <w:tc>
          <w:tcPr>
            <w:tcW w:w="1320" w:type="dxa"/>
          </w:tcPr>
          <w:p w14:paraId="08DBAB9F" w14:textId="77777777" w:rsidR="00834CAF" w:rsidRPr="00834CAF" w:rsidRDefault="00834CAF" w:rsidP="00212F36">
            <w:pPr>
              <w:spacing w:line="360" w:lineRule="auto"/>
              <w:rPr>
                <w:color w:val="222222"/>
              </w:rPr>
            </w:pPr>
            <w:r w:rsidRPr="3A388F9E">
              <w:rPr>
                <w:color w:val="222222"/>
              </w:rPr>
              <w:t>Net Cash Flow [£)</w:t>
            </w:r>
          </w:p>
        </w:tc>
        <w:tc>
          <w:tcPr>
            <w:tcW w:w="1191" w:type="dxa"/>
          </w:tcPr>
          <w:p w14:paraId="6E53A509" w14:textId="77777777" w:rsidR="00834CAF" w:rsidRPr="00834CAF" w:rsidRDefault="00834CAF" w:rsidP="00212F36">
            <w:pPr>
              <w:spacing w:line="360" w:lineRule="auto"/>
              <w:rPr>
                <w:color w:val="222222"/>
              </w:rPr>
            </w:pPr>
            <w:r w:rsidRPr="3A388F9E">
              <w:rPr>
                <w:color w:val="222222"/>
              </w:rPr>
              <w:t>Discount Factor [6%]</w:t>
            </w:r>
          </w:p>
        </w:tc>
        <w:tc>
          <w:tcPr>
            <w:tcW w:w="1337" w:type="dxa"/>
          </w:tcPr>
          <w:p w14:paraId="19EF45E7" w14:textId="77777777" w:rsidR="00834CAF" w:rsidRPr="00834CAF" w:rsidRDefault="00834CAF" w:rsidP="00212F36">
            <w:pPr>
              <w:spacing w:line="360" w:lineRule="auto"/>
              <w:rPr>
                <w:color w:val="222222"/>
              </w:rPr>
            </w:pPr>
            <w:r w:rsidRPr="3A388F9E">
              <w:rPr>
                <w:color w:val="222222"/>
              </w:rPr>
              <w:t>Present Value [£)</w:t>
            </w:r>
          </w:p>
        </w:tc>
      </w:tr>
      <w:tr w:rsidR="00834CAF" w:rsidRPr="00834CAF" w14:paraId="52A3170A" w14:textId="77777777" w:rsidTr="3A388F9E">
        <w:trPr>
          <w:trHeight w:val="300"/>
        </w:trPr>
        <w:tc>
          <w:tcPr>
            <w:tcW w:w="1337" w:type="dxa"/>
          </w:tcPr>
          <w:p w14:paraId="03311F8D" w14:textId="77777777" w:rsidR="00834CAF" w:rsidRPr="00834CAF" w:rsidRDefault="00834CAF" w:rsidP="00212F36">
            <w:pPr>
              <w:spacing w:line="360" w:lineRule="auto"/>
              <w:rPr>
                <w:color w:val="222222"/>
              </w:rPr>
            </w:pPr>
            <w:r w:rsidRPr="3A388F9E">
              <w:rPr>
                <w:color w:val="222222"/>
              </w:rPr>
              <w:t>0</w:t>
            </w:r>
          </w:p>
        </w:tc>
        <w:tc>
          <w:tcPr>
            <w:tcW w:w="1337" w:type="dxa"/>
          </w:tcPr>
          <w:p w14:paraId="0E941B99" w14:textId="77777777" w:rsidR="00834CAF" w:rsidRPr="00834CAF" w:rsidRDefault="00834CAF" w:rsidP="00212F36">
            <w:pPr>
              <w:spacing w:line="360" w:lineRule="auto"/>
              <w:rPr>
                <w:color w:val="222222"/>
              </w:rPr>
            </w:pPr>
          </w:p>
        </w:tc>
        <w:tc>
          <w:tcPr>
            <w:tcW w:w="1337" w:type="dxa"/>
          </w:tcPr>
          <w:p w14:paraId="62F378FA" w14:textId="77777777" w:rsidR="00834CAF" w:rsidRPr="00834CAF" w:rsidRDefault="00834CAF" w:rsidP="00212F36">
            <w:pPr>
              <w:spacing w:line="360" w:lineRule="auto"/>
              <w:rPr>
                <w:color w:val="222222"/>
              </w:rPr>
            </w:pPr>
          </w:p>
        </w:tc>
        <w:tc>
          <w:tcPr>
            <w:tcW w:w="1500" w:type="dxa"/>
          </w:tcPr>
          <w:p w14:paraId="3174E8BC" w14:textId="77777777" w:rsidR="00834CAF" w:rsidRPr="00834CAF" w:rsidRDefault="00834CAF" w:rsidP="00212F36">
            <w:pPr>
              <w:spacing w:line="360" w:lineRule="auto"/>
              <w:rPr>
                <w:color w:val="222222"/>
              </w:rPr>
            </w:pPr>
          </w:p>
        </w:tc>
        <w:tc>
          <w:tcPr>
            <w:tcW w:w="1320" w:type="dxa"/>
          </w:tcPr>
          <w:p w14:paraId="6D114CEF" w14:textId="77777777" w:rsidR="00834CAF" w:rsidRPr="00834CAF" w:rsidRDefault="00834CAF" w:rsidP="00212F36">
            <w:pPr>
              <w:spacing w:line="360" w:lineRule="auto"/>
              <w:rPr>
                <w:color w:val="222222"/>
              </w:rPr>
            </w:pPr>
            <w:r w:rsidRPr="3A388F9E">
              <w:rPr>
                <w:color w:val="222222"/>
              </w:rPr>
              <w:t>[600000]</w:t>
            </w:r>
          </w:p>
        </w:tc>
        <w:tc>
          <w:tcPr>
            <w:tcW w:w="1191" w:type="dxa"/>
          </w:tcPr>
          <w:p w14:paraId="4BC16875" w14:textId="77777777" w:rsidR="00834CAF" w:rsidRPr="00834CAF" w:rsidRDefault="00834CAF" w:rsidP="00212F36">
            <w:pPr>
              <w:spacing w:line="360" w:lineRule="auto"/>
              <w:rPr>
                <w:color w:val="222222"/>
              </w:rPr>
            </w:pPr>
            <w:r w:rsidRPr="3A388F9E">
              <w:rPr>
                <w:color w:val="222222"/>
              </w:rPr>
              <w:t>10000</w:t>
            </w:r>
          </w:p>
        </w:tc>
        <w:tc>
          <w:tcPr>
            <w:tcW w:w="1337" w:type="dxa"/>
          </w:tcPr>
          <w:p w14:paraId="55D11F1A" w14:textId="77777777" w:rsidR="00834CAF" w:rsidRPr="00834CAF" w:rsidRDefault="00834CAF" w:rsidP="00212F36">
            <w:pPr>
              <w:spacing w:line="360" w:lineRule="auto"/>
              <w:rPr>
                <w:color w:val="222222"/>
              </w:rPr>
            </w:pPr>
            <w:r w:rsidRPr="3A388F9E">
              <w:rPr>
                <w:color w:val="222222"/>
              </w:rPr>
              <w:t>600000</w:t>
            </w:r>
          </w:p>
        </w:tc>
      </w:tr>
      <w:tr w:rsidR="00834CAF" w:rsidRPr="00834CAF" w14:paraId="6F627DCB" w14:textId="77777777" w:rsidTr="3A388F9E">
        <w:trPr>
          <w:trHeight w:val="300"/>
        </w:trPr>
        <w:tc>
          <w:tcPr>
            <w:tcW w:w="1337" w:type="dxa"/>
          </w:tcPr>
          <w:p w14:paraId="55B7B85E" w14:textId="77777777" w:rsidR="00834CAF" w:rsidRPr="00834CAF" w:rsidRDefault="00834CAF" w:rsidP="00212F36">
            <w:pPr>
              <w:spacing w:line="360" w:lineRule="auto"/>
              <w:rPr>
                <w:color w:val="222222"/>
              </w:rPr>
            </w:pPr>
            <w:r w:rsidRPr="3A388F9E">
              <w:rPr>
                <w:color w:val="222222"/>
              </w:rPr>
              <w:t>1</w:t>
            </w:r>
          </w:p>
        </w:tc>
        <w:tc>
          <w:tcPr>
            <w:tcW w:w="1337" w:type="dxa"/>
          </w:tcPr>
          <w:p w14:paraId="0428D0E8" w14:textId="77777777" w:rsidR="00834CAF" w:rsidRPr="00834CAF" w:rsidRDefault="00834CAF" w:rsidP="00212F36">
            <w:pPr>
              <w:spacing w:line="360" w:lineRule="auto"/>
              <w:rPr>
                <w:color w:val="222222"/>
              </w:rPr>
            </w:pPr>
            <w:r w:rsidRPr="3A388F9E">
              <w:rPr>
                <w:color w:val="222222"/>
              </w:rPr>
              <w:t>200000</w:t>
            </w:r>
          </w:p>
        </w:tc>
        <w:tc>
          <w:tcPr>
            <w:tcW w:w="1337" w:type="dxa"/>
          </w:tcPr>
          <w:p w14:paraId="2CE31732" w14:textId="77777777" w:rsidR="00834CAF" w:rsidRPr="00834CAF" w:rsidRDefault="00834CAF" w:rsidP="00212F36">
            <w:pPr>
              <w:spacing w:line="360" w:lineRule="auto"/>
              <w:rPr>
                <w:color w:val="222222"/>
              </w:rPr>
            </w:pPr>
            <w:r w:rsidRPr="3A388F9E">
              <w:rPr>
                <w:color w:val="222222"/>
              </w:rPr>
              <w:t>120000</w:t>
            </w:r>
          </w:p>
        </w:tc>
        <w:tc>
          <w:tcPr>
            <w:tcW w:w="1500" w:type="dxa"/>
          </w:tcPr>
          <w:p w14:paraId="1EFD9482" w14:textId="77777777" w:rsidR="00834CAF" w:rsidRPr="00834CAF" w:rsidRDefault="00834CAF" w:rsidP="00212F36">
            <w:pPr>
              <w:spacing w:line="360" w:lineRule="auto"/>
              <w:rPr>
                <w:color w:val="222222"/>
              </w:rPr>
            </w:pPr>
          </w:p>
        </w:tc>
        <w:tc>
          <w:tcPr>
            <w:tcW w:w="1320" w:type="dxa"/>
          </w:tcPr>
          <w:p w14:paraId="013713AD" w14:textId="77777777" w:rsidR="00834CAF" w:rsidRPr="00834CAF" w:rsidRDefault="00834CAF" w:rsidP="00212F36">
            <w:pPr>
              <w:spacing w:line="360" w:lineRule="auto"/>
              <w:rPr>
                <w:color w:val="222222"/>
              </w:rPr>
            </w:pPr>
            <w:r w:rsidRPr="3A388F9E">
              <w:rPr>
                <w:color w:val="222222"/>
              </w:rPr>
              <w:t>200000</w:t>
            </w:r>
          </w:p>
        </w:tc>
        <w:tc>
          <w:tcPr>
            <w:tcW w:w="1191" w:type="dxa"/>
          </w:tcPr>
          <w:p w14:paraId="38FA7C29" w14:textId="77777777" w:rsidR="00834CAF" w:rsidRPr="00834CAF" w:rsidRDefault="00834CAF" w:rsidP="00212F36">
            <w:pPr>
              <w:spacing w:line="360" w:lineRule="auto"/>
              <w:rPr>
                <w:color w:val="222222"/>
              </w:rPr>
            </w:pPr>
            <w:r w:rsidRPr="3A388F9E">
              <w:rPr>
                <w:color w:val="222222"/>
              </w:rPr>
              <w:t>0.9434</w:t>
            </w:r>
          </w:p>
        </w:tc>
        <w:tc>
          <w:tcPr>
            <w:tcW w:w="1337" w:type="dxa"/>
          </w:tcPr>
          <w:p w14:paraId="7C7A0017" w14:textId="77777777" w:rsidR="00834CAF" w:rsidRPr="00834CAF" w:rsidRDefault="00834CAF" w:rsidP="00212F36">
            <w:pPr>
              <w:spacing w:line="360" w:lineRule="auto"/>
              <w:rPr>
                <w:color w:val="222222"/>
              </w:rPr>
            </w:pPr>
            <w:r w:rsidRPr="3A388F9E">
              <w:rPr>
                <w:color w:val="222222"/>
              </w:rPr>
              <w:t>188650</w:t>
            </w:r>
          </w:p>
        </w:tc>
      </w:tr>
      <w:tr w:rsidR="00834CAF" w:rsidRPr="00834CAF" w14:paraId="3E9F5766" w14:textId="77777777" w:rsidTr="3A388F9E">
        <w:trPr>
          <w:trHeight w:val="300"/>
        </w:trPr>
        <w:tc>
          <w:tcPr>
            <w:tcW w:w="1337" w:type="dxa"/>
          </w:tcPr>
          <w:p w14:paraId="3080D64C" w14:textId="77777777" w:rsidR="00834CAF" w:rsidRPr="00834CAF" w:rsidRDefault="00834CAF" w:rsidP="00212F36">
            <w:pPr>
              <w:spacing w:line="360" w:lineRule="auto"/>
              <w:rPr>
                <w:color w:val="222222"/>
              </w:rPr>
            </w:pPr>
            <w:r w:rsidRPr="3A388F9E">
              <w:rPr>
                <w:color w:val="222222"/>
              </w:rPr>
              <w:t>2</w:t>
            </w:r>
          </w:p>
        </w:tc>
        <w:tc>
          <w:tcPr>
            <w:tcW w:w="1337" w:type="dxa"/>
          </w:tcPr>
          <w:p w14:paraId="59A9FDB2" w14:textId="77777777" w:rsidR="00834CAF" w:rsidRPr="00834CAF" w:rsidRDefault="00834CAF" w:rsidP="00212F36">
            <w:pPr>
              <w:spacing w:line="360" w:lineRule="auto"/>
              <w:rPr>
                <w:color w:val="222222"/>
              </w:rPr>
            </w:pPr>
            <w:r w:rsidRPr="3A388F9E">
              <w:rPr>
                <w:color w:val="222222"/>
              </w:rPr>
              <w:t>300000</w:t>
            </w:r>
          </w:p>
        </w:tc>
        <w:tc>
          <w:tcPr>
            <w:tcW w:w="1337" w:type="dxa"/>
          </w:tcPr>
          <w:p w14:paraId="69767891" w14:textId="77777777" w:rsidR="00834CAF" w:rsidRPr="00834CAF" w:rsidRDefault="00834CAF" w:rsidP="00212F36">
            <w:pPr>
              <w:spacing w:line="360" w:lineRule="auto"/>
              <w:rPr>
                <w:color w:val="222222"/>
              </w:rPr>
            </w:pPr>
            <w:r w:rsidRPr="3A388F9E">
              <w:rPr>
                <w:color w:val="222222"/>
              </w:rPr>
              <w:t>120000</w:t>
            </w:r>
          </w:p>
        </w:tc>
        <w:tc>
          <w:tcPr>
            <w:tcW w:w="1500" w:type="dxa"/>
          </w:tcPr>
          <w:p w14:paraId="00FC49E4" w14:textId="77777777" w:rsidR="00834CAF" w:rsidRPr="00834CAF" w:rsidRDefault="00834CAF" w:rsidP="00212F36">
            <w:pPr>
              <w:spacing w:line="360" w:lineRule="auto"/>
              <w:rPr>
                <w:color w:val="222222"/>
              </w:rPr>
            </w:pPr>
            <w:r w:rsidRPr="3A388F9E">
              <w:rPr>
                <w:color w:val="222222"/>
              </w:rPr>
              <w:t>20000</w:t>
            </w:r>
          </w:p>
        </w:tc>
        <w:tc>
          <w:tcPr>
            <w:tcW w:w="1320" w:type="dxa"/>
          </w:tcPr>
          <w:p w14:paraId="69AB62ED" w14:textId="77777777" w:rsidR="00834CAF" w:rsidRPr="00834CAF" w:rsidRDefault="00834CAF" w:rsidP="00212F36">
            <w:pPr>
              <w:spacing w:line="360" w:lineRule="auto"/>
              <w:rPr>
                <w:color w:val="222222"/>
              </w:rPr>
            </w:pPr>
            <w:r w:rsidRPr="3A388F9E">
              <w:rPr>
                <w:color w:val="222222"/>
              </w:rPr>
              <w:t>280000</w:t>
            </w:r>
          </w:p>
        </w:tc>
        <w:tc>
          <w:tcPr>
            <w:tcW w:w="1191" w:type="dxa"/>
          </w:tcPr>
          <w:p w14:paraId="6EFF19A7" w14:textId="77777777" w:rsidR="00834CAF" w:rsidRPr="00834CAF" w:rsidRDefault="00834CAF" w:rsidP="00212F36">
            <w:pPr>
              <w:spacing w:line="360" w:lineRule="auto"/>
              <w:rPr>
                <w:color w:val="222222"/>
              </w:rPr>
            </w:pPr>
            <w:r w:rsidRPr="3A388F9E">
              <w:rPr>
                <w:color w:val="222222"/>
              </w:rPr>
              <w:t>0.8900</w:t>
            </w:r>
          </w:p>
        </w:tc>
        <w:tc>
          <w:tcPr>
            <w:tcW w:w="1337" w:type="dxa"/>
          </w:tcPr>
          <w:p w14:paraId="4B881520" w14:textId="77777777" w:rsidR="00834CAF" w:rsidRPr="00834CAF" w:rsidRDefault="00834CAF" w:rsidP="00212F36">
            <w:pPr>
              <w:spacing w:line="360" w:lineRule="auto"/>
              <w:rPr>
                <w:color w:val="222222"/>
              </w:rPr>
            </w:pPr>
            <w:r w:rsidRPr="3A388F9E">
              <w:rPr>
                <w:color w:val="222222"/>
              </w:rPr>
              <w:t>249200</w:t>
            </w:r>
          </w:p>
        </w:tc>
      </w:tr>
      <w:tr w:rsidR="00834CAF" w:rsidRPr="00834CAF" w14:paraId="10EEA1DC" w14:textId="77777777" w:rsidTr="3A388F9E">
        <w:trPr>
          <w:trHeight w:val="300"/>
        </w:trPr>
        <w:tc>
          <w:tcPr>
            <w:tcW w:w="1337" w:type="dxa"/>
          </w:tcPr>
          <w:p w14:paraId="01E8B7AE" w14:textId="77777777" w:rsidR="00834CAF" w:rsidRPr="00834CAF" w:rsidRDefault="00834CAF" w:rsidP="00212F36">
            <w:pPr>
              <w:spacing w:line="360" w:lineRule="auto"/>
              <w:rPr>
                <w:color w:val="222222"/>
              </w:rPr>
            </w:pPr>
            <w:r w:rsidRPr="3A388F9E">
              <w:rPr>
                <w:color w:val="222222"/>
              </w:rPr>
              <w:t>3</w:t>
            </w:r>
          </w:p>
        </w:tc>
        <w:tc>
          <w:tcPr>
            <w:tcW w:w="1337" w:type="dxa"/>
          </w:tcPr>
          <w:p w14:paraId="57DB3699" w14:textId="77777777" w:rsidR="00834CAF" w:rsidRPr="00834CAF" w:rsidRDefault="00834CAF" w:rsidP="00212F36">
            <w:pPr>
              <w:spacing w:line="360" w:lineRule="auto"/>
              <w:rPr>
                <w:color w:val="222222"/>
              </w:rPr>
            </w:pPr>
            <w:r w:rsidRPr="3A388F9E">
              <w:rPr>
                <w:color w:val="222222"/>
              </w:rPr>
              <w:t>400000</w:t>
            </w:r>
          </w:p>
        </w:tc>
        <w:tc>
          <w:tcPr>
            <w:tcW w:w="1337" w:type="dxa"/>
          </w:tcPr>
          <w:p w14:paraId="0FCA61C1" w14:textId="77777777" w:rsidR="00834CAF" w:rsidRPr="00834CAF" w:rsidRDefault="00834CAF" w:rsidP="00212F36">
            <w:pPr>
              <w:spacing w:line="360" w:lineRule="auto"/>
              <w:rPr>
                <w:color w:val="222222"/>
              </w:rPr>
            </w:pPr>
            <w:r w:rsidRPr="3A388F9E">
              <w:rPr>
                <w:color w:val="222222"/>
              </w:rPr>
              <w:t>120000</w:t>
            </w:r>
          </w:p>
        </w:tc>
        <w:tc>
          <w:tcPr>
            <w:tcW w:w="1500" w:type="dxa"/>
          </w:tcPr>
          <w:p w14:paraId="6214EF3F" w14:textId="77777777" w:rsidR="00834CAF" w:rsidRPr="00834CAF" w:rsidRDefault="00834CAF" w:rsidP="00212F36">
            <w:pPr>
              <w:spacing w:line="360" w:lineRule="auto"/>
              <w:rPr>
                <w:color w:val="222222"/>
              </w:rPr>
            </w:pPr>
            <w:r w:rsidRPr="3A388F9E">
              <w:rPr>
                <w:color w:val="222222"/>
              </w:rPr>
              <w:t>45000</w:t>
            </w:r>
          </w:p>
        </w:tc>
        <w:tc>
          <w:tcPr>
            <w:tcW w:w="1320" w:type="dxa"/>
          </w:tcPr>
          <w:p w14:paraId="582B1E53" w14:textId="77777777" w:rsidR="00834CAF" w:rsidRPr="00834CAF" w:rsidRDefault="00834CAF" w:rsidP="00212F36">
            <w:pPr>
              <w:spacing w:line="360" w:lineRule="auto"/>
              <w:rPr>
                <w:color w:val="222222"/>
              </w:rPr>
            </w:pPr>
            <w:r w:rsidRPr="3A388F9E">
              <w:rPr>
                <w:color w:val="222222"/>
              </w:rPr>
              <w:t>355000</w:t>
            </w:r>
          </w:p>
        </w:tc>
        <w:tc>
          <w:tcPr>
            <w:tcW w:w="1191" w:type="dxa"/>
          </w:tcPr>
          <w:p w14:paraId="09373936" w14:textId="77777777" w:rsidR="00834CAF" w:rsidRPr="00834CAF" w:rsidRDefault="00834CAF" w:rsidP="00212F36">
            <w:pPr>
              <w:spacing w:line="360" w:lineRule="auto"/>
              <w:rPr>
                <w:color w:val="222222"/>
              </w:rPr>
            </w:pPr>
            <w:r w:rsidRPr="3A388F9E">
              <w:rPr>
                <w:color w:val="222222"/>
              </w:rPr>
              <w:t>0.8396</w:t>
            </w:r>
          </w:p>
        </w:tc>
        <w:tc>
          <w:tcPr>
            <w:tcW w:w="1337" w:type="dxa"/>
          </w:tcPr>
          <w:p w14:paraId="269A850A" w14:textId="77777777" w:rsidR="00834CAF" w:rsidRPr="00834CAF" w:rsidRDefault="00834CAF" w:rsidP="00212F36">
            <w:pPr>
              <w:spacing w:line="360" w:lineRule="auto"/>
              <w:rPr>
                <w:color w:val="222222"/>
              </w:rPr>
            </w:pPr>
            <w:r w:rsidRPr="3A388F9E">
              <w:rPr>
                <w:color w:val="222222"/>
              </w:rPr>
              <w:t>297958</w:t>
            </w:r>
          </w:p>
        </w:tc>
      </w:tr>
      <w:tr w:rsidR="00834CAF" w:rsidRPr="00834CAF" w14:paraId="6D4FD7D8" w14:textId="77777777" w:rsidTr="3A388F9E">
        <w:trPr>
          <w:trHeight w:val="300"/>
        </w:trPr>
        <w:tc>
          <w:tcPr>
            <w:tcW w:w="1337" w:type="dxa"/>
          </w:tcPr>
          <w:p w14:paraId="2DC42481" w14:textId="77777777" w:rsidR="00834CAF" w:rsidRPr="00834CAF" w:rsidRDefault="00834CAF" w:rsidP="00212F36">
            <w:pPr>
              <w:spacing w:line="360" w:lineRule="auto"/>
              <w:rPr>
                <w:color w:val="222222"/>
              </w:rPr>
            </w:pPr>
            <w:r w:rsidRPr="3A388F9E">
              <w:rPr>
                <w:color w:val="222222"/>
              </w:rPr>
              <w:t>4</w:t>
            </w:r>
          </w:p>
        </w:tc>
        <w:tc>
          <w:tcPr>
            <w:tcW w:w="1337" w:type="dxa"/>
          </w:tcPr>
          <w:p w14:paraId="58B92973" w14:textId="77777777" w:rsidR="00834CAF" w:rsidRPr="00834CAF" w:rsidRDefault="00834CAF" w:rsidP="00212F36">
            <w:pPr>
              <w:spacing w:line="360" w:lineRule="auto"/>
              <w:rPr>
                <w:color w:val="222222"/>
              </w:rPr>
            </w:pPr>
            <w:r w:rsidRPr="3A388F9E">
              <w:rPr>
                <w:color w:val="222222"/>
              </w:rPr>
              <w:t>500000</w:t>
            </w:r>
          </w:p>
        </w:tc>
        <w:tc>
          <w:tcPr>
            <w:tcW w:w="1337" w:type="dxa"/>
          </w:tcPr>
          <w:p w14:paraId="527810A5" w14:textId="77777777" w:rsidR="00834CAF" w:rsidRPr="00834CAF" w:rsidRDefault="00834CAF" w:rsidP="00212F36">
            <w:pPr>
              <w:spacing w:line="360" w:lineRule="auto"/>
              <w:rPr>
                <w:color w:val="222222"/>
              </w:rPr>
            </w:pPr>
            <w:r w:rsidRPr="3A388F9E">
              <w:rPr>
                <w:color w:val="222222"/>
              </w:rPr>
              <w:t>120000</w:t>
            </w:r>
          </w:p>
        </w:tc>
        <w:tc>
          <w:tcPr>
            <w:tcW w:w="1500" w:type="dxa"/>
          </w:tcPr>
          <w:p w14:paraId="63236B0C" w14:textId="77777777" w:rsidR="00834CAF" w:rsidRPr="00834CAF" w:rsidRDefault="00834CAF" w:rsidP="00212F36">
            <w:pPr>
              <w:spacing w:line="360" w:lineRule="auto"/>
              <w:rPr>
                <w:color w:val="222222"/>
              </w:rPr>
            </w:pPr>
            <w:r w:rsidRPr="3A388F9E">
              <w:rPr>
                <w:color w:val="222222"/>
              </w:rPr>
              <w:t>70000</w:t>
            </w:r>
          </w:p>
        </w:tc>
        <w:tc>
          <w:tcPr>
            <w:tcW w:w="1320" w:type="dxa"/>
          </w:tcPr>
          <w:p w14:paraId="60CE94C8" w14:textId="77777777" w:rsidR="00834CAF" w:rsidRPr="00834CAF" w:rsidRDefault="00834CAF" w:rsidP="00212F36">
            <w:pPr>
              <w:spacing w:line="360" w:lineRule="auto"/>
              <w:rPr>
                <w:color w:val="222222"/>
              </w:rPr>
            </w:pPr>
            <w:r w:rsidRPr="3A388F9E">
              <w:rPr>
                <w:color w:val="222222"/>
              </w:rPr>
              <w:t>430000</w:t>
            </w:r>
          </w:p>
        </w:tc>
        <w:tc>
          <w:tcPr>
            <w:tcW w:w="1191" w:type="dxa"/>
          </w:tcPr>
          <w:p w14:paraId="702EAC4C" w14:textId="77777777" w:rsidR="00834CAF" w:rsidRPr="00834CAF" w:rsidRDefault="00834CAF" w:rsidP="00212F36">
            <w:pPr>
              <w:spacing w:line="360" w:lineRule="auto"/>
              <w:rPr>
                <w:color w:val="222222"/>
              </w:rPr>
            </w:pPr>
            <w:r w:rsidRPr="3A388F9E">
              <w:rPr>
                <w:color w:val="222222"/>
              </w:rPr>
              <w:t>0.7921</w:t>
            </w:r>
          </w:p>
        </w:tc>
        <w:tc>
          <w:tcPr>
            <w:tcW w:w="1337" w:type="dxa"/>
          </w:tcPr>
          <w:p w14:paraId="4994D22D" w14:textId="77777777" w:rsidR="00834CAF" w:rsidRPr="00834CAF" w:rsidRDefault="00834CAF" w:rsidP="00212F36">
            <w:pPr>
              <w:spacing w:line="360" w:lineRule="auto"/>
              <w:rPr>
                <w:color w:val="222222"/>
              </w:rPr>
            </w:pPr>
            <w:r w:rsidRPr="3A388F9E">
              <w:rPr>
                <w:color w:val="222222"/>
              </w:rPr>
              <w:t>340603</w:t>
            </w:r>
          </w:p>
        </w:tc>
      </w:tr>
      <w:tr w:rsidR="00834CAF" w:rsidRPr="00834CAF" w14:paraId="64BCA482" w14:textId="77777777" w:rsidTr="3A388F9E">
        <w:trPr>
          <w:trHeight w:val="300"/>
        </w:trPr>
        <w:tc>
          <w:tcPr>
            <w:tcW w:w="1337" w:type="dxa"/>
          </w:tcPr>
          <w:p w14:paraId="2B186EF5" w14:textId="77777777" w:rsidR="00834CAF" w:rsidRPr="00834CAF" w:rsidRDefault="00834CAF" w:rsidP="00212F36">
            <w:pPr>
              <w:spacing w:line="360" w:lineRule="auto"/>
              <w:rPr>
                <w:color w:val="222222"/>
              </w:rPr>
            </w:pPr>
            <w:r w:rsidRPr="3A388F9E">
              <w:rPr>
                <w:color w:val="222222"/>
              </w:rPr>
              <w:t>5</w:t>
            </w:r>
          </w:p>
        </w:tc>
        <w:tc>
          <w:tcPr>
            <w:tcW w:w="1337" w:type="dxa"/>
          </w:tcPr>
          <w:p w14:paraId="63657FA6" w14:textId="77777777" w:rsidR="00834CAF" w:rsidRPr="00834CAF" w:rsidRDefault="00834CAF" w:rsidP="00212F36">
            <w:pPr>
              <w:spacing w:line="360" w:lineRule="auto"/>
              <w:rPr>
                <w:color w:val="222222"/>
              </w:rPr>
            </w:pPr>
          </w:p>
        </w:tc>
        <w:tc>
          <w:tcPr>
            <w:tcW w:w="1337" w:type="dxa"/>
          </w:tcPr>
          <w:p w14:paraId="47DEEA8E" w14:textId="77777777" w:rsidR="00834CAF" w:rsidRPr="00834CAF" w:rsidRDefault="00834CAF" w:rsidP="00212F36">
            <w:pPr>
              <w:spacing w:line="360" w:lineRule="auto"/>
              <w:rPr>
                <w:color w:val="222222"/>
              </w:rPr>
            </w:pPr>
          </w:p>
        </w:tc>
        <w:tc>
          <w:tcPr>
            <w:tcW w:w="1500" w:type="dxa"/>
          </w:tcPr>
          <w:p w14:paraId="4DD92EF7" w14:textId="77777777" w:rsidR="00834CAF" w:rsidRPr="00834CAF" w:rsidRDefault="00834CAF" w:rsidP="00212F36">
            <w:pPr>
              <w:spacing w:line="360" w:lineRule="auto"/>
              <w:rPr>
                <w:color w:val="222222"/>
              </w:rPr>
            </w:pPr>
            <w:r w:rsidRPr="3A388F9E">
              <w:rPr>
                <w:color w:val="222222"/>
              </w:rPr>
              <w:t>95000</w:t>
            </w:r>
          </w:p>
        </w:tc>
        <w:tc>
          <w:tcPr>
            <w:tcW w:w="1320" w:type="dxa"/>
          </w:tcPr>
          <w:p w14:paraId="1FEB8A5B" w14:textId="77777777" w:rsidR="00834CAF" w:rsidRPr="00834CAF" w:rsidRDefault="00834CAF" w:rsidP="00212F36">
            <w:pPr>
              <w:spacing w:line="360" w:lineRule="auto"/>
              <w:rPr>
                <w:color w:val="222222"/>
              </w:rPr>
            </w:pPr>
            <w:r w:rsidRPr="3A388F9E">
              <w:rPr>
                <w:color w:val="222222"/>
              </w:rPr>
              <w:t>95000</w:t>
            </w:r>
          </w:p>
        </w:tc>
        <w:tc>
          <w:tcPr>
            <w:tcW w:w="1191" w:type="dxa"/>
          </w:tcPr>
          <w:p w14:paraId="2A27899F" w14:textId="77777777" w:rsidR="00834CAF" w:rsidRPr="00834CAF" w:rsidRDefault="00834CAF" w:rsidP="00212F36">
            <w:pPr>
              <w:spacing w:line="360" w:lineRule="auto"/>
              <w:rPr>
                <w:color w:val="222222"/>
              </w:rPr>
            </w:pPr>
            <w:r w:rsidRPr="3A388F9E">
              <w:rPr>
                <w:color w:val="222222"/>
              </w:rPr>
              <w:t>0.7473</w:t>
            </w:r>
          </w:p>
        </w:tc>
        <w:tc>
          <w:tcPr>
            <w:tcW w:w="1337" w:type="dxa"/>
          </w:tcPr>
          <w:p w14:paraId="49D753F4" w14:textId="77777777" w:rsidR="00834CAF" w:rsidRPr="00834CAF" w:rsidRDefault="00834CAF" w:rsidP="00212F36">
            <w:pPr>
              <w:spacing w:line="360" w:lineRule="auto"/>
              <w:rPr>
                <w:color w:val="222222"/>
              </w:rPr>
            </w:pPr>
            <w:r w:rsidRPr="3A388F9E">
              <w:rPr>
                <w:color w:val="222222"/>
              </w:rPr>
              <w:t>[70993.5]</w:t>
            </w:r>
          </w:p>
        </w:tc>
      </w:tr>
      <w:tr w:rsidR="00834CAF" w:rsidRPr="00834CAF" w14:paraId="79B6577F" w14:textId="77777777" w:rsidTr="3A388F9E">
        <w:trPr>
          <w:trHeight w:val="300"/>
        </w:trPr>
        <w:tc>
          <w:tcPr>
            <w:tcW w:w="1337" w:type="dxa"/>
          </w:tcPr>
          <w:p w14:paraId="34000C82" w14:textId="77777777" w:rsidR="00834CAF" w:rsidRPr="00834CAF" w:rsidRDefault="00834CAF" w:rsidP="00212F36">
            <w:pPr>
              <w:spacing w:line="360" w:lineRule="auto"/>
              <w:rPr>
                <w:color w:val="222222"/>
              </w:rPr>
            </w:pPr>
            <w:r w:rsidRPr="3A388F9E">
              <w:rPr>
                <w:color w:val="222222"/>
              </w:rPr>
              <w:t>NPV</w:t>
            </w:r>
          </w:p>
        </w:tc>
        <w:tc>
          <w:tcPr>
            <w:tcW w:w="1337" w:type="dxa"/>
          </w:tcPr>
          <w:p w14:paraId="00ECA5AE" w14:textId="77777777" w:rsidR="00834CAF" w:rsidRPr="00834CAF" w:rsidRDefault="00834CAF" w:rsidP="00212F36">
            <w:pPr>
              <w:spacing w:line="360" w:lineRule="auto"/>
              <w:rPr>
                <w:color w:val="222222"/>
              </w:rPr>
            </w:pPr>
          </w:p>
        </w:tc>
        <w:tc>
          <w:tcPr>
            <w:tcW w:w="1337" w:type="dxa"/>
          </w:tcPr>
          <w:p w14:paraId="119CBE82" w14:textId="77777777" w:rsidR="00834CAF" w:rsidRPr="00834CAF" w:rsidRDefault="00834CAF" w:rsidP="00212F36">
            <w:pPr>
              <w:spacing w:line="360" w:lineRule="auto"/>
              <w:rPr>
                <w:color w:val="222222"/>
              </w:rPr>
            </w:pPr>
          </w:p>
        </w:tc>
        <w:tc>
          <w:tcPr>
            <w:tcW w:w="1500" w:type="dxa"/>
          </w:tcPr>
          <w:p w14:paraId="454540D8" w14:textId="77777777" w:rsidR="00834CAF" w:rsidRPr="00834CAF" w:rsidRDefault="00834CAF" w:rsidP="00212F36">
            <w:pPr>
              <w:spacing w:line="360" w:lineRule="auto"/>
              <w:rPr>
                <w:color w:val="222222"/>
              </w:rPr>
            </w:pPr>
          </w:p>
        </w:tc>
        <w:tc>
          <w:tcPr>
            <w:tcW w:w="1320" w:type="dxa"/>
          </w:tcPr>
          <w:p w14:paraId="0CD5659E" w14:textId="77777777" w:rsidR="00834CAF" w:rsidRPr="00834CAF" w:rsidRDefault="00834CAF" w:rsidP="00212F36">
            <w:pPr>
              <w:spacing w:line="360" w:lineRule="auto"/>
              <w:rPr>
                <w:color w:val="222222"/>
              </w:rPr>
            </w:pPr>
          </w:p>
        </w:tc>
        <w:tc>
          <w:tcPr>
            <w:tcW w:w="1191" w:type="dxa"/>
          </w:tcPr>
          <w:p w14:paraId="71A810AC" w14:textId="77777777" w:rsidR="00834CAF" w:rsidRPr="00834CAF" w:rsidRDefault="00834CAF" w:rsidP="00212F36">
            <w:pPr>
              <w:spacing w:line="360" w:lineRule="auto"/>
              <w:rPr>
                <w:color w:val="222222"/>
              </w:rPr>
            </w:pPr>
          </w:p>
        </w:tc>
        <w:tc>
          <w:tcPr>
            <w:tcW w:w="1337" w:type="dxa"/>
          </w:tcPr>
          <w:p w14:paraId="5794921D" w14:textId="77777777" w:rsidR="00834CAF" w:rsidRPr="00834CAF" w:rsidRDefault="00834CAF" w:rsidP="00212F36">
            <w:pPr>
              <w:spacing w:line="360" w:lineRule="auto"/>
              <w:rPr>
                <w:color w:val="222222"/>
              </w:rPr>
            </w:pPr>
            <w:r w:rsidRPr="3A388F9E">
              <w:rPr>
                <w:color w:val="222222"/>
              </w:rPr>
              <w:t>405,447.5</w:t>
            </w:r>
          </w:p>
        </w:tc>
      </w:tr>
    </w:tbl>
    <w:p w14:paraId="634791BB" w14:textId="77777777" w:rsidR="00834CAF" w:rsidRPr="00834CAF" w:rsidRDefault="00834CAF" w:rsidP="00212F36">
      <w:pPr>
        <w:spacing w:before="240" w:after="240" w:line="360" w:lineRule="auto"/>
        <w:rPr>
          <w:color w:val="222222"/>
        </w:rPr>
      </w:pPr>
      <w:r w:rsidRPr="3A388F9E">
        <w:rPr>
          <w:color w:val="222222"/>
        </w:rPr>
        <w:t>It is determined that Option A's Net Present Value is £405,447.5. The project is financially feasible and is anticipated to increase Jordons Plc's value, according to this positive net present value [</w:t>
      </w:r>
      <w:proofErr w:type="spellStart"/>
      <w:r w:rsidRPr="3A388F9E">
        <w:rPr>
          <w:color w:val="222222"/>
        </w:rPr>
        <w:t>Shou</w:t>
      </w:r>
      <w:proofErr w:type="spellEnd"/>
      <w:r w:rsidRPr="3A388F9E">
        <w:rPr>
          <w:color w:val="222222"/>
        </w:rPr>
        <w:t xml:space="preserve"> 2022].</w:t>
      </w:r>
    </w:p>
    <w:p w14:paraId="4BAE90AB" w14:textId="77777777" w:rsidR="00834CAF" w:rsidRPr="00834CAF" w:rsidRDefault="00834CAF" w:rsidP="00212F36">
      <w:pPr>
        <w:spacing w:line="360" w:lineRule="auto"/>
        <w:rPr>
          <w:rFonts w:asciiTheme="minorHAnsi" w:eastAsiaTheme="majorEastAsia" w:hAnsiTheme="minorHAnsi" w:cstheme="majorBidi"/>
          <w:b/>
          <w:color w:val="595959" w:themeColor="text1" w:themeTint="A6"/>
          <w:spacing w:val="15"/>
          <w:sz w:val="28"/>
          <w:szCs w:val="28"/>
        </w:rPr>
      </w:pPr>
      <w:r w:rsidRPr="75F961E9">
        <w:rPr>
          <w:rFonts w:asciiTheme="minorHAnsi" w:eastAsiaTheme="majorEastAsia" w:hAnsiTheme="minorHAnsi" w:cstheme="majorBidi"/>
          <w:b/>
          <w:color w:val="595959" w:themeColor="text1" w:themeTint="A6"/>
          <w:spacing w:val="15"/>
          <w:sz w:val="28"/>
          <w:szCs w:val="28"/>
        </w:rPr>
        <w:t>Option B: Develop Internet Sales</w:t>
      </w:r>
    </w:p>
    <w:p w14:paraId="02F0D2E1" w14:textId="77777777" w:rsidR="00834CAF" w:rsidRPr="00834CAF" w:rsidRDefault="00834CAF" w:rsidP="00212F36">
      <w:pPr>
        <w:spacing w:before="240" w:after="240" w:line="360" w:lineRule="auto"/>
        <w:rPr>
          <w:color w:val="222222"/>
        </w:rPr>
      </w:pPr>
      <w:r w:rsidRPr="3A388F9E">
        <w:rPr>
          <w:color w:val="222222"/>
        </w:rPr>
        <w:t>This option entails an initial expenditure of £1,000,000. The annual capital allowance is £1,000,000 * 20% = £200,000.</w:t>
      </w:r>
    </w:p>
    <w:p w14:paraId="6BD6C4A6" w14:textId="77777777" w:rsidR="00834CAF" w:rsidRPr="00834CAF" w:rsidRDefault="00834CAF" w:rsidP="00212F36">
      <w:pPr>
        <w:spacing w:before="240" w:after="240" w:line="360" w:lineRule="auto"/>
        <w:rPr>
          <w:color w:val="222222"/>
        </w:rPr>
      </w:pPr>
      <w:r w:rsidRPr="3A388F9E">
        <w:rPr>
          <w:color w:val="222222"/>
        </w:rPr>
        <w:t>The NPV calculation for Option B is:</w:t>
      </w:r>
    </w:p>
    <w:tbl>
      <w:tblPr>
        <w:tblStyle w:val="TableGrid"/>
        <w:tblW w:w="0" w:type="auto"/>
        <w:tblLayout w:type="fixed"/>
        <w:tblLook w:val="06A0" w:firstRow="1" w:lastRow="0" w:firstColumn="1" w:lastColumn="0" w:noHBand="1" w:noVBand="1"/>
      </w:tblPr>
      <w:tblGrid>
        <w:gridCol w:w="1337"/>
        <w:gridCol w:w="1337"/>
        <w:gridCol w:w="1337"/>
        <w:gridCol w:w="1485"/>
        <w:gridCol w:w="1189"/>
        <w:gridCol w:w="1337"/>
        <w:gridCol w:w="1337"/>
      </w:tblGrid>
      <w:tr w:rsidR="00834CAF" w:rsidRPr="00834CAF" w14:paraId="4BA6BDA1" w14:textId="77777777" w:rsidTr="3A388F9E">
        <w:trPr>
          <w:trHeight w:val="300"/>
        </w:trPr>
        <w:tc>
          <w:tcPr>
            <w:tcW w:w="1337" w:type="dxa"/>
          </w:tcPr>
          <w:p w14:paraId="2942F604" w14:textId="77777777" w:rsidR="00834CAF" w:rsidRPr="00834CAF" w:rsidRDefault="00834CAF" w:rsidP="00212F36">
            <w:pPr>
              <w:spacing w:line="360" w:lineRule="auto"/>
              <w:rPr>
                <w:color w:val="222222"/>
              </w:rPr>
            </w:pPr>
            <w:r w:rsidRPr="3A388F9E">
              <w:rPr>
                <w:color w:val="222222"/>
              </w:rPr>
              <w:t xml:space="preserve">Periods </w:t>
            </w:r>
          </w:p>
        </w:tc>
        <w:tc>
          <w:tcPr>
            <w:tcW w:w="1337" w:type="dxa"/>
          </w:tcPr>
          <w:p w14:paraId="08E4BC77" w14:textId="77777777" w:rsidR="00834CAF" w:rsidRPr="00834CAF" w:rsidRDefault="00834CAF" w:rsidP="00212F36">
            <w:pPr>
              <w:spacing w:line="360" w:lineRule="auto"/>
              <w:rPr>
                <w:color w:val="222222"/>
              </w:rPr>
            </w:pPr>
            <w:r w:rsidRPr="3A388F9E">
              <w:rPr>
                <w:color w:val="222222"/>
              </w:rPr>
              <w:t xml:space="preserve">Cash Flow [£) </w:t>
            </w:r>
          </w:p>
        </w:tc>
        <w:tc>
          <w:tcPr>
            <w:tcW w:w="1337" w:type="dxa"/>
          </w:tcPr>
          <w:p w14:paraId="4A1EDFDF" w14:textId="77777777" w:rsidR="00834CAF" w:rsidRPr="00834CAF" w:rsidRDefault="00834CAF" w:rsidP="00212F36">
            <w:pPr>
              <w:spacing w:line="360" w:lineRule="auto"/>
              <w:rPr>
                <w:color w:val="222222"/>
              </w:rPr>
            </w:pPr>
            <w:r w:rsidRPr="3A388F9E">
              <w:rPr>
                <w:color w:val="222222"/>
              </w:rPr>
              <w:t>Capital Allowance</w:t>
            </w:r>
          </w:p>
        </w:tc>
        <w:tc>
          <w:tcPr>
            <w:tcW w:w="1485" w:type="dxa"/>
          </w:tcPr>
          <w:p w14:paraId="1D7F4229" w14:textId="77777777" w:rsidR="00834CAF" w:rsidRPr="00834CAF" w:rsidRDefault="00834CAF" w:rsidP="00212F36">
            <w:pPr>
              <w:spacing w:line="360" w:lineRule="auto"/>
              <w:rPr>
                <w:color w:val="222222"/>
              </w:rPr>
            </w:pPr>
            <w:r w:rsidRPr="3A388F9E">
              <w:rPr>
                <w:color w:val="222222"/>
              </w:rPr>
              <w:t>Corporation Tax [25%]</w:t>
            </w:r>
          </w:p>
        </w:tc>
        <w:tc>
          <w:tcPr>
            <w:tcW w:w="1189" w:type="dxa"/>
          </w:tcPr>
          <w:p w14:paraId="3619D1B2" w14:textId="77777777" w:rsidR="00834CAF" w:rsidRPr="00834CAF" w:rsidRDefault="00834CAF" w:rsidP="00212F36">
            <w:pPr>
              <w:spacing w:line="360" w:lineRule="auto"/>
              <w:rPr>
                <w:color w:val="222222"/>
              </w:rPr>
            </w:pPr>
            <w:r w:rsidRPr="3A388F9E">
              <w:rPr>
                <w:color w:val="222222"/>
              </w:rPr>
              <w:t>Net Cash Flow [£)</w:t>
            </w:r>
          </w:p>
        </w:tc>
        <w:tc>
          <w:tcPr>
            <w:tcW w:w="1337" w:type="dxa"/>
          </w:tcPr>
          <w:p w14:paraId="178E795A" w14:textId="77777777" w:rsidR="00834CAF" w:rsidRPr="00834CAF" w:rsidRDefault="00834CAF" w:rsidP="00212F36">
            <w:pPr>
              <w:spacing w:line="360" w:lineRule="auto"/>
              <w:rPr>
                <w:color w:val="222222"/>
              </w:rPr>
            </w:pPr>
            <w:r w:rsidRPr="3A388F9E">
              <w:rPr>
                <w:color w:val="222222"/>
              </w:rPr>
              <w:t>Discount Factor [6%]</w:t>
            </w:r>
          </w:p>
        </w:tc>
        <w:tc>
          <w:tcPr>
            <w:tcW w:w="1337" w:type="dxa"/>
          </w:tcPr>
          <w:p w14:paraId="4FD22372" w14:textId="77777777" w:rsidR="00834CAF" w:rsidRPr="00834CAF" w:rsidRDefault="00834CAF" w:rsidP="00212F36">
            <w:pPr>
              <w:spacing w:line="360" w:lineRule="auto"/>
              <w:rPr>
                <w:color w:val="222222"/>
              </w:rPr>
            </w:pPr>
            <w:r w:rsidRPr="3A388F9E">
              <w:rPr>
                <w:color w:val="222222"/>
              </w:rPr>
              <w:t>Present Value [£)</w:t>
            </w:r>
          </w:p>
        </w:tc>
      </w:tr>
      <w:tr w:rsidR="00834CAF" w:rsidRPr="00834CAF" w14:paraId="7AF13C39" w14:textId="77777777" w:rsidTr="3A388F9E">
        <w:trPr>
          <w:trHeight w:val="300"/>
        </w:trPr>
        <w:tc>
          <w:tcPr>
            <w:tcW w:w="1337" w:type="dxa"/>
          </w:tcPr>
          <w:p w14:paraId="56C5B4EF" w14:textId="77777777" w:rsidR="00834CAF" w:rsidRPr="00834CAF" w:rsidRDefault="00834CAF" w:rsidP="00212F36">
            <w:pPr>
              <w:spacing w:line="360" w:lineRule="auto"/>
              <w:rPr>
                <w:color w:val="222222"/>
              </w:rPr>
            </w:pPr>
            <w:r w:rsidRPr="3A388F9E">
              <w:rPr>
                <w:color w:val="222222"/>
              </w:rPr>
              <w:t>0</w:t>
            </w:r>
          </w:p>
        </w:tc>
        <w:tc>
          <w:tcPr>
            <w:tcW w:w="1337" w:type="dxa"/>
          </w:tcPr>
          <w:p w14:paraId="79BB20CB" w14:textId="77777777" w:rsidR="00834CAF" w:rsidRPr="00834CAF" w:rsidRDefault="00834CAF" w:rsidP="00212F36">
            <w:pPr>
              <w:spacing w:line="360" w:lineRule="auto"/>
              <w:rPr>
                <w:color w:val="222222"/>
              </w:rPr>
            </w:pPr>
          </w:p>
        </w:tc>
        <w:tc>
          <w:tcPr>
            <w:tcW w:w="1337" w:type="dxa"/>
          </w:tcPr>
          <w:p w14:paraId="1AE60223" w14:textId="77777777" w:rsidR="00834CAF" w:rsidRPr="00834CAF" w:rsidRDefault="00834CAF" w:rsidP="00212F36">
            <w:pPr>
              <w:spacing w:line="360" w:lineRule="auto"/>
              <w:rPr>
                <w:color w:val="222222"/>
              </w:rPr>
            </w:pPr>
          </w:p>
        </w:tc>
        <w:tc>
          <w:tcPr>
            <w:tcW w:w="1485" w:type="dxa"/>
          </w:tcPr>
          <w:p w14:paraId="04ECABE5" w14:textId="77777777" w:rsidR="00834CAF" w:rsidRPr="00834CAF" w:rsidRDefault="00834CAF" w:rsidP="00212F36">
            <w:pPr>
              <w:spacing w:line="360" w:lineRule="auto"/>
              <w:rPr>
                <w:color w:val="222222"/>
              </w:rPr>
            </w:pPr>
          </w:p>
        </w:tc>
        <w:tc>
          <w:tcPr>
            <w:tcW w:w="1189" w:type="dxa"/>
          </w:tcPr>
          <w:p w14:paraId="068B25FE" w14:textId="77777777" w:rsidR="00834CAF" w:rsidRPr="00834CAF" w:rsidRDefault="00834CAF" w:rsidP="00212F36">
            <w:pPr>
              <w:spacing w:line="360" w:lineRule="auto"/>
              <w:rPr>
                <w:color w:val="222222"/>
              </w:rPr>
            </w:pPr>
            <w:r w:rsidRPr="3A388F9E">
              <w:rPr>
                <w:color w:val="222222"/>
              </w:rPr>
              <w:t>[1000000]</w:t>
            </w:r>
          </w:p>
        </w:tc>
        <w:tc>
          <w:tcPr>
            <w:tcW w:w="1337" w:type="dxa"/>
          </w:tcPr>
          <w:p w14:paraId="233D44C9" w14:textId="77777777" w:rsidR="00834CAF" w:rsidRPr="00834CAF" w:rsidRDefault="00834CAF" w:rsidP="00212F36">
            <w:pPr>
              <w:spacing w:line="360" w:lineRule="auto"/>
              <w:rPr>
                <w:color w:val="222222"/>
              </w:rPr>
            </w:pPr>
            <w:r w:rsidRPr="3A388F9E">
              <w:rPr>
                <w:color w:val="222222"/>
              </w:rPr>
              <w:t>10000</w:t>
            </w:r>
          </w:p>
        </w:tc>
        <w:tc>
          <w:tcPr>
            <w:tcW w:w="1337" w:type="dxa"/>
          </w:tcPr>
          <w:p w14:paraId="00849FC0" w14:textId="77777777" w:rsidR="00834CAF" w:rsidRPr="00834CAF" w:rsidRDefault="00834CAF" w:rsidP="00212F36">
            <w:pPr>
              <w:spacing w:line="360" w:lineRule="auto"/>
              <w:rPr>
                <w:color w:val="222222"/>
              </w:rPr>
            </w:pPr>
            <w:r w:rsidRPr="3A388F9E">
              <w:rPr>
                <w:color w:val="222222"/>
              </w:rPr>
              <w:t>1000000</w:t>
            </w:r>
          </w:p>
        </w:tc>
      </w:tr>
      <w:tr w:rsidR="00834CAF" w:rsidRPr="00834CAF" w14:paraId="4B3B0C8F" w14:textId="77777777" w:rsidTr="3A388F9E">
        <w:trPr>
          <w:trHeight w:val="300"/>
        </w:trPr>
        <w:tc>
          <w:tcPr>
            <w:tcW w:w="1337" w:type="dxa"/>
          </w:tcPr>
          <w:p w14:paraId="13A04EBF" w14:textId="77777777" w:rsidR="00834CAF" w:rsidRPr="00834CAF" w:rsidRDefault="00834CAF" w:rsidP="00212F36">
            <w:pPr>
              <w:spacing w:line="360" w:lineRule="auto"/>
              <w:rPr>
                <w:color w:val="222222"/>
              </w:rPr>
            </w:pPr>
            <w:r w:rsidRPr="3A388F9E">
              <w:rPr>
                <w:color w:val="222222"/>
              </w:rPr>
              <w:t>1</w:t>
            </w:r>
          </w:p>
        </w:tc>
        <w:tc>
          <w:tcPr>
            <w:tcW w:w="1337" w:type="dxa"/>
          </w:tcPr>
          <w:p w14:paraId="07F9B3F5" w14:textId="77777777" w:rsidR="00834CAF" w:rsidRPr="00834CAF" w:rsidRDefault="00834CAF" w:rsidP="00212F36">
            <w:pPr>
              <w:spacing w:line="360" w:lineRule="auto"/>
              <w:rPr>
                <w:color w:val="222222"/>
              </w:rPr>
            </w:pPr>
            <w:r w:rsidRPr="3A388F9E">
              <w:rPr>
                <w:color w:val="222222"/>
              </w:rPr>
              <w:t>400000</w:t>
            </w:r>
          </w:p>
        </w:tc>
        <w:tc>
          <w:tcPr>
            <w:tcW w:w="1337" w:type="dxa"/>
          </w:tcPr>
          <w:p w14:paraId="117964D2" w14:textId="77777777" w:rsidR="00834CAF" w:rsidRPr="00834CAF" w:rsidRDefault="00834CAF" w:rsidP="00212F36">
            <w:pPr>
              <w:spacing w:line="360" w:lineRule="auto"/>
              <w:rPr>
                <w:color w:val="222222"/>
              </w:rPr>
            </w:pPr>
            <w:r w:rsidRPr="3A388F9E">
              <w:rPr>
                <w:color w:val="222222"/>
              </w:rPr>
              <w:t>200000</w:t>
            </w:r>
          </w:p>
        </w:tc>
        <w:tc>
          <w:tcPr>
            <w:tcW w:w="1485" w:type="dxa"/>
          </w:tcPr>
          <w:p w14:paraId="791D8335" w14:textId="77777777" w:rsidR="00834CAF" w:rsidRPr="00834CAF" w:rsidRDefault="00834CAF" w:rsidP="00212F36">
            <w:pPr>
              <w:spacing w:line="360" w:lineRule="auto"/>
              <w:rPr>
                <w:color w:val="222222"/>
              </w:rPr>
            </w:pPr>
          </w:p>
        </w:tc>
        <w:tc>
          <w:tcPr>
            <w:tcW w:w="1189" w:type="dxa"/>
          </w:tcPr>
          <w:p w14:paraId="7C3F8DEC" w14:textId="77777777" w:rsidR="00834CAF" w:rsidRPr="00834CAF" w:rsidRDefault="00834CAF" w:rsidP="00212F36">
            <w:pPr>
              <w:spacing w:line="360" w:lineRule="auto"/>
              <w:rPr>
                <w:color w:val="222222"/>
              </w:rPr>
            </w:pPr>
            <w:r w:rsidRPr="3A388F9E">
              <w:rPr>
                <w:color w:val="222222"/>
              </w:rPr>
              <w:t>400000</w:t>
            </w:r>
          </w:p>
        </w:tc>
        <w:tc>
          <w:tcPr>
            <w:tcW w:w="1337" w:type="dxa"/>
          </w:tcPr>
          <w:p w14:paraId="2D3498BD" w14:textId="77777777" w:rsidR="00834CAF" w:rsidRPr="00834CAF" w:rsidRDefault="00834CAF" w:rsidP="00212F36">
            <w:pPr>
              <w:spacing w:line="360" w:lineRule="auto"/>
              <w:rPr>
                <w:color w:val="222222"/>
              </w:rPr>
            </w:pPr>
            <w:r w:rsidRPr="3A388F9E">
              <w:rPr>
                <w:color w:val="222222"/>
              </w:rPr>
              <w:t>0.9434</w:t>
            </w:r>
          </w:p>
        </w:tc>
        <w:tc>
          <w:tcPr>
            <w:tcW w:w="1337" w:type="dxa"/>
          </w:tcPr>
          <w:p w14:paraId="55D443D4" w14:textId="77777777" w:rsidR="00834CAF" w:rsidRPr="00834CAF" w:rsidRDefault="00834CAF" w:rsidP="00212F36">
            <w:pPr>
              <w:spacing w:line="360" w:lineRule="auto"/>
              <w:rPr>
                <w:color w:val="222222"/>
              </w:rPr>
            </w:pPr>
            <w:r w:rsidRPr="3A388F9E">
              <w:rPr>
                <w:color w:val="222222"/>
              </w:rPr>
              <w:t>377360</w:t>
            </w:r>
          </w:p>
        </w:tc>
      </w:tr>
      <w:tr w:rsidR="00834CAF" w:rsidRPr="00834CAF" w14:paraId="51A727E5" w14:textId="77777777" w:rsidTr="3A388F9E">
        <w:trPr>
          <w:trHeight w:val="300"/>
        </w:trPr>
        <w:tc>
          <w:tcPr>
            <w:tcW w:w="1337" w:type="dxa"/>
          </w:tcPr>
          <w:p w14:paraId="335D9D0C" w14:textId="77777777" w:rsidR="00834CAF" w:rsidRPr="00834CAF" w:rsidRDefault="00834CAF" w:rsidP="00212F36">
            <w:pPr>
              <w:spacing w:line="360" w:lineRule="auto"/>
              <w:rPr>
                <w:color w:val="222222"/>
              </w:rPr>
            </w:pPr>
            <w:r w:rsidRPr="3A388F9E">
              <w:rPr>
                <w:color w:val="222222"/>
              </w:rPr>
              <w:t>2</w:t>
            </w:r>
          </w:p>
        </w:tc>
        <w:tc>
          <w:tcPr>
            <w:tcW w:w="1337" w:type="dxa"/>
          </w:tcPr>
          <w:p w14:paraId="295E99B2" w14:textId="77777777" w:rsidR="00834CAF" w:rsidRPr="00834CAF" w:rsidRDefault="00834CAF" w:rsidP="00212F36">
            <w:pPr>
              <w:spacing w:line="360" w:lineRule="auto"/>
              <w:rPr>
                <w:color w:val="222222"/>
              </w:rPr>
            </w:pPr>
            <w:r w:rsidRPr="3A388F9E">
              <w:rPr>
                <w:color w:val="222222"/>
              </w:rPr>
              <w:t>450000</w:t>
            </w:r>
          </w:p>
        </w:tc>
        <w:tc>
          <w:tcPr>
            <w:tcW w:w="1337" w:type="dxa"/>
          </w:tcPr>
          <w:p w14:paraId="2D3B0E51" w14:textId="77777777" w:rsidR="00834CAF" w:rsidRPr="00834CAF" w:rsidRDefault="00834CAF" w:rsidP="00212F36">
            <w:pPr>
              <w:spacing w:line="360" w:lineRule="auto"/>
              <w:rPr>
                <w:color w:val="222222"/>
              </w:rPr>
            </w:pPr>
            <w:r w:rsidRPr="3A388F9E">
              <w:rPr>
                <w:color w:val="222222"/>
              </w:rPr>
              <w:t>200000</w:t>
            </w:r>
          </w:p>
        </w:tc>
        <w:tc>
          <w:tcPr>
            <w:tcW w:w="1485" w:type="dxa"/>
          </w:tcPr>
          <w:p w14:paraId="4DA10C4C" w14:textId="77777777" w:rsidR="00834CAF" w:rsidRPr="00834CAF" w:rsidRDefault="00834CAF" w:rsidP="00212F36">
            <w:pPr>
              <w:spacing w:line="360" w:lineRule="auto"/>
              <w:rPr>
                <w:color w:val="222222"/>
              </w:rPr>
            </w:pPr>
            <w:r w:rsidRPr="3A388F9E">
              <w:rPr>
                <w:color w:val="222222"/>
              </w:rPr>
              <w:t>50000</w:t>
            </w:r>
          </w:p>
        </w:tc>
        <w:tc>
          <w:tcPr>
            <w:tcW w:w="1189" w:type="dxa"/>
          </w:tcPr>
          <w:p w14:paraId="36619567" w14:textId="77777777" w:rsidR="00834CAF" w:rsidRPr="00834CAF" w:rsidRDefault="00834CAF" w:rsidP="00212F36">
            <w:pPr>
              <w:spacing w:line="360" w:lineRule="auto"/>
              <w:rPr>
                <w:color w:val="222222"/>
              </w:rPr>
            </w:pPr>
            <w:r w:rsidRPr="3A388F9E">
              <w:rPr>
                <w:color w:val="222222"/>
              </w:rPr>
              <w:t>400000</w:t>
            </w:r>
          </w:p>
        </w:tc>
        <w:tc>
          <w:tcPr>
            <w:tcW w:w="1337" w:type="dxa"/>
          </w:tcPr>
          <w:p w14:paraId="58AD696E" w14:textId="77777777" w:rsidR="00834CAF" w:rsidRPr="00834CAF" w:rsidRDefault="00834CAF" w:rsidP="00212F36">
            <w:pPr>
              <w:spacing w:line="360" w:lineRule="auto"/>
              <w:rPr>
                <w:color w:val="222222"/>
              </w:rPr>
            </w:pPr>
            <w:r w:rsidRPr="3A388F9E">
              <w:rPr>
                <w:color w:val="222222"/>
              </w:rPr>
              <w:t>0.8900</w:t>
            </w:r>
          </w:p>
        </w:tc>
        <w:tc>
          <w:tcPr>
            <w:tcW w:w="1337" w:type="dxa"/>
          </w:tcPr>
          <w:p w14:paraId="0FB29913" w14:textId="77777777" w:rsidR="00834CAF" w:rsidRPr="00834CAF" w:rsidRDefault="00834CAF" w:rsidP="00212F36">
            <w:pPr>
              <w:spacing w:line="360" w:lineRule="auto"/>
              <w:rPr>
                <w:color w:val="222222"/>
              </w:rPr>
            </w:pPr>
            <w:r w:rsidRPr="3A388F9E">
              <w:rPr>
                <w:color w:val="222222"/>
              </w:rPr>
              <w:t>356000</w:t>
            </w:r>
          </w:p>
        </w:tc>
      </w:tr>
      <w:tr w:rsidR="00834CAF" w:rsidRPr="00834CAF" w14:paraId="6D9BB2D6" w14:textId="77777777" w:rsidTr="3A388F9E">
        <w:trPr>
          <w:trHeight w:val="300"/>
        </w:trPr>
        <w:tc>
          <w:tcPr>
            <w:tcW w:w="1337" w:type="dxa"/>
          </w:tcPr>
          <w:p w14:paraId="14B26CA9" w14:textId="77777777" w:rsidR="00834CAF" w:rsidRPr="00834CAF" w:rsidRDefault="00834CAF" w:rsidP="00212F36">
            <w:pPr>
              <w:spacing w:line="360" w:lineRule="auto"/>
              <w:rPr>
                <w:color w:val="222222"/>
              </w:rPr>
            </w:pPr>
            <w:r w:rsidRPr="3A388F9E">
              <w:rPr>
                <w:color w:val="222222"/>
              </w:rPr>
              <w:t>3</w:t>
            </w:r>
          </w:p>
        </w:tc>
        <w:tc>
          <w:tcPr>
            <w:tcW w:w="1337" w:type="dxa"/>
          </w:tcPr>
          <w:p w14:paraId="1BFF5B86" w14:textId="77777777" w:rsidR="00834CAF" w:rsidRPr="00834CAF" w:rsidRDefault="00834CAF" w:rsidP="00212F36">
            <w:pPr>
              <w:spacing w:line="360" w:lineRule="auto"/>
              <w:rPr>
                <w:color w:val="222222"/>
              </w:rPr>
            </w:pPr>
            <w:r w:rsidRPr="3A388F9E">
              <w:rPr>
                <w:color w:val="222222"/>
              </w:rPr>
              <w:t>650000</w:t>
            </w:r>
          </w:p>
        </w:tc>
        <w:tc>
          <w:tcPr>
            <w:tcW w:w="1337" w:type="dxa"/>
          </w:tcPr>
          <w:p w14:paraId="2E66EC23" w14:textId="77777777" w:rsidR="00834CAF" w:rsidRPr="00834CAF" w:rsidRDefault="00834CAF" w:rsidP="00212F36">
            <w:pPr>
              <w:spacing w:line="360" w:lineRule="auto"/>
              <w:rPr>
                <w:color w:val="222222"/>
              </w:rPr>
            </w:pPr>
            <w:r w:rsidRPr="3A388F9E">
              <w:rPr>
                <w:color w:val="222222"/>
              </w:rPr>
              <w:t>200000</w:t>
            </w:r>
          </w:p>
        </w:tc>
        <w:tc>
          <w:tcPr>
            <w:tcW w:w="1485" w:type="dxa"/>
          </w:tcPr>
          <w:p w14:paraId="3D7DC6FE" w14:textId="77777777" w:rsidR="00834CAF" w:rsidRPr="00834CAF" w:rsidRDefault="00834CAF" w:rsidP="00212F36">
            <w:pPr>
              <w:spacing w:line="360" w:lineRule="auto"/>
              <w:rPr>
                <w:color w:val="222222"/>
              </w:rPr>
            </w:pPr>
            <w:r w:rsidRPr="3A388F9E">
              <w:rPr>
                <w:color w:val="222222"/>
              </w:rPr>
              <w:t>62500</w:t>
            </w:r>
          </w:p>
        </w:tc>
        <w:tc>
          <w:tcPr>
            <w:tcW w:w="1189" w:type="dxa"/>
          </w:tcPr>
          <w:p w14:paraId="1D47D4AB" w14:textId="77777777" w:rsidR="00834CAF" w:rsidRPr="00834CAF" w:rsidRDefault="00834CAF" w:rsidP="00212F36">
            <w:pPr>
              <w:spacing w:line="360" w:lineRule="auto"/>
              <w:rPr>
                <w:color w:val="222222"/>
              </w:rPr>
            </w:pPr>
            <w:r w:rsidRPr="3A388F9E">
              <w:rPr>
                <w:color w:val="222222"/>
              </w:rPr>
              <w:t>578500</w:t>
            </w:r>
          </w:p>
        </w:tc>
        <w:tc>
          <w:tcPr>
            <w:tcW w:w="1337" w:type="dxa"/>
          </w:tcPr>
          <w:p w14:paraId="67B66827" w14:textId="77777777" w:rsidR="00834CAF" w:rsidRPr="00834CAF" w:rsidRDefault="00834CAF" w:rsidP="00212F36">
            <w:pPr>
              <w:spacing w:line="360" w:lineRule="auto"/>
              <w:rPr>
                <w:color w:val="222222"/>
              </w:rPr>
            </w:pPr>
            <w:r w:rsidRPr="3A388F9E">
              <w:rPr>
                <w:color w:val="222222"/>
              </w:rPr>
              <w:t>0.8396</w:t>
            </w:r>
          </w:p>
        </w:tc>
        <w:tc>
          <w:tcPr>
            <w:tcW w:w="1337" w:type="dxa"/>
          </w:tcPr>
          <w:p w14:paraId="5BC69DAC" w14:textId="77777777" w:rsidR="00834CAF" w:rsidRPr="00834CAF" w:rsidRDefault="00834CAF" w:rsidP="00212F36">
            <w:pPr>
              <w:spacing w:line="360" w:lineRule="auto"/>
              <w:rPr>
                <w:color w:val="222222"/>
              </w:rPr>
            </w:pPr>
            <w:r w:rsidRPr="3A388F9E">
              <w:rPr>
                <w:color w:val="222222"/>
              </w:rPr>
              <w:t>493265</w:t>
            </w:r>
          </w:p>
        </w:tc>
      </w:tr>
      <w:tr w:rsidR="00834CAF" w:rsidRPr="00834CAF" w14:paraId="2FD40A1B" w14:textId="77777777" w:rsidTr="3A388F9E">
        <w:trPr>
          <w:trHeight w:val="300"/>
        </w:trPr>
        <w:tc>
          <w:tcPr>
            <w:tcW w:w="1337" w:type="dxa"/>
          </w:tcPr>
          <w:p w14:paraId="0928B667" w14:textId="77777777" w:rsidR="00834CAF" w:rsidRPr="00834CAF" w:rsidRDefault="00834CAF" w:rsidP="00212F36">
            <w:pPr>
              <w:spacing w:line="360" w:lineRule="auto"/>
              <w:rPr>
                <w:color w:val="222222"/>
              </w:rPr>
            </w:pPr>
            <w:r w:rsidRPr="3A388F9E">
              <w:rPr>
                <w:color w:val="222222"/>
              </w:rPr>
              <w:t>4</w:t>
            </w:r>
          </w:p>
        </w:tc>
        <w:tc>
          <w:tcPr>
            <w:tcW w:w="1337" w:type="dxa"/>
          </w:tcPr>
          <w:p w14:paraId="79EA4E3A" w14:textId="77777777" w:rsidR="00834CAF" w:rsidRPr="00834CAF" w:rsidRDefault="00834CAF" w:rsidP="00212F36">
            <w:pPr>
              <w:spacing w:line="360" w:lineRule="auto"/>
              <w:rPr>
                <w:color w:val="222222"/>
              </w:rPr>
            </w:pPr>
            <w:r w:rsidRPr="3A388F9E">
              <w:rPr>
                <w:color w:val="222222"/>
              </w:rPr>
              <w:t>980000</w:t>
            </w:r>
          </w:p>
        </w:tc>
        <w:tc>
          <w:tcPr>
            <w:tcW w:w="1337" w:type="dxa"/>
          </w:tcPr>
          <w:p w14:paraId="2CC80BD8" w14:textId="77777777" w:rsidR="00834CAF" w:rsidRPr="00834CAF" w:rsidRDefault="00834CAF" w:rsidP="00212F36">
            <w:pPr>
              <w:spacing w:line="360" w:lineRule="auto"/>
              <w:rPr>
                <w:color w:val="222222"/>
              </w:rPr>
            </w:pPr>
            <w:r w:rsidRPr="3A388F9E">
              <w:rPr>
                <w:color w:val="222222"/>
              </w:rPr>
              <w:t>200000</w:t>
            </w:r>
          </w:p>
        </w:tc>
        <w:tc>
          <w:tcPr>
            <w:tcW w:w="1485" w:type="dxa"/>
          </w:tcPr>
          <w:p w14:paraId="117B3237" w14:textId="77777777" w:rsidR="00834CAF" w:rsidRPr="00834CAF" w:rsidRDefault="00834CAF" w:rsidP="00212F36">
            <w:pPr>
              <w:spacing w:line="360" w:lineRule="auto"/>
              <w:rPr>
                <w:color w:val="222222"/>
              </w:rPr>
            </w:pPr>
            <w:r w:rsidRPr="3A388F9E">
              <w:rPr>
                <w:color w:val="222222"/>
              </w:rPr>
              <w:t>112500</w:t>
            </w:r>
          </w:p>
        </w:tc>
        <w:tc>
          <w:tcPr>
            <w:tcW w:w="1189" w:type="dxa"/>
          </w:tcPr>
          <w:p w14:paraId="3E422C2A" w14:textId="77777777" w:rsidR="00834CAF" w:rsidRPr="00834CAF" w:rsidRDefault="00834CAF" w:rsidP="00212F36">
            <w:pPr>
              <w:spacing w:line="360" w:lineRule="auto"/>
              <w:rPr>
                <w:color w:val="222222"/>
              </w:rPr>
            </w:pPr>
            <w:r w:rsidRPr="3A388F9E">
              <w:rPr>
                <w:color w:val="222222"/>
              </w:rPr>
              <w:t>867500</w:t>
            </w:r>
          </w:p>
        </w:tc>
        <w:tc>
          <w:tcPr>
            <w:tcW w:w="1337" w:type="dxa"/>
          </w:tcPr>
          <w:p w14:paraId="0BA52C57" w14:textId="77777777" w:rsidR="00834CAF" w:rsidRPr="00834CAF" w:rsidRDefault="00834CAF" w:rsidP="00212F36">
            <w:pPr>
              <w:spacing w:line="360" w:lineRule="auto"/>
              <w:rPr>
                <w:color w:val="222222"/>
              </w:rPr>
            </w:pPr>
            <w:r w:rsidRPr="3A388F9E">
              <w:rPr>
                <w:color w:val="222222"/>
              </w:rPr>
              <w:t>0.7921</w:t>
            </w:r>
          </w:p>
        </w:tc>
        <w:tc>
          <w:tcPr>
            <w:tcW w:w="1337" w:type="dxa"/>
          </w:tcPr>
          <w:p w14:paraId="5AA2BA5B" w14:textId="77777777" w:rsidR="00834CAF" w:rsidRPr="00834CAF" w:rsidRDefault="00834CAF" w:rsidP="00212F36">
            <w:pPr>
              <w:spacing w:line="360" w:lineRule="auto"/>
              <w:rPr>
                <w:color w:val="222222"/>
              </w:rPr>
            </w:pPr>
            <w:r w:rsidRPr="3A388F9E">
              <w:rPr>
                <w:color w:val="222222"/>
              </w:rPr>
              <w:t>687091.75</w:t>
            </w:r>
          </w:p>
        </w:tc>
      </w:tr>
      <w:tr w:rsidR="00834CAF" w:rsidRPr="00834CAF" w14:paraId="2EBDDA4A" w14:textId="77777777" w:rsidTr="3A388F9E">
        <w:trPr>
          <w:trHeight w:val="300"/>
        </w:trPr>
        <w:tc>
          <w:tcPr>
            <w:tcW w:w="1337" w:type="dxa"/>
          </w:tcPr>
          <w:p w14:paraId="74946780" w14:textId="77777777" w:rsidR="00834CAF" w:rsidRPr="00834CAF" w:rsidRDefault="00834CAF" w:rsidP="00212F36">
            <w:pPr>
              <w:spacing w:line="360" w:lineRule="auto"/>
              <w:rPr>
                <w:color w:val="222222"/>
              </w:rPr>
            </w:pPr>
            <w:r w:rsidRPr="3A388F9E">
              <w:rPr>
                <w:color w:val="222222"/>
              </w:rPr>
              <w:t>5</w:t>
            </w:r>
          </w:p>
        </w:tc>
        <w:tc>
          <w:tcPr>
            <w:tcW w:w="1337" w:type="dxa"/>
          </w:tcPr>
          <w:p w14:paraId="7C539474" w14:textId="77777777" w:rsidR="00834CAF" w:rsidRPr="00834CAF" w:rsidRDefault="00834CAF" w:rsidP="00212F36">
            <w:pPr>
              <w:spacing w:line="360" w:lineRule="auto"/>
              <w:rPr>
                <w:color w:val="222222"/>
              </w:rPr>
            </w:pPr>
          </w:p>
        </w:tc>
        <w:tc>
          <w:tcPr>
            <w:tcW w:w="1337" w:type="dxa"/>
          </w:tcPr>
          <w:p w14:paraId="2D732931" w14:textId="77777777" w:rsidR="00834CAF" w:rsidRPr="00834CAF" w:rsidRDefault="00834CAF" w:rsidP="00212F36">
            <w:pPr>
              <w:spacing w:line="360" w:lineRule="auto"/>
              <w:rPr>
                <w:color w:val="222222"/>
              </w:rPr>
            </w:pPr>
          </w:p>
        </w:tc>
        <w:tc>
          <w:tcPr>
            <w:tcW w:w="1485" w:type="dxa"/>
          </w:tcPr>
          <w:p w14:paraId="36000ACD" w14:textId="77777777" w:rsidR="00834CAF" w:rsidRPr="00834CAF" w:rsidRDefault="00834CAF" w:rsidP="00212F36">
            <w:pPr>
              <w:spacing w:line="360" w:lineRule="auto"/>
              <w:rPr>
                <w:color w:val="222222"/>
              </w:rPr>
            </w:pPr>
            <w:r w:rsidRPr="3A388F9E">
              <w:rPr>
                <w:color w:val="222222"/>
              </w:rPr>
              <w:t>[195000]</w:t>
            </w:r>
          </w:p>
        </w:tc>
        <w:tc>
          <w:tcPr>
            <w:tcW w:w="1189" w:type="dxa"/>
          </w:tcPr>
          <w:p w14:paraId="3AAB37AF" w14:textId="77777777" w:rsidR="00834CAF" w:rsidRPr="00834CAF" w:rsidRDefault="00834CAF" w:rsidP="00212F36">
            <w:pPr>
              <w:spacing w:line="360" w:lineRule="auto"/>
              <w:rPr>
                <w:color w:val="222222"/>
              </w:rPr>
            </w:pPr>
            <w:r w:rsidRPr="3A388F9E">
              <w:rPr>
                <w:color w:val="222222"/>
              </w:rPr>
              <w:t>[195000]</w:t>
            </w:r>
          </w:p>
        </w:tc>
        <w:tc>
          <w:tcPr>
            <w:tcW w:w="1337" w:type="dxa"/>
          </w:tcPr>
          <w:p w14:paraId="55840CEA" w14:textId="77777777" w:rsidR="00834CAF" w:rsidRPr="00834CAF" w:rsidRDefault="00834CAF" w:rsidP="00212F36">
            <w:pPr>
              <w:spacing w:line="360" w:lineRule="auto"/>
              <w:rPr>
                <w:color w:val="222222"/>
              </w:rPr>
            </w:pPr>
            <w:r w:rsidRPr="3A388F9E">
              <w:rPr>
                <w:color w:val="222222"/>
              </w:rPr>
              <w:t>0.7473</w:t>
            </w:r>
          </w:p>
        </w:tc>
        <w:tc>
          <w:tcPr>
            <w:tcW w:w="1337" w:type="dxa"/>
          </w:tcPr>
          <w:p w14:paraId="45F04CC4" w14:textId="77777777" w:rsidR="00834CAF" w:rsidRPr="00834CAF" w:rsidRDefault="00834CAF" w:rsidP="00212F36">
            <w:pPr>
              <w:spacing w:line="360" w:lineRule="auto"/>
              <w:rPr>
                <w:color w:val="222222"/>
              </w:rPr>
            </w:pPr>
            <w:r w:rsidRPr="3A388F9E">
              <w:rPr>
                <w:color w:val="222222"/>
              </w:rPr>
              <w:t>[145723.5]</w:t>
            </w:r>
          </w:p>
        </w:tc>
      </w:tr>
      <w:tr w:rsidR="00834CAF" w:rsidRPr="00834CAF" w14:paraId="48A98561" w14:textId="77777777" w:rsidTr="3A388F9E">
        <w:trPr>
          <w:trHeight w:val="300"/>
        </w:trPr>
        <w:tc>
          <w:tcPr>
            <w:tcW w:w="1337" w:type="dxa"/>
          </w:tcPr>
          <w:p w14:paraId="446C0F9D" w14:textId="77777777" w:rsidR="00834CAF" w:rsidRPr="00834CAF" w:rsidRDefault="00834CAF" w:rsidP="00212F36">
            <w:pPr>
              <w:spacing w:line="360" w:lineRule="auto"/>
              <w:rPr>
                <w:color w:val="222222"/>
              </w:rPr>
            </w:pPr>
            <w:r w:rsidRPr="3A388F9E">
              <w:rPr>
                <w:color w:val="222222"/>
              </w:rPr>
              <w:t>NPV</w:t>
            </w:r>
          </w:p>
        </w:tc>
        <w:tc>
          <w:tcPr>
            <w:tcW w:w="1337" w:type="dxa"/>
          </w:tcPr>
          <w:p w14:paraId="009FE5DC" w14:textId="77777777" w:rsidR="00834CAF" w:rsidRPr="00834CAF" w:rsidRDefault="00834CAF" w:rsidP="00212F36">
            <w:pPr>
              <w:spacing w:line="360" w:lineRule="auto"/>
              <w:rPr>
                <w:color w:val="222222"/>
              </w:rPr>
            </w:pPr>
          </w:p>
        </w:tc>
        <w:tc>
          <w:tcPr>
            <w:tcW w:w="1337" w:type="dxa"/>
          </w:tcPr>
          <w:p w14:paraId="1141EB03" w14:textId="77777777" w:rsidR="00834CAF" w:rsidRPr="00834CAF" w:rsidRDefault="00834CAF" w:rsidP="00212F36">
            <w:pPr>
              <w:spacing w:line="360" w:lineRule="auto"/>
              <w:rPr>
                <w:color w:val="222222"/>
              </w:rPr>
            </w:pPr>
          </w:p>
        </w:tc>
        <w:tc>
          <w:tcPr>
            <w:tcW w:w="1485" w:type="dxa"/>
          </w:tcPr>
          <w:p w14:paraId="28E18D83" w14:textId="77777777" w:rsidR="00834CAF" w:rsidRPr="00834CAF" w:rsidRDefault="00834CAF" w:rsidP="00212F36">
            <w:pPr>
              <w:spacing w:line="360" w:lineRule="auto"/>
              <w:rPr>
                <w:color w:val="222222"/>
              </w:rPr>
            </w:pPr>
          </w:p>
        </w:tc>
        <w:tc>
          <w:tcPr>
            <w:tcW w:w="1189" w:type="dxa"/>
          </w:tcPr>
          <w:p w14:paraId="6FFE9B23" w14:textId="77777777" w:rsidR="00834CAF" w:rsidRPr="00834CAF" w:rsidRDefault="00834CAF" w:rsidP="00212F36">
            <w:pPr>
              <w:spacing w:line="360" w:lineRule="auto"/>
              <w:rPr>
                <w:color w:val="222222"/>
              </w:rPr>
            </w:pPr>
          </w:p>
        </w:tc>
        <w:tc>
          <w:tcPr>
            <w:tcW w:w="1337" w:type="dxa"/>
          </w:tcPr>
          <w:p w14:paraId="15928D48" w14:textId="77777777" w:rsidR="00834CAF" w:rsidRPr="00834CAF" w:rsidRDefault="00834CAF" w:rsidP="00212F36">
            <w:pPr>
              <w:spacing w:line="360" w:lineRule="auto"/>
              <w:rPr>
                <w:color w:val="222222"/>
              </w:rPr>
            </w:pPr>
          </w:p>
        </w:tc>
        <w:tc>
          <w:tcPr>
            <w:tcW w:w="1337" w:type="dxa"/>
          </w:tcPr>
          <w:p w14:paraId="3242D31B" w14:textId="77777777" w:rsidR="00834CAF" w:rsidRPr="00834CAF" w:rsidRDefault="00834CAF" w:rsidP="00212F36">
            <w:pPr>
              <w:spacing w:line="360" w:lineRule="auto"/>
              <w:rPr>
                <w:color w:val="222222"/>
              </w:rPr>
            </w:pPr>
            <w:r w:rsidRPr="3A388F9E">
              <w:rPr>
                <w:color w:val="222222"/>
              </w:rPr>
              <w:t>767993.23</w:t>
            </w:r>
          </w:p>
        </w:tc>
      </w:tr>
    </w:tbl>
    <w:p w14:paraId="2A6EBA86" w14:textId="77777777" w:rsidR="00834CAF" w:rsidRPr="00834CAF" w:rsidRDefault="00834CAF" w:rsidP="00212F36">
      <w:pPr>
        <w:spacing w:before="240" w:after="240" w:line="360" w:lineRule="auto"/>
        <w:rPr>
          <w:color w:val="222222"/>
        </w:rPr>
      </w:pPr>
      <w:r w:rsidRPr="3A388F9E">
        <w:rPr>
          <w:color w:val="222222"/>
        </w:rPr>
        <w:lastRenderedPageBreak/>
        <w:t>Option B's Net Present Value is £767,993.25, according to the calculation. Significant value creation is indicated by this strong positive net present value.</w:t>
      </w:r>
    </w:p>
    <w:p w14:paraId="74F669D0" w14:textId="77777777" w:rsidR="00834CAF" w:rsidRPr="00834CAF" w:rsidRDefault="00834CAF" w:rsidP="00212F36">
      <w:pPr>
        <w:spacing w:line="360" w:lineRule="auto"/>
        <w:rPr>
          <w:rFonts w:asciiTheme="minorHAnsi" w:eastAsiaTheme="majorEastAsia" w:hAnsiTheme="minorHAnsi" w:cstheme="majorBidi"/>
          <w:b/>
          <w:color w:val="595959" w:themeColor="text1" w:themeTint="A6"/>
          <w:spacing w:val="15"/>
          <w:sz w:val="28"/>
          <w:szCs w:val="28"/>
        </w:rPr>
      </w:pPr>
      <w:r w:rsidRPr="75F961E9">
        <w:rPr>
          <w:rFonts w:asciiTheme="minorHAnsi" w:eastAsiaTheme="majorEastAsia" w:hAnsiTheme="minorHAnsi" w:cstheme="majorBidi"/>
          <w:b/>
          <w:color w:val="595959" w:themeColor="text1" w:themeTint="A6"/>
          <w:spacing w:val="15"/>
          <w:sz w:val="28"/>
          <w:szCs w:val="28"/>
        </w:rPr>
        <w:t>Option C: Produce Curtains and Roman Blinds</w:t>
      </w:r>
    </w:p>
    <w:p w14:paraId="2C46472D" w14:textId="77777777" w:rsidR="00834CAF" w:rsidRPr="00834CAF" w:rsidRDefault="00834CAF" w:rsidP="00212F36">
      <w:pPr>
        <w:spacing w:before="240" w:after="240" w:line="360" w:lineRule="auto"/>
        <w:rPr>
          <w:color w:val="222222"/>
        </w:rPr>
      </w:pPr>
      <w:r w:rsidRPr="3A388F9E">
        <w:rPr>
          <w:color w:val="222222"/>
        </w:rPr>
        <w:t>This option requires the largest initial expenditure of £1,600,000. The annual capital allowance is £1,600,000 * 20% = £320,000.</w:t>
      </w:r>
    </w:p>
    <w:p w14:paraId="1F255182" w14:textId="77777777" w:rsidR="00834CAF" w:rsidRPr="00834CAF" w:rsidRDefault="00834CAF" w:rsidP="00212F36">
      <w:pPr>
        <w:spacing w:before="240" w:after="240" w:line="360" w:lineRule="auto"/>
        <w:rPr>
          <w:color w:val="222222"/>
        </w:rPr>
      </w:pPr>
      <w:r w:rsidRPr="3A388F9E">
        <w:rPr>
          <w:color w:val="222222"/>
        </w:rPr>
        <w:t>The NPV calculation for Option C is:</w:t>
      </w:r>
    </w:p>
    <w:tbl>
      <w:tblPr>
        <w:tblStyle w:val="TableGrid"/>
        <w:tblW w:w="0" w:type="auto"/>
        <w:tblLayout w:type="fixed"/>
        <w:tblLook w:val="06A0" w:firstRow="1" w:lastRow="0" w:firstColumn="1" w:lastColumn="0" w:noHBand="1" w:noVBand="1"/>
      </w:tblPr>
      <w:tblGrid>
        <w:gridCol w:w="1337"/>
        <w:gridCol w:w="1337"/>
        <w:gridCol w:w="1337"/>
        <w:gridCol w:w="1425"/>
        <w:gridCol w:w="1350"/>
        <w:gridCol w:w="1236"/>
        <w:gridCol w:w="1455"/>
      </w:tblGrid>
      <w:tr w:rsidR="00834CAF" w:rsidRPr="00834CAF" w14:paraId="1CFA5A12" w14:textId="77777777" w:rsidTr="3A388F9E">
        <w:trPr>
          <w:trHeight w:val="300"/>
        </w:trPr>
        <w:tc>
          <w:tcPr>
            <w:tcW w:w="1337" w:type="dxa"/>
          </w:tcPr>
          <w:p w14:paraId="75B498A1" w14:textId="77777777" w:rsidR="00834CAF" w:rsidRPr="00834CAF" w:rsidRDefault="00834CAF" w:rsidP="00212F36">
            <w:pPr>
              <w:spacing w:line="360" w:lineRule="auto"/>
              <w:rPr>
                <w:color w:val="222222"/>
              </w:rPr>
            </w:pPr>
            <w:r w:rsidRPr="3A388F9E">
              <w:rPr>
                <w:color w:val="222222"/>
              </w:rPr>
              <w:t xml:space="preserve">Periods </w:t>
            </w:r>
          </w:p>
        </w:tc>
        <w:tc>
          <w:tcPr>
            <w:tcW w:w="1337" w:type="dxa"/>
          </w:tcPr>
          <w:p w14:paraId="2C503F5E" w14:textId="77777777" w:rsidR="00834CAF" w:rsidRPr="00834CAF" w:rsidRDefault="00834CAF" w:rsidP="00212F36">
            <w:pPr>
              <w:spacing w:line="360" w:lineRule="auto"/>
              <w:rPr>
                <w:color w:val="222222"/>
              </w:rPr>
            </w:pPr>
            <w:r w:rsidRPr="3A388F9E">
              <w:rPr>
                <w:color w:val="222222"/>
              </w:rPr>
              <w:t xml:space="preserve">Cash Flow [£) </w:t>
            </w:r>
          </w:p>
        </w:tc>
        <w:tc>
          <w:tcPr>
            <w:tcW w:w="1337" w:type="dxa"/>
          </w:tcPr>
          <w:p w14:paraId="1D9BBBC3" w14:textId="77777777" w:rsidR="00834CAF" w:rsidRPr="00834CAF" w:rsidRDefault="00834CAF" w:rsidP="00212F36">
            <w:pPr>
              <w:spacing w:line="360" w:lineRule="auto"/>
              <w:rPr>
                <w:color w:val="222222"/>
              </w:rPr>
            </w:pPr>
            <w:r w:rsidRPr="3A388F9E">
              <w:rPr>
                <w:color w:val="222222"/>
              </w:rPr>
              <w:t>Capital Allowance</w:t>
            </w:r>
          </w:p>
        </w:tc>
        <w:tc>
          <w:tcPr>
            <w:tcW w:w="1425" w:type="dxa"/>
          </w:tcPr>
          <w:p w14:paraId="7A7EEDAB" w14:textId="77777777" w:rsidR="00834CAF" w:rsidRPr="00834CAF" w:rsidRDefault="00834CAF" w:rsidP="00212F36">
            <w:pPr>
              <w:spacing w:line="360" w:lineRule="auto"/>
              <w:rPr>
                <w:color w:val="222222"/>
              </w:rPr>
            </w:pPr>
            <w:r w:rsidRPr="3A388F9E">
              <w:rPr>
                <w:color w:val="222222"/>
              </w:rPr>
              <w:t>Corporation Tax [25%]</w:t>
            </w:r>
          </w:p>
        </w:tc>
        <w:tc>
          <w:tcPr>
            <w:tcW w:w="1350" w:type="dxa"/>
          </w:tcPr>
          <w:p w14:paraId="7270C469" w14:textId="77777777" w:rsidR="00834CAF" w:rsidRPr="00834CAF" w:rsidRDefault="00834CAF" w:rsidP="00212F36">
            <w:pPr>
              <w:spacing w:line="360" w:lineRule="auto"/>
              <w:rPr>
                <w:color w:val="222222"/>
              </w:rPr>
            </w:pPr>
            <w:r w:rsidRPr="3A388F9E">
              <w:rPr>
                <w:color w:val="222222"/>
              </w:rPr>
              <w:t>Net Cash Flow [£)</w:t>
            </w:r>
          </w:p>
        </w:tc>
        <w:tc>
          <w:tcPr>
            <w:tcW w:w="1236" w:type="dxa"/>
          </w:tcPr>
          <w:p w14:paraId="6B2BE3C2" w14:textId="77777777" w:rsidR="00834CAF" w:rsidRPr="00834CAF" w:rsidRDefault="00834CAF" w:rsidP="00212F36">
            <w:pPr>
              <w:spacing w:line="360" w:lineRule="auto"/>
              <w:rPr>
                <w:color w:val="222222"/>
              </w:rPr>
            </w:pPr>
            <w:r w:rsidRPr="3A388F9E">
              <w:rPr>
                <w:color w:val="222222"/>
              </w:rPr>
              <w:t>Discount Factor [6%]</w:t>
            </w:r>
          </w:p>
        </w:tc>
        <w:tc>
          <w:tcPr>
            <w:tcW w:w="1455" w:type="dxa"/>
          </w:tcPr>
          <w:p w14:paraId="0DCD6DCF" w14:textId="77777777" w:rsidR="00834CAF" w:rsidRPr="00834CAF" w:rsidRDefault="00834CAF" w:rsidP="00212F36">
            <w:pPr>
              <w:spacing w:line="360" w:lineRule="auto"/>
              <w:rPr>
                <w:color w:val="222222"/>
              </w:rPr>
            </w:pPr>
            <w:r w:rsidRPr="3A388F9E">
              <w:rPr>
                <w:color w:val="222222"/>
              </w:rPr>
              <w:t>Present Value [£)</w:t>
            </w:r>
          </w:p>
        </w:tc>
      </w:tr>
      <w:tr w:rsidR="00834CAF" w:rsidRPr="00834CAF" w14:paraId="5D2BA395" w14:textId="77777777" w:rsidTr="3A388F9E">
        <w:trPr>
          <w:trHeight w:val="300"/>
        </w:trPr>
        <w:tc>
          <w:tcPr>
            <w:tcW w:w="1337" w:type="dxa"/>
          </w:tcPr>
          <w:p w14:paraId="4B5E1D09" w14:textId="77777777" w:rsidR="00834CAF" w:rsidRPr="00834CAF" w:rsidRDefault="00834CAF" w:rsidP="00212F36">
            <w:pPr>
              <w:spacing w:line="360" w:lineRule="auto"/>
              <w:rPr>
                <w:color w:val="222222"/>
              </w:rPr>
            </w:pPr>
            <w:r w:rsidRPr="3A388F9E">
              <w:rPr>
                <w:color w:val="222222"/>
              </w:rPr>
              <w:t>0</w:t>
            </w:r>
          </w:p>
        </w:tc>
        <w:tc>
          <w:tcPr>
            <w:tcW w:w="1337" w:type="dxa"/>
          </w:tcPr>
          <w:p w14:paraId="748CBA75" w14:textId="77777777" w:rsidR="00834CAF" w:rsidRPr="00834CAF" w:rsidRDefault="00834CAF" w:rsidP="00212F36">
            <w:pPr>
              <w:spacing w:line="360" w:lineRule="auto"/>
              <w:rPr>
                <w:color w:val="222222"/>
              </w:rPr>
            </w:pPr>
          </w:p>
        </w:tc>
        <w:tc>
          <w:tcPr>
            <w:tcW w:w="1337" w:type="dxa"/>
          </w:tcPr>
          <w:p w14:paraId="55DA12B0" w14:textId="77777777" w:rsidR="00834CAF" w:rsidRPr="00834CAF" w:rsidRDefault="00834CAF" w:rsidP="00212F36">
            <w:pPr>
              <w:spacing w:line="360" w:lineRule="auto"/>
              <w:rPr>
                <w:color w:val="222222"/>
              </w:rPr>
            </w:pPr>
          </w:p>
        </w:tc>
        <w:tc>
          <w:tcPr>
            <w:tcW w:w="1425" w:type="dxa"/>
          </w:tcPr>
          <w:p w14:paraId="2A0BD144" w14:textId="77777777" w:rsidR="00834CAF" w:rsidRPr="00834CAF" w:rsidRDefault="00834CAF" w:rsidP="00212F36">
            <w:pPr>
              <w:spacing w:line="360" w:lineRule="auto"/>
              <w:rPr>
                <w:color w:val="222222"/>
              </w:rPr>
            </w:pPr>
          </w:p>
        </w:tc>
        <w:tc>
          <w:tcPr>
            <w:tcW w:w="1350" w:type="dxa"/>
          </w:tcPr>
          <w:p w14:paraId="2267E3B0" w14:textId="77777777" w:rsidR="00834CAF" w:rsidRPr="00834CAF" w:rsidRDefault="00834CAF" w:rsidP="00212F36">
            <w:pPr>
              <w:spacing w:line="360" w:lineRule="auto"/>
              <w:rPr>
                <w:color w:val="222222"/>
              </w:rPr>
            </w:pPr>
            <w:r w:rsidRPr="3A388F9E">
              <w:rPr>
                <w:color w:val="222222"/>
              </w:rPr>
              <w:t>[1600000]</w:t>
            </w:r>
          </w:p>
        </w:tc>
        <w:tc>
          <w:tcPr>
            <w:tcW w:w="1236" w:type="dxa"/>
          </w:tcPr>
          <w:p w14:paraId="0696A371" w14:textId="77777777" w:rsidR="00834CAF" w:rsidRPr="00834CAF" w:rsidRDefault="00834CAF" w:rsidP="00212F36">
            <w:pPr>
              <w:spacing w:line="360" w:lineRule="auto"/>
              <w:rPr>
                <w:color w:val="222222"/>
              </w:rPr>
            </w:pPr>
            <w:r w:rsidRPr="3A388F9E">
              <w:rPr>
                <w:color w:val="222222"/>
              </w:rPr>
              <w:t>10000</w:t>
            </w:r>
          </w:p>
        </w:tc>
        <w:tc>
          <w:tcPr>
            <w:tcW w:w="1455" w:type="dxa"/>
          </w:tcPr>
          <w:p w14:paraId="5C08EAFC" w14:textId="77777777" w:rsidR="00834CAF" w:rsidRPr="00834CAF" w:rsidRDefault="00834CAF" w:rsidP="00212F36">
            <w:pPr>
              <w:spacing w:line="360" w:lineRule="auto"/>
              <w:rPr>
                <w:color w:val="222222"/>
              </w:rPr>
            </w:pPr>
            <w:r w:rsidRPr="3A388F9E">
              <w:rPr>
                <w:color w:val="222222"/>
              </w:rPr>
              <w:t>1600000</w:t>
            </w:r>
          </w:p>
        </w:tc>
      </w:tr>
      <w:tr w:rsidR="00834CAF" w:rsidRPr="00834CAF" w14:paraId="58191145" w14:textId="77777777" w:rsidTr="3A388F9E">
        <w:trPr>
          <w:trHeight w:val="300"/>
        </w:trPr>
        <w:tc>
          <w:tcPr>
            <w:tcW w:w="1337" w:type="dxa"/>
          </w:tcPr>
          <w:p w14:paraId="6E2F6364" w14:textId="77777777" w:rsidR="00834CAF" w:rsidRPr="00834CAF" w:rsidRDefault="00834CAF" w:rsidP="00212F36">
            <w:pPr>
              <w:spacing w:line="360" w:lineRule="auto"/>
              <w:rPr>
                <w:color w:val="222222"/>
              </w:rPr>
            </w:pPr>
            <w:r w:rsidRPr="3A388F9E">
              <w:rPr>
                <w:color w:val="222222"/>
              </w:rPr>
              <w:t>1</w:t>
            </w:r>
          </w:p>
        </w:tc>
        <w:tc>
          <w:tcPr>
            <w:tcW w:w="1337" w:type="dxa"/>
          </w:tcPr>
          <w:p w14:paraId="2B04F27C" w14:textId="77777777" w:rsidR="00834CAF" w:rsidRPr="00834CAF" w:rsidRDefault="00834CAF" w:rsidP="00212F36">
            <w:pPr>
              <w:spacing w:line="360" w:lineRule="auto"/>
              <w:rPr>
                <w:color w:val="222222"/>
              </w:rPr>
            </w:pPr>
            <w:r w:rsidRPr="3A388F9E">
              <w:rPr>
                <w:color w:val="222222"/>
              </w:rPr>
              <w:t>400000</w:t>
            </w:r>
          </w:p>
        </w:tc>
        <w:tc>
          <w:tcPr>
            <w:tcW w:w="1337" w:type="dxa"/>
          </w:tcPr>
          <w:p w14:paraId="77D73BF6" w14:textId="77777777" w:rsidR="00834CAF" w:rsidRPr="00834CAF" w:rsidRDefault="00834CAF" w:rsidP="00212F36">
            <w:pPr>
              <w:spacing w:line="360" w:lineRule="auto"/>
              <w:rPr>
                <w:color w:val="222222"/>
              </w:rPr>
            </w:pPr>
            <w:r w:rsidRPr="3A388F9E">
              <w:rPr>
                <w:color w:val="222222"/>
              </w:rPr>
              <w:t>320000</w:t>
            </w:r>
          </w:p>
        </w:tc>
        <w:tc>
          <w:tcPr>
            <w:tcW w:w="1425" w:type="dxa"/>
          </w:tcPr>
          <w:p w14:paraId="1724400F" w14:textId="77777777" w:rsidR="00834CAF" w:rsidRPr="00834CAF" w:rsidRDefault="00834CAF" w:rsidP="00212F36">
            <w:pPr>
              <w:spacing w:line="360" w:lineRule="auto"/>
              <w:rPr>
                <w:color w:val="222222"/>
              </w:rPr>
            </w:pPr>
          </w:p>
        </w:tc>
        <w:tc>
          <w:tcPr>
            <w:tcW w:w="1350" w:type="dxa"/>
          </w:tcPr>
          <w:p w14:paraId="64BA444E" w14:textId="77777777" w:rsidR="00834CAF" w:rsidRPr="00834CAF" w:rsidRDefault="00834CAF" w:rsidP="00212F36">
            <w:pPr>
              <w:spacing w:line="360" w:lineRule="auto"/>
              <w:rPr>
                <w:color w:val="222222"/>
              </w:rPr>
            </w:pPr>
            <w:r w:rsidRPr="3A388F9E">
              <w:rPr>
                <w:color w:val="222222"/>
              </w:rPr>
              <w:t>400000</w:t>
            </w:r>
          </w:p>
        </w:tc>
        <w:tc>
          <w:tcPr>
            <w:tcW w:w="1236" w:type="dxa"/>
          </w:tcPr>
          <w:p w14:paraId="58DB61C4" w14:textId="77777777" w:rsidR="00834CAF" w:rsidRPr="00834CAF" w:rsidRDefault="00834CAF" w:rsidP="00212F36">
            <w:pPr>
              <w:spacing w:line="360" w:lineRule="auto"/>
              <w:rPr>
                <w:color w:val="222222"/>
              </w:rPr>
            </w:pPr>
            <w:r w:rsidRPr="3A388F9E">
              <w:rPr>
                <w:color w:val="222222"/>
              </w:rPr>
              <w:t>0.9434</w:t>
            </w:r>
          </w:p>
        </w:tc>
        <w:tc>
          <w:tcPr>
            <w:tcW w:w="1455" w:type="dxa"/>
          </w:tcPr>
          <w:p w14:paraId="73427896" w14:textId="77777777" w:rsidR="00834CAF" w:rsidRPr="00834CAF" w:rsidRDefault="00834CAF" w:rsidP="00212F36">
            <w:pPr>
              <w:spacing w:line="360" w:lineRule="auto"/>
              <w:rPr>
                <w:color w:val="222222"/>
              </w:rPr>
            </w:pPr>
            <w:r w:rsidRPr="3A388F9E">
              <w:rPr>
                <w:color w:val="222222"/>
              </w:rPr>
              <w:t>377360</w:t>
            </w:r>
          </w:p>
        </w:tc>
      </w:tr>
      <w:tr w:rsidR="00834CAF" w:rsidRPr="00834CAF" w14:paraId="3C92A836" w14:textId="77777777" w:rsidTr="3A388F9E">
        <w:trPr>
          <w:trHeight w:val="300"/>
        </w:trPr>
        <w:tc>
          <w:tcPr>
            <w:tcW w:w="1337" w:type="dxa"/>
          </w:tcPr>
          <w:p w14:paraId="54B86ACB" w14:textId="77777777" w:rsidR="00834CAF" w:rsidRPr="00834CAF" w:rsidRDefault="00834CAF" w:rsidP="00212F36">
            <w:pPr>
              <w:spacing w:line="360" w:lineRule="auto"/>
              <w:rPr>
                <w:color w:val="222222"/>
              </w:rPr>
            </w:pPr>
            <w:r w:rsidRPr="3A388F9E">
              <w:rPr>
                <w:color w:val="222222"/>
              </w:rPr>
              <w:t>2</w:t>
            </w:r>
          </w:p>
        </w:tc>
        <w:tc>
          <w:tcPr>
            <w:tcW w:w="1337" w:type="dxa"/>
          </w:tcPr>
          <w:p w14:paraId="41E5C8B6" w14:textId="77777777" w:rsidR="00834CAF" w:rsidRPr="00834CAF" w:rsidRDefault="00834CAF" w:rsidP="00212F36">
            <w:pPr>
              <w:spacing w:line="360" w:lineRule="auto"/>
              <w:rPr>
                <w:color w:val="222222"/>
              </w:rPr>
            </w:pPr>
            <w:r w:rsidRPr="3A388F9E">
              <w:rPr>
                <w:color w:val="222222"/>
              </w:rPr>
              <w:t>700000</w:t>
            </w:r>
          </w:p>
        </w:tc>
        <w:tc>
          <w:tcPr>
            <w:tcW w:w="1337" w:type="dxa"/>
          </w:tcPr>
          <w:p w14:paraId="2751B53A" w14:textId="77777777" w:rsidR="00834CAF" w:rsidRPr="00834CAF" w:rsidRDefault="00834CAF" w:rsidP="00212F36">
            <w:pPr>
              <w:spacing w:line="360" w:lineRule="auto"/>
              <w:rPr>
                <w:color w:val="222222"/>
              </w:rPr>
            </w:pPr>
            <w:r w:rsidRPr="3A388F9E">
              <w:rPr>
                <w:color w:val="222222"/>
              </w:rPr>
              <w:t>320000</w:t>
            </w:r>
          </w:p>
        </w:tc>
        <w:tc>
          <w:tcPr>
            <w:tcW w:w="1425" w:type="dxa"/>
          </w:tcPr>
          <w:p w14:paraId="04A23403" w14:textId="77777777" w:rsidR="00834CAF" w:rsidRPr="00834CAF" w:rsidRDefault="00834CAF" w:rsidP="00212F36">
            <w:pPr>
              <w:spacing w:line="360" w:lineRule="auto"/>
              <w:rPr>
                <w:color w:val="222222"/>
              </w:rPr>
            </w:pPr>
            <w:r w:rsidRPr="3A388F9E">
              <w:rPr>
                <w:color w:val="222222"/>
              </w:rPr>
              <w:t>20000</w:t>
            </w:r>
          </w:p>
        </w:tc>
        <w:tc>
          <w:tcPr>
            <w:tcW w:w="1350" w:type="dxa"/>
          </w:tcPr>
          <w:p w14:paraId="5DB20492" w14:textId="77777777" w:rsidR="00834CAF" w:rsidRPr="00834CAF" w:rsidRDefault="00834CAF" w:rsidP="00212F36">
            <w:pPr>
              <w:spacing w:line="360" w:lineRule="auto"/>
              <w:rPr>
                <w:color w:val="222222"/>
              </w:rPr>
            </w:pPr>
            <w:r w:rsidRPr="3A388F9E">
              <w:rPr>
                <w:color w:val="222222"/>
              </w:rPr>
              <w:t>680000</w:t>
            </w:r>
          </w:p>
        </w:tc>
        <w:tc>
          <w:tcPr>
            <w:tcW w:w="1236" w:type="dxa"/>
          </w:tcPr>
          <w:p w14:paraId="116638B2" w14:textId="77777777" w:rsidR="00834CAF" w:rsidRPr="00834CAF" w:rsidRDefault="00834CAF" w:rsidP="00212F36">
            <w:pPr>
              <w:spacing w:line="360" w:lineRule="auto"/>
              <w:rPr>
                <w:color w:val="222222"/>
              </w:rPr>
            </w:pPr>
            <w:r w:rsidRPr="3A388F9E">
              <w:rPr>
                <w:color w:val="222222"/>
              </w:rPr>
              <w:t>0.8900</w:t>
            </w:r>
          </w:p>
        </w:tc>
        <w:tc>
          <w:tcPr>
            <w:tcW w:w="1455" w:type="dxa"/>
          </w:tcPr>
          <w:p w14:paraId="1999CE79" w14:textId="77777777" w:rsidR="00834CAF" w:rsidRPr="00834CAF" w:rsidRDefault="00834CAF" w:rsidP="00212F36">
            <w:pPr>
              <w:spacing w:line="360" w:lineRule="auto"/>
              <w:rPr>
                <w:color w:val="222222"/>
              </w:rPr>
            </w:pPr>
            <w:r w:rsidRPr="3A388F9E">
              <w:rPr>
                <w:color w:val="222222"/>
              </w:rPr>
              <w:t>605200</w:t>
            </w:r>
          </w:p>
        </w:tc>
      </w:tr>
      <w:tr w:rsidR="00834CAF" w:rsidRPr="00834CAF" w14:paraId="39EAA3ED" w14:textId="77777777" w:rsidTr="3A388F9E">
        <w:trPr>
          <w:trHeight w:val="300"/>
        </w:trPr>
        <w:tc>
          <w:tcPr>
            <w:tcW w:w="1337" w:type="dxa"/>
          </w:tcPr>
          <w:p w14:paraId="614BF88E" w14:textId="77777777" w:rsidR="00834CAF" w:rsidRPr="00834CAF" w:rsidRDefault="00834CAF" w:rsidP="00212F36">
            <w:pPr>
              <w:spacing w:line="360" w:lineRule="auto"/>
              <w:rPr>
                <w:color w:val="222222"/>
              </w:rPr>
            </w:pPr>
            <w:r w:rsidRPr="3A388F9E">
              <w:rPr>
                <w:color w:val="222222"/>
              </w:rPr>
              <w:t>3</w:t>
            </w:r>
          </w:p>
        </w:tc>
        <w:tc>
          <w:tcPr>
            <w:tcW w:w="1337" w:type="dxa"/>
          </w:tcPr>
          <w:p w14:paraId="3A8B50BA" w14:textId="77777777" w:rsidR="00834CAF" w:rsidRPr="00834CAF" w:rsidRDefault="00834CAF" w:rsidP="00212F36">
            <w:pPr>
              <w:spacing w:line="360" w:lineRule="auto"/>
              <w:rPr>
                <w:color w:val="222222"/>
              </w:rPr>
            </w:pPr>
            <w:r w:rsidRPr="3A388F9E">
              <w:rPr>
                <w:color w:val="222222"/>
              </w:rPr>
              <w:t>850000</w:t>
            </w:r>
          </w:p>
        </w:tc>
        <w:tc>
          <w:tcPr>
            <w:tcW w:w="1337" w:type="dxa"/>
          </w:tcPr>
          <w:p w14:paraId="0DA4D40D" w14:textId="77777777" w:rsidR="00834CAF" w:rsidRPr="00834CAF" w:rsidRDefault="00834CAF" w:rsidP="00212F36">
            <w:pPr>
              <w:spacing w:line="360" w:lineRule="auto"/>
              <w:rPr>
                <w:color w:val="222222"/>
              </w:rPr>
            </w:pPr>
            <w:r w:rsidRPr="3A388F9E">
              <w:rPr>
                <w:color w:val="222222"/>
              </w:rPr>
              <w:t>320000</w:t>
            </w:r>
          </w:p>
        </w:tc>
        <w:tc>
          <w:tcPr>
            <w:tcW w:w="1425" w:type="dxa"/>
          </w:tcPr>
          <w:p w14:paraId="0767C075" w14:textId="77777777" w:rsidR="00834CAF" w:rsidRPr="00834CAF" w:rsidRDefault="00834CAF" w:rsidP="00212F36">
            <w:pPr>
              <w:spacing w:line="360" w:lineRule="auto"/>
              <w:rPr>
                <w:color w:val="222222"/>
              </w:rPr>
            </w:pPr>
            <w:r w:rsidRPr="3A388F9E">
              <w:rPr>
                <w:color w:val="222222"/>
              </w:rPr>
              <w:t>950000</w:t>
            </w:r>
          </w:p>
        </w:tc>
        <w:tc>
          <w:tcPr>
            <w:tcW w:w="1350" w:type="dxa"/>
          </w:tcPr>
          <w:p w14:paraId="324EF1CA" w14:textId="77777777" w:rsidR="00834CAF" w:rsidRPr="00834CAF" w:rsidRDefault="00834CAF" w:rsidP="00212F36">
            <w:pPr>
              <w:spacing w:line="360" w:lineRule="auto"/>
              <w:rPr>
                <w:color w:val="222222"/>
              </w:rPr>
            </w:pPr>
            <w:r w:rsidRPr="3A388F9E">
              <w:rPr>
                <w:color w:val="222222"/>
              </w:rPr>
              <w:t>755000</w:t>
            </w:r>
          </w:p>
        </w:tc>
        <w:tc>
          <w:tcPr>
            <w:tcW w:w="1236" w:type="dxa"/>
          </w:tcPr>
          <w:p w14:paraId="199EAF72" w14:textId="77777777" w:rsidR="00834CAF" w:rsidRPr="00834CAF" w:rsidRDefault="00834CAF" w:rsidP="00212F36">
            <w:pPr>
              <w:spacing w:line="360" w:lineRule="auto"/>
              <w:rPr>
                <w:color w:val="222222"/>
              </w:rPr>
            </w:pPr>
            <w:r w:rsidRPr="3A388F9E">
              <w:rPr>
                <w:color w:val="222222"/>
              </w:rPr>
              <w:t>0.8396</w:t>
            </w:r>
          </w:p>
        </w:tc>
        <w:tc>
          <w:tcPr>
            <w:tcW w:w="1455" w:type="dxa"/>
          </w:tcPr>
          <w:p w14:paraId="77BD72D1" w14:textId="77777777" w:rsidR="00834CAF" w:rsidRPr="00834CAF" w:rsidRDefault="00834CAF" w:rsidP="00212F36">
            <w:pPr>
              <w:spacing w:line="360" w:lineRule="auto"/>
              <w:rPr>
                <w:color w:val="222222"/>
              </w:rPr>
            </w:pPr>
            <w:r w:rsidRPr="3A388F9E">
              <w:rPr>
                <w:color w:val="222222"/>
              </w:rPr>
              <w:t>633998</w:t>
            </w:r>
          </w:p>
        </w:tc>
      </w:tr>
      <w:tr w:rsidR="00834CAF" w:rsidRPr="00834CAF" w14:paraId="194AD3DA" w14:textId="77777777" w:rsidTr="3A388F9E">
        <w:trPr>
          <w:trHeight w:val="300"/>
        </w:trPr>
        <w:tc>
          <w:tcPr>
            <w:tcW w:w="1337" w:type="dxa"/>
          </w:tcPr>
          <w:p w14:paraId="799F996E" w14:textId="77777777" w:rsidR="00834CAF" w:rsidRPr="00834CAF" w:rsidRDefault="00834CAF" w:rsidP="00212F36">
            <w:pPr>
              <w:spacing w:line="360" w:lineRule="auto"/>
              <w:rPr>
                <w:color w:val="222222"/>
              </w:rPr>
            </w:pPr>
            <w:r w:rsidRPr="3A388F9E">
              <w:rPr>
                <w:color w:val="222222"/>
              </w:rPr>
              <w:t>4</w:t>
            </w:r>
          </w:p>
        </w:tc>
        <w:tc>
          <w:tcPr>
            <w:tcW w:w="1337" w:type="dxa"/>
          </w:tcPr>
          <w:p w14:paraId="7ACE0519" w14:textId="77777777" w:rsidR="00834CAF" w:rsidRPr="00834CAF" w:rsidRDefault="00834CAF" w:rsidP="00212F36">
            <w:pPr>
              <w:spacing w:line="360" w:lineRule="auto"/>
              <w:rPr>
                <w:color w:val="222222"/>
              </w:rPr>
            </w:pPr>
            <w:r w:rsidRPr="3A388F9E">
              <w:rPr>
                <w:color w:val="222222"/>
              </w:rPr>
              <w:t>110000</w:t>
            </w:r>
          </w:p>
        </w:tc>
        <w:tc>
          <w:tcPr>
            <w:tcW w:w="1337" w:type="dxa"/>
          </w:tcPr>
          <w:p w14:paraId="4CA67EC0" w14:textId="77777777" w:rsidR="00834CAF" w:rsidRPr="00834CAF" w:rsidRDefault="00834CAF" w:rsidP="00212F36">
            <w:pPr>
              <w:spacing w:line="360" w:lineRule="auto"/>
              <w:rPr>
                <w:color w:val="222222"/>
              </w:rPr>
            </w:pPr>
            <w:r w:rsidRPr="3A388F9E">
              <w:rPr>
                <w:color w:val="222222"/>
              </w:rPr>
              <w:t>320000</w:t>
            </w:r>
          </w:p>
        </w:tc>
        <w:tc>
          <w:tcPr>
            <w:tcW w:w="1425" w:type="dxa"/>
          </w:tcPr>
          <w:p w14:paraId="2A597088" w14:textId="77777777" w:rsidR="00834CAF" w:rsidRPr="00834CAF" w:rsidRDefault="00834CAF" w:rsidP="00212F36">
            <w:pPr>
              <w:spacing w:line="360" w:lineRule="auto"/>
              <w:rPr>
                <w:color w:val="222222"/>
              </w:rPr>
            </w:pPr>
            <w:r w:rsidRPr="3A388F9E">
              <w:rPr>
                <w:color w:val="222222"/>
              </w:rPr>
              <w:t>132000</w:t>
            </w:r>
          </w:p>
        </w:tc>
        <w:tc>
          <w:tcPr>
            <w:tcW w:w="1350" w:type="dxa"/>
          </w:tcPr>
          <w:p w14:paraId="443ED0A5" w14:textId="77777777" w:rsidR="00834CAF" w:rsidRPr="00834CAF" w:rsidRDefault="00834CAF" w:rsidP="00212F36">
            <w:pPr>
              <w:spacing w:line="360" w:lineRule="auto"/>
              <w:rPr>
                <w:color w:val="222222"/>
              </w:rPr>
            </w:pPr>
            <w:r w:rsidRPr="3A388F9E">
              <w:rPr>
                <w:color w:val="222222"/>
              </w:rPr>
              <w:t>967500</w:t>
            </w:r>
          </w:p>
        </w:tc>
        <w:tc>
          <w:tcPr>
            <w:tcW w:w="1236" w:type="dxa"/>
          </w:tcPr>
          <w:p w14:paraId="38D72F78" w14:textId="77777777" w:rsidR="00834CAF" w:rsidRPr="00834CAF" w:rsidRDefault="00834CAF" w:rsidP="00212F36">
            <w:pPr>
              <w:spacing w:line="360" w:lineRule="auto"/>
              <w:rPr>
                <w:color w:val="222222"/>
              </w:rPr>
            </w:pPr>
            <w:r w:rsidRPr="3A388F9E">
              <w:rPr>
                <w:color w:val="222222"/>
              </w:rPr>
              <w:t>0.7921</w:t>
            </w:r>
          </w:p>
        </w:tc>
        <w:tc>
          <w:tcPr>
            <w:tcW w:w="1455" w:type="dxa"/>
          </w:tcPr>
          <w:p w14:paraId="3244ED28" w14:textId="77777777" w:rsidR="00834CAF" w:rsidRPr="00834CAF" w:rsidRDefault="00834CAF" w:rsidP="00212F36">
            <w:pPr>
              <w:spacing w:line="360" w:lineRule="auto"/>
              <w:rPr>
                <w:color w:val="222222"/>
              </w:rPr>
            </w:pPr>
            <w:r w:rsidRPr="3A388F9E">
              <w:rPr>
                <w:color w:val="222222"/>
              </w:rPr>
              <w:t>766341.75</w:t>
            </w:r>
          </w:p>
        </w:tc>
      </w:tr>
      <w:tr w:rsidR="00834CAF" w:rsidRPr="00834CAF" w14:paraId="7DE20CD3" w14:textId="77777777" w:rsidTr="3A388F9E">
        <w:trPr>
          <w:trHeight w:val="300"/>
        </w:trPr>
        <w:tc>
          <w:tcPr>
            <w:tcW w:w="1337" w:type="dxa"/>
          </w:tcPr>
          <w:p w14:paraId="66AE0E23" w14:textId="77777777" w:rsidR="00834CAF" w:rsidRPr="00834CAF" w:rsidRDefault="00834CAF" w:rsidP="00212F36">
            <w:pPr>
              <w:spacing w:line="360" w:lineRule="auto"/>
              <w:rPr>
                <w:color w:val="222222"/>
              </w:rPr>
            </w:pPr>
            <w:r w:rsidRPr="3A388F9E">
              <w:rPr>
                <w:color w:val="222222"/>
              </w:rPr>
              <w:t>5</w:t>
            </w:r>
          </w:p>
        </w:tc>
        <w:tc>
          <w:tcPr>
            <w:tcW w:w="1337" w:type="dxa"/>
          </w:tcPr>
          <w:p w14:paraId="3E613A8B" w14:textId="77777777" w:rsidR="00834CAF" w:rsidRPr="00834CAF" w:rsidRDefault="00834CAF" w:rsidP="00212F36">
            <w:pPr>
              <w:spacing w:line="360" w:lineRule="auto"/>
              <w:rPr>
                <w:color w:val="222222"/>
              </w:rPr>
            </w:pPr>
          </w:p>
        </w:tc>
        <w:tc>
          <w:tcPr>
            <w:tcW w:w="1337" w:type="dxa"/>
          </w:tcPr>
          <w:p w14:paraId="330FBA91" w14:textId="77777777" w:rsidR="00834CAF" w:rsidRPr="00834CAF" w:rsidRDefault="00834CAF" w:rsidP="00212F36">
            <w:pPr>
              <w:spacing w:line="360" w:lineRule="auto"/>
              <w:rPr>
                <w:color w:val="222222"/>
              </w:rPr>
            </w:pPr>
          </w:p>
        </w:tc>
        <w:tc>
          <w:tcPr>
            <w:tcW w:w="1425" w:type="dxa"/>
          </w:tcPr>
          <w:p w14:paraId="7D751EDE" w14:textId="77777777" w:rsidR="00834CAF" w:rsidRPr="00834CAF" w:rsidRDefault="00834CAF" w:rsidP="00212F36">
            <w:pPr>
              <w:spacing w:line="360" w:lineRule="auto"/>
              <w:rPr>
                <w:color w:val="222222"/>
              </w:rPr>
            </w:pPr>
            <w:r w:rsidRPr="3A388F9E">
              <w:rPr>
                <w:color w:val="222222"/>
              </w:rPr>
              <w:t>[195000]</w:t>
            </w:r>
          </w:p>
        </w:tc>
        <w:tc>
          <w:tcPr>
            <w:tcW w:w="1350" w:type="dxa"/>
          </w:tcPr>
          <w:p w14:paraId="112E34D2" w14:textId="77777777" w:rsidR="00834CAF" w:rsidRPr="00834CAF" w:rsidRDefault="00834CAF" w:rsidP="00212F36">
            <w:pPr>
              <w:spacing w:line="360" w:lineRule="auto"/>
              <w:rPr>
                <w:color w:val="222222"/>
              </w:rPr>
            </w:pPr>
            <w:r w:rsidRPr="3A388F9E">
              <w:rPr>
                <w:color w:val="222222"/>
              </w:rPr>
              <w:t>[195000]</w:t>
            </w:r>
          </w:p>
        </w:tc>
        <w:tc>
          <w:tcPr>
            <w:tcW w:w="1236" w:type="dxa"/>
          </w:tcPr>
          <w:p w14:paraId="34AD0DAB" w14:textId="77777777" w:rsidR="00834CAF" w:rsidRPr="00834CAF" w:rsidRDefault="00834CAF" w:rsidP="00212F36">
            <w:pPr>
              <w:spacing w:line="360" w:lineRule="auto"/>
              <w:rPr>
                <w:color w:val="222222"/>
              </w:rPr>
            </w:pPr>
            <w:r w:rsidRPr="3A388F9E">
              <w:rPr>
                <w:color w:val="222222"/>
              </w:rPr>
              <w:t>0.7473</w:t>
            </w:r>
          </w:p>
        </w:tc>
        <w:tc>
          <w:tcPr>
            <w:tcW w:w="1455" w:type="dxa"/>
          </w:tcPr>
          <w:p w14:paraId="6DF2277E" w14:textId="77777777" w:rsidR="00834CAF" w:rsidRPr="00834CAF" w:rsidRDefault="00834CAF" w:rsidP="00212F36">
            <w:pPr>
              <w:spacing w:line="360" w:lineRule="auto"/>
              <w:rPr>
                <w:color w:val="222222"/>
              </w:rPr>
            </w:pPr>
            <w:r w:rsidRPr="3A388F9E">
              <w:rPr>
                <w:color w:val="222222"/>
              </w:rPr>
              <w:t>[145723.5]</w:t>
            </w:r>
          </w:p>
        </w:tc>
      </w:tr>
      <w:tr w:rsidR="00834CAF" w:rsidRPr="00834CAF" w14:paraId="327C7F22" w14:textId="77777777" w:rsidTr="3A388F9E">
        <w:trPr>
          <w:trHeight w:val="300"/>
        </w:trPr>
        <w:tc>
          <w:tcPr>
            <w:tcW w:w="1337" w:type="dxa"/>
          </w:tcPr>
          <w:p w14:paraId="6412E4D3" w14:textId="77777777" w:rsidR="00834CAF" w:rsidRPr="00834CAF" w:rsidRDefault="00834CAF" w:rsidP="00212F36">
            <w:pPr>
              <w:spacing w:line="360" w:lineRule="auto"/>
              <w:rPr>
                <w:color w:val="222222"/>
              </w:rPr>
            </w:pPr>
            <w:r w:rsidRPr="3A388F9E">
              <w:rPr>
                <w:color w:val="222222"/>
              </w:rPr>
              <w:t>NPV</w:t>
            </w:r>
          </w:p>
        </w:tc>
        <w:tc>
          <w:tcPr>
            <w:tcW w:w="1337" w:type="dxa"/>
          </w:tcPr>
          <w:p w14:paraId="43E15B54" w14:textId="77777777" w:rsidR="00834CAF" w:rsidRPr="00834CAF" w:rsidRDefault="00834CAF" w:rsidP="00212F36">
            <w:pPr>
              <w:spacing w:line="360" w:lineRule="auto"/>
              <w:rPr>
                <w:color w:val="222222"/>
              </w:rPr>
            </w:pPr>
          </w:p>
        </w:tc>
        <w:tc>
          <w:tcPr>
            <w:tcW w:w="1337" w:type="dxa"/>
          </w:tcPr>
          <w:p w14:paraId="377975D7" w14:textId="77777777" w:rsidR="00834CAF" w:rsidRPr="00834CAF" w:rsidRDefault="00834CAF" w:rsidP="00212F36">
            <w:pPr>
              <w:spacing w:line="360" w:lineRule="auto"/>
              <w:rPr>
                <w:color w:val="222222"/>
              </w:rPr>
            </w:pPr>
          </w:p>
        </w:tc>
        <w:tc>
          <w:tcPr>
            <w:tcW w:w="1425" w:type="dxa"/>
          </w:tcPr>
          <w:p w14:paraId="49AA8828" w14:textId="77777777" w:rsidR="00834CAF" w:rsidRPr="00834CAF" w:rsidRDefault="00834CAF" w:rsidP="00212F36">
            <w:pPr>
              <w:spacing w:line="360" w:lineRule="auto"/>
              <w:rPr>
                <w:color w:val="222222"/>
              </w:rPr>
            </w:pPr>
          </w:p>
        </w:tc>
        <w:tc>
          <w:tcPr>
            <w:tcW w:w="1350" w:type="dxa"/>
          </w:tcPr>
          <w:p w14:paraId="2E363236" w14:textId="77777777" w:rsidR="00834CAF" w:rsidRPr="00834CAF" w:rsidRDefault="00834CAF" w:rsidP="00212F36">
            <w:pPr>
              <w:spacing w:line="360" w:lineRule="auto"/>
              <w:rPr>
                <w:color w:val="222222"/>
              </w:rPr>
            </w:pPr>
          </w:p>
        </w:tc>
        <w:tc>
          <w:tcPr>
            <w:tcW w:w="1236" w:type="dxa"/>
          </w:tcPr>
          <w:p w14:paraId="703106A0" w14:textId="77777777" w:rsidR="00834CAF" w:rsidRPr="00834CAF" w:rsidRDefault="00834CAF" w:rsidP="00212F36">
            <w:pPr>
              <w:spacing w:line="360" w:lineRule="auto"/>
              <w:rPr>
                <w:color w:val="222222"/>
              </w:rPr>
            </w:pPr>
          </w:p>
        </w:tc>
        <w:tc>
          <w:tcPr>
            <w:tcW w:w="1455" w:type="dxa"/>
          </w:tcPr>
          <w:p w14:paraId="23D80D21" w14:textId="77777777" w:rsidR="00834CAF" w:rsidRPr="00834CAF" w:rsidRDefault="00834CAF" w:rsidP="00212F36">
            <w:pPr>
              <w:spacing w:line="360" w:lineRule="auto"/>
              <w:rPr>
                <w:color w:val="222222"/>
              </w:rPr>
            </w:pPr>
            <w:r w:rsidRPr="3A388F9E">
              <w:rPr>
                <w:color w:val="222222"/>
              </w:rPr>
              <w:t>637176.25</w:t>
            </w:r>
          </w:p>
        </w:tc>
      </w:tr>
    </w:tbl>
    <w:p w14:paraId="6D261484" w14:textId="77777777" w:rsidR="00834CAF" w:rsidRPr="00834CAF" w:rsidRDefault="00834CAF" w:rsidP="00212F36">
      <w:pPr>
        <w:spacing w:before="240" w:after="240" w:line="360" w:lineRule="auto"/>
        <w:rPr>
          <w:color w:val="222222"/>
        </w:rPr>
      </w:pPr>
      <w:r w:rsidRPr="3A388F9E">
        <w:rPr>
          <w:color w:val="222222"/>
        </w:rPr>
        <w:t>According to calculations, Option C's net present value is £637,176.25. Its financial viability is demonstrated by the positive net present value (NPV).</w:t>
      </w:r>
    </w:p>
    <w:p w14:paraId="68EDEBA2" w14:textId="77777777" w:rsidR="00834CAF" w:rsidRPr="00834CAF" w:rsidRDefault="00834CAF" w:rsidP="00212F36">
      <w:pPr>
        <w:spacing w:before="240" w:after="240" w:line="360" w:lineRule="auto"/>
        <w:rPr>
          <w:color w:val="222222"/>
        </w:rPr>
      </w:pPr>
      <w:r w:rsidRPr="3A388F9E">
        <w:rPr>
          <w:color w:val="222222"/>
        </w:rPr>
        <w:t>All three choices have positive net present values (NPVs), indicating that each project is both financially feasible and would add value to Jordons Plc if it were implemented. Nonetheless, there are notable differences in the NPV magnitudes. Maximising shareholder wealth is the aim of capital planning, and project B, assuming no capital limitations, has the biggest positive net present value [</w:t>
      </w:r>
      <w:proofErr w:type="spellStart"/>
      <w:r w:rsidRPr="3A388F9E">
        <w:rPr>
          <w:color w:val="222222"/>
        </w:rPr>
        <w:t>Bierman</w:t>
      </w:r>
      <w:proofErr w:type="spellEnd"/>
      <w:r w:rsidRPr="3A388F9E">
        <w:rPr>
          <w:color w:val="222222"/>
        </w:rPr>
        <w:t xml:space="preserve"> 2020].</w:t>
      </w:r>
    </w:p>
    <w:p w14:paraId="0A75A469" w14:textId="77777777" w:rsidR="00834CAF" w:rsidRPr="00834CAF" w:rsidRDefault="00834CAF" w:rsidP="00212F36">
      <w:pPr>
        <w:spacing w:before="240" w:after="240" w:line="360" w:lineRule="auto"/>
        <w:rPr>
          <w:rFonts w:eastAsiaTheme="majorEastAsia" w:cstheme="majorBidi"/>
          <w:b/>
          <w:bCs/>
          <w:color w:val="595959" w:themeColor="text1" w:themeTint="A6"/>
          <w:spacing w:val="15"/>
          <w:sz w:val="28"/>
          <w:szCs w:val="28"/>
        </w:rPr>
      </w:pPr>
      <w:r w:rsidRPr="3A388F9E">
        <w:rPr>
          <w:rFonts w:eastAsiaTheme="majorEastAsia" w:cstheme="majorBidi"/>
          <w:b/>
          <w:bCs/>
          <w:color w:val="595959" w:themeColor="text1" w:themeTint="A6"/>
          <w:spacing w:val="15"/>
          <w:sz w:val="28"/>
          <w:szCs w:val="28"/>
        </w:rPr>
        <w:t>Recommendation For Chosen Investment</w:t>
      </w:r>
    </w:p>
    <w:p w14:paraId="5E30FB9A" w14:textId="77777777" w:rsidR="00834CAF" w:rsidRPr="00834CAF" w:rsidRDefault="00834CAF" w:rsidP="00212F36">
      <w:pPr>
        <w:spacing w:line="360" w:lineRule="auto"/>
        <w:rPr>
          <w:color w:val="222222"/>
        </w:rPr>
      </w:pPr>
      <w:r w:rsidRPr="3A388F9E">
        <w:rPr>
          <w:color w:val="222222"/>
        </w:rPr>
        <w:t>Based on the Net Present Value (NPV) analysis, Option B: Develop Internet Sales is the recommended investment for Jordons Plc. Its recommendations are as follows:</w:t>
      </w:r>
    </w:p>
    <w:p w14:paraId="18312A46" w14:textId="77777777" w:rsidR="00834CAF" w:rsidRPr="00834CAF" w:rsidRDefault="00834CAF" w:rsidP="00212F36">
      <w:pPr>
        <w:spacing w:line="360" w:lineRule="auto"/>
        <w:rPr>
          <w:color w:val="222222"/>
        </w:rPr>
      </w:pPr>
      <w:r w:rsidRPr="3A388F9E">
        <w:rPr>
          <w:color w:val="222222"/>
        </w:rPr>
        <w:lastRenderedPageBreak/>
        <w:t xml:space="preserve">Option B is the most financially appealing option since it provides the largest rise in the company's value in current terms, even if all three options have positive net present values (NPVs) and are thus technically acceptable. </w:t>
      </w:r>
    </w:p>
    <w:p w14:paraId="312F856A" w14:textId="77777777" w:rsidR="00834CAF" w:rsidRPr="00834CAF" w:rsidRDefault="00834CAF" w:rsidP="00212F36">
      <w:pPr>
        <w:spacing w:line="360" w:lineRule="auto"/>
        <w:rPr>
          <w:color w:val="222222"/>
        </w:rPr>
      </w:pPr>
      <w:r w:rsidRPr="3A388F9E">
        <w:rPr>
          <w:color w:val="222222"/>
        </w:rPr>
        <w:t>Maximising shareholder wealth is any company's top financial goal. Jordons Plc directly connects its investment selection with this core objective by choosing the project that adds the highest benefit in the present [Wang 2021].</w:t>
      </w:r>
    </w:p>
    <w:p w14:paraId="071E0003" w14:textId="77777777" w:rsidR="00834CAF" w:rsidRPr="00834CAF" w:rsidRDefault="00834CAF" w:rsidP="00212F36">
      <w:pPr>
        <w:keepNext/>
        <w:keepLines/>
        <w:numPr>
          <w:ilvl w:val="0"/>
          <w:numId w:val="28"/>
        </w:numPr>
        <w:spacing w:before="360" w:after="80" w:line="360" w:lineRule="auto"/>
        <w:outlineLvl w:val="0"/>
        <w:rPr>
          <w:color w:val="222222"/>
          <w:sz w:val="28"/>
          <w:szCs w:val="28"/>
        </w:rPr>
      </w:pPr>
      <w:bookmarkStart w:id="15" w:name="_Toc2041839822"/>
      <w:r w:rsidRPr="3A388F9E">
        <w:rPr>
          <w:color w:val="0F4761" w:themeColor="accent1" w:themeShade="BF"/>
          <w:sz w:val="28"/>
          <w:szCs w:val="28"/>
        </w:rPr>
        <w:t>Internal Rate of Return (IRR) Analysis</w:t>
      </w:r>
      <w:bookmarkEnd w:id="15"/>
    </w:p>
    <w:p w14:paraId="24F33807" w14:textId="77777777" w:rsidR="00834CAF" w:rsidRPr="00834CAF" w:rsidRDefault="00834CAF" w:rsidP="00212F36">
      <w:pPr>
        <w:spacing w:line="360" w:lineRule="auto"/>
        <w:rPr>
          <w:color w:val="222222"/>
        </w:rPr>
      </w:pPr>
      <w:r w:rsidRPr="3A388F9E">
        <w:rPr>
          <w:color w:val="222222"/>
        </w:rPr>
        <w:t>This gives management an interpretation of the suggested Option B's significance by providing an approximate Internal Rate of Return (IRR). The discount rate at which a project's cash flows' Net Present Value (NPV) equals zero is known as the Internal Rate of Return, or IRR. It is a percentage return that is intuitively comparable to the cost of capital and indicates the "effective compounded interest rate" of an investment [Peter 2003].</w:t>
      </w:r>
    </w:p>
    <w:p w14:paraId="21B91C38" w14:textId="77777777" w:rsidR="00834CAF" w:rsidRPr="00834CAF" w:rsidRDefault="00834CAF" w:rsidP="00212F36">
      <w:pPr>
        <w:spacing w:line="360" w:lineRule="auto"/>
        <w:rPr>
          <w:color w:val="222222"/>
        </w:rPr>
      </w:pPr>
    </w:p>
    <w:p w14:paraId="557C423F" w14:textId="77777777" w:rsidR="00834CAF" w:rsidRPr="00834CAF" w:rsidRDefault="00834CAF" w:rsidP="00212F36">
      <w:pPr>
        <w:spacing w:line="360" w:lineRule="auto"/>
        <w:rPr>
          <w:color w:val="222222"/>
        </w:rPr>
      </w:pPr>
    </w:p>
    <w:p w14:paraId="1B0643AE" w14:textId="77777777" w:rsidR="00834CAF" w:rsidRPr="000C354A" w:rsidRDefault="00834CAF" w:rsidP="00212F36">
      <w:pPr>
        <w:numPr>
          <w:ilvl w:val="0"/>
          <w:numId w:val="28"/>
        </w:numPr>
        <w:spacing w:line="360" w:lineRule="auto"/>
        <w:contextualSpacing/>
        <w:rPr>
          <w:b/>
          <w:bCs/>
          <w:color w:val="222222"/>
          <w:sz w:val="28"/>
          <w:szCs w:val="28"/>
        </w:rPr>
      </w:pPr>
      <w:r w:rsidRPr="3A388F9E">
        <w:rPr>
          <w:b/>
          <w:bCs/>
          <w:color w:val="0F4761" w:themeColor="accent1" w:themeShade="BF"/>
          <w:sz w:val="28"/>
          <w:szCs w:val="28"/>
        </w:rPr>
        <w:t>Interpretation of Investment Appraisal Results for Management</w:t>
      </w:r>
    </w:p>
    <w:p w14:paraId="478E1C24" w14:textId="77777777" w:rsidR="000C354A" w:rsidRPr="00834CAF" w:rsidRDefault="000C354A" w:rsidP="00212F36">
      <w:pPr>
        <w:spacing w:line="360" w:lineRule="auto"/>
        <w:contextualSpacing/>
        <w:rPr>
          <w:b/>
          <w:bCs/>
          <w:color w:val="222222"/>
          <w:sz w:val="28"/>
          <w:szCs w:val="28"/>
        </w:rPr>
      </w:pPr>
    </w:p>
    <w:p w14:paraId="5A5F270D" w14:textId="77777777" w:rsidR="00834CAF" w:rsidRPr="00834CAF" w:rsidRDefault="00834CAF" w:rsidP="00212F36">
      <w:pPr>
        <w:numPr>
          <w:ilvl w:val="0"/>
          <w:numId w:val="26"/>
        </w:numPr>
        <w:spacing w:line="360" w:lineRule="auto"/>
        <w:rPr>
          <w:rFonts w:asciiTheme="minorHAnsi" w:eastAsiaTheme="majorEastAsia" w:hAnsiTheme="minorHAnsi" w:cstheme="majorBidi"/>
          <w:b/>
          <w:bCs/>
          <w:color w:val="595959" w:themeColor="text1" w:themeTint="A6"/>
          <w:spacing w:val="15"/>
          <w:sz w:val="28"/>
          <w:szCs w:val="28"/>
          <w:lang w:val="en-US"/>
        </w:rPr>
      </w:pPr>
      <w:r w:rsidRPr="3A388F9E">
        <w:rPr>
          <w:rFonts w:asciiTheme="minorHAnsi" w:eastAsiaTheme="majorEastAsia" w:hAnsiTheme="minorHAnsi" w:cstheme="majorBidi"/>
          <w:b/>
          <w:bCs/>
          <w:color w:val="595959" w:themeColor="text1" w:themeTint="A6"/>
          <w:spacing w:val="15"/>
          <w:sz w:val="28"/>
          <w:szCs w:val="28"/>
          <w:lang w:val="en-US"/>
        </w:rPr>
        <w:t>Theoretical Arguments for NPV as the Best Investment Appraisal Method.</w:t>
      </w:r>
    </w:p>
    <w:p w14:paraId="0F6A0A72" w14:textId="77777777" w:rsidR="00834CAF" w:rsidRPr="00834CAF" w:rsidRDefault="00834CAF" w:rsidP="00212F36">
      <w:pPr>
        <w:spacing w:line="360" w:lineRule="auto"/>
        <w:rPr>
          <w:color w:val="222222"/>
        </w:rPr>
      </w:pPr>
      <w:r w:rsidRPr="3A388F9E">
        <w:rPr>
          <w:color w:val="222222"/>
        </w:rPr>
        <w:t>NPV expressly reduces future cash flows to their present value to account for the Time Value of Money (TVM). This recognises the basic idea that money that is available now, given its potential for growth and the effects of inflation, is worth more than the same amount in the future. Since it offers a realistic gauge of a project's true potential, this is essential for precise profitability assessment, especially for long-term initiatives [</w:t>
      </w:r>
      <w:proofErr w:type="spellStart"/>
      <w:r w:rsidRPr="3A388F9E">
        <w:rPr>
          <w:color w:val="222222"/>
        </w:rPr>
        <w:t>Rekker</w:t>
      </w:r>
      <w:proofErr w:type="spellEnd"/>
      <w:r w:rsidRPr="3A388F9E">
        <w:rPr>
          <w:color w:val="222222"/>
        </w:rPr>
        <w:t xml:space="preserve"> 2024]. </w:t>
      </w:r>
    </w:p>
    <w:p w14:paraId="721F8064" w14:textId="77777777" w:rsidR="00834CAF" w:rsidRPr="00834CAF" w:rsidRDefault="00834CAF" w:rsidP="00212F36">
      <w:pPr>
        <w:spacing w:line="360" w:lineRule="auto"/>
        <w:rPr>
          <w:color w:val="222222"/>
        </w:rPr>
      </w:pPr>
      <w:r w:rsidRPr="3A388F9E">
        <w:rPr>
          <w:color w:val="222222"/>
        </w:rPr>
        <w:t>NPV follows a clear decision-making rule: projects with a positive NPV are accepted, while those with a negative NPV are rejected. By offering a transparent and fair indicator of profitability based on economic logic, this objective evaluation method streamlines decision-making.</w:t>
      </w:r>
    </w:p>
    <w:p w14:paraId="3D8D7962" w14:textId="77777777" w:rsidR="00834CAF" w:rsidRPr="00834CAF" w:rsidRDefault="00834CAF" w:rsidP="00212F36">
      <w:pPr>
        <w:numPr>
          <w:ilvl w:val="0"/>
          <w:numId w:val="26"/>
        </w:numPr>
        <w:spacing w:line="360" w:lineRule="auto"/>
        <w:rPr>
          <w:rFonts w:asciiTheme="minorHAnsi" w:eastAsiaTheme="majorEastAsia" w:hAnsiTheme="minorHAnsi" w:cstheme="majorBidi"/>
          <w:b/>
          <w:bCs/>
          <w:color w:val="595959" w:themeColor="text1" w:themeTint="A6"/>
          <w:spacing w:val="15"/>
          <w:sz w:val="28"/>
          <w:szCs w:val="28"/>
          <w:lang w:val="en-US"/>
        </w:rPr>
      </w:pPr>
      <w:r w:rsidRPr="3A388F9E">
        <w:rPr>
          <w:rFonts w:asciiTheme="minorHAnsi" w:eastAsiaTheme="majorEastAsia" w:hAnsiTheme="minorHAnsi" w:cstheme="majorBidi"/>
          <w:b/>
          <w:bCs/>
          <w:color w:val="595959" w:themeColor="text1" w:themeTint="A6"/>
          <w:spacing w:val="15"/>
          <w:sz w:val="28"/>
          <w:szCs w:val="28"/>
          <w:lang w:val="en-US"/>
        </w:rPr>
        <w:lastRenderedPageBreak/>
        <w:t>Reasons for the Continued Popularity among Decision Makers of Non-Discounting Methods.</w:t>
      </w:r>
    </w:p>
    <w:p w14:paraId="77768495" w14:textId="77777777" w:rsidR="00834CAF" w:rsidRPr="00834CAF" w:rsidRDefault="00834CAF" w:rsidP="00212F36">
      <w:pPr>
        <w:spacing w:line="360" w:lineRule="auto"/>
        <w:rPr>
          <w:color w:val="222222"/>
        </w:rPr>
      </w:pPr>
      <w:r w:rsidRPr="3A388F9E">
        <w:rPr>
          <w:color w:val="222222"/>
        </w:rPr>
        <w:t xml:space="preserve">Simplicity and Understanding: Non-discounting techniques are comparatively easy to compute and understand. A greater variety of decision-makers, including those without substantial financial knowledge, can use them because of their simplicity. Compared to discounting techniques, which frequently call for either repetitive procedures or a better comprehension of financial concepts like the time value of money, the calculations required are simpler [Ding and </w:t>
      </w:r>
      <w:proofErr w:type="spellStart"/>
      <w:r w:rsidRPr="3A388F9E">
        <w:rPr>
          <w:color w:val="222222"/>
        </w:rPr>
        <w:t>Runeson</w:t>
      </w:r>
      <w:proofErr w:type="spellEnd"/>
      <w:r w:rsidRPr="3A388F9E">
        <w:rPr>
          <w:color w:val="222222"/>
        </w:rPr>
        <w:t xml:space="preserve"> 2020].</w:t>
      </w:r>
    </w:p>
    <w:p w14:paraId="18C93C1F" w14:textId="77777777" w:rsidR="00834CAF" w:rsidRPr="00834CAF" w:rsidRDefault="00834CAF" w:rsidP="00212F36">
      <w:pPr>
        <w:spacing w:line="360" w:lineRule="auto"/>
        <w:rPr>
          <w:color w:val="222222"/>
        </w:rPr>
      </w:pPr>
      <w:r w:rsidRPr="3A388F9E">
        <w:rPr>
          <w:color w:val="222222"/>
        </w:rPr>
        <w:t>Fast Decision-Making: These techniques can offer a quick evaluation of a project's feasibility, which is especially helpful for short-term initiatives or as a preliminary screening procedure. For companies that prioritise liquidity or quick returns, the payback period, for example, provides a clear indication of how long it will take to recoup the initial investment. This makes it possible to quickly filter data before doing a more thorough examination.</w:t>
      </w:r>
    </w:p>
    <w:p w14:paraId="7B142BA1" w14:textId="77777777" w:rsidR="00834CAF" w:rsidRPr="00834CAF" w:rsidRDefault="00834CAF" w:rsidP="00212F36">
      <w:pPr>
        <w:numPr>
          <w:ilvl w:val="0"/>
          <w:numId w:val="26"/>
        </w:numPr>
        <w:spacing w:line="360" w:lineRule="auto"/>
        <w:rPr>
          <w:rFonts w:asciiTheme="minorHAnsi" w:eastAsiaTheme="majorEastAsia" w:hAnsiTheme="minorHAnsi" w:cstheme="majorBidi"/>
          <w:b/>
          <w:bCs/>
          <w:color w:val="595959" w:themeColor="text1" w:themeTint="A6"/>
          <w:spacing w:val="15"/>
          <w:sz w:val="28"/>
          <w:szCs w:val="28"/>
          <w:lang w:val="en-US"/>
        </w:rPr>
      </w:pPr>
      <w:r w:rsidRPr="3A388F9E">
        <w:rPr>
          <w:rFonts w:asciiTheme="minorHAnsi" w:eastAsiaTheme="majorEastAsia" w:hAnsiTheme="minorHAnsi" w:cstheme="majorBidi"/>
          <w:b/>
          <w:bCs/>
          <w:color w:val="595959" w:themeColor="text1" w:themeTint="A6"/>
          <w:spacing w:val="15"/>
          <w:sz w:val="28"/>
          <w:szCs w:val="28"/>
          <w:lang w:val="en-US"/>
        </w:rPr>
        <w:t>Other Factors to Consider Before an Investment Decision is Made.</w:t>
      </w:r>
    </w:p>
    <w:p w14:paraId="4FDAAC6F" w14:textId="77777777" w:rsidR="00834CAF" w:rsidRPr="00834CAF" w:rsidRDefault="00834CAF" w:rsidP="00212F36">
      <w:pPr>
        <w:spacing w:line="360" w:lineRule="auto"/>
        <w:rPr>
          <w:color w:val="222222"/>
        </w:rPr>
      </w:pPr>
      <w:r w:rsidRPr="3A388F9E">
        <w:rPr>
          <w:color w:val="222222"/>
        </w:rPr>
        <w:t>A comprehensive strategy necessitates considering a wider range of qualitative and quantitative criteria, even while quantitative financial measurements like NPV and IRR offer a strong basis for investment decisions. Since financial models are based on assumptions that might not account for all the intricacies of the real world, these criteria frequently distinguish successful investments from unsuccessful ones.</w:t>
      </w:r>
    </w:p>
    <w:p w14:paraId="1315FC36" w14:textId="77777777" w:rsidR="00834CAF" w:rsidRPr="00B63B60" w:rsidRDefault="00834CAF" w:rsidP="00212F36">
      <w:pPr>
        <w:pStyle w:val="ListParagraph"/>
        <w:numPr>
          <w:ilvl w:val="0"/>
          <w:numId w:val="32"/>
        </w:numPr>
        <w:spacing w:line="360" w:lineRule="auto"/>
        <w:rPr>
          <w:b/>
          <w:bCs/>
          <w:color w:val="222222"/>
          <w:sz w:val="28"/>
          <w:szCs w:val="28"/>
        </w:rPr>
      </w:pPr>
      <w:r w:rsidRPr="3A388F9E">
        <w:rPr>
          <w:b/>
          <w:bCs/>
          <w:color w:val="222222"/>
          <w:sz w:val="28"/>
          <w:szCs w:val="28"/>
        </w:rPr>
        <w:t>Quantitative Factors</w:t>
      </w:r>
    </w:p>
    <w:p w14:paraId="4D796DF2" w14:textId="77777777" w:rsidR="00834CAF" w:rsidRPr="00834CAF" w:rsidRDefault="00834CAF" w:rsidP="00212F36">
      <w:pPr>
        <w:spacing w:line="360" w:lineRule="auto"/>
        <w:rPr>
          <w:color w:val="222222"/>
        </w:rPr>
      </w:pPr>
      <w:r w:rsidRPr="3A388F9E">
        <w:rPr>
          <w:color w:val="222222"/>
        </w:rPr>
        <w:t xml:space="preserve">Overall Financial Health of Jordans Plc: The Board should evaluate the company's present liquidity, solvency, and debt levels prior to making a major expansion commitment. Even a very successful investment shouldn't put an excessive amount of burden on the business's finances or jeopardise its capacity to fulfil its current commitments [James 2022]. </w:t>
      </w:r>
    </w:p>
    <w:p w14:paraId="467BBDF2" w14:textId="77777777" w:rsidR="00834CAF" w:rsidRPr="00834CAF" w:rsidRDefault="00834CAF" w:rsidP="00212F36">
      <w:pPr>
        <w:spacing w:line="360" w:lineRule="auto"/>
        <w:rPr>
          <w:color w:val="222222"/>
        </w:rPr>
      </w:pPr>
      <w:r w:rsidRPr="3A388F9E">
        <w:rPr>
          <w:color w:val="222222"/>
        </w:rPr>
        <w:t>A more thorough examination of the underlying market data, such as the entire addressable market, past growth trends, and future estimates, is crucial, even when anticipated cash flows take market assumptions into account. This offers a more thorough comprehension of the prospective revenue [James 2022].</w:t>
      </w:r>
    </w:p>
    <w:p w14:paraId="1432CF5F" w14:textId="77777777" w:rsidR="00834CAF" w:rsidRPr="00B63B60" w:rsidRDefault="00834CAF" w:rsidP="00212F36">
      <w:pPr>
        <w:pStyle w:val="ListParagraph"/>
        <w:numPr>
          <w:ilvl w:val="0"/>
          <w:numId w:val="33"/>
        </w:numPr>
        <w:spacing w:line="360" w:lineRule="auto"/>
        <w:rPr>
          <w:b/>
          <w:bCs/>
          <w:color w:val="222222"/>
          <w:sz w:val="28"/>
          <w:szCs w:val="28"/>
        </w:rPr>
      </w:pPr>
      <w:r w:rsidRPr="3A388F9E">
        <w:rPr>
          <w:b/>
          <w:bCs/>
          <w:color w:val="222222"/>
          <w:sz w:val="28"/>
          <w:szCs w:val="28"/>
        </w:rPr>
        <w:lastRenderedPageBreak/>
        <w:t>Qualitative Factors</w:t>
      </w:r>
    </w:p>
    <w:p w14:paraId="7C4A3CE9" w14:textId="77777777" w:rsidR="00834CAF" w:rsidRPr="00834CAF" w:rsidRDefault="00834CAF" w:rsidP="00212F36">
      <w:pPr>
        <w:spacing w:line="360" w:lineRule="auto"/>
        <w:rPr>
          <w:color w:val="222222"/>
        </w:rPr>
      </w:pPr>
      <w:r w:rsidRPr="3A388F9E">
        <w:rPr>
          <w:color w:val="222222"/>
        </w:rPr>
        <w:t>The investment must be in line with the long-term strategic objectives, vision, and key strengths of Jordans Plc. For instance, expanding into Roman blinds and curtains (Option C) may make use of current supply chains and production knowledge, but it may also necessitate the acquisition of substantial new skills in design, sourcing materials, and marketing for a distinct product category. Growing online sales (Option B) is in line with current retail trends, but it requires a strong e-commerce infrastructure and knowledge of digital marketing [TutorChase].</w:t>
      </w:r>
    </w:p>
    <w:p w14:paraId="470FA8D6" w14:textId="77777777" w:rsidR="00834CAF" w:rsidRPr="00834CAF" w:rsidRDefault="00834CAF" w:rsidP="00212F36">
      <w:pPr>
        <w:spacing w:line="360" w:lineRule="auto"/>
        <w:rPr>
          <w:color w:val="222222"/>
        </w:rPr>
      </w:pPr>
      <w:r w:rsidRPr="3A388F9E">
        <w:rPr>
          <w:color w:val="222222"/>
        </w:rPr>
        <w:t>Market Conditions and Competitive Landscape: It's critical to have a solid grasp of the dynamics of the target market, changing consumer preferences, level of competition, and potential for market disruption. What potential responses might current rivals have to Jordons Plc's growth? Could market share be eroded by replacement items or new competitors? [TutorChase].</w:t>
      </w:r>
    </w:p>
    <w:p w14:paraId="3ECCECB0" w14:textId="77777777" w:rsidR="00834CAF" w:rsidRPr="00834CAF" w:rsidRDefault="00834CAF" w:rsidP="00212F36">
      <w:pPr>
        <w:numPr>
          <w:ilvl w:val="0"/>
          <w:numId w:val="28"/>
        </w:numPr>
        <w:spacing w:line="360" w:lineRule="auto"/>
        <w:contextualSpacing/>
        <w:rPr>
          <w:color w:val="222222"/>
        </w:rPr>
      </w:pPr>
      <w:r w:rsidRPr="3A388F9E">
        <w:rPr>
          <w:color w:val="0F4761" w:themeColor="accent1" w:themeShade="BF"/>
          <w:sz w:val="28"/>
          <w:szCs w:val="28"/>
        </w:rPr>
        <w:t>Optimal Investment Policy under Capital Rationing</w:t>
      </w:r>
    </w:p>
    <w:p w14:paraId="56A0F8B3" w14:textId="77777777" w:rsidR="00834CAF" w:rsidRPr="00834CAF" w:rsidRDefault="00834CAF" w:rsidP="00212F36">
      <w:pPr>
        <w:spacing w:line="360" w:lineRule="auto"/>
        <w:rPr>
          <w:color w:val="222222"/>
        </w:rPr>
      </w:pPr>
      <w:r w:rsidRPr="3A388F9E">
        <w:rPr>
          <w:color w:val="222222"/>
        </w:rPr>
        <w:t>When a business has more desirable investment options (projects with positive net present values) than it has available finances to pursue, this is known as capital rationing. Because of this, limited cash must be strategically allocated to initiatives that have the highest potential return on investment [</w:t>
      </w:r>
      <w:proofErr w:type="spellStart"/>
      <w:r w:rsidRPr="3A388F9E">
        <w:rPr>
          <w:color w:val="222222"/>
        </w:rPr>
        <w:t>Nukala</w:t>
      </w:r>
      <w:proofErr w:type="spellEnd"/>
      <w:r w:rsidRPr="3A388F9E">
        <w:rPr>
          <w:color w:val="222222"/>
        </w:rPr>
        <w:t xml:space="preserve"> et al., 2021]. It is feasible to work on a portion of a larger project if the projects are divisible. Then, projects are ranked according to their profitability index (PI) to establish the best investment strategy. The present value of future cash flows produced per unit of initial investment is measured by the PI. Until the funding limit is reached, the projects with the greatest PI should be chosen first. By maximising the total value generated within the allocated budget, this strategy guarantees the most effective distribution of limited money [Diana and Maria 2020].</w:t>
      </w:r>
    </w:p>
    <w:p w14:paraId="7871BFEB" w14:textId="77777777" w:rsidR="00834CAF" w:rsidRPr="00834CAF" w:rsidRDefault="00834CAF" w:rsidP="00212F36">
      <w:pPr>
        <w:spacing w:line="360" w:lineRule="auto"/>
        <w:rPr>
          <w:color w:val="222222"/>
        </w:rPr>
      </w:pPr>
      <w:r w:rsidRPr="3A388F9E">
        <w:rPr>
          <w:color w:val="222222"/>
        </w:rPr>
        <w:t xml:space="preserve"> </w:t>
      </w:r>
      <w:r w:rsidRPr="3A388F9E">
        <w:rPr>
          <w:b/>
          <w:bCs/>
          <w:color w:val="222222"/>
        </w:rPr>
        <w:t xml:space="preserve">Profitability Index [PI] = Present Value of Future Cash Flows / Initial Investment </w:t>
      </w:r>
      <w:r w:rsidRPr="3A388F9E">
        <w:rPr>
          <w:color w:val="222222"/>
        </w:rPr>
        <w:t xml:space="preserve">  </w:t>
      </w:r>
    </w:p>
    <w:p w14:paraId="3EDC92DB" w14:textId="77777777" w:rsidR="00834CAF" w:rsidRDefault="00834CAF" w:rsidP="00212F36">
      <w:pPr>
        <w:spacing w:before="240" w:after="240" w:line="360" w:lineRule="auto"/>
        <w:rPr>
          <w:color w:val="222222"/>
        </w:rPr>
      </w:pPr>
      <w:r w:rsidRPr="3A388F9E">
        <w:rPr>
          <w:color w:val="222222"/>
        </w:rPr>
        <w:t>Where Present Value of Future Cash Flows = NPV + Initial Investment (absolute value).</w:t>
      </w:r>
    </w:p>
    <w:p w14:paraId="20F408AC" w14:textId="77777777" w:rsidR="0066168E" w:rsidRDefault="0066168E" w:rsidP="00212F36">
      <w:pPr>
        <w:spacing w:before="240" w:after="240" w:line="360" w:lineRule="auto"/>
        <w:rPr>
          <w:color w:val="222222"/>
        </w:rPr>
      </w:pPr>
    </w:p>
    <w:p w14:paraId="2F816D98" w14:textId="77777777" w:rsidR="0066168E" w:rsidRPr="00834CAF" w:rsidRDefault="0066168E" w:rsidP="00212F36">
      <w:pPr>
        <w:spacing w:before="240" w:after="240" w:line="360" w:lineRule="auto"/>
        <w:rPr>
          <w:color w:val="222222"/>
        </w:rPr>
      </w:pP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00834CAF" w:rsidRPr="00834CAF" w14:paraId="79FB40C3" w14:textId="77777777" w:rsidTr="3A388F9E">
        <w:trPr>
          <w:trHeight w:val="300"/>
        </w:trPr>
        <w:tc>
          <w:tcPr>
            <w:tcW w:w="1872" w:type="dxa"/>
          </w:tcPr>
          <w:p w14:paraId="2EFAB865" w14:textId="77777777" w:rsidR="00834CAF" w:rsidRPr="00834CAF" w:rsidRDefault="00834CAF" w:rsidP="00212F36">
            <w:pPr>
              <w:spacing w:line="360" w:lineRule="auto"/>
              <w:rPr>
                <w:color w:val="222222"/>
              </w:rPr>
            </w:pPr>
            <w:r w:rsidRPr="3A388F9E">
              <w:rPr>
                <w:color w:val="222222"/>
              </w:rPr>
              <w:lastRenderedPageBreak/>
              <w:t xml:space="preserve">Options </w:t>
            </w:r>
          </w:p>
        </w:tc>
        <w:tc>
          <w:tcPr>
            <w:tcW w:w="1872" w:type="dxa"/>
          </w:tcPr>
          <w:p w14:paraId="6380D68D" w14:textId="77777777" w:rsidR="00834CAF" w:rsidRPr="00834CAF" w:rsidRDefault="00834CAF" w:rsidP="00212F36">
            <w:pPr>
              <w:spacing w:line="360" w:lineRule="auto"/>
              <w:rPr>
                <w:color w:val="222222"/>
              </w:rPr>
            </w:pPr>
            <w:r w:rsidRPr="3A388F9E">
              <w:rPr>
                <w:color w:val="222222"/>
              </w:rPr>
              <w:t>Initial Investment [£)</w:t>
            </w:r>
          </w:p>
        </w:tc>
        <w:tc>
          <w:tcPr>
            <w:tcW w:w="1872" w:type="dxa"/>
          </w:tcPr>
          <w:p w14:paraId="60B3D396" w14:textId="77777777" w:rsidR="00834CAF" w:rsidRPr="00834CAF" w:rsidRDefault="00834CAF" w:rsidP="00212F36">
            <w:pPr>
              <w:spacing w:line="360" w:lineRule="auto"/>
              <w:rPr>
                <w:color w:val="222222"/>
              </w:rPr>
            </w:pPr>
            <w:r w:rsidRPr="3A388F9E">
              <w:rPr>
                <w:color w:val="222222"/>
              </w:rPr>
              <w:t>NPV [£)</w:t>
            </w:r>
          </w:p>
        </w:tc>
        <w:tc>
          <w:tcPr>
            <w:tcW w:w="1872" w:type="dxa"/>
          </w:tcPr>
          <w:p w14:paraId="6DC8FEB3" w14:textId="77777777" w:rsidR="00834CAF" w:rsidRPr="00834CAF" w:rsidRDefault="00834CAF" w:rsidP="00212F36">
            <w:pPr>
              <w:spacing w:line="360" w:lineRule="auto"/>
              <w:rPr>
                <w:color w:val="222222"/>
              </w:rPr>
            </w:pPr>
            <w:r w:rsidRPr="3A388F9E">
              <w:rPr>
                <w:color w:val="222222"/>
              </w:rPr>
              <w:t>PV of Future Cash Flow [£)</w:t>
            </w:r>
          </w:p>
        </w:tc>
        <w:tc>
          <w:tcPr>
            <w:tcW w:w="1872" w:type="dxa"/>
          </w:tcPr>
          <w:p w14:paraId="52E017BB" w14:textId="77777777" w:rsidR="00834CAF" w:rsidRPr="00834CAF" w:rsidRDefault="00834CAF" w:rsidP="00212F36">
            <w:pPr>
              <w:spacing w:line="360" w:lineRule="auto"/>
              <w:rPr>
                <w:color w:val="222222"/>
              </w:rPr>
            </w:pPr>
            <w:r w:rsidRPr="3A388F9E">
              <w:rPr>
                <w:color w:val="222222"/>
              </w:rPr>
              <w:t>Profitability Index [£)</w:t>
            </w:r>
          </w:p>
        </w:tc>
      </w:tr>
      <w:tr w:rsidR="00834CAF" w:rsidRPr="00834CAF" w14:paraId="7C76B1EF" w14:textId="77777777" w:rsidTr="3A388F9E">
        <w:trPr>
          <w:trHeight w:val="300"/>
        </w:trPr>
        <w:tc>
          <w:tcPr>
            <w:tcW w:w="1872" w:type="dxa"/>
          </w:tcPr>
          <w:p w14:paraId="36F08542" w14:textId="77777777" w:rsidR="00834CAF" w:rsidRPr="00834CAF" w:rsidRDefault="00834CAF" w:rsidP="00212F36">
            <w:pPr>
              <w:spacing w:line="360" w:lineRule="auto"/>
              <w:rPr>
                <w:color w:val="222222"/>
              </w:rPr>
            </w:pPr>
            <w:r w:rsidRPr="3A388F9E">
              <w:rPr>
                <w:color w:val="222222"/>
              </w:rPr>
              <w:t>A</w:t>
            </w:r>
          </w:p>
        </w:tc>
        <w:tc>
          <w:tcPr>
            <w:tcW w:w="1872" w:type="dxa"/>
          </w:tcPr>
          <w:p w14:paraId="4434F796" w14:textId="77777777" w:rsidR="00834CAF" w:rsidRPr="00834CAF" w:rsidRDefault="00834CAF" w:rsidP="00212F36">
            <w:pPr>
              <w:spacing w:line="360" w:lineRule="auto"/>
              <w:rPr>
                <w:color w:val="222222"/>
              </w:rPr>
            </w:pPr>
            <w:r w:rsidRPr="3A388F9E">
              <w:rPr>
                <w:color w:val="222222"/>
              </w:rPr>
              <w:t>600000</w:t>
            </w:r>
          </w:p>
        </w:tc>
        <w:tc>
          <w:tcPr>
            <w:tcW w:w="1872" w:type="dxa"/>
          </w:tcPr>
          <w:p w14:paraId="3F0B21B0" w14:textId="77777777" w:rsidR="00834CAF" w:rsidRPr="00834CAF" w:rsidRDefault="00834CAF" w:rsidP="00212F36">
            <w:pPr>
              <w:spacing w:line="360" w:lineRule="auto"/>
              <w:rPr>
                <w:color w:val="222222"/>
              </w:rPr>
            </w:pPr>
            <w:r w:rsidRPr="3A388F9E">
              <w:rPr>
                <w:color w:val="222222"/>
              </w:rPr>
              <w:t>405447.5</w:t>
            </w:r>
          </w:p>
        </w:tc>
        <w:tc>
          <w:tcPr>
            <w:tcW w:w="1872" w:type="dxa"/>
          </w:tcPr>
          <w:p w14:paraId="291841DE" w14:textId="77777777" w:rsidR="00834CAF" w:rsidRPr="00834CAF" w:rsidRDefault="00834CAF" w:rsidP="00212F36">
            <w:pPr>
              <w:spacing w:line="360" w:lineRule="auto"/>
              <w:rPr>
                <w:color w:val="222222"/>
              </w:rPr>
            </w:pPr>
            <w:r w:rsidRPr="3A388F9E">
              <w:rPr>
                <w:color w:val="222222"/>
              </w:rPr>
              <w:t>1005447.5</w:t>
            </w:r>
          </w:p>
        </w:tc>
        <w:tc>
          <w:tcPr>
            <w:tcW w:w="1872" w:type="dxa"/>
          </w:tcPr>
          <w:p w14:paraId="22A3AED4" w14:textId="77777777" w:rsidR="00834CAF" w:rsidRPr="00834CAF" w:rsidRDefault="00834CAF" w:rsidP="00212F36">
            <w:pPr>
              <w:spacing w:line="360" w:lineRule="auto"/>
              <w:rPr>
                <w:color w:val="222222"/>
              </w:rPr>
            </w:pPr>
            <w:r w:rsidRPr="3A388F9E">
              <w:rPr>
                <w:color w:val="222222"/>
              </w:rPr>
              <w:t>16757</w:t>
            </w:r>
          </w:p>
        </w:tc>
      </w:tr>
      <w:tr w:rsidR="00834CAF" w:rsidRPr="00834CAF" w14:paraId="71AD49DB" w14:textId="77777777" w:rsidTr="3A388F9E">
        <w:trPr>
          <w:trHeight w:val="300"/>
        </w:trPr>
        <w:tc>
          <w:tcPr>
            <w:tcW w:w="1872" w:type="dxa"/>
          </w:tcPr>
          <w:p w14:paraId="7095237E" w14:textId="77777777" w:rsidR="00834CAF" w:rsidRPr="00834CAF" w:rsidRDefault="00834CAF" w:rsidP="00212F36">
            <w:pPr>
              <w:spacing w:line="360" w:lineRule="auto"/>
              <w:rPr>
                <w:color w:val="222222"/>
              </w:rPr>
            </w:pPr>
            <w:r w:rsidRPr="3A388F9E">
              <w:rPr>
                <w:color w:val="222222"/>
              </w:rPr>
              <w:t>B</w:t>
            </w:r>
          </w:p>
        </w:tc>
        <w:tc>
          <w:tcPr>
            <w:tcW w:w="1872" w:type="dxa"/>
          </w:tcPr>
          <w:p w14:paraId="247F9AC7" w14:textId="77777777" w:rsidR="00834CAF" w:rsidRPr="00834CAF" w:rsidRDefault="00834CAF" w:rsidP="00212F36">
            <w:pPr>
              <w:spacing w:line="360" w:lineRule="auto"/>
              <w:rPr>
                <w:color w:val="222222"/>
              </w:rPr>
            </w:pPr>
            <w:r w:rsidRPr="3A388F9E">
              <w:rPr>
                <w:color w:val="222222"/>
              </w:rPr>
              <w:t>1000000</w:t>
            </w:r>
          </w:p>
        </w:tc>
        <w:tc>
          <w:tcPr>
            <w:tcW w:w="1872" w:type="dxa"/>
          </w:tcPr>
          <w:p w14:paraId="4E617D76" w14:textId="77777777" w:rsidR="00834CAF" w:rsidRPr="00834CAF" w:rsidRDefault="00834CAF" w:rsidP="00212F36">
            <w:pPr>
              <w:spacing w:line="360" w:lineRule="auto"/>
              <w:rPr>
                <w:color w:val="222222"/>
              </w:rPr>
            </w:pPr>
            <w:r w:rsidRPr="3A388F9E">
              <w:rPr>
                <w:color w:val="222222"/>
              </w:rPr>
              <w:t>767993.25</w:t>
            </w:r>
          </w:p>
        </w:tc>
        <w:tc>
          <w:tcPr>
            <w:tcW w:w="1872" w:type="dxa"/>
          </w:tcPr>
          <w:p w14:paraId="0D17086A" w14:textId="77777777" w:rsidR="00834CAF" w:rsidRPr="00834CAF" w:rsidRDefault="00834CAF" w:rsidP="00212F36">
            <w:pPr>
              <w:spacing w:line="360" w:lineRule="auto"/>
              <w:rPr>
                <w:color w:val="222222"/>
              </w:rPr>
            </w:pPr>
            <w:r w:rsidRPr="3A388F9E">
              <w:rPr>
                <w:color w:val="222222"/>
              </w:rPr>
              <w:t>1767993.25</w:t>
            </w:r>
          </w:p>
        </w:tc>
        <w:tc>
          <w:tcPr>
            <w:tcW w:w="1872" w:type="dxa"/>
          </w:tcPr>
          <w:p w14:paraId="47AA773D" w14:textId="77777777" w:rsidR="00834CAF" w:rsidRPr="00834CAF" w:rsidRDefault="00834CAF" w:rsidP="00212F36">
            <w:pPr>
              <w:spacing w:line="360" w:lineRule="auto"/>
              <w:rPr>
                <w:color w:val="222222"/>
              </w:rPr>
            </w:pPr>
            <w:r w:rsidRPr="3A388F9E">
              <w:rPr>
                <w:color w:val="222222"/>
              </w:rPr>
              <w:t>17680</w:t>
            </w:r>
          </w:p>
        </w:tc>
      </w:tr>
      <w:tr w:rsidR="00834CAF" w:rsidRPr="00834CAF" w14:paraId="54EB535E" w14:textId="77777777" w:rsidTr="3A388F9E">
        <w:trPr>
          <w:trHeight w:val="300"/>
        </w:trPr>
        <w:tc>
          <w:tcPr>
            <w:tcW w:w="1872" w:type="dxa"/>
          </w:tcPr>
          <w:p w14:paraId="1FF74993" w14:textId="77777777" w:rsidR="00834CAF" w:rsidRPr="00834CAF" w:rsidRDefault="00834CAF" w:rsidP="00212F36">
            <w:pPr>
              <w:spacing w:line="360" w:lineRule="auto"/>
              <w:rPr>
                <w:color w:val="222222"/>
              </w:rPr>
            </w:pPr>
            <w:r w:rsidRPr="3A388F9E">
              <w:rPr>
                <w:color w:val="222222"/>
              </w:rPr>
              <w:t>C</w:t>
            </w:r>
          </w:p>
        </w:tc>
        <w:tc>
          <w:tcPr>
            <w:tcW w:w="1872" w:type="dxa"/>
          </w:tcPr>
          <w:p w14:paraId="6CCE5F58" w14:textId="77777777" w:rsidR="00834CAF" w:rsidRPr="00834CAF" w:rsidRDefault="00834CAF" w:rsidP="00212F36">
            <w:pPr>
              <w:spacing w:line="360" w:lineRule="auto"/>
              <w:rPr>
                <w:color w:val="222222"/>
              </w:rPr>
            </w:pPr>
            <w:r w:rsidRPr="3A388F9E">
              <w:rPr>
                <w:color w:val="222222"/>
              </w:rPr>
              <w:t>1600000</w:t>
            </w:r>
          </w:p>
        </w:tc>
        <w:tc>
          <w:tcPr>
            <w:tcW w:w="1872" w:type="dxa"/>
          </w:tcPr>
          <w:p w14:paraId="442CB618" w14:textId="77777777" w:rsidR="00834CAF" w:rsidRPr="00834CAF" w:rsidRDefault="00834CAF" w:rsidP="00212F36">
            <w:pPr>
              <w:spacing w:line="360" w:lineRule="auto"/>
              <w:rPr>
                <w:color w:val="222222"/>
              </w:rPr>
            </w:pPr>
            <w:r w:rsidRPr="3A388F9E">
              <w:rPr>
                <w:color w:val="222222"/>
              </w:rPr>
              <w:t>637176,25</w:t>
            </w:r>
          </w:p>
        </w:tc>
        <w:tc>
          <w:tcPr>
            <w:tcW w:w="1872" w:type="dxa"/>
          </w:tcPr>
          <w:p w14:paraId="02528B9E" w14:textId="77777777" w:rsidR="00834CAF" w:rsidRPr="00834CAF" w:rsidRDefault="00834CAF" w:rsidP="00212F36">
            <w:pPr>
              <w:spacing w:line="360" w:lineRule="auto"/>
              <w:rPr>
                <w:color w:val="222222"/>
              </w:rPr>
            </w:pPr>
            <w:r w:rsidRPr="3A388F9E">
              <w:rPr>
                <w:color w:val="222222"/>
              </w:rPr>
              <w:t>2237176.25</w:t>
            </w:r>
          </w:p>
        </w:tc>
        <w:tc>
          <w:tcPr>
            <w:tcW w:w="1872" w:type="dxa"/>
          </w:tcPr>
          <w:p w14:paraId="33C2D828" w14:textId="77777777" w:rsidR="00834CAF" w:rsidRPr="00834CAF" w:rsidRDefault="00834CAF" w:rsidP="00212F36">
            <w:pPr>
              <w:spacing w:line="360" w:lineRule="auto"/>
              <w:rPr>
                <w:color w:val="222222"/>
              </w:rPr>
            </w:pPr>
            <w:r w:rsidRPr="3A388F9E">
              <w:rPr>
                <w:color w:val="222222"/>
              </w:rPr>
              <w:t>13982</w:t>
            </w:r>
          </w:p>
        </w:tc>
      </w:tr>
    </w:tbl>
    <w:p w14:paraId="62EA3003" w14:textId="77777777" w:rsidR="00834CAF" w:rsidRPr="00834CAF" w:rsidRDefault="00834CAF" w:rsidP="00212F36">
      <w:pPr>
        <w:spacing w:line="360" w:lineRule="auto"/>
        <w:rPr>
          <w:color w:val="222222"/>
        </w:rPr>
      </w:pPr>
    </w:p>
    <w:p w14:paraId="4D40CE63" w14:textId="77777777" w:rsidR="00834CAF" w:rsidRPr="00834CAF" w:rsidRDefault="00834CAF" w:rsidP="00212F36">
      <w:pPr>
        <w:spacing w:line="360" w:lineRule="auto"/>
        <w:rPr>
          <w:color w:val="222222"/>
        </w:rPr>
      </w:pPr>
      <w:r w:rsidRPr="3A388F9E">
        <w:rPr>
          <w:color w:val="222222"/>
        </w:rPr>
        <w:t>A measure called the Profitability Index (PI) allows for a direct comparison of return per pound invested by normalising the net present value (NPV) by original investment. It is essential for the effective distribution of finite resources, particularly in times of capital scarcity. To maximise total value within the allocated budget, PI gives priority to initiatives that produce the highest present value per unit of capital invested.</w:t>
      </w:r>
    </w:p>
    <w:p w14:paraId="4A3A8A00" w14:textId="77777777" w:rsidR="00834CAF" w:rsidRPr="00834CAF" w:rsidRDefault="00834CAF" w:rsidP="00212F36">
      <w:pPr>
        <w:keepNext/>
        <w:keepLines/>
        <w:spacing w:before="281" w:after="281" w:line="360" w:lineRule="auto"/>
        <w:outlineLvl w:val="2"/>
        <w:rPr>
          <w:rFonts w:eastAsiaTheme="majorEastAsia" w:cstheme="majorBidi"/>
          <w:b/>
          <w:bCs/>
          <w:color w:val="595959" w:themeColor="text1" w:themeTint="A6"/>
          <w:spacing w:val="15"/>
          <w:sz w:val="28"/>
          <w:szCs w:val="28"/>
        </w:rPr>
      </w:pPr>
      <w:bookmarkStart w:id="16" w:name="_Toc1686917555"/>
      <w:r w:rsidRPr="3A388F9E">
        <w:rPr>
          <w:rFonts w:eastAsiaTheme="majorEastAsia" w:cstheme="majorBidi"/>
          <w:b/>
          <w:bCs/>
          <w:color w:val="595959" w:themeColor="text1" w:themeTint="A6"/>
          <w:spacing w:val="15"/>
          <w:sz w:val="28"/>
          <w:szCs w:val="28"/>
        </w:rPr>
        <w:t>Optimal Investment Policy and Resulting Total NPV</w:t>
      </w:r>
      <w:bookmarkEnd w:id="16"/>
    </w:p>
    <w:p w14:paraId="42CCFA44" w14:textId="77777777" w:rsidR="00834CAF" w:rsidRPr="00834CAF" w:rsidRDefault="00834CAF" w:rsidP="00212F36">
      <w:pPr>
        <w:spacing w:before="240" w:after="240" w:line="360" w:lineRule="auto"/>
        <w:rPr>
          <w:color w:val="222222"/>
        </w:rPr>
      </w:pPr>
      <w:r w:rsidRPr="3A388F9E">
        <w:rPr>
          <w:color w:val="222222"/>
          <w:sz w:val="28"/>
          <w:szCs w:val="28"/>
        </w:rPr>
        <w:t>Assuming funds are limited to £2,000,000 and projects are divisible, the optimal investment policy is determined by ranking projects based on their Profitability Index (PI) from highest to lowest:</w:t>
      </w:r>
    </w:p>
    <w:p w14:paraId="4CA9DB7E" w14:textId="77777777" w:rsidR="00834CAF" w:rsidRPr="00834CAF" w:rsidRDefault="00834CAF" w:rsidP="00212F36">
      <w:pPr>
        <w:numPr>
          <w:ilvl w:val="0"/>
          <w:numId w:val="29"/>
        </w:numPr>
        <w:spacing w:line="360" w:lineRule="auto"/>
        <w:contextualSpacing/>
        <w:rPr>
          <w:color w:val="222222"/>
        </w:rPr>
      </w:pPr>
      <w:r w:rsidRPr="3A388F9E">
        <w:rPr>
          <w:color w:val="222222"/>
        </w:rPr>
        <w:t>Option B (PI = 1.7680)</w:t>
      </w:r>
    </w:p>
    <w:p w14:paraId="2B5653FB" w14:textId="77777777" w:rsidR="00834CAF" w:rsidRPr="00834CAF" w:rsidRDefault="00834CAF" w:rsidP="00212F36">
      <w:pPr>
        <w:numPr>
          <w:ilvl w:val="0"/>
          <w:numId w:val="29"/>
        </w:numPr>
        <w:spacing w:line="360" w:lineRule="auto"/>
        <w:contextualSpacing/>
        <w:rPr>
          <w:color w:val="222222"/>
        </w:rPr>
      </w:pPr>
      <w:r w:rsidRPr="3A388F9E">
        <w:rPr>
          <w:color w:val="222222"/>
        </w:rPr>
        <w:t>Option A (PI = 1.6757)</w:t>
      </w:r>
    </w:p>
    <w:p w14:paraId="29E08A8B" w14:textId="77777777" w:rsidR="00834CAF" w:rsidRPr="00834CAF" w:rsidRDefault="00834CAF" w:rsidP="00212F36">
      <w:pPr>
        <w:numPr>
          <w:ilvl w:val="0"/>
          <w:numId w:val="29"/>
        </w:numPr>
        <w:spacing w:line="360" w:lineRule="auto"/>
        <w:contextualSpacing/>
        <w:rPr>
          <w:color w:val="222222"/>
        </w:rPr>
      </w:pPr>
      <w:r w:rsidRPr="3A388F9E">
        <w:rPr>
          <w:color w:val="222222"/>
        </w:rPr>
        <w:t>Option C (PI = 1.3982)</w:t>
      </w:r>
    </w:p>
    <w:p w14:paraId="262FBF7A" w14:textId="77777777" w:rsidR="00834CAF" w:rsidRPr="00834CAF" w:rsidRDefault="00834CAF" w:rsidP="00212F36">
      <w:pPr>
        <w:spacing w:line="360" w:lineRule="auto"/>
        <w:rPr>
          <w:color w:val="222222"/>
        </w:rPr>
      </w:pPr>
      <w:r w:rsidRPr="3A388F9E">
        <w:rPr>
          <w:color w:val="222222"/>
        </w:rPr>
        <w:t>Therefore, the optimal investment policy will be:</w:t>
      </w:r>
    </w:p>
    <w:p w14:paraId="10D18204" w14:textId="77777777" w:rsidR="00834CAF" w:rsidRPr="00834CAF" w:rsidRDefault="00834CAF" w:rsidP="00212F36">
      <w:pPr>
        <w:numPr>
          <w:ilvl w:val="0"/>
          <w:numId w:val="27"/>
        </w:numPr>
        <w:spacing w:before="240" w:after="240" w:line="360" w:lineRule="auto"/>
        <w:contextualSpacing/>
        <w:rPr>
          <w:color w:val="222222"/>
        </w:rPr>
      </w:pPr>
      <w:r w:rsidRPr="3A388F9E">
        <w:rPr>
          <w:b/>
          <w:bCs/>
          <w:color w:val="222222"/>
        </w:rPr>
        <w:t>Invest in Option B:</w:t>
      </w:r>
      <w:r w:rsidRPr="3A388F9E">
        <w:rPr>
          <w:color w:val="222222"/>
        </w:rPr>
        <w:t xml:space="preserve"> This project has the highest PI and requires an initial investment of £1,000,000.</w:t>
      </w:r>
    </w:p>
    <w:p w14:paraId="50758CFF" w14:textId="77777777" w:rsidR="00834CAF" w:rsidRPr="00834CAF" w:rsidRDefault="00834CAF" w:rsidP="00212F36">
      <w:pPr>
        <w:spacing w:before="240" w:after="240" w:line="360" w:lineRule="auto"/>
        <w:rPr>
          <w:color w:val="222222"/>
        </w:rPr>
      </w:pPr>
      <w:r w:rsidRPr="3A388F9E">
        <w:rPr>
          <w:color w:val="222222"/>
        </w:rPr>
        <w:t>Provided funds = £2,000,000 - £1,000,000 = £1,000,000.</w:t>
      </w:r>
    </w:p>
    <w:p w14:paraId="48AEFFA8" w14:textId="77777777" w:rsidR="00834CAF" w:rsidRPr="00834CAF" w:rsidRDefault="00834CAF" w:rsidP="00212F36">
      <w:pPr>
        <w:spacing w:before="240" w:after="240" w:line="360" w:lineRule="auto"/>
        <w:rPr>
          <w:color w:val="222222"/>
        </w:rPr>
      </w:pPr>
      <w:r w:rsidRPr="3A388F9E">
        <w:rPr>
          <w:color w:val="222222"/>
        </w:rPr>
        <w:t>NPV from Option B = £767,993.25.</w:t>
      </w:r>
    </w:p>
    <w:p w14:paraId="7C92B4E2" w14:textId="77777777" w:rsidR="00834CAF" w:rsidRPr="00834CAF" w:rsidRDefault="00834CAF" w:rsidP="00212F36">
      <w:pPr>
        <w:numPr>
          <w:ilvl w:val="0"/>
          <w:numId w:val="27"/>
        </w:numPr>
        <w:spacing w:before="240" w:after="240" w:line="360" w:lineRule="auto"/>
        <w:contextualSpacing/>
        <w:rPr>
          <w:color w:val="222222"/>
        </w:rPr>
      </w:pPr>
      <w:r w:rsidRPr="3A388F9E">
        <w:rPr>
          <w:b/>
          <w:bCs/>
          <w:color w:val="222222"/>
        </w:rPr>
        <w:t>Invest in Option A:</w:t>
      </w:r>
      <w:r w:rsidRPr="3A388F9E">
        <w:rPr>
          <w:color w:val="222222"/>
        </w:rPr>
        <w:t xml:space="preserve"> With £1,000,000 remaining, this project can be carried out, where Option A has the next highest PI project, requiring £600,000. </w:t>
      </w:r>
    </w:p>
    <w:p w14:paraId="23322EAD" w14:textId="77777777" w:rsidR="00834CAF" w:rsidRPr="00834CAF" w:rsidRDefault="00834CAF" w:rsidP="00212F36">
      <w:pPr>
        <w:spacing w:before="240" w:after="240" w:line="360" w:lineRule="auto"/>
        <w:rPr>
          <w:color w:val="222222"/>
        </w:rPr>
      </w:pPr>
      <w:r w:rsidRPr="3A388F9E">
        <w:rPr>
          <w:color w:val="222222"/>
        </w:rPr>
        <w:t>Funds remaining = £1,000,000 - £600,000 = £400,000.</w:t>
      </w:r>
    </w:p>
    <w:p w14:paraId="57355DF7" w14:textId="77777777" w:rsidR="00834CAF" w:rsidRPr="00834CAF" w:rsidRDefault="00834CAF" w:rsidP="00212F36">
      <w:pPr>
        <w:spacing w:before="240" w:after="240" w:line="360" w:lineRule="auto"/>
        <w:rPr>
          <w:color w:val="222222"/>
        </w:rPr>
      </w:pPr>
      <w:r w:rsidRPr="3A388F9E">
        <w:rPr>
          <w:color w:val="222222"/>
        </w:rPr>
        <w:t>NPV from Option A = £405,447.5.</w:t>
      </w:r>
    </w:p>
    <w:p w14:paraId="3562B2A2" w14:textId="77777777" w:rsidR="00834CAF" w:rsidRPr="00834CAF" w:rsidRDefault="00834CAF" w:rsidP="00212F36">
      <w:pPr>
        <w:numPr>
          <w:ilvl w:val="0"/>
          <w:numId w:val="27"/>
        </w:numPr>
        <w:spacing w:before="240" w:after="240" w:line="360" w:lineRule="auto"/>
        <w:contextualSpacing/>
        <w:rPr>
          <w:color w:val="222222"/>
        </w:rPr>
      </w:pPr>
      <w:r w:rsidRPr="3A388F9E">
        <w:rPr>
          <w:b/>
          <w:bCs/>
          <w:color w:val="222222"/>
        </w:rPr>
        <w:lastRenderedPageBreak/>
        <w:t>Invest a fraction of Option C:</w:t>
      </w:r>
      <w:r w:rsidRPr="3A388F9E">
        <w:rPr>
          <w:color w:val="222222"/>
        </w:rPr>
        <w:t xml:space="preserve"> With £400,000 remaining, and Option C requiring £1,600,000, Jordons Plc can undertake 25% of Option C (£400,000 / £1,600,000 = 0.25).</w:t>
      </w:r>
    </w:p>
    <w:p w14:paraId="266BCBE4" w14:textId="77777777" w:rsidR="00834CAF" w:rsidRPr="00834CAF" w:rsidRDefault="00834CAF" w:rsidP="00212F36">
      <w:pPr>
        <w:spacing w:before="240" w:after="240" w:line="360" w:lineRule="auto"/>
        <w:rPr>
          <w:color w:val="222222"/>
        </w:rPr>
      </w:pPr>
      <w:r w:rsidRPr="3A388F9E">
        <w:rPr>
          <w:color w:val="222222"/>
        </w:rPr>
        <w:t>NPV from 25% of Option C = 0.25 * NPV_C = 0.25 * £637,176.25 = £159,294.06.</w:t>
      </w:r>
    </w:p>
    <w:p w14:paraId="1079B7E8" w14:textId="77777777" w:rsidR="00834CAF" w:rsidRPr="00834CAF" w:rsidRDefault="00834CAF" w:rsidP="00212F36">
      <w:pPr>
        <w:spacing w:before="240" w:after="240" w:line="360" w:lineRule="auto"/>
        <w:rPr>
          <w:color w:val="222222"/>
        </w:rPr>
      </w:pPr>
      <w:r w:rsidRPr="3A388F9E">
        <w:rPr>
          <w:color w:val="222222"/>
        </w:rPr>
        <w:t>Funds remaining: £400,000 - £400,000 = £0.</w:t>
      </w:r>
    </w:p>
    <w:p w14:paraId="2890FD19" w14:textId="77777777" w:rsidR="00834CAF" w:rsidRPr="00834CAF" w:rsidRDefault="00834CAF" w:rsidP="00212F36">
      <w:pPr>
        <w:spacing w:line="360" w:lineRule="auto"/>
        <w:rPr>
          <w:color w:val="222222"/>
        </w:rPr>
      </w:pPr>
      <w:r w:rsidRPr="3A388F9E">
        <w:rPr>
          <w:color w:val="222222"/>
        </w:rPr>
        <w:t>Total NPV = £1,332,734.81</w:t>
      </w:r>
    </w:p>
    <w:p w14:paraId="5D4A7C4D" w14:textId="77777777" w:rsidR="00834CAF" w:rsidRPr="00834CAF" w:rsidRDefault="00834CAF" w:rsidP="00212F36">
      <w:pPr>
        <w:spacing w:line="360" w:lineRule="auto"/>
        <w:rPr>
          <w:color w:val="222222"/>
        </w:rPr>
      </w:pPr>
      <w:r w:rsidRPr="3A388F9E">
        <w:rPr>
          <w:color w:val="222222"/>
        </w:rPr>
        <w:t>Strategic reassessment of project selection is necessary for capital rationing. Using the Profitability Index, Jordans Plc may optimise overall value creation with constrained resources. This approach makes the best of a poor situation by guaranteeing the maximum present value return for each pound invested. This real-world use of financial theory aids in the development of an ideal investment portfolio.</w:t>
      </w:r>
    </w:p>
    <w:p w14:paraId="0D8F761C" w14:textId="77777777" w:rsidR="00834CAF" w:rsidRPr="00834CAF" w:rsidRDefault="00834CAF" w:rsidP="00212F36">
      <w:pPr>
        <w:keepNext/>
        <w:keepLines/>
        <w:numPr>
          <w:ilvl w:val="0"/>
          <w:numId w:val="28"/>
        </w:numPr>
        <w:spacing w:before="360" w:after="80" w:line="360" w:lineRule="auto"/>
        <w:outlineLvl w:val="0"/>
        <w:rPr>
          <w:b/>
          <w:bCs/>
          <w:color w:val="0F4761" w:themeColor="accent1" w:themeShade="BF"/>
          <w:sz w:val="28"/>
          <w:szCs w:val="28"/>
        </w:rPr>
      </w:pPr>
      <w:bookmarkStart w:id="17" w:name="_Toc213011896"/>
      <w:r w:rsidRPr="3A388F9E">
        <w:rPr>
          <w:b/>
          <w:bCs/>
          <w:color w:val="0F4761" w:themeColor="accent1" w:themeShade="BF"/>
          <w:sz w:val="28"/>
          <w:szCs w:val="28"/>
        </w:rPr>
        <w:t>Financing the Proposed Investment Programme</w:t>
      </w:r>
      <w:bookmarkEnd w:id="17"/>
    </w:p>
    <w:p w14:paraId="53B2C55F" w14:textId="77777777" w:rsidR="00834CAF" w:rsidRPr="00834CAF" w:rsidRDefault="00834CAF" w:rsidP="00212F36">
      <w:pPr>
        <w:spacing w:line="360" w:lineRule="auto"/>
        <w:rPr>
          <w:rFonts w:asciiTheme="minorHAnsi" w:eastAsiaTheme="majorEastAsia" w:hAnsiTheme="minorHAnsi" w:cstheme="majorBidi"/>
          <w:b/>
          <w:bCs/>
          <w:color w:val="595959" w:themeColor="text1" w:themeTint="A6"/>
          <w:spacing w:val="15"/>
          <w:sz w:val="28"/>
          <w:szCs w:val="28"/>
          <w:lang w:val="en-US"/>
        </w:rPr>
      </w:pPr>
      <w:r w:rsidRPr="3A388F9E">
        <w:rPr>
          <w:rFonts w:asciiTheme="minorHAnsi" w:eastAsiaTheme="majorEastAsia" w:hAnsiTheme="minorHAnsi" w:cstheme="majorBidi"/>
          <w:b/>
          <w:bCs/>
          <w:color w:val="595959" w:themeColor="text1" w:themeTint="A6"/>
          <w:spacing w:val="15"/>
          <w:sz w:val="28"/>
          <w:szCs w:val="28"/>
          <w:lang w:val="en-US"/>
        </w:rPr>
        <w:t>Internal Sources of Finance</w:t>
      </w:r>
    </w:p>
    <w:p w14:paraId="0C4AA601" w14:textId="77777777" w:rsidR="00834CAF" w:rsidRPr="00834CAF" w:rsidRDefault="00834CAF" w:rsidP="00212F36">
      <w:pPr>
        <w:numPr>
          <w:ilvl w:val="0"/>
          <w:numId w:val="25"/>
        </w:numPr>
        <w:spacing w:line="360" w:lineRule="auto"/>
        <w:contextualSpacing/>
        <w:rPr>
          <w:color w:val="222222"/>
        </w:rPr>
      </w:pPr>
      <w:r w:rsidRPr="3A388F9E">
        <w:rPr>
          <w:b/>
          <w:bCs/>
          <w:color w:val="222222"/>
        </w:rPr>
        <w:t xml:space="preserve">Retained Earnings: </w:t>
      </w:r>
      <w:r w:rsidRPr="3A388F9E">
        <w:rPr>
          <w:color w:val="222222"/>
        </w:rPr>
        <w:t>Profits that are reinvested in the company instead of being paid to shareholders are known as retained earnings, and they have several benefits, including being the least expensive source of funding, being readily available, and having the potential to support expansion. They may, however, be subject to short-term shareholder demands and prior profitability constraints, as they are invested in the company and may be earning income elsewhere [Peter and Eddie 2017].</w:t>
      </w:r>
    </w:p>
    <w:p w14:paraId="26CF3BB2" w14:textId="77777777" w:rsidR="00834CAF" w:rsidRPr="00834CAF" w:rsidRDefault="00834CAF" w:rsidP="00212F36">
      <w:pPr>
        <w:spacing w:line="360" w:lineRule="auto"/>
        <w:ind w:left="720"/>
        <w:contextualSpacing/>
        <w:rPr>
          <w:color w:val="222222"/>
        </w:rPr>
      </w:pPr>
    </w:p>
    <w:p w14:paraId="7731F281" w14:textId="77777777" w:rsidR="00834CAF" w:rsidRPr="00834CAF" w:rsidRDefault="00834CAF" w:rsidP="00212F36">
      <w:pPr>
        <w:numPr>
          <w:ilvl w:val="0"/>
          <w:numId w:val="25"/>
        </w:numPr>
        <w:spacing w:line="360" w:lineRule="auto"/>
        <w:contextualSpacing/>
        <w:rPr>
          <w:color w:val="222222"/>
        </w:rPr>
      </w:pPr>
      <w:r w:rsidRPr="3A388F9E">
        <w:rPr>
          <w:b/>
          <w:bCs/>
          <w:color w:val="222222"/>
        </w:rPr>
        <w:t>Working Capital Management</w:t>
      </w:r>
      <w:r w:rsidRPr="3A388F9E">
        <w:rPr>
          <w:color w:val="222222"/>
        </w:rPr>
        <w:t>: Improving the efficiency of managing current assets and liabilities, including shortening trade credit durations, debt collection, and stock holdings, is the goal of working capital management. Although it has benefits like rapid cash release and no outside expenses, it could sour relations with customers.</w:t>
      </w:r>
    </w:p>
    <w:p w14:paraId="52312CB5" w14:textId="77777777" w:rsidR="00834CAF" w:rsidRPr="00834CAF" w:rsidRDefault="00834CAF" w:rsidP="00212F36">
      <w:pPr>
        <w:spacing w:line="360" w:lineRule="auto"/>
        <w:rPr>
          <w:rFonts w:asciiTheme="minorHAnsi" w:eastAsiaTheme="majorEastAsia" w:hAnsiTheme="minorHAnsi" w:cstheme="majorBidi"/>
          <w:b/>
          <w:color w:val="595959" w:themeColor="text1" w:themeTint="A6"/>
          <w:spacing w:val="15"/>
          <w:sz w:val="28"/>
          <w:szCs w:val="28"/>
        </w:rPr>
      </w:pPr>
      <w:r w:rsidRPr="75F961E9">
        <w:rPr>
          <w:rFonts w:asciiTheme="minorHAnsi" w:eastAsiaTheme="majorEastAsia" w:hAnsiTheme="minorHAnsi" w:cstheme="majorBidi"/>
          <w:b/>
          <w:color w:val="595959" w:themeColor="text1" w:themeTint="A6"/>
          <w:spacing w:val="15"/>
          <w:sz w:val="28"/>
          <w:szCs w:val="28"/>
        </w:rPr>
        <w:t>External Sources Of Finance</w:t>
      </w:r>
    </w:p>
    <w:p w14:paraId="438D0088" w14:textId="77777777" w:rsidR="00834CAF" w:rsidRPr="00834CAF" w:rsidRDefault="00834CAF" w:rsidP="00212F36">
      <w:pPr>
        <w:numPr>
          <w:ilvl w:val="0"/>
          <w:numId w:val="30"/>
        </w:numPr>
        <w:spacing w:line="360" w:lineRule="auto"/>
        <w:contextualSpacing/>
        <w:rPr>
          <w:color w:val="222222"/>
        </w:rPr>
      </w:pPr>
      <w:r w:rsidRPr="3A388F9E">
        <w:rPr>
          <w:color w:val="222222"/>
        </w:rPr>
        <w:t xml:space="preserve">Share capital is the process of issuing new shares to investors to raise significant amounts of money fast and to provide permanent capital that is not repaid. However, as future gains must be distributed to all shareholders, particularly institutional ones, it </w:t>
      </w:r>
      <w:r w:rsidRPr="3A388F9E">
        <w:rPr>
          <w:color w:val="222222"/>
        </w:rPr>
        <w:lastRenderedPageBreak/>
        <w:t>may result in dilution of ownership and loss of control for current shareholders [Glen 2013].</w:t>
      </w:r>
    </w:p>
    <w:p w14:paraId="135A4703" w14:textId="77777777" w:rsidR="00834CAF" w:rsidRPr="00834CAF" w:rsidRDefault="00834CAF" w:rsidP="00212F36">
      <w:pPr>
        <w:spacing w:line="360" w:lineRule="auto"/>
        <w:ind w:left="720"/>
        <w:contextualSpacing/>
        <w:rPr>
          <w:color w:val="222222"/>
        </w:rPr>
      </w:pPr>
    </w:p>
    <w:p w14:paraId="0962FD42" w14:textId="77777777" w:rsidR="00834CAF" w:rsidRPr="00834CAF" w:rsidRDefault="00834CAF" w:rsidP="00212F36">
      <w:pPr>
        <w:numPr>
          <w:ilvl w:val="0"/>
          <w:numId w:val="30"/>
        </w:numPr>
        <w:spacing w:line="360" w:lineRule="auto"/>
        <w:contextualSpacing/>
        <w:rPr>
          <w:color w:val="222222"/>
        </w:rPr>
      </w:pPr>
      <w:r w:rsidRPr="3A388F9E">
        <w:rPr>
          <w:color w:val="222222"/>
        </w:rPr>
        <w:t>Long-term loans backed by business real estate, commercial mortgages have lower interest rates and steady monthly payments spread out over ten to fifteen years. However, if payments are not made, the collateralised property may be repossessed [Glen 2013].</w:t>
      </w:r>
    </w:p>
    <w:p w14:paraId="359A852C" w14:textId="77777777" w:rsidR="00834CAF" w:rsidRPr="00834CAF" w:rsidRDefault="00834CAF" w:rsidP="00212F36">
      <w:pPr>
        <w:spacing w:line="360" w:lineRule="auto"/>
        <w:ind w:left="720"/>
        <w:contextualSpacing/>
        <w:rPr>
          <w:color w:val="222222"/>
        </w:rPr>
      </w:pPr>
    </w:p>
    <w:p w14:paraId="03F3CBAB" w14:textId="77777777" w:rsidR="00834CAF" w:rsidRPr="00834CAF" w:rsidRDefault="00834CAF" w:rsidP="00212F36">
      <w:pPr>
        <w:numPr>
          <w:ilvl w:val="0"/>
          <w:numId w:val="30"/>
        </w:numPr>
        <w:spacing w:before="240" w:after="240" w:line="360" w:lineRule="auto"/>
        <w:contextualSpacing/>
        <w:rPr>
          <w:color w:val="222222"/>
        </w:rPr>
      </w:pPr>
      <w:r w:rsidRPr="3A388F9E">
        <w:rPr>
          <w:color w:val="222222"/>
        </w:rPr>
        <w:t>By eliminating significant upfront capital expenditures and providing maintenance and repair coverage, leasing or hire purchase will enable Jordon to utilise productive assets without immediate full ownership. Leases provide frequent equipment upgrades and are more accessible than traditional loans. But over time, they may become more costly, and if payments are not made, they run the risk of being repossessed [Glen 2013].</w:t>
      </w:r>
    </w:p>
    <w:p w14:paraId="3AD91B10" w14:textId="77777777" w:rsidR="00834CAF" w:rsidRPr="00834CAF" w:rsidRDefault="00834CAF" w:rsidP="00212F36">
      <w:pPr>
        <w:spacing w:before="240" w:after="240" w:line="360" w:lineRule="auto"/>
        <w:rPr>
          <w:color w:val="222222"/>
        </w:rPr>
      </w:pPr>
    </w:p>
    <w:p w14:paraId="35F01AA4" w14:textId="77777777" w:rsidR="00834CAF" w:rsidRPr="00834CAF" w:rsidRDefault="00834CAF" w:rsidP="00212F36">
      <w:pPr>
        <w:keepNext/>
        <w:keepLines/>
        <w:numPr>
          <w:ilvl w:val="0"/>
          <w:numId w:val="28"/>
        </w:numPr>
        <w:spacing w:before="360" w:after="80" w:line="360" w:lineRule="auto"/>
        <w:outlineLvl w:val="0"/>
        <w:rPr>
          <w:b/>
          <w:bCs/>
          <w:color w:val="222222"/>
          <w:sz w:val="28"/>
          <w:szCs w:val="28"/>
        </w:rPr>
      </w:pPr>
      <w:bookmarkStart w:id="18" w:name="_Toc589293793"/>
      <w:r w:rsidRPr="3A388F9E">
        <w:rPr>
          <w:b/>
          <w:bCs/>
          <w:color w:val="0F4761" w:themeColor="accent1" w:themeShade="BF"/>
          <w:sz w:val="28"/>
          <w:szCs w:val="28"/>
        </w:rPr>
        <w:t>CONCLUSION</w:t>
      </w:r>
      <w:bookmarkEnd w:id="18"/>
      <w:r w:rsidRPr="3A388F9E">
        <w:rPr>
          <w:b/>
          <w:bCs/>
          <w:color w:val="0F4761" w:themeColor="accent1" w:themeShade="BF"/>
          <w:sz w:val="28"/>
          <w:szCs w:val="28"/>
        </w:rPr>
        <w:t xml:space="preserve"> </w:t>
      </w:r>
    </w:p>
    <w:p w14:paraId="573AD9A6" w14:textId="77777777" w:rsidR="00834CAF" w:rsidRPr="00834CAF" w:rsidRDefault="00834CAF" w:rsidP="00212F36">
      <w:pPr>
        <w:spacing w:line="360" w:lineRule="auto"/>
        <w:rPr>
          <w:color w:val="222222"/>
        </w:rPr>
      </w:pPr>
      <w:r w:rsidRPr="3A388F9E">
        <w:rPr>
          <w:color w:val="222222"/>
        </w:rPr>
        <w:t xml:space="preserve">Jordans Plc should move on with Option B: Develop Internet Sales considering the thorough financial analysis, especially the Net Present Value (NPV) and Internal Rate of Return (IRR) metrics. With an NPV of £767,993.25, this option delivers the greatest value generation for the business. It also shows a strong return, with an approximate IRR of 39.59%, which is much more than the business's 6% cost of capital. The goal of maximising shareholder wealth is best served by this decision. For a budget of £2,000,000, the best course of action is to invest in Option B in its entirety, Option A in its entirety, and Option C in its entirety. This will yield an NPV of £1,332,734.81. For a well-rounded conclusion, it is advised to do a comprehensive assessment of qualitative aspects, including market conditions, management team competencies, potential technological or regulatory concerns, and the strategic alignment of the expansion of internet sales with Jordons Plc's long-term strategy. Additionally, a well-rounded strategy should be used to finance the suggested investment program for Jordans Plc. First, for cost-effectiveness and control preservation, leverage retained earnings. Commercial mortgages and other long-term debt should be considered when determining capital needs. Equity finance through venture capital or private equity may be considered if outside funding or strategic knowledge is required. Jordans Plc's risk </w:t>
      </w:r>
      <w:r w:rsidRPr="3A388F9E">
        <w:rPr>
          <w:color w:val="222222"/>
        </w:rPr>
        <w:lastRenderedPageBreak/>
        <w:t>tolerance, control preferences, and long-term strategic goals for flexibility and financial stability should all be reflected in the financing mix that is selected.</w:t>
      </w:r>
    </w:p>
    <w:p w14:paraId="07BC8781" w14:textId="77777777" w:rsidR="00834CAF" w:rsidRPr="00834CAF" w:rsidRDefault="00834CAF" w:rsidP="00212F36">
      <w:pPr>
        <w:spacing w:line="360" w:lineRule="auto"/>
        <w:rPr>
          <w:color w:val="222222"/>
        </w:rPr>
      </w:pPr>
    </w:p>
    <w:p w14:paraId="66A71D4D" w14:textId="77777777" w:rsidR="00834CAF" w:rsidRPr="00834CAF" w:rsidRDefault="00834CAF" w:rsidP="00212F36">
      <w:pPr>
        <w:spacing w:line="360" w:lineRule="auto"/>
        <w:rPr>
          <w:color w:val="222222"/>
        </w:rPr>
      </w:pPr>
      <w:r w:rsidRPr="3A388F9E">
        <w:rPr>
          <w:color w:val="222222"/>
        </w:rPr>
        <w:t xml:space="preserve">Over the last two years, Marks &amp; Spencer Group plc has shown a strong financial turnaround, as evidenced by notable gains in underlying operational profitability, effective asset utilisation, and a notable strengthening of its balance sheet that has led to a net funds position. Even though non-recurring items, like the Ocado impairment, have affected the statutory results, the core retail business's positive trajectory is still visible. The company's improved financial health is evident in its increased resilience and significant capacity for strategic investments in the future. Also, the robust performance in the Food and Fashion, Home &amp; Beauty segments demonstrates the effectiveness of the "Reshaping for Growth" strategy. M&amp;S's improved financial health has been largely attributed to its disciplined approach to financial management, which includes strict cost control and strategic capital allocation. If M&amp;S keeps up its disciplined strategy execution, proactively resolves operational issues in its joint ventures, and keeps open lines of communication with </w:t>
      </w:r>
      <w:bookmarkStart w:id="19" w:name="_Int_gv9DRCA9"/>
      <w:r w:rsidRPr="3A388F9E">
        <w:rPr>
          <w:color w:val="222222"/>
        </w:rPr>
        <w:t>all of</w:t>
      </w:r>
      <w:bookmarkEnd w:id="19"/>
      <w:r w:rsidRPr="3A388F9E">
        <w:rPr>
          <w:color w:val="222222"/>
        </w:rPr>
        <w:t xml:space="preserve"> its stakeholders about its financial performance and strategic decisions, it will be well-positioned for long-term growth.</w:t>
      </w:r>
    </w:p>
    <w:p w14:paraId="341C1114" w14:textId="77777777" w:rsidR="00834CAF" w:rsidRPr="00834CAF" w:rsidRDefault="00834CAF" w:rsidP="00212F36">
      <w:pPr>
        <w:keepNext/>
        <w:keepLines/>
        <w:numPr>
          <w:ilvl w:val="0"/>
          <w:numId w:val="28"/>
        </w:numPr>
        <w:spacing w:before="360" w:after="80" w:line="360" w:lineRule="auto"/>
        <w:outlineLvl w:val="0"/>
        <w:rPr>
          <w:b/>
          <w:bCs/>
          <w:color w:val="0F4761" w:themeColor="accent1" w:themeShade="BF"/>
          <w:sz w:val="28"/>
          <w:szCs w:val="28"/>
        </w:rPr>
      </w:pPr>
      <w:bookmarkStart w:id="20" w:name="_Toc1989003783"/>
      <w:r w:rsidRPr="3A388F9E">
        <w:rPr>
          <w:b/>
          <w:bCs/>
          <w:color w:val="0F4761" w:themeColor="accent1" w:themeShade="BF"/>
          <w:sz w:val="28"/>
          <w:szCs w:val="28"/>
        </w:rPr>
        <w:t>Strategic Recommendations for Financing</w:t>
      </w:r>
      <w:bookmarkEnd w:id="20"/>
    </w:p>
    <w:p w14:paraId="33C7FAA4" w14:textId="77777777" w:rsidR="00834CAF" w:rsidRPr="00586704" w:rsidRDefault="00834CAF" w:rsidP="00212F36">
      <w:pPr>
        <w:pStyle w:val="ListParagraph"/>
        <w:numPr>
          <w:ilvl w:val="0"/>
          <w:numId w:val="31"/>
        </w:numPr>
        <w:spacing w:line="360" w:lineRule="auto"/>
        <w:rPr>
          <w:color w:val="222222"/>
        </w:rPr>
      </w:pPr>
      <w:r w:rsidRPr="3A388F9E">
        <w:rPr>
          <w:color w:val="222222"/>
        </w:rPr>
        <w:t xml:space="preserve">Private equity or venture capital could be taken into consideration if expansion calls for more funding than debt or retained earnings, or if strategic knowledge is preferred. Although ownership is diluted, this offers substantial funding and insightful strategic advice, particularly for new market entry or technology advancements [Lerner and </w:t>
      </w:r>
      <w:proofErr w:type="spellStart"/>
      <w:r w:rsidRPr="3A388F9E">
        <w:rPr>
          <w:color w:val="222222"/>
        </w:rPr>
        <w:t>Leamon</w:t>
      </w:r>
      <w:proofErr w:type="spellEnd"/>
      <w:r w:rsidRPr="3A388F9E">
        <w:rPr>
          <w:color w:val="222222"/>
        </w:rPr>
        <w:t xml:space="preserve"> 2023].</w:t>
      </w:r>
    </w:p>
    <w:p w14:paraId="19E73F45" w14:textId="77777777" w:rsidR="00834CAF" w:rsidRPr="00586704" w:rsidRDefault="00834CAF" w:rsidP="00212F36">
      <w:pPr>
        <w:pStyle w:val="ListParagraph"/>
        <w:numPr>
          <w:ilvl w:val="0"/>
          <w:numId w:val="31"/>
        </w:numPr>
        <w:spacing w:line="360" w:lineRule="auto"/>
        <w:rPr>
          <w:color w:val="222222"/>
        </w:rPr>
      </w:pPr>
      <w:r w:rsidRPr="3A388F9E">
        <w:rPr>
          <w:color w:val="222222"/>
        </w:rPr>
        <w:t>Jordons can maintain a healthy debt-to-equity ratio and take advantage of the tax deduction for debt interest payments while avoiding undue financial risk. Financial risk and the cost of capital are balanced in an ideal capital structure [</w:t>
      </w:r>
      <w:proofErr w:type="spellStart"/>
      <w:r w:rsidRPr="3A388F9E">
        <w:rPr>
          <w:color w:val="222222"/>
        </w:rPr>
        <w:t>Gkoo</w:t>
      </w:r>
      <w:proofErr w:type="spellEnd"/>
      <w:r w:rsidRPr="3A388F9E">
        <w:rPr>
          <w:color w:val="222222"/>
        </w:rPr>
        <w:t xml:space="preserve"> 2020].</w:t>
      </w:r>
    </w:p>
    <w:p w14:paraId="5772FDCD" w14:textId="77777777" w:rsidR="00834CAF" w:rsidRPr="00586704" w:rsidRDefault="00834CAF" w:rsidP="00212F36">
      <w:pPr>
        <w:pStyle w:val="ListParagraph"/>
        <w:numPr>
          <w:ilvl w:val="0"/>
          <w:numId w:val="31"/>
        </w:numPr>
        <w:spacing w:line="360" w:lineRule="auto"/>
        <w:rPr>
          <w:color w:val="222222"/>
        </w:rPr>
      </w:pPr>
      <w:r w:rsidRPr="3A388F9E">
        <w:rPr>
          <w:color w:val="222222"/>
        </w:rPr>
        <w:t>Again, Jordons is advised to keep an eye on the prices of various financing choices. Since the financing mix is used as the discount rate in NPV calculations, it has a direct impact on the company's total cost of capital, which in turn affects the feasibility of upcoming initiatives.</w:t>
      </w:r>
    </w:p>
    <w:p w14:paraId="5E5BB4AB" w14:textId="73D71181" w:rsidR="3A388F9E" w:rsidRDefault="3A388F9E" w:rsidP="00212F36">
      <w:pPr>
        <w:spacing w:line="360" w:lineRule="auto"/>
        <w:rPr>
          <w:color w:val="222222"/>
        </w:rPr>
      </w:pPr>
    </w:p>
    <w:p w14:paraId="3F915C0F" w14:textId="5C17C705" w:rsidR="671BAD74" w:rsidRDefault="671BAD74" w:rsidP="00212F36">
      <w:pPr>
        <w:spacing w:after="200" w:line="360" w:lineRule="auto"/>
      </w:pPr>
    </w:p>
    <w:p w14:paraId="052E6B53" w14:textId="1D27E6C3" w:rsidR="671BAD74" w:rsidRDefault="671BAD74" w:rsidP="00212F36">
      <w:pPr>
        <w:pStyle w:val="Heading1"/>
        <w:spacing w:line="360" w:lineRule="auto"/>
        <w:rPr>
          <w:rFonts w:ascii="Times New Roman" w:eastAsia="Times New Roman" w:hAnsi="Times New Roman" w:cs="Times New Roman"/>
          <w:b/>
          <w:bCs/>
          <w:sz w:val="28"/>
          <w:szCs w:val="28"/>
        </w:rPr>
      </w:pPr>
      <w:r w:rsidRPr="3A388F9E">
        <w:rPr>
          <w:b/>
          <w:bCs/>
        </w:rPr>
        <w:lastRenderedPageBreak/>
        <w:t xml:space="preserve"> </w:t>
      </w:r>
      <w:bookmarkStart w:id="21" w:name="_Toc1612678021"/>
      <w:r w:rsidRPr="3A388F9E">
        <w:rPr>
          <w:b/>
          <w:bCs/>
          <w:sz w:val="28"/>
          <w:szCs w:val="28"/>
        </w:rPr>
        <w:t>REFERENCE</w:t>
      </w:r>
      <w:bookmarkEnd w:id="21"/>
    </w:p>
    <w:p w14:paraId="65C4B2D8" w14:textId="7F1A8FCD"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Almeida, H., </w:t>
      </w:r>
      <w:proofErr w:type="spellStart"/>
      <w:r w:rsidRPr="3A388F9E">
        <w:rPr>
          <w:rFonts w:ascii="Calibri" w:eastAsia="Calibri" w:hAnsi="Calibri" w:cs="Calibri"/>
          <w:sz w:val="22"/>
          <w:szCs w:val="22"/>
        </w:rPr>
        <w:t>Campello</w:t>
      </w:r>
      <w:proofErr w:type="spellEnd"/>
      <w:r w:rsidRPr="3A388F9E">
        <w:rPr>
          <w:rFonts w:ascii="Calibri" w:eastAsia="Calibri" w:hAnsi="Calibri" w:cs="Calibri"/>
          <w:sz w:val="22"/>
          <w:szCs w:val="22"/>
        </w:rPr>
        <w:t xml:space="preserve">, M. and </w:t>
      </w:r>
      <w:proofErr w:type="spellStart"/>
      <w:r w:rsidRPr="3A388F9E">
        <w:rPr>
          <w:rFonts w:ascii="Calibri" w:eastAsia="Calibri" w:hAnsi="Calibri" w:cs="Calibri"/>
          <w:sz w:val="22"/>
          <w:szCs w:val="22"/>
        </w:rPr>
        <w:t>Weisbach</w:t>
      </w:r>
      <w:proofErr w:type="spellEnd"/>
      <w:r w:rsidRPr="3A388F9E">
        <w:rPr>
          <w:rFonts w:ascii="Calibri" w:eastAsia="Calibri" w:hAnsi="Calibri" w:cs="Calibri"/>
          <w:sz w:val="22"/>
          <w:szCs w:val="22"/>
        </w:rPr>
        <w:t xml:space="preserve">, M.S., 2011. Corporate financial and investment policies when future financing is not frictionless. Journal of corporate finance, 17(3), pp.675-693. </w:t>
      </w:r>
    </w:p>
    <w:p w14:paraId="70DD281C" w14:textId="40C74357"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Atrill</w:t>
      </w:r>
      <w:proofErr w:type="spellEnd"/>
      <w:r w:rsidRPr="3A388F9E">
        <w:rPr>
          <w:rFonts w:ascii="Calibri" w:eastAsia="Calibri" w:hAnsi="Calibri" w:cs="Calibri"/>
          <w:sz w:val="22"/>
          <w:szCs w:val="22"/>
        </w:rPr>
        <w:t xml:space="preserve">, P., 2006. Financial management for decision makers. </w:t>
      </w:r>
      <w:proofErr w:type="spellStart"/>
      <w:r w:rsidRPr="3A388F9E">
        <w:rPr>
          <w:rFonts w:ascii="Calibri" w:eastAsia="Calibri" w:hAnsi="Calibri" w:cs="Calibri"/>
          <w:sz w:val="22"/>
          <w:szCs w:val="22"/>
        </w:rPr>
        <w:t>pearson</w:t>
      </w:r>
      <w:proofErr w:type="spellEnd"/>
      <w:r w:rsidRPr="3A388F9E">
        <w:rPr>
          <w:rFonts w:ascii="Calibri" w:eastAsia="Calibri" w:hAnsi="Calibri" w:cs="Calibri"/>
          <w:sz w:val="22"/>
          <w:szCs w:val="22"/>
        </w:rPr>
        <w:t xml:space="preserve"> Education. </w:t>
      </w:r>
    </w:p>
    <w:p w14:paraId="61213867" w14:textId="11E72F58"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Banjar, W.W. and </w:t>
      </w:r>
      <w:proofErr w:type="spellStart"/>
      <w:r w:rsidRPr="3A388F9E">
        <w:rPr>
          <w:rFonts w:ascii="Calibri" w:eastAsia="Calibri" w:hAnsi="Calibri" w:cs="Calibri"/>
          <w:sz w:val="22"/>
          <w:szCs w:val="22"/>
        </w:rPr>
        <w:t>Saleh</w:t>
      </w:r>
      <w:proofErr w:type="spellEnd"/>
      <w:r w:rsidRPr="3A388F9E">
        <w:rPr>
          <w:rFonts w:ascii="Calibri" w:eastAsia="Calibri" w:hAnsi="Calibri" w:cs="Calibri"/>
          <w:sz w:val="22"/>
          <w:szCs w:val="22"/>
        </w:rPr>
        <w:t xml:space="preserve">, M.H., 2023. Impact of Earning Per Share, Dividend Payout Ratio, and Price Earning Ratio on Stock Prices in the Manufacturing Sector. Journal of Public Auditing and Financial Management, 3(1), pp.1-12. </w:t>
      </w:r>
    </w:p>
    <w:p w14:paraId="0C52AE6A" w14:textId="354B435B"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Bierman</w:t>
      </w:r>
      <w:proofErr w:type="spellEnd"/>
      <w:r w:rsidRPr="3A388F9E">
        <w:rPr>
          <w:rFonts w:ascii="Calibri" w:eastAsia="Calibri" w:hAnsi="Calibri" w:cs="Calibri"/>
          <w:sz w:val="22"/>
          <w:szCs w:val="22"/>
        </w:rPr>
        <w:t xml:space="preserve">, H., 2020. Capital budgeting. Handbook of financial planning and control, pp.77-89. </w:t>
      </w:r>
    </w:p>
    <w:p w14:paraId="190D27D6" w14:textId="2476B34D"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Boyani</w:t>
      </w:r>
      <w:proofErr w:type="spellEnd"/>
      <w:r w:rsidRPr="3A388F9E">
        <w:rPr>
          <w:rFonts w:ascii="Calibri" w:eastAsia="Calibri" w:hAnsi="Calibri" w:cs="Calibri"/>
          <w:sz w:val="22"/>
          <w:szCs w:val="22"/>
        </w:rPr>
        <w:t xml:space="preserve"> </w:t>
      </w:r>
      <w:proofErr w:type="spellStart"/>
      <w:r w:rsidRPr="3A388F9E">
        <w:rPr>
          <w:rFonts w:ascii="Calibri" w:eastAsia="Calibri" w:hAnsi="Calibri" w:cs="Calibri"/>
          <w:sz w:val="22"/>
          <w:szCs w:val="22"/>
        </w:rPr>
        <w:t>Mogire</w:t>
      </w:r>
      <w:proofErr w:type="spellEnd"/>
      <w:r w:rsidRPr="3A388F9E">
        <w:rPr>
          <w:rFonts w:ascii="Calibri" w:eastAsia="Calibri" w:hAnsi="Calibri" w:cs="Calibri"/>
          <w:sz w:val="22"/>
          <w:szCs w:val="22"/>
        </w:rPr>
        <w:t xml:space="preserve">, R., 2024. Investigating Factors Influencing Changing Consumer Patterns and the Impact on Sales Revenue in the Clothes Department at Marks &amp; Spencer in Dublin, Ireland. </w:t>
      </w:r>
    </w:p>
    <w:p w14:paraId="5F3F7EC8" w14:textId="0186A1A1"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Bragg, S.M., 2012. Business ratios and formulas: a comprehensive guide. John Wiley &amp; Sons. </w:t>
      </w:r>
    </w:p>
    <w:p w14:paraId="79611D87" w14:textId="21108BE6"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Detti</w:t>
      </w:r>
      <w:proofErr w:type="spellEnd"/>
      <w:r w:rsidRPr="3A388F9E">
        <w:rPr>
          <w:rFonts w:ascii="Calibri" w:eastAsia="Calibri" w:hAnsi="Calibri" w:cs="Calibri"/>
          <w:sz w:val="22"/>
          <w:szCs w:val="22"/>
        </w:rPr>
        <w:t xml:space="preserve">, A., 2023. Equity Research on Ocado Group: On Track to Diversify from the UK (Master's thesis, </w:t>
      </w:r>
      <w:proofErr w:type="spellStart"/>
      <w:r w:rsidRPr="3A388F9E">
        <w:rPr>
          <w:rFonts w:ascii="Calibri" w:eastAsia="Calibri" w:hAnsi="Calibri" w:cs="Calibri"/>
          <w:sz w:val="22"/>
          <w:szCs w:val="22"/>
        </w:rPr>
        <w:t>Universidade</w:t>
      </w:r>
      <w:proofErr w:type="spellEnd"/>
      <w:r w:rsidRPr="3A388F9E">
        <w:rPr>
          <w:rFonts w:ascii="Calibri" w:eastAsia="Calibri" w:hAnsi="Calibri" w:cs="Calibri"/>
          <w:sz w:val="22"/>
          <w:szCs w:val="22"/>
        </w:rPr>
        <w:t xml:space="preserve"> NOVA de Lisboa (Portugal)). </w:t>
      </w:r>
    </w:p>
    <w:p w14:paraId="3B22A727" w14:textId="072C27DD"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Diana, H.I. and Maria, M.M., 2020. The importance Of profitability indicators In assessing The financial performance Of economic entities. The Annals of the University of Oradea, 29(2020), p.219. </w:t>
      </w:r>
    </w:p>
    <w:p w14:paraId="28F9A410" w14:textId="2EF1ECE2"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Ding, G. and </w:t>
      </w:r>
      <w:proofErr w:type="spellStart"/>
      <w:r w:rsidRPr="3A388F9E">
        <w:rPr>
          <w:rFonts w:ascii="Calibri" w:eastAsia="Calibri" w:hAnsi="Calibri" w:cs="Calibri"/>
          <w:sz w:val="22"/>
          <w:szCs w:val="22"/>
        </w:rPr>
        <w:t>Runeson</w:t>
      </w:r>
      <w:proofErr w:type="spellEnd"/>
      <w:r w:rsidRPr="3A388F9E">
        <w:rPr>
          <w:rFonts w:ascii="Calibri" w:eastAsia="Calibri" w:hAnsi="Calibri" w:cs="Calibri"/>
          <w:sz w:val="22"/>
          <w:szCs w:val="22"/>
        </w:rPr>
        <w:t xml:space="preserve">, G., 2020. A ‘triple bottom line approach to advanced project evaluation. Cambridge Scholars Publishing. </w:t>
      </w:r>
    </w:p>
    <w:p w14:paraId="7101698B" w14:textId="307AB8A5"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Ezennia</w:t>
      </w:r>
      <w:proofErr w:type="spellEnd"/>
      <w:r w:rsidRPr="3A388F9E">
        <w:rPr>
          <w:rFonts w:ascii="Calibri" w:eastAsia="Calibri" w:hAnsi="Calibri" w:cs="Calibri"/>
          <w:sz w:val="22"/>
          <w:szCs w:val="22"/>
        </w:rPr>
        <w:t xml:space="preserve">, A.S. and </w:t>
      </w:r>
      <w:proofErr w:type="spellStart"/>
      <w:r w:rsidRPr="3A388F9E">
        <w:rPr>
          <w:rFonts w:ascii="Calibri" w:eastAsia="Calibri" w:hAnsi="Calibri" w:cs="Calibri"/>
          <w:sz w:val="22"/>
          <w:szCs w:val="22"/>
        </w:rPr>
        <w:t>Amahalu</w:t>
      </w:r>
      <w:proofErr w:type="spellEnd"/>
      <w:r w:rsidRPr="3A388F9E">
        <w:rPr>
          <w:rFonts w:ascii="Calibri" w:eastAsia="Calibri" w:hAnsi="Calibri" w:cs="Calibri"/>
          <w:sz w:val="22"/>
          <w:szCs w:val="22"/>
        </w:rPr>
        <w:t xml:space="preserve">, N.N., 2024. GEARING RATIO AND PROFITABILITY OF LISTED CONSTRUCTION FIRMS IN NIGERIA. International Review of Financial Studies, 1(2), pp.1-37. </w:t>
      </w:r>
    </w:p>
    <w:p w14:paraId="04A93202" w14:textId="432AB02A"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Geoffrey. K., 1998. Financial Management. Third Edition. </w:t>
      </w:r>
      <w:proofErr w:type="spellStart"/>
      <w:r w:rsidRPr="3A388F9E">
        <w:rPr>
          <w:rFonts w:ascii="Calibri" w:eastAsia="Calibri" w:hAnsi="Calibri" w:cs="Calibri"/>
          <w:sz w:val="22"/>
          <w:szCs w:val="22"/>
        </w:rPr>
        <w:t>Macmllian</w:t>
      </w:r>
      <w:proofErr w:type="spellEnd"/>
      <w:r w:rsidRPr="3A388F9E">
        <w:rPr>
          <w:rFonts w:ascii="Calibri" w:eastAsia="Calibri" w:hAnsi="Calibri" w:cs="Calibri"/>
          <w:sz w:val="22"/>
          <w:szCs w:val="22"/>
        </w:rPr>
        <w:t xml:space="preserve"> Press LTD </w:t>
      </w:r>
    </w:p>
    <w:p w14:paraId="772E3362" w14:textId="52BE7874"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Ghosh, A. and Moon, D., 2010. Corporate debt financing and earnings quality. Journal of Business Finance &amp; Accounting, 37(5‐6), pp.538-559. </w:t>
      </w:r>
    </w:p>
    <w:p w14:paraId="24994E32" w14:textId="2B4D5A64"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Gkoo</w:t>
      </w:r>
      <w:proofErr w:type="spellEnd"/>
      <w:r w:rsidRPr="3A388F9E">
        <w:rPr>
          <w:rFonts w:ascii="Calibri" w:eastAsia="Calibri" w:hAnsi="Calibri" w:cs="Calibri"/>
          <w:sz w:val="22"/>
          <w:szCs w:val="22"/>
        </w:rPr>
        <w:t xml:space="preserve">, T., 2020. Finance theory meets tax law: how a risk-based rule can </w:t>
      </w:r>
      <w:proofErr w:type="spellStart"/>
      <w:r w:rsidRPr="3A388F9E">
        <w:rPr>
          <w:rFonts w:ascii="Calibri" w:eastAsia="Calibri" w:hAnsi="Calibri" w:cs="Calibri"/>
          <w:sz w:val="22"/>
          <w:szCs w:val="22"/>
        </w:rPr>
        <w:t>rationalize</w:t>
      </w:r>
      <w:proofErr w:type="spellEnd"/>
      <w:r w:rsidRPr="3A388F9E">
        <w:rPr>
          <w:rFonts w:ascii="Calibri" w:eastAsia="Calibri" w:hAnsi="Calibri" w:cs="Calibri"/>
          <w:sz w:val="22"/>
          <w:szCs w:val="22"/>
        </w:rPr>
        <w:t xml:space="preserve"> the debt versus equity distinction. The Contemporary Tax Journal, 9(1), p.6. </w:t>
      </w:r>
    </w:p>
    <w:p w14:paraId="5C77E450" w14:textId="39F98E46"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Glen, A., 2013. Corporate Financial Management. Fifth Edition. Pearson </w:t>
      </w:r>
    </w:p>
    <w:p w14:paraId="0AE961B3" w14:textId="645EBE60"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Glen, A., 2013. Essentials of Corporate Financial Management. Second Edition. Pearson </w:t>
      </w:r>
    </w:p>
    <w:p w14:paraId="09C75ACD" w14:textId="7FE6F0B8"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Gunawan</w:t>
      </w:r>
      <w:proofErr w:type="spellEnd"/>
      <w:r w:rsidRPr="3A388F9E">
        <w:rPr>
          <w:rFonts w:ascii="Calibri" w:eastAsia="Calibri" w:hAnsi="Calibri" w:cs="Calibri"/>
          <w:sz w:val="22"/>
          <w:szCs w:val="22"/>
        </w:rPr>
        <w:t xml:space="preserve">, E., 2023. Liquidity Ratio Analysis in Financing Short Term Liabilities. International Journal of Health, Economics, and Social Sciences (IJHESS), 5(2), pp.157-162. </w:t>
      </w:r>
    </w:p>
    <w:p w14:paraId="49D7BCAF" w14:textId="792F7ED9"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Hasidi</w:t>
      </w:r>
      <w:proofErr w:type="spellEnd"/>
      <w:r w:rsidRPr="3A388F9E">
        <w:rPr>
          <w:rFonts w:ascii="Calibri" w:eastAsia="Calibri" w:hAnsi="Calibri" w:cs="Calibri"/>
          <w:sz w:val="22"/>
          <w:szCs w:val="22"/>
        </w:rPr>
        <w:t xml:space="preserve">, M.H., </w:t>
      </w:r>
      <w:proofErr w:type="spellStart"/>
      <w:r w:rsidRPr="3A388F9E">
        <w:rPr>
          <w:rFonts w:ascii="Calibri" w:eastAsia="Calibri" w:hAnsi="Calibri" w:cs="Calibri"/>
          <w:sz w:val="22"/>
          <w:szCs w:val="22"/>
        </w:rPr>
        <w:t>Baheri</w:t>
      </w:r>
      <w:proofErr w:type="spellEnd"/>
      <w:r w:rsidRPr="3A388F9E">
        <w:rPr>
          <w:rFonts w:ascii="Calibri" w:eastAsia="Calibri" w:hAnsi="Calibri" w:cs="Calibri"/>
          <w:sz w:val="22"/>
          <w:szCs w:val="22"/>
        </w:rPr>
        <w:t xml:space="preserve">, J. and </w:t>
      </w:r>
      <w:proofErr w:type="spellStart"/>
      <w:r w:rsidRPr="3A388F9E">
        <w:rPr>
          <w:rFonts w:ascii="Calibri" w:eastAsia="Calibri" w:hAnsi="Calibri" w:cs="Calibri"/>
          <w:sz w:val="22"/>
          <w:szCs w:val="22"/>
        </w:rPr>
        <w:t>Hajar</w:t>
      </w:r>
      <w:proofErr w:type="spellEnd"/>
      <w:r w:rsidRPr="3A388F9E">
        <w:rPr>
          <w:rFonts w:ascii="Calibri" w:eastAsia="Calibri" w:hAnsi="Calibri" w:cs="Calibri"/>
          <w:sz w:val="22"/>
          <w:szCs w:val="22"/>
        </w:rPr>
        <w:t xml:space="preserve">, K.I., 2024. Financial performance evaluation using profitability and liquidity ratio analysis. </w:t>
      </w:r>
    </w:p>
    <w:p w14:paraId="3BAF8B0B" w14:textId="28057BAF"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lastRenderedPageBreak/>
        <w:t xml:space="preserve">Herrick, A., 1944. Current assets and liabilities. Journal of Accountancy (pre-1986), 77(000001), p.48. </w:t>
      </w:r>
    </w:p>
    <w:p w14:paraId="4DE91918" w14:textId="67A6714C"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IG UK. (n.d.). What Are the Average Returns of the FTSE 100? [Online]. Available at </w:t>
      </w:r>
      <w:hyperlink r:id="rId9">
        <w:r w:rsidRPr="3A388F9E">
          <w:rPr>
            <w:rStyle w:val="Hyperlink"/>
            <w:rFonts w:ascii="Calibri" w:eastAsia="Calibri" w:hAnsi="Calibri" w:cs="Calibri"/>
            <w:sz w:val="22"/>
            <w:szCs w:val="22"/>
          </w:rPr>
          <w:t>https://www.ig.com/uk/trading-strategies/what-are-the-average-returns-of-the-ftse-100--230511</w:t>
        </w:r>
      </w:hyperlink>
      <w:r w:rsidRPr="3A388F9E">
        <w:rPr>
          <w:rFonts w:ascii="Calibri" w:eastAsia="Calibri" w:hAnsi="Calibri" w:cs="Calibri"/>
          <w:sz w:val="22"/>
          <w:szCs w:val="22"/>
        </w:rPr>
        <w:t xml:space="preserve"> [Accessed: 17.07.25]. </w:t>
      </w:r>
    </w:p>
    <w:p w14:paraId="70F6DC14" w14:textId="2D2452F9"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Jain, Y.K., 2024. Financial Management and Market Dynamics. </w:t>
      </w:r>
      <w:proofErr w:type="spellStart"/>
      <w:r w:rsidRPr="3A388F9E">
        <w:rPr>
          <w:rFonts w:ascii="Calibri" w:eastAsia="Calibri" w:hAnsi="Calibri" w:cs="Calibri"/>
          <w:sz w:val="22"/>
          <w:szCs w:val="22"/>
        </w:rPr>
        <w:t>Xoffencerpublication</w:t>
      </w:r>
      <w:proofErr w:type="spellEnd"/>
      <w:r w:rsidRPr="3A388F9E">
        <w:rPr>
          <w:rFonts w:ascii="Calibri" w:eastAsia="Calibri" w:hAnsi="Calibri" w:cs="Calibri"/>
          <w:sz w:val="22"/>
          <w:szCs w:val="22"/>
        </w:rPr>
        <w:t xml:space="preserve">. </w:t>
      </w:r>
    </w:p>
    <w:p w14:paraId="3540E81A" w14:textId="14469AFB"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James, C., 2022. Investment Strategy: Ways to Invest and Factors to Consider [Online] Available at </w:t>
      </w:r>
      <w:hyperlink r:id="rId10">
        <w:r w:rsidRPr="3A388F9E">
          <w:rPr>
            <w:rStyle w:val="Hyperlink"/>
            <w:rFonts w:ascii="Calibri" w:eastAsia="Calibri" w:hAnsi="Calibri" w:cs="Calibri"/>
            <w:sz w:val="22"/>
            <w:szCs w:val="22"/>
          </w:rPr>
          <w:t>https://www.investopedia.com/terms/i/investmentstrategy.asp</w:t>
        </w:r>
      </w:hyperlink>
      <w:r w:rsidRPr="3A388F9E">
        <w:rPr>
          <w:rFonts w:ascii="Calibri" w:eastAsia="Calibri" w:hAnsi="Calibri" w:cs="Calibri"/>
          <w:sz w:val="22"/>
          <w:szCs w:val="22"/>
        </w:rPr>
        <w:t xml:space="preserve">  [Accessed: 20.0725]. </w:t>
      </w:r>
    </w:p>
    <w:p w14:paraId="03613364" w14:textId="778750A5"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Jones, T., 2004. Business economics &amp; managerial decision making. John Wiley &amp; Sons Ltd, England. </w:t>
      </w:r>
    </w:p>
    <w:p w14:paraId="49BCDBA6" w14:textId="4308C1B9"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Keter</w:t>
      </w:r>
      <w:proofErr w:type="spellEnd"/>
      <w:r w:rsidRPr="3A388F9E">
        <w:rPr>
          <w:rFonts w:ascii="Calibri" w:eastAsia="Calibri" w:hAnsi="Calibri" w:cs="Calibri"/>
          <w:sz w:val="22"/>
          <w:szCs w:val="22"/>
        </w:rPr>
        <w:t xml:space="preserve">, C.K.S., </w:t>
      </w:r>
      <w:proofErr w:type="spellStart"/>
      <w:r w:rsidRPr="3A388F9E">
        <w:rPr>
          <w:rFonts w:ascii="Calibri" w:eastAsia="Calibri" w:hAnsi="Calibri" w:cs="Calibri"/>
          <w:sz w:val="22"/>
          <w:szCs w:val="22"/>
        </w:rPr>
        <w:t>Cheboi</w:t>
      </w:r>
      <w:proofErr w:type="spellEnd"/>
      <w:r w:rsidRPr="3A388F9E">
        <w:rPr>
          <w:rFonts w:ascii="Calibri" w:eastAsia="Calibri" w:hAnsi="Calibri" w:cs="Calibri"/>
          <w:sz w:val="22"/>
          <w:szCs w:val="22"/>
        </w:rPr>
        <w:t xml:space="preserve">, J.Y., </w:t>
      </w:r>
      <w:proofErr w:type="spellStart"/>
      <w:r w:rsidRPr="3A388F9E">
        <w:rPr>
          <w:rFonts w:ascii="Calibri" w:eastAsia="Calibri" w:hAnsi="Calibri" w:cs="Calibri"/>
          <w:sz w:val="22"/>
          <w:szCs w:val="22"/>
        </w:rPr>
        <w:t>Kosgei</w:t>
      </w:r>
      <w:proofErr w:type="spellEnd"/>
      <w:r w:rsidRPr="3A388F9E">
        <w:rPr>
          <w:rFonts w:ascii="Calibri" w:eastAsia="Calibri" w:hAnsi="Calibri" w:cs="Calibri"/>
          <w:sz w:val="22"/>
          <w:szCs w:val="22"/>
        </w:rPr>
        <w:t xml:space="preserve">, D. and </w:t>
      </w:r>
      <w:proofErr w:type="spellStart"/>
      <w:r w:rsidRPr="3A388F9E">
        <w:rPr>
          <w:rFonts w:ascii="Calibri" w:eastAsia="Calibri" w:hAnsi="Calibri" w:cs="Calibri"/>
          <w:sz w:val="22"/>
          <w:szCs w:val="22"/>
        </w:rPr>
        <w:t>Chepsergon</w:t>
      </w:r>
      <w:proofErr w:type="spellEnd"/>
      <w:r w:rsidRPr="3A388F9E">
        <w:rPr>
          <w:rFonts w:ascii="Calibri" w:eastAsia="Calibri" w:hAnsi="Calibri" w:cs="Calibri"/>
          <w:sz w:val="22"/>
          <w:szCs w:val="22"/>
        </w:rPr>
        <w:t xml:space="preserve">, A.K., 2023. Financial performance and firm value of listed companies: Financial performance measure ROA versus ROE. Journal of Business, Economics and Management Research Studies, 1(4), pp.1-11. </w:t>
      </w:r>
    </w:p>
    <w:p w14:paraId="68DDFE87" w14:textId="701F212C"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Kharatyan</w:t>
      </w:r>
      <w:proofErr w:type="spellEnd"/>
      <w:r w:rsidRPr="3A388F9E">
        <w:rPr>
          <w:rFonts w:ascii="Calibri" w:eastAsia="Calibri" w:hAnsi="Calibri" w:cs="Calibri"/>
          <w:sz w:val="22"/>
          <w:szCs w:val="22"/>
        </w:rPr>
        <w:t xml:space="preserve">, D., </w:t>
      </w:r>
      <w:proofErr w:type="spellStart"/>
      <w:r w:rsidRPr="3A388F9E">
        <w:rPr>
          <w:rFonts w:ascii="Calibri" w:eastAsia="Calibri" w:hAnsi="Calibri" w:cs="Calibri"/>
          <w:sz w:val="22"/>
          <w:szCs w:val="22"/>
        </w:rPr>
        <w:t>Nunes</w:t>
      </w:r>
      <w:proofErr w:type="spellEnd"/>
      <w:r w:rsidRPr="3A388F9E">
        <w:rPr>
          <w:rFonts w:ascii="Calibri" w:eastAsia="Calibri" w:hAnsi="Calibri" w:cs="Calibri"/>
          <w:sz w:val="22"/>
          <w:szCs w:val="22"/>
        </w:rPr>
        <w:t>, A. and Lopes, J., 2016. Financial ratios and indicators that determine return on equity. XVII–</w:t>
      </w:r>
      <w:proofErr w:type="spellStart"/>
      <w:r w:rsidRPr="3A388F9E">
        <w:rPr>
          <w:rFonts w:ascii="Calibri" w:eastAsia="Calibri" w:hAnsi="Calibri" w:cs="Calibri"/>
          <w:sz w:val="22"/>
          <w:szCs w:val="22"/>
        </w:rPr>
        <w:t>Encuentro</w:t>
      </w:r>
      <w:proofErr w:type="spellEnd"/>
      <w:r w:rsidRPr="3A388F9E">
        <w:rPr>
          <w:rFonts w:ascii="Calibri" w:eastAsia="Calibri" w:hAnsi="Calibri" w:cs="Calibri"/>
          <w:sz w:val="22"/>
          <w:szCs w:val="22"/>
        </w:rPr>
        <w:t xml:space="preserve"> AECA. </w:t>
      </w:r>
    </w:p>
    <w:p w14:paraId="5D106804" w14:textId="0D7E1F32"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Lee, C.M., 2014. Performance measurement: An investor's perspective. Accounting and Business Research, 44(4), pp.383-406. </w:t>
      </w:r>
    </w:p>
    <w:p w14:paraId="25B72FF5" w14:textId="25A34419"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Lerner, J. and </w:t>
      </w:r>
      <w:proofErr w:type="spellStart"/>
      <w:r w:rsidRPr="3A388F9E">
        <w:rPr>
          <w:rFonts w:ascii="Calibri" w:eastAsia="Calibri" w:hAnsi="Calibri" w:cs="Calibri"/>
          <w:sz w:val="22"/>
          <w:szCs w:val="22"/>
        </w:rPr>
        <w:t>Leamon</w:t>
      </w:r>
      <w:proofErr w:type="spellEnd"/>
      <w:r w:rsidRPr="3A388F9E">
        <w:rPr>
          <w:rFonts w:ascii="Calibri" w:eastAsia="Calibri" w:hAnsi="Calibri" w:cs="Calibri"/>
          <w:sz w:val="22"/>
          <w:szCs w:val="22"/>
        </w:rPr>
        <w:t xml:space="preserve">, A., 2023. Venture capital, private equity, and the financing of entrepreneurship. John Wiley &amp; Sons. </w:t>
      </w:r>
    </w:p>
    <w:p w14:paraId="1DC76D09" w14:textId="7ED2A221"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Li, L., Wang, Y. and Zhang, Y.Y., 2023. A critical examination of M&amp;S's current strategic and marketing position, as well as potential sustainable competitive marketing strategies. International Journal of Science and Business, 18(1), pp.108-117. </w:t>
      </w:r>
    </w:p>
    <w:p w14:paraId="43021850" w14:textId="0BEC31F6"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Lightspeed</w:t>
      </w:r>
      <w:proofErr w:type="spellEnd"/>
      <w:r w:rsidRPr="3A388F9E">
        <w:rPr>
          <w:rFonts w:ascii="Calibri" w:eastAsia="Calibri" w:hAnsi="Calibri" w:cs="Calibri"/>
          <w:sz w:val="22"/>
          <w:szCs w:val="22"/>
        </w:rPr>
        <w:t xml:space="preserve">. (n.d.). Industry benchmarks: what's a good profit margin in retail?. [Online] Available at </w:t>
      </w:r>
      <w:hyperlink r:id="rId11">
        <w:r w:rsidRPr="3A388F9E">
          <w:rPr>
            <w:rStyle w:val="Hyperlink"/>
            <w:rFonts w:ascii="Calibri" w:eastAsia="Calibri" w:hAnsi="Calibri" w:cs="Calibri"/>
            <w:sz w:val="22"/>
            <w:szCs w:val="22"/>
          </w:rPr>
          <w:t>https://www.lightspeedhq.com/blog/retail-profit-margins/</w:t>
        </w:r>
      </w:hyperlink>
      <w:r w:rsidRPr="3A388F9E">
        <w:rPr>
          <w:rFonts w:ascii="Calibri" w:eastAsia="Calibri" w:hAnsi="Calibri" w:cs="Calibri"/>
          <w:sz w:val="22"/>
          <w:szCs w:val="22"/>
        </w:rPr>
        <w:t xml:space="preserve"> [Accessed: 17.07.25]. </w:t>
      </w:r>
    </w:p>
    <w:p w14:paraId="1BA25224" w14:textId="20BA2CB9"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M&amp;S Financial and Strategic Analysis. [Online]. Available at MarketLineIC_Marks and Spencer Group plc_Profile_070125.pdf [Accessed: 17.07.25]. </w:t>
      </w:r>
    </w:p>
    <w:p w14:paraId="3D8E7ABD" w14:textId="790E20B1"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M&amp;S Group PLC. [Online]. Available at </w:t>
      </w:r>
      <w:hyperlink r:id="rId12">
        <w:r w:rsidRPr="3A388F9E">
          <w:rPr>
            <w:rStyle w:val="Hyperlink"/>
            <w:rFonts w:ascii="Calibri" w:eastAsia="Calibri" w:hAnsi="Calibri" w:cs="Calibri"/>
            <w:sz w:val="22"/>
            <w:szCs w:val="22"/>
          </w:rPr>
          <w:t>https://www.marksandspencer.com/</w:t>
        </w:r>
      </w:hyperlink>
      <w:r w:rsidRPr="3A388F9E">
        <w:rPr>
          <w:rFonts w:ascii="Calibri" w:eastAsia="Calibri" w:hAnsi="Calibri" w:cs="Calibri"/>
          <w:sz w:val="22"/>
          <w:szCs w:val="22"/>
        </w:rPr>
        <w:t xml:space="preserve"> [Accessed: 17.07.25]. </w:t>
      </w:r>
    </w:p>
    <w:p w14:paraId="145CC458" w14:textId="5353EC2B"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McNichols, M. (2000, Winter). “Research Design Issues in Earnings Management Studies,” Journal of Accounting and Public Policy, 19(4/5), pp.313-345 </w:t>
      </w:r>
    </w:p>
    <w:p w14:paraId="05213222" w14:textId="09A253E3"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lastRenderedPageBreak/>
        <w:t>Nariswari</w:t>
      </w:r>
      <w:proofErr w:type="spellEnd"/>
      <w:r w:rsidRPr="3A388F9E">
        <w:rPr>
          <w:rFonts w:ascii="Calibri" w:eastAsia="Calibri" w:hAnsi="Calibri" w:cs="Calibri"/>
          <w:sz w:val="22"/>
          <w:szCs w:val="22"/>
        </w:rPr>
        <w:t xml:space="preserve">, T.N. and </w:t>
      </w:r>
      <w:proofErr w:type="spellStart"/>
      <w:r w:rsidRPr="3A388F9E">
        <w:rPr>
          <w:rFonts w:ascii="Calibri" w:eastAsia="Calibri" w:hAnsi="Calibri" w:cs="Calibri"/>
          <w:sz w:val="22"/>
          <w:szCs w:val="22"/>
        </w:rPr>
        <w:t>Nugraha</w:t>
      </w:r>
      <w:proofErr w:type="spellEnd"/>
      <w:r w:rsidRPr="3A388F9E">
        <w:rPr>
          <w:rFonts w:ascii="Calibri" w:eastAsia="Calibri" w:hAnsi="Calibri" w:cs="Calibri"/>
          <w:sz w:val="22"/>
          <w:szCs w:val="22"/>
        </w:rPr>
        <w:t xml:space="preserve">, N.M., 2020. Profit growth: Impact of net profit margin, gross profit margin and total assets turnover. International Journal of Finance &amp; Banking Studies, 9(4), pp.87-96. </w:t>
      </w:r>
    </w:p>
    <w:p w14:paraId="3DCEF609" w14:textId="0768E7AE"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Nikolaos</w:t>
      </w:r>
      <w:proofErr w:type="spellEnd"/>
      <w:r w:rsidRPr="3A388F9E">
        <w:rPr>
          <w:rFonts w:ascii="Calibri" w:eastAsia="Calibri" w:hAnsi="Calibri" w:cs="Calibri"/>
          <w:sz w:val="22"/>
          <w:szCs w:val="22"/>
        </w:rPr>
        <w:t xml:space="preserve">, Z., Christos, K., </w:t>
      </w:r>
      <w:proofErr w:type="spellStart"/>
      <w:r w:rsidRPr="3A388F9E">
        <w:rPr>
          <w:rFonts w:ascii="Calibri" w:eastAsia="Calibri" w:hAnsi="Calibri" w:cs="Calibri"/>
          <w:sz w:val="22"/>
          <w:szCs w:val="22"/>
        </w:rPr>
        <w:t>Theodossiou</w:t>
      </w:r>
      <w:proofErr w:type="spellEnd"/>
      <w:r w:rsidRPr="3A388F9E">
        <w:rPr>
          <w:rFonts w:ascii="Calibri" w:eastAsia="Calibri" w:hAnsi="Calibri" w:cs="Calibri"/>
          <w:sz w:val="22"/>
          <w:szCs w:val="22"/>
        </w:rPr>
        <w:t xml:space="preserve">, G. and </w:t>
      </w:r>
      <w:proofErr w:type="spellStart"/>
      <w:r w:rsidRPr="3A388F9E">
        <w:rPr>
          <w:rFonts w:ascii="Calibri" w:eastAsia="Calibri" w:hAnsi="Calibri" w:cs="Calibri"/>
          <w:sz w:val="22"/>
          <w:szCs w:val="22"/>
        </w:rPr>
        <w:t>Efstratios</w:t>
      </w:r>
      <w:proofErr w:type="spellEnd"/>
      <w:r w:rsidRPr="3A388F9E">
        <w:rPr>
          <w:rFonts w:ascii="Calibri" w:eastAsia="Calibri" w:hAnsi="Calibri" w:cs="Calibri"/>
          <w:sz w:val="22"/>
          <w:szCs w:val="22"/>
        </w:rPr>
        <w:t xml:space="preserve">, L., 2020. Financial analysis of major retail chains within a turbulent economic environment. Studies in Business and Economics, 15(3), pp.208-222. </w:t>
      </w:r>
    </w:p>
    <w:p w14:paraId="615E679C" w14:textId="13ABF7C8"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Nukala</w:t>
      </w:r>
      <w:proofErr w:type="spellEnd"/>
      <w:r w:rsidRPr="3A388F9E">
        <w:rPr>
          <w:rFonts w:ascii="Calibri" w:eastAsia="Calibri" w:hAnsi="Calibri" w:cs="Calibri"/>
          <w:sz w:val="22"/>
          <w:szCs w:val="22"/>
        </w:rPr>
        <w:t xml:space="preserve">, V.B. and </w:t>
      </w:r>
      <w:proofErr w:type="spellStart"/>
      <w:r w:rsidRPr="3A388F9E">
        <w:rPr>
          <w:rFonts w:ascii="Calibri" w:eastAsia="Calibri" w:hAnsi="Calibri" w:cs="Calibri"/>
          <w:sz w:val="22"/>
          <w:szCs w:val="22"/>
        </w:rPr>
        <w:t>Prasada</w:t>
      </w:r>
      <w:proofErr w:type="spellEnd"/>
      <w:r w:rsidRPr="3A388F9E">
        <w:rPr>
          <w:rFonts w:ascii="Calibri" w:eastAsia="Calibri" w:hAnsi="Calibri" w:cs="Calibri"/>
          <w:sz w:val="22"/>
          <w:szCs w:val="22"/>
        </w:rPr>
        <w:t xml:space="preserve"> Rao, S.S., 2021. Role of debt-to-equity ratio in project investment valuation, assessing risk and return in capital markets. Future Business Journal, 7(1), p.13. </w:t>
      </w:r>
    </w:p>
    <w:p w14:paraId="4B776188" w14:textId="3A6DAA95"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Paton, W.A., 1928. Limitations of financial and operating ratios. Accounting Review, pp.252-260. </w:t>
      </w:r>
    </w:p>
    <w:p w14:paraId="64E4413F" w14:textId="13143E59"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Peter, A., 2003. Financial Management for Non-specialists. Third Edition. Pearson, p 133. </w:t>
      </w:r>
    </w:p>
    <w:p w14:paraId="6FD6572B" w14:textId="7F9F01DE"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Peter, A., and Eddie, M., 2016. Financial Accounting for Decision Makers. Sixth Edition. Pearson. </w:t>
      </w:r>
    </w:p>
    <w:p w14:paraId="658792F2" w14:textId="01BF2C28"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Peter, A., and Eddie, M., 2017. Accounting and Finance for Non-Specialists. Ten Edition. Pearson. </w:t>
      </w:r>
    </w:p>
    <w:p w14:paraId="1E43F5E4" w14:textId="662B45B9"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Petet</w:t>
      </w:r>
      <w:proofErr w:type="spellEnd"/>
      <w:r w:rsidRPr="3A388F9E">
        <w:rPr>
          <w:rFonts w:ascii="Calibri" w:eastAsia="Calibri" w:hAnsi="Calibri" w:cs="Calibri"/>
          <w:sz w:val="22"/>
          <w:szCs w:val="22"/>
        </w:rPr>
        <w:t xml:space="preserve">, A., 2020. Financial Management for Non-Decision Makers. Ninth Edition. Pearson. </w:t>
      </w:r>
    </w:p>
    <w:p w14:paraId="26AC6AFA" w14:textId="7333140E"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Rashid, C.A., 2021. The efficiency of financial ratios analysis to evaluate company’s profitability. Journal of Global Economics and Business, 2(4), pp.119-132. </w:t>
      </w:r>
    </w:p>
    <w:p w14:paraId="0A0FC3D9" w14:textId="200390B1"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Reference  </w:t>
      </w:r>
    </w:p>
    <w:p w14:paraId="01EF6F4C" w14:textId="00128262"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Rekker</w:t>
      </w:r>
      <w:proofErr w:type="spellEnd"/>
      <w:r w:rsidRPr="3A388F9E">
        <w:rPr>
          <w:rFonts w:ascii="Calibri" w:eastAsia="Calibri" w:hAnsi="Calibri" w:cs="Calibri"/>
          <w:sz w:val="22"/>
          <w:szCs w:val="22"/>
        </w:rPr>
        <w:t xml:space="preserve">, S., 2024. NPV–Relevant Cash Flows. Introduction to Financial Management: A Contemporary Approach. </w:t>
      </w:r>
    </w:p>
    <w:p w14:paraId="497D566D" w14:textId="43B3F6EC"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Shou</w:t>
      </w:r>
      <w:proofErr w:type="spellEnd"/>
      <w:r w:rsidRPr="3A388F9E">
        <w:rPr>
          <w:rFonts w:ascii="Calibri" w:eastAsia="Calibri" w:hAnsi="Calibri" w:cs="Calibri"/>
          <w:sz w:val="22"/>
          <w:szCs w:val="22"/>
        </w:rPr>
        <w:t xml:space="preserve">, T., 2022, July. A literature review on the net present value (NPV) valuation method. In 2022 2nd International Conference on Enterprise Management and Economic Development (ICEMED 2022) (pp. 826-830). Atlantis Press. </w:t>
      </w:r>
    </w:p>
    <w:p w14:paraId="5D3319D6" w14:textId="5736D4F1"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Shou</w:t>
      </w:r>
      <w:proofErr w:type="spellEnd"/>
      <w:r w:rsidRPr="3A388F9E">
        <w:rPr>
          <w:rFonts w:ascii="Calibri" w:eastAsia="Calibri" w:hAnsi="Calibri" w:cs="Calibri"/>
          <w:sz w:val="22"/>
          <w:szCs w:val="22"/>
        </w:rPr>
        <w:t xml:space="preserve">, T., 2022, July. A literature review on the net present value (NPV) valuation method. In 2022 2nd International Conference on Enterprise Management and Economic Development (ICEMED 2022) (pp. 826-830). Atlantis Press. </w:t>
      </w:r>
    </w:p>
    <w:p w14:paraId="3A2D82A9" w14:textId="0812AB0C"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Singh, H., 2009. Retail Management A Global Perspective (Text and Cases). S. </w:t>
      </w:r>
      <w:proofErr w:type="spellStart"/>
      <w:r w:rsidRPr="3A388F9E">
        <w:rPr>
          <w:rFonts w:ascii="Calibri" w:eastAsia="Calibri" w:hAnsi="Calibri" w:cs="Calibri"/>
          <w:sz w:val="22"/>
          <w:szCs w:val="22"/>
        </w:rPr>
        <w:t>Chand</w:t>
      </w:r>
      <w:proofErr w:type="spellEnd"/>
      <w:r w:rsidRPr="3A388F9E">
        <w:rPr>
          <w:rFonts w:ascii="Calibri" w:eastAsia="Calibri" w:hAnsi="Calibri" w:cs="Calibri"/>
          <w:sz w:val="22"/>
          <w:szCs w:val="22"/>
        </w:rPr>
        <w:t xml:space="preserve"> Publishing</w:t>
      </w:r>
    </w:p>
    <w:p w14:paraId="2A46BDEA" w14:textId="4416FC1F"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Singh, J. and Yadav, P., 2013. Return on capital employed-a tool for </w:t>
      </w:r>
      <w:proofErr w:type="spellStart"/>
      <w:r w:rsidRPr="3A388F9E">
        <w:rPr>
          <w:rFonts w:ascii="Calibri" w:eastAsia="Calibri" w:hAnsi="Calibri" w:cs="Calibri"/>
          <w:sz w:val="22"/>
          <w:szCs w:val="22"/>
        </w:rPr>
        <w:t>analyzing</w:t>
      </w:r>
      <w:proofErr w:type="spellEnd"/>
      <w:r w:rsidRPr="3A388F9E">
        <w:rPr>
          <w:rFonts w:ascii="Calibri" w:eastAsia="Calibri" w:hAnsi="Calibri" w:cs="Calibri"/>
          <w:sz w:val="22"/>
          <w:szCs w:val="22"/>
        </w:rPr>
        <w:t xml:space="preserve"> profitability of companies. International Journal of Techno-Management Research, 1(1), pp.1-13. </w:t>
      </w:r>
    </w:p>
    <w:p w14:paraId="0C3CCCA3" w14:textId="6AE6F45B"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TutorChase: How do businesses balance quantitative and qualitative factors in investment decisions? [Online]. Available at </w:t>
      </w:r>
      <w:hyperlink r:id="rId13">
        <w:r w:rsidRPr="3A388F9E">
          <w:rPr>
            <w:rStyle w:val="Hyperlink"/>
            <w:rFonts w:ascii="Calibri" w:eastAsia="Calibri" w:hAnsi="Calibri" w:cs="Calibri"/>
            <w:sz w:val="22"/>
            <w:szCs w:val="22"/>
          </w:rPr>
          <w:t>https://www.tutorchase.com/answers/a-level/business-</w:t>
        </w:r>
        <w:r w:rsidRPr="3A388F9E">
          <w:rPr>
            <w:rStyle w:val="Hyperlink"/>
            <w:rFonts w:ascii="Calibri" w:eastAsia="Calibri" w:hAnsi="Calibri" w:cs="Calibri"/>
            <w:sz w:val="22"/>
            <w:szCs w:val="22"/>
          </w:rPr>
          <w:lastRenderedPageBreak/>
          <w:t>studies/how-do-businesses-balance-quantitative-and-qualitative-factors-in-investment-decisions</w:t>
        </w:r>
      </w:hyperlink>
      <w:r w:rsidRPr="3A388F9E">
        <w:rPr>
          <w:rFonts w:ascii="Calibri" w:eastAsia="Calibri" w:hAnsi="Calibri" w:cs="Calibri"/>
          <w:sz w:val="22"/>
          <w:szCs w:val="22"/>
        </w:rPr>
        <w:t xml:space="preserve"> [Accessed: 20.07.25]. </w:t>
      </w:r>
    </w:p>
    <w:p w14:paraId="3814FD44" w14:textId="7FC01ADF"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Wang, Y., 2021, December. The development and usage of NPV and IRR and their comparison. In 2021 3rd International Conference on Economic Management and Cultural Industry (ICEMCI 2021) (pp. 2044-2048). Atlantis Press. </w:t>
      </w:r>
    </w:p>
    <w:p w14:paraId="21D796BE" w14:textId="4C653B3E" w:rsidR="671BAD74" w:rsidRDefault="671BAD74" w:rsidP="00212F36">
      <w:pPr>
        <w:pStyle w:val="ListParagraph"/>
        <w:numPr>
          <w:ilvl w:val="0"/>
          <w:numId w:val="2"/>
        </w:numPr>
        <w:spacing w:after="0" w:line="360" w:lineRule="auto"/>
        <w:rPr>
          <w:rFonts w:ascii="Calibri" w:eastAsia="Calibri" w:hAnsi="Calibri" w:cs="Calibri"/>
          <w:sz w:val="22"/>
          <w:szCs w:val="22"/>
        </w:rPr>
      </w:pPr>
      <w:r w:rsidRPr="3A388F9E">
        <w:rPr>
          <w:rFonts w:ascii="Calibri" w:eastAsia="Calibri" w:hAnsi="Calibri" w:cs="Calibri"/>
          <w:sz w:val="22"/>
          <w:szCs w:val="22"/>
        </w:rPr>
        <w:t xml:space="preserve">Xu, L., 2023. Enhancing firm value through capital structure: A case study of marks and </w:t>
      </w:r>
      <w:proofErr w:type="spellStart"/>
      <w:r w:rsidRPr="3A388F9E">
        <w:rPr>
          <w:rFonts w:ascii="Calibri" w:eastAsia="Calibri" w:hAnsi="Calibri" w:cs="Calibri"/>
          <w:sz w:val="22"/>
          <w:szCs w:val="22"/>
        </w:rPr>
        <w:t>spencer</w:t>
      </w:r>
      <w:proofErr w:type="spellEnd"/>
      <w:r w:rsidRPr="3A388F9E">
        <w:rPr>
          <w:rFonts w:ascii="Calibri" w:eastAsia="Calibri" w:hAnsi="Calibri" w:cs="Calibri"/>
          <w:sz w:val="22"/>
          <w:szCs w:val="22"/>
        </w:rPr>
        <w:t xml:space="preserve"> PLC. </w:t>
      </w:r>
    </w:p>
    <w:p w14:paraId="06CAE34E" w14:textId="07606794" w:rsidR="671BAD74" w:rsidRDefault="671BAD74" w:rsidP="00212F36">
      <w:pPr>
        <w:pStyle w:val="ListParagraph"/>
        <w:numPr>
          <w:ilvl w:val="0"/>
          <w:numId w:val="2"/>
        </w:numPr>
        <w:spacing w:after="0" w:line="360" w:lineRule="auto"/>
        <w:rPr>
          <w:rFonts w:ascii="Calibri" w:eastAsia="Calibri" w:hAnsi="Calibri" w:cs="Calibri"/>
          <w:sz w:val="22"/>
          <w:szCs w:val="22"/>
        </w:rPr>
      </w:pPr>
      <w:proofErr w:type="spellStart"/>
      <w:r w:rsidRPr="3A388F9E">
        <w:rPr>
          <w:rFonts w:ascii="Calibri" w:eastAsia="Calibri" w:hAnsi="Calibri" w:cs="Calibri"/>
          <w:sz w:val="22"/>
          <w:szCs w:val="22"/>
        </w:rPr>
        <w:t>Yusup</w:t>
      </w:r>
      <w:proofErr w:type="spellEnd"/>
      <w:r w:rsidRPr="3A388F9E">
        <w:rPr>
          <w:rFonts w:ascii="Calibri" w:eastAsia="Calibri" w:hAnsi="Calibri" w:cs="Calibri"/>
          <w:sz w:val="22"/>
          <w:szCs w:val="22"/>
        </w:rPr>
        <w:t xml:space="preserve">, W.E. and </w:t>
      </w:r>
      <w:proofErr w:type="spellStart"/>
      <w:r w:rsidRPr="3A388F9E">
        <w:rPr>
          <w:rFonts w:ascii="Calibri" w:eastAsia="Calibri" w:hAnsi="Calibri" w:cs="Calibri"/>
          <w:sz w:val="22"/>
          <w:szCs w:val="22"/>
        </w:rPr>
        <w:t>Hariani</w:t>
      </w:r>
      <w:proofErr w:type="spellEnd"/>
      <w:r w:rsidRPr="3A388F9E">
        <w:rPr>
          <w:rFonts w:ascii="Calibri" w:eastAsia="Calibri" w:hAnsi="Calibri" w:cs="Calibri"/>
          <w:sz w:val="22"/>
          <w:szCs w:val="22"/>
        </w:rPr>
        <w:t xml:space="preserve">, S., 2023. The effect of receivables turnover, inventory turnover and current ratio on profitability. </w:t>
      </w:r>
      <w:proofErr w:type="spellStart"/>
      <w:r w:rsidRPr="3A388F9E">
        <w:rPr>
          <w:rFonts w:ascii="Calibri" w:eastAsia="Calibri" w:hAnsi="Calibri" w:cs="Calibri"/>
          <w:sz w:val="22"/>
          <w:szCs w:val="22"/>
        </w:rPr>
        <w:t>Jurnal</w:t>
      </w:r>
      <w:proofErr w:type="spellEnd"/>
      <w:r w:rsidRPr="3A388F9E">
        <w:rPr>
          <w:rFonts w:ascii="Calibri" w:eastAsia="Calibri" w:hAnsi="Calibri" w:cs="Calibri"/>
          <w:sz w:val="22"/>
          <w:szCs w:val="22"/>
        </w:rPr>
        <w:t xml:space="preserve"> </w:t>
      </w:r>
      <w:proofErr w:type="spellStart"/>
      <w:r w:rsidRPr="3A388F9E">
        <w:rPr>
          <w:rFonts w:ascii="Calibri" w:eastAsia="Calibri" w:hAnsi="Calibri" w:cs="Calibri"/>
          <w:sz w:val="22"/>
          <w:szCs w:val="22"/>
        </w:rPr>
        <w:t>Riset</w:t>
      </w:r>
      <w:proofErr w:type="spellEnd"/>
      <w:r w:rsidRPr="3A388F9E">
        <w:rPr>
          <w:rFonts w:ascii="Calibri" w:eastAsia="Calibri" w:hAnsi="Calibri" w:cs="Calibri"/>
          <w:sz w:val="22"/>
          <w:szCs w:val="22"/>
        </w:rPr>
        <w:t xml:space="preserve"> </w:t>
      </w:r>
      <w:proofErr w:type="spellStart"/>
      <w:r w:rsidRPr="3A388F9E">
        <w:rPr>
          <w:rFonts w:ascii="Calibri" w:eastAsia="Calibri" w:hAnsi="Calibri" w:cs="Calibri"/>
          <w:sz w:val="22"/>
          <w:szCs w:val="22"/>
        </w:rPr>
        <w:t>Manajemen</w:t>
      </w:r>
      <w:proofErr w:type="spellEnd"/>
      <w:r w:rsidRPr="3A388F9E">
        <w:rPr>
          <w:rFonts w:ascii="Calibri" w:eastAsia="Calibri" w:hAnsi="Calibri" w:cs="Calibri"/>
          <w:sz w:val="22"/>
          <w:szCs w:val="22"/>
        </w:rPr>
        <w:t xml:space="preserve"> dan </w:t>
      </w:r>
      <w:proofErr w:type="spellStart"/>
      <w:r w:rsidRPr="3A388F9E">
        <w:rPr>
          <w:rFonts w:ascii="Calibri" w:eastAsia="Calibri" w:hAnsi="Calibri" w:cs="Calibri"/>
          <w:sz w:val="22"/>
          <w:szCs w:val="22"/>
        </w:rPr>
        <w:t>Bisnis</w:t>
      </w:r>
      <w:proofErr w:type="spellEnd"/>
      <w:r w:rsidRPr="3A388F9E">
        <w:rPr>
          <w:rFonts w:ascii="Calibri" w:eastAsia="Calibri" w:hAnsi="Calibri" w:cs="Calibri"/>
          <w:sz w:val="22"/>
          <w:szCs w:val="22"/>
        </w:rPr>
        <w:t>, 8(1), pp.23-32.</w:t>
      </w:r>
    </w:p>
    <w:p w14:paraId="6CA855F6" w14:textId="169F7742" w:rsidR="3A388F9E" w:rsidRDefault="3A388F9E" w:rsidP="00212F36">
      <w:pPr>
        <w:spacing w:after="0" w:line="360" w:lineRule="auto"/>
        <w:rPr>
          <w:rFonts w:ascii="Calibri" w:eastAsia="Calibri" w:hAnsi="Calibri" w:cs="Calibri"/>
        </w:rPr>
      </w:pPr>
    </w:p>
    <w:p w14:paraId="357B5847" w14:textId="5B6A2232" w:rsidR="3A388F9E" w:rsidRDefault="3A388F9E" w:rsidP="00212F36">
      <w:pPr>
        <w:spacing w:after="0" w:line="360" w:lineRule="auto"/>
        <w:rPr>
          <w:rFonts w:ascii="Calibri" w:eastAsia="Calibri" w:hAnsi="Calibri" w:cs="Calibri"/>
        </w:rPr>
      </w:pPr>
    </w:p>
    <w:p w14:paraId="63C74E6C" w14:textId="159C31E7" w:rsidR="3A388F9E" w:rsidRDefault="3A388F9E" w:rsidP="00212F36">
      <w:pPr>
        <w:spacing w:after="0" w:line="360" w:lineRule="auto"/>
        <w:rPr>
          <w:rFonts w:ascii="Calibri" w:eastAsia="Calibri" w:hAnsi="Calibri" w:cs="Calibri"/>
        </w:rPr>
      </w:pPr>
    </w:p>
    <w:p w14:paraId="6CF9AE0D" w14:textId="668A9E50" w:rsidR="3A388F9E" w:rsidRDefault="3A388F9E" w:rsidP="00212F36">
      <w:pPr>
        <w:spacing w:after="0" w:line="360" w:lineRule="auto"/>
        <w:rPr>
          <w:rFonts w:ascii="Calibri" w:eastAsia="Calibri" w:hAnsi="Calibri" w:cs="Calibri"/>
        </w:rPr>
      </w:pPr>
    </w:p>
    <w:p w14:paraId="23305559" w14:textId="77777777" w:rsidR="0066168E" w:rsidRDefault="0066168E" w:rsidP="00212F36">
      <w:pPr>
        <w:spacing w:after="0" w:line="360" w:lineRule="auto"/>
        <w:rPr>
          <w:rFonts w:ascii="Calibri" w:eastAsia="Calibri" w:hAnsi="Calibri" w:cs="Calibri"/>
        </w:rPr>
      </w:pPr>
    </w:p>
    <w:p w14:paraId="0D6584F5" w14:textId="77777777" w:rsidR="0066168E" w:rsidRDefault="0066168E" w:rsidP="00212F36">
      <w:pPr>
        <w:spacing w:after="0" w:line="360" w:lineRule="auto"/>
        <w:rPr>
          <w:rFonts w:ascii="Calibri" w:eastAsia="Calibri" w:hAnsi="Calibri" w:cs="Calibri"/>
        </w:rPr>
      </w:pPr>
    </w:p>
    <w:p w14:paraId="4825578B" w14:textId="77777777" w:rsidR="0066168E" w:rsidRDefault="0066168E" w:rsidP="00212F36">
      <w:pPr>
        <w:spacing w:after="0" w:line="360" w:lineRule="auto"/>
        <w:rPr>
          <w:rFonts w:ascii="Calibri" w:eastAsia="Calibri" w:hAnsi="Calibri" w:cs="Calibri"/>
        </w:rPr>
      </w:pPr>
    </w:p>
    <w:p w14:paraId="72115876" w14:textId="77777777" w:rsidR="0066168E" w:rsidRDefault="0066168E" w:rsidP="00212F36">
      <w:pPr>
        <w:spacing w:after="0" w:line="360" w:lineRule="auto"/>
        <w:rPr>
          <w:rFonts w:ascii="Calibri" w:eastAsia="Calibri" w:hAnsi="Calibri" w:cs="Calibri"/>
        </w:rPr>
      </w:pPr>
    </w:p>
    <w:p w14:paraId="1E903B8D" w14:textId="77777777" w:rsidR="0066168E" w:rsidRDefault="0066168E" w:rsidP="00212F36">
      <w:pPr>
        <w:spacing w:after="0" w:line="360" w:lineRule="auto"/>
        <w:rPr>
          <w:rFonts w:ascii="Calibri" w:eastAsia="Calibri" w:hAnsi="Calibri" w:cs="Calibri"/>
        </w:rPr>
      </w:pPr>
    </w:p>
    <w:p w14:paraId="4191C730" w14:textId="77777777" w:rsidR="0066168E" w:rsidRDefault="0066168E" w:rsidP="00212F36">
      <w:pPr>
        <w:spacing w:after="0" w:line="360" w:lineRule="auto"/>
        <w:rPr>
          <w:rFonts w:ascii="Calibri" w:eastAsia="Calibri" w:hAnsi="Calibri" w:cs="Calibri"/>
        </w:rPr>
      </w:pPr>
    </w:p>
    <w:p w14:paraId="4FFEDEA3" w14:textId="77777777" w:rsidR="0066168E" w:rsidRDefault="0066168E" w:rsidP="00212F36">
      <w:pPr>
        <w:spacing w:after="0" w:line="360" w:lineRule="auto"/>
        <w:rPr>
          <w:rFonts w:ascii="Calibri" w:eastAsia="Calibri" w:hAnsi="Calibri" w:cs="Calibri"/>
        </w:rPr>
      </w:pPr>
    </w:p>
    <w:p w14:paraId="2A9ED7FB" w14:textId="77777777" w:rsidR="0066168E" w:rsidRDefault="0066168E" w:rsidP="00212F36">
      <w:pPr>
        <w:spacing w:after="0" w:line="360" w:lineRule="auto"/>
        <w:rPr>
          <w:rFonts w:ascii="Calibri" w:eastAsia="Calibri" w:hAnsi="Calibri" w:cs="Calibri"/>
        </w:rPr>
      </w:pPr>
    </w:p>
    <w:p w14:paraId="41021E3B" w14:textId="77777777" w:rsidR="0066168E" w:rsidRDefault="0066168E" w:rsidP="00212F36">
      <w:pPr>
        <w:spacing w:after="0" w:line="360" w:lineRule="auto"/>
        <w:rPr>
          <w:rFonts w:ascii="Calibri" w:eastAsia="Calibri" w:hAnsi="Calibri" w:cs="Calibri"/>
        </w:rPr>
      </w:pPr>
    </w:p>
    <w:p w14:paraId="4E897434" w14:textId="77777777" w:rsidR="0066168E" w:rsidRDefault="0066168E" w:rsidP="00212F36">
      <w:pPr>
        <w:spacing w:after="0" w:line="360" w:lineRule="auto"/>
        <w:rPr>
          <w:rFonts w:ascii="Calibri" w:eastAsia="Calibri" w:hAnsi="Calibri" w:cs="Calibri"/>
        </w:rPr>
      </w:pPr>
    </w:p>
    <w:p w14:paraId="35E8BBA8" w14:textId="77777777" w:rsidR="0066168E" w:rsidRDefault="0066168E" w:rsidP="00212F36">
      <w:pPr>
        <w:spacing w:after="0" w:line="360" w:lineRule="auto"/>
        <w:rPr>
          <w:rFonts w:ascii="Calibri" w:eastAsia="Calibri" w:hAnsi="Calibri" w:cs="Calibri"/>
        </w:rPr>
      </w:pPr>
    </w:p>
    <w:p w14:paraId="09D2CCB7" w14:textId="77777777" w:rsidR="0066168E" w:rsidRDefault="0066168E" w:rsidP="00212F36">
      <w:pPr>
        <w:spacing w:after="0" w:line="360" w:lineRule="auto"/>
        <w:rPr>
          <w:rFonts w:ascii="Calibri" w:eastAsia="Calibri" w:hAnsi="Calibri" w:cs="Calibri"/>
        </w:rPr>
      </w:pPr>
    </w:p>
    <w:p w14:paraId="58121829" w14:textId="77777777" w:rsidR="0066168E" w:rsidRDefault="0066168E" w:rsidP="00212F36">
      <w:pPr>
        <w:spacing w:after="0" w:line="360" w:lineRule="auto"/>
        <w:rPr>
          <w:rFonts w:ascii="Calibri" w:eastAsia="Calibri" w:hAnsi="Calibri" w:cs="Calibri"/>
        </w:rPr>
      </w:pPr>
    </w:p>
    <w:p w14:paraId="0B17FEC5" w14:textId="77777777" w:rsidR="0066168E" w:rsidRDefault="0066168E" w:rsidP="00212F36">
      <w:pPr>
        <w:spacing w:after="0" w:line="360" w:lineRule="auto"/>
        <w:rPr>
          <w:rFonts w:ascii="Calibri" w:eastAsia="Calibri" w:hAnsi="Calibri" w:cs="Calibri"/>
        </w:rPr>
      </w:pPr>
    </w:p>
    <w:p w14:paraId="7F675FCE" w14:textId="77777777" w:rsidR="0066168E" w:rsidRDefault="0066168E" w:rsidP="00212F36">
      <w:pPr>
        <w:spacing w:after="0" w:line="360" w:lineRule="auto"/>
        <w:rPr>
          <w:rFonts w:ascii="Calibri" w:eastAsia="Calibri" w:hAnsi="Calibri" w:cs="Calibri"/>
        </w:rPr>
      </w:pPr>
    </w:p>
    <w:p w14:paraId="52064D3D" w14:textId="77777777" w:rsidR="0066168E" w:rsidRDefault="0066168E" w:rsidP="00212F36">
      <w:pPr>
        <w:spacing w:after="0" w:line="360" w:lineRule="auto"/>
        <w:rPr>
          <w:rFonts w:ascii="Calibri" w:eastAsia="Calibri" w:hAnsi="Calibri" w:cs="Calibri"/>
        </w:rPr>
      </w:pPr>
    </w:p>
    <w:p w14:paraId="5F598570" w14:textId="77777777" w:rsidR="0066168E" w:rsidRDefault="0066168E" w:rsidP="00212F36">
      <w:pPr>
        <w:spacing w:after="0" w:line="360" w:lineRule="auto"/>
        <w:rPr>
          <w:rFonts w:ascii="Calibri" w:eastAsia="Calibri" w:hAnsi="Calibri" w:cs="Calibri"/>
        </w:rPr>
      </w:pPr>
    </w:p>
    <w:p w14:paraId="5C8E2524" w14:textId="5B77C5AE" w:rsidR="61E9A33E" w:rsidRDefault="61E9A33E" w:rsidP="00212F36">
      <w:pPr>
        <w:pStyle w:val="Heading1"/>
        <w:spacing w:line="360" w:lineRule="auto"/>
        <w:rPr>
          <w:rFonts w:ascii="Times New Roman" w:eastAsia="Times New Roman" w:hAnsi="Times New Roman" w:cs="Times New Roman"/>
          <w:b/>
          <w:bCs/>
          <w:sz w:val="28"/>
          <w:szCs w:val="28"/>
        </w:rPr>
      </w:pPr>
      <w:bookmarkStart w:id="22" w:name="_Toc265599461"/>
      <w:r w:rsidRPr="3A388F9E">
        <w:rPr>
          <w:rFonts w:ascii="Times New Roman" w:eastAsia="Times New Roman" w:hAnsi="Times New Roman" w:cs="Times New Roman"/>
          <w:b/>
          <w:bCs/>
          <w:sz w:val="28"/>
          <w:szCs w:val="28"/>
        </w:rPr>
        <w:lastRenderedPageBreak/>
        <w:t>APPENDIX</w:t>
      </w:r>
      <w:bookmarkEnd w:id="22"/>
    </w:p>
    <w:p w14:paraId="00735C08" w14:textId="169A6862" w:rsidR="3A388F9E" w:rsidRDefault="3A388F9E" w:rsidP="00212F36">
      <w:pPr>
        <w:spacing w:line="360" w:lineRule="auto"/>
      </w:pPr>
    </w:p>
    <w:p w14:paraId="680425A9" w14:textId="24D88A26" w:rsidR="393567AD" w:rsidRDefault="393567AD" w:rsidP="00212F36">
      <w:pPr>
        <w:spacing w:line="360" w:lineRule="auto"/>
        <w:rPr>
          <w:rFonts w:ascii="Aptos" w:eastAsia="Aptos" w:hAnsi="Aptos" w:cs="Aptos"/>
          <w:b/>
          <w:bCs/>
          <w:color w:val="222222"/>
          <w:sz w:val="28"/>
          <w:szCs w:val="28"/>
        </w:rPr>
      </w:pPr>
      <w:r w:rsidRPr="3A388F9E">
        <w:rPr>
          <w:rFonts w:ascii="Aptos" w:eastAsia="Aptos" w:hAnsi="Aptos" w:cs="Aptos"/>
          <w:b/>
          <w:bCs/>
          <w:color w:val="222222"/>
          <w:sz w:val="28"/>
          <w:szCs w:val="28"/>
        </w:rPr>
        <w:t>Calculating Ratios Analysis for M&amp;S for the Year 2023-2024</w:t>
      </w:r>
    </w:p>
    <w:p w14:paraId="626579D4" w14:textId="2958E513"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Profitability Ratios</w:t>
      </w:r>
    </w:p>
    <w:p w14:paraId="4FB721FB" w14:textId="3F285BBF"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Operating profit margin = operating profit / sales * 100</w:t>
      </w:r>
    </w:p>
    <w:p w14:paraId="7C051501" w14:textId="42627667"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2023 = (620.30m/11931.30m)*100%=5.2%</w:t>
      </w:r>
    </w:p>
    <w:p w14:paraId="0E387E93" w14:textId="40321716"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2024 = (794.70m/13040.1m) * 100%=6.09% </w:t>
      </w:r>
    </w:p>
    <w:p w14:paraId="59D99AB1" w14:textId="133BFCD9"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Net profit margin = net profit / sales * 100</w:t>
      </w:r>
    </w:p>
    <w:p w14:paraId="1A6839EB" w14:textId="2959B839"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2023 = (363.40m/11931.30m )*100%=3.05 %</w:t>
      </w:r>
    </w:p>
    <w:p w14:paraId="194309FD" w14:textId="443325B5"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2024 = (431.20m/13040.1m)*100%=3.31%</w:t>
      </w:r>
    </w:p>
    <w:p w14:paraId="7C5F7C8B" w14:textId="74ECCAB9"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Returned on capital employed = profit before interest and tax / total liability less current assets * 100</w:t>
      </w:r>
    </w:p>
    <w:p w14:paraId="47E1FCF1" w14:textId="30F3DBFF"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2023 = 620.30m (9097.80m-2706.4m) *100%=9.71%</w:t>
      </w:r>
    </w:p>
    <w:p w14:paraId="69E250A9" w14:textId="67C8D27E"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2024 = 794.70m (8682.20m-2516.20m)*100%=12.89%</w:t>
      </w:r>
    </w:p>
    <w:p w14:paraId="3EA256D0" w14:textId="661477B6"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Return on owners' equity = profit after interest and tax / ordinary shares + reserves * 100</w:t>
      </w:r>
    </w:p>
    <w:p w14:paraId="7106B853" w14:textId="240CA757"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2023 = 363.40m/2810.50m *100%=12.93%</w:t>
      </w:r>
    </w:p>
    <w:p w14:paraId="28AD738A" w14:textId="2B22868C"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2024 = 431.20 / 2831.20m *100%=15.23%</w:t>
      </w:r>
    </w:p>
    <w:p w14:paraId="0396401D" w14:textId="7B2C22A1"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Asset turnover margin = profit after interest and tax / total assets - current liability * 100</w:t>
      </w:r>
    </w:p>
    <w:p w14:paraId="6343F9E1" w14:textId="7D8305BE"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2023 = 363.40m / 9097.80m*100%=3.92%</w:t>
      </w:r>
    </w:p>
    <w:p w14:paraId="24124DD5" w14:textId="200B5918"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2024 = 431.20m / 8682.20m*100%=4.85% </w:t>
      </w:r>
    </w:p>
    <w:p w14:paraId="7897D8D6" w14:textId="49F4386C"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Liquidity ratio</w:t>
      </w:r>
    </w:p>
    <w:p w14:paraId="152E558D" w14:textId="7D35D6C8"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Current ratio = current assets / current liability</w:t>
      </w:r>
    </w:p>
    <w:p w14:paraId="1360B817" w14:textId="61CFDC0F"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2023 = 2155.00m / 2706.40m*100%=0.8 times </w:t>
      </w:r>
    </w:p>
    <w:p w14:paraId="37A0017F" w14:textId="2F0664CB"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2024 = 2153.30m / 2516.20m*100%=0.86 times </w:t>
      </w:r>
    </w:p>
    <w:p w14:paraId="4175C891" w14:textId="4CC3CA1A"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lastRenderedPageBreak/>
        <w:t>Acid test = current asset – stock / current liability</w:t>
      </w:r>
    </w:p>
    <w:p w14:paraId="22CD3FDC" w14:textId="208D342E"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2023 = 2155.00m –(764.4m/2706.40m)*100%=0.5 times </w:t>
      </w:r>
    </w:p>
    <w:p w14:paraId="72BB0719" w14:textId="46978AA3"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2024 = 2153.30m (776.9m/2516.20m)*100%=0.55 times </w:t>
      </w:r>
    </w:p>
    <w:p w14:paraId="2C5C19C0" w14:textId="1BC62D96"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Efficiency ratio</w:t>
      </w:r>
    </w:p>
    <w:p w14:paraId="2EFC0986" w14:textId="700B85D7"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Assets turnover = revenue / total assets</w:t>
      </w:r>
    </w:p>
    <w:p w14:paraId="59168F5B" w14:textId="1F17AC26"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2023 = 11931.3m / 9097.80m=1.2 times </w:t>
      </w:r>
    </w:p>
    <w:p w14:paraId="13D3C1B2" w14:textId="6D088C9E"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2024 =13040.1m / 8682.20m=1.4 times </w:t>
      </w:r>
    </w:p>
    <w:p w14:paraId="6EBE75C0" w14:textId="2AD40EE1"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Inventory turnover = revenue / inventories </w:t>
      </w:r>
    </w:p>
    <w:p w14:paraId="056CBCCC" w14:textId="636EAA41"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2023 = 11931.3m / 764.4m=15.6 times </w:t>
      </w:r>
    </w:p>
    <w:p w14:paraId="14D228A0" w14:textId="7D513212"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2024 = 13040.1m / 776.9m=16.7 times </w:t>
      </w:r>
    </w:p>
    <w:p w14:paraId="6BCA3CE9" w14:textId="028B0AB4"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Gearing </w:t>
      </w:r>
    </w:p>
    <w:p w14:paraId="5CEED2BE" w14:textId="012DA6FF"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Debt- to- equity Ratio = Total borrowing / Total Equity </w:t>
      </w:r>
    </w:p>
    <w:p w14:paraId="72560A99" w14:textId="2EB81603"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2023 = 3628.0m / 2810.50m=1.2</w:t>
      </w:r>
    </w:p>
    <w:p w14:paraId="6ECF54E7" w14:textId="49D083B5"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2024 =3133.2m / 2831.20m=1.10</w:t>
      </w:r>
    </w:p>
    <w:p w14:paraId="113AB0F6" w14:textId="6C0EB868"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Interest Coverage Ratio= operating profit / Finance cost</w:t>
      </w:r>
    </w:p>
    <w:p w14:paraId="2C9DA511" w14:textId="1C001057"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2023=620.30m / 205.5m=3.01 times </w:t>
      </w:r>
    </w:p>
    <w:p w14:paraId="1D18E5C6" w14:textId="167A343D"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2024=794.70m / 188.4m=4.21 times </w:t>
      </w:r>
    </w:p>
    <w:p w14:paraId="0274A159" w14:textId="02889188"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Investment </w:t>
      </w:r>
    </w:p>
    <w:p w14:paraId="362B4748" w14:textId="7B23CF50"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Earnings per share = profit after interest and tax / number of ordinary shares issued</w:t>
      </w:r>
    </w:p>
    <w:p w14:paraId="5410E1E7" w14:textId="3C3D8A57"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2023 = 0.1</w:t>
      </w:r>
    </w:p>
    <w:p w14:paraId="62874A3E" w14:textId="4E9F4BD1"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2024 = 0.23</w:t>
      </w:r>
    </w:p>
    <w:p w14:paraId="62CBC2AC" w14:textId="3D100947"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Price per earnings ratio = market value per share / earnings per share</w:t>
      </w:r>
    </w:p>
    <w:p w14:paraId="769443BD" w14:textId="10021294"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t xml:space="preserve">2023 = 374.30 / 18.5= 20.23 times </w:t>
      </w:r>
    </w:p>
    <w:p w14:paraId="794B7C7F" w14:textId="46C2C15E" w:rsidR="393567AD" w:rsidRDefault="393567AD" w:rsidP="00212F36">
      <w:pPr>
        <w:spacing w:line="360" w:lineRule="auto"/>
        <w:rPr>
          <w:rFonts w:ascii="Aptos" w:eastAsia="Aptos" w:hAnsi="Aptos" w:cs="Aptos"/>
          <w:color w:val="222222"/>
        </w:rPr>
      </w:pPr>
      <w:r w:rsidRPr="3A388F9E">
        <w:rPr>
          <w:rFonts w:ascii="Aptos" w:eastAsia="Aptos" w:hAnsi="Aptos" w:cs="Aptos"/>
          <w:color w:val="222222"/>
        </w:rPr>
        <w:lastRenderedPageBreak/>
        <w:t>2024 = 374.30 / 21.9= 17.10 times.</w:t>
      </w:r>
    </w:p>
    <w:p w14:paraId="65042F07" w14:textId="2F5B03ED" w:rsidR="3A388F9E" w:rsidRDefault="3A388F9E" w:rsidP="00212F36">
      <w:pPr>
        <w:spacing w:line="360" w:lineRule="auto"/>
        <w:rPr>
          <w:rFonts w:ascii="Aptos" w:eastAsia="Aptos" w:hAnsi="Aptos" w:cs="Aptos"/>
          <w:color w:val="222222"/>
        </w:rPr>
      </w:pPr>
    </w:p>
    <w:p w14:paraId="2ED973B3" w14:textId="7E7B2AFC" w:rsidR="3A388F9E" w:rsidRDefault="3A388F9E" w:rsidP="00212F36">
      <w:pPr>
        <w:spacing w:line="360" w:lineRule="auto"/>
        <w:rPr>
          <w:rFonts w:ascii="Aptos" w:eastAsia="Aptos" w:hAnsi="Aptos" w:cs="Aptos"/>
          <w:color w:val="222222"/>
        </w:rPr>
      </w:pPr>
    </w:p>
    <w:p w14:paraId="0FD3F48B" w14:textId="2BB287C7" w:rsidR="393567AD" w:rsidRDefault="393567AD" w:rsidP="00212F36">
      <w:pPr>
        <w:pStyle w:val="ListParagraph"/>
        <w:numPr>
          <w:ilvl w:val="0"/>
          <w:numId w:val="1"/>
        </w:numPr>
        <w:spacing w:line="360" w:lineRule="auto"/>
        <w:rPr>
          <w:color w:val="222222"/>
        </w:rPr>
      </w:pPr>
      <w:r w:rsidRPr="3A388F9E">
        <w:rPr>
          <w:color w:val="222222"/>
        </w:rPr>
        <w:t xml:space="preserve">How to calculate NPV. [Online] Available at </w:t>
      </w:r>
      <w:hyperlink r:id="rId14">
        <w:r w:rsidRPr="3A388F9E">
          <w:rPr>
            <w:rStyle w:val="Hyperlink"/>
            <w:color w:val="467886"/>
          </w:rPr>
          <w:t>https://www.investopedia.com/terms/n/npv.asp</w:t>
        </w:r>
      </w:hyperlink>
      <w:r w:rsidRPr="3A388F9E">
        <w:rPr>
          <w:color w:val="222222"/>
        </w:rPr>
        <w:t xml:space="preserve"> [Accessed:20.07.25].</w:t>
      </w:r>
    </w:p>
    <w:p w14:paraId="7BF25A0E" w14:textId="47041435" w:rsidR="393567AD" w:rsidRDefault="393567AD" w:rsidP="00212F36">
      <w:pPr>
        <w:pStyle w:val="ListParagraph"/>
        <w:numPr>
          <w:ilvl w:val="0"/>
          <w:numId w:val="1"/>
        </w:numPr>
        <w:spacing w:line="360" w:lineRule="auto"/>
        <w:rPr>
          <w:color w:val="222222"/>
        </w:rPr>
      </w:pPr>
      <w:proofErr w:type="spellStart"/>
      <w:r w:rsidRPr="3A388F9E">
        <w:rPr>
          <w:color w:val="222222"/>
        </w:rPr>
        <w:t>Faello</w:t>
      </w:r>
      <w:proofErr w:type="spellEnd"/>
      <w:r w:rsidRPr="3A388F9E">
        <w:rPr>
          <w:color w:val="222222"/>
        </w:rPr>
        <w:t xml:space="preserve">, J., 2015. Understanding the limitations of financial ratios. </w:t>
      </w:r>
      <w:r w:rsidRPr="3A388F9E">
        <w:rPr>
          <w:i/>
          <w:iCs/>
          <w:color w:val="222222"/>
        </w:rPr>
        <w:t>Academy of accounting and financial studies journal</w:t>
      </w:r>
      <w:r w:rsidRPr="3A388F9E">
        <w:rPr>
          <w:color w:val="222222"/>
        </w:rPr>
        <w:t xml:space="preserve">, </w:t>
      </w:r>
      <w:r w:rsidRPr="3A388F9E">
        <w:rPr>
          <w:i/>
          <w:iCs/>
          <w:color w:val="222222"/>
        </w:rPr>
        <w:t>19</w:t>
      </w:r>
      <w:r w:rsidRPr="3A388F9E">
        <w:rPr>
          <w:color w:val="222222"/>
        </w:rPr>
        <w:t>(3), p.75.</w:t>
      </w:r>
    </w:p>
    <w:p w14:paraId="628C93B1" w14:textId="5BF0EB9A" w:rsidR="393567AD" w:rsidRDefault="393567AD" w:rsidP="00212F36">
      <w:pPr>
        <w:pStyle w:val="ListParagraph"/>
        <w:numPr>
          <w:ilvl w:val="0"/>
          <w:numId w:val="1"/>
        </w:numPr>
        <w:spacing w:line="360" w:lineRule="auto"/>
        <w:rPr>
          <w:color w:val="222222"/>
        </w:rPr>
      </w:pPr>
      <w:proofErr w:type="spellStart"/>
      <w:r w:rsidRPr="3A388F9E">
        <w:rPr>
          <w:color w:val="222222"/>
        </w:rPr>
        <w:t>Ruhshona</w:t>
      </w:r>
      <w:proofErr w:type="spellEnd"/>
      <w:r w:rsidRPr="3A388F9E">
        <w:rPr>
          <w:color w:val="222222"/>
        </w:rPr>
        <w:t xml:space="preserve">, S., 2025. PROFITABILITY METRICS AS PILLARS OF FINANCIAL PERFORMANCE: </w:t>
      </w:r>
      <w:proofErr w:type="spellStart"/>
      <w:r w:rsidRPr="3A388F9E">
        <w:rPr>
          <w:color w:val="222222"/>
        </w:rPr>
        <w:t>ANALYZING</w:t>
      </w:r>
      <w:proofErr w:type="spellEnd"/>
      <w:r w:rsidRPr="3A388F9E">
        <w:rPr>
          <w:color w:val="222222"/>
        </w:rPr>
        <w:t xml:space="preserve"> THEIR INFLUENCE ON OPERATIONAL EFFICIENCY, INVESTMENT STRATEGIES, AND COMPETITIVE ADVANTAGE IN TRADING COMPANIES. </w:t>
      </w:r>
      <w:r w:rsidRPr="3A388F9E">
        <w:rPr>
          <w:i/>
          <w:iCs/>
          <w:color w:val="222222"/>
        </w:rPr>
        <w:t>MODELS AND METHODS FOR INCREASING THE EFFICIENCY OF INNOVATIVE RESEARCH</w:t>
      </w:r>
      <w:r w:rsidRPr="3A388F9E">
        <w:rPr>
          <w:color w:val="222222"/>
        </w:rPr>
        <w:t xml:space="preserve">, </w:t>
      </w:r>
      <w:r w:rsidRPr="3A388F9E">
        <w:rPr>
          <w:i/>
          <w:iCs/>
          <w:color w:val="222222"/>
        </w:rPr>
        <w:t>4</w:t>
      </w:r>
      <w:r w:rsidRPr="3A388F9E">
        <w:rPr>
          <w:color w:val="222222"/>
        </w:rPr>
        <w:t>(46), pp.280-287.</w:t>
      </w:r>
    </w:p>
    <w:p w14:paraId="7FE09620" w14:textId="47B2301F" w:rsidR="393567AD" w:rsidRDefault="393567AD" w:rsidP="00212F36">
      <w:pPr>
        <w:pStyle w:val="ListParagraph"/>
        <w:numPr>
          <w:ilvl w:val="0"/>
          <w:numId w:val="1"/>
        </w:numPr>
        <w:spacing w:line="360" w:lineRule="auto"/>
        <w:rPr>
          <w:color w:val="222222"/>
        </w:rPr>
      </w:pPr>
      <w:r w:rsidRPr="3A388F9E">
        <w:rPr>
          <w:color w:val="222222"/>
        </w:rPr>
        <w:t>Elliott, B. and Elliott, J. (2006), Financial Accounting and Reporting, 10th edition, Harlow, Essex: FT/Prentice Hall.</w:t>
      </w:r>
    </w:p>
    <w:p w14:paraId="71B54B82" w14:textId="40EE45BD" w:rsidR="393567AD" w:rsidRDefault="393567AD" w:rsidP="00212F36">
      <w:pPr>
        <w:pStyle w:val="ListParagraph"/>
        <w:numPr>
          <w:ilvl w:val="0"/>
          <w:numId w:val="1"/>
        </w:numPr>
        <w:spacing w:line="360" w:lineRule="auto"/>
        <w:rPr>
          <w:color w:val="222222"/>
        </w:rPr>
      </w:pPr>
      <w:r w:rsidRPr="3A388F9E">
        <w:rPr>
          <w:color w:val="222222"/>
        </w:rPr>
        <w:t>Murphy, G.B., Trailer, J.W. and Hill, R.C. (1996), “Measuring Performance in Entrepreneurship Research”, Journal of Business Research, vol. 36, pp. 15-23</w:t>
      </w:r>
    </w:p>
    <w:p w14:paraId="50D86D69" w14:textId="50D1A13F" w:rsidR="393567AD" w:rsidRDefault="393567AD" w:rsidP="00212F36">
      <w:pPr>
        <w:pStyle w:val="ListParagraph"/>
        <w:numPr>
          <w:ilvl w:val="0"/>
          <w:numId w:val="1"/>
        </w:numPr>
        <w:spacing w:line="360" w:lineRule="auto"/>
        <w:rPr>
          <w:color w:val="222222"/>
        </w:rPr>
      </w:pPr>
      <w:proofErr w:type="spellStart"/>
      <w:r w:rsidRPr="3A388F9E">
        <w:rPr>
          <w:color w:val="222222"/>
        </w:rPr>
        <w:t>Frecknall-Hughes</w:t>
      </w:r>
      <w:proofErr w:type="spellEnd"/>
      <w:r w:rsidRPr="3A388F9E">
        <w:rPr>
          <w:color w:val="222222"/>
        </w:rPr>
        <w:t xml:space="preserve">, J., Simpson, M., </w:t>
      </w:r>
      <w:proofErr w:type="spellStart"/>
      <w:r w:rsidRPr="3A388F9E">
        <w:rPr>
          <w:color w:val="222222"/>
        </w:rPr>
        <w:t>Padmore</w:t>
      </w:r>
      <w:proofErr w:type="spellEnd"/>
      <w:r w:rsidRPr="3A388F9E">
        <w:rPr>
          <w:color w:val="222222"/>
        </w:rPr>
        <w:t xml:space="preserve">, J. and </w:t>
      </w:r>
      <w:proofErr w:type="spellStart"/>
      <w:r w:rsidRPr="3A388F9E">
        <w:rPr>
          <w:color w:val="222222"/>
        </w:rPr>
        <w:t>Padmore</w:t>
      </w:r>
      <w:proofErr w:type="spellEnd"/>
      <w:r w:rsidRPr="3A388F9E">
        <w:rPr>
          <w:color w:val="222222"/>
        </w:rPr>
        <w:t xml:space="preserve">, J., 2007. </w:t>
      </w:r>
      <w:r w:rsidRPr="3A388F9E">
        <w:rPr>
          <w:i/>
          <w:iCs/>
          <w:color w:val="222222"/>
        </w:rPr>
        <w:t>Inherent limitations in using financial ratio analysis to assess small and medium sized company performance</w:t>
      </w:r>
      <w:r w:rsidRPr="3A388F9E">
        <w:rPr>
          <w:color w:val="222222"/>
        </w:rPr>
        <w:t xml:space="preserve"> (pp. 2007-01). Working Paper.</w:t>
      </w:r>
    </w:p>
    <w:p w14:paraId="7A3C37BF" w14:textId="5040B35C" w:rsidR="393567AD" w:rsidRDefault="393567AD" w:rsidP="00212F36">
      <w:pPr>
        <w:pStyle w:val="ListParagraph"/>
        <w:numPr>
          <w:ilvl w:val="0"/>
          <w:numId w:val="1"/>
        </w:numPr>
        <w:spacing w:line="360" w:lineRule="auto"/>
        <w:rPr>
          <w:color w:val="222222"/>
        </w:rPr>
      </w:pPr>
      <w:proofErr w:type="spellStart"/>
      <w:r w:rsidRPr="3A388F9E">
        <w:rPr>
          <w:color w:val="222222"/>
        </w:rPr>
        <w:t>Chabotar</w:t>
      </w:r>
      <w:proofErr w:type="spellEnd"/>
      <w:r w:rsidRPr="3A388F9E">
        <w:rPr>
          <w:color w:val="222222"/>
        </w:rPr>
        <w:t xml:space="preserve">, K.J., 1989. Financial ratio analysis comes to nonprofits. </w:t>
      </w:r>
      <w:r w:rsidRPr="3A388F9E">
        <w:rPr>
          <w:i/>
          <w:iCs/>
          <w:color w:val="222222"/>
        </w:rPr>
        <w:t>The Journal of Higher Education</w:t>
      </w:r>
      <w:r w:rsidRPr="3A388F9E">
        <w:rPr>
          <w:color w:val="222222"/>
        </w:rPr>
        <w:t xml:space="preserve">, </w:t>
      </w:r>
      <w:r w:rsidRPr="3A388F9E">
        <w:rPr>
          <w:i/>
          <w:iCs/>
          <w:color w:val="222222"/>
        </w:rPr>
        <w:t>60</w:t>
      </w:r>
      <w:r w:rsidRPr="3A388F9E">
        <w:rPr>
          <w:color w:val="222222"/>
        </w:rPr>
        <w:t>(2), pp.188-208.</w:t>
      </w:r>
    </w:p>
    <w:p w14:paraId="1C097C31" w14:textId="0DEE0B33" w:rsidR="393567AD" w:rsidRDefault="393567AD" w:rsidP="00212F36">
      <w:pPr>
        <w:pStyle w:val="ListParagraph"/>
        <w:numPr>
          <w:ilvl w:val="0"/>
          <w:numId w:val="1"/>
        </w:numPr>
        <w:spacing w:before="240" w:after="240" w:line="360" w:lineRule="auto"/>
        <w:rPr>
          <w:color w:val="222222"/>
        </w:rPr>
      </w:pPr>
      <w:r w:rsidRPr="3A388F9E">
        <w:rPr>
          <w:color w:val="222222"/>
        </w:rPr>
        <w:t xml:space="preserve">Consolidated Income Statement; Marks &amp; Spencer. [Online]. available at </w:t>
      </w:r>
      <w:hyperlink r:id="rId15">
        <w:r w:rsidRPr="3A388F9E">
          <w:rPr>
            <w:rStyle w:val="Hyperlink"/>
          </w:rPr>
          <w:t>https://corporate.marksandspencer.com/sites/marksandspencer/files/2024-06/M-and-S_AR24_Financial_Statements.pdf</w:t>
        </w:r>
      </w:hyperlink>
      <w:r w:rsidRPr="3A388F9E">
        <w:rPr>
          <w:color w:val="222222"/>
        </w:rPr>
        <w:t xml:space="preserve"> [Accessed: 17.07.25].</w:t>
      </w:r>
    </w:p>
    <w:p w14:paraId="619E6DE2" w14:textId="3CB5C7E9" w:rsidR="393567AD" w:rsidRDefault="393567AD" w:rsidP="00212F36">
      <w:pPr>
        <w:pStyle w:val="ListParagraph"/>
        <w:numPr>
          <w:ilvl w:val="0"/>
          <w:numId w:val="1"/>
        </w:numPr>
        <w:spacing w:before="240" w:after="240" w:line="360" w:lineRule="auto"/>
        <w:rPr>
          <w:color w:val="222222"/>
        </w:rPr>
      </w:pPr>
      <w:r w:rsidRPr="3A388F9E">
        <w:rPr>
          <w:color w:val="222222"/>
        </w:rPr>
        <w:t xml:space="preserve">M&amp;S Annual Report. 2024. [Online] Available at </w:t>
      </w:r>
      <w:hyperlink r:id="rId16">
        <w:r w:rsidRPr="3A388F9E">
          <w:rPr>
            <w:rStyle w:val="Hyperlink"/>
          </w:rPr>
          <w:t>https://corporate.marksandspencer.com/sites/marksandspencer/files/2024-06/M-and-S-2024-Annual-Report.pdf</w:t>
        </w:r>
      </w:hyperlink>
      <w:r w:rsidRPr="3A388F9E">
        <w:rPr>
          <w:color w:val="222222"/>
        </w:rPr>
        <w:t xml:space="preserve"> [Accessed: 17.07.25].</w:t>
      </w:r>
    </w:p>
    <w:p w14:paraId="30EDA991" w14:textId="4C5C79D5" w:rsidR="393567AD" w:rsidRDefault="393567AD" w:rsidP="00212F36">
      <w:pPr>
        <w:pStyle w:val="ListParagraph"/>
        <w:numPr>
          <w:ilvl w:val="0"/>
          <w:numId w:val="1"/>
        </w:numPr>
        <w:spacing w:before="240" w:after="240" w:line="360" w:lineRule="auto"/>
        <w:rPr>
          <w:color w:val="222222"/>
        </w:rPr>
      </w:pPr>
      <w:r w:rsidRPr="3A388F9E">
        <w:rPr>
          <w:color w:val="222222"/>
        </w:rPr>
        <w:t xml:space="preserve">Our year in review 2025; M&amp;S Annual Report. [Online]. Available at </w:t>
      </w:r>
      <w:hyperlink r:id="rId17">
        <w:r w:rsidRPr="3A388F9E">
          <w:rPr>
            <w:rStyle w:val="Hyperlink"/>
          </w:rPr>
          <w:t>https://corporate.marksandspencer.com/investors/our-performance-updates/2025-annual-report</w:t>
        </w:r>
      </w:hyperlink>
      <w:r w:rsidRPr="3A388F9E">
        <w:rPr>
          <w:color w:val="222222"/>
        </w:rPr>
        <w:t xml:space="preserve">  [Accessed: 17.07.25].</w:t>
      </w:r>
    </w:p>
    <w:p w14:paraId="340A7671" w14:textId="5C2C2854" w:rsidR="3A388F9E" w:rsidRDefault="3A388F9E" w:rsidP="00212F36">
      <w:pPr>
        <w:spacing w:line="360" w:lineRule="auto"/>
      </w:pPr>
    </w:p>
    <w:p w14:paraId="508022C8" w14:textId="02EA9CE4" w:rsidR="3A388F9E" w:rsidRDefault="0044668A" w:rsidP="00212F36">
      <w:pPr>
        <w:spacing w:line="360" w:lineRule="auto"/>
      </w:pPr>
      <w:r>
        <w:rPr>
          <w:rStyle w:val="EndnoteReference"/>
        </w:rPr>
        <w:lastRenderedPageBreak/>
        <w:endnoteReference w:id="2"/>
      </w:r>
    </w:p>
    <w:p w14:paraId="717F831A" w14:textId="77777777" w:rsidR="00834CAF" w:rsidRPr="00834CAF" w:rsidRDefault="00834CAF" w:rsidP="00834CAF">
      <w:pPr>
        <w:keepNext/>
        <w:keepLines/>
        <w:spacing w:before="360" w:after="80"/>
        <w:outlineLvl w:val="0"/>
        <w:rPr>
          <w:b/>
          <w:bCs/>
          <w:color w:val="0F4761" w:themeColor="accent1" w:themeShade="BF"/>
          <w:sz w:val="28"/>
          <w:szCs w:val="28"/>
        </w:rPr>
      </w:pPr>
    </w:p>
    <w:p w14:paraId="43D57049" w14:textId="77777777" w:rsidR="00834CAF" w:rsidRPr="00834CAF" w:rsidRDefault="00834CAF" w:rsidP="00834CAF">
      <w:pPr>
        <w:rPr>
          <w:color w:val="222222"/>
        </w:rPr>
      </w:pPr>
    </w:p>
    <w:p w14:paraId="6E417350" w14:textId="77777777" w:rsidR="00834CAF" w:rsidRPr="00834CAF" w:rsidRDefault="00834CAF" w:rsidP="00834CAF">
      <w:pPr>
        <w:rPr>
          <w:color w:val="222222"/>
        </w:rPr>
      </w:pPr>
    </w:p>
    <w:p w14:paraId="761D7D7D" w14:textId="77777777" w:rsidR="00834CAF" w:rsidRDefault="00834CAF" w:rsidP="002F1B9B">
      <w:pPr>
        <w:spacing w:before="240" w:after="240" w:line="360" w:lineRule="auto"/>
      </w:pPr>
    </w:p>
    <w:p w14:paraId="1F9277B9" w14:textId="547382CB" w:rsidR="7AB87B27" w:rsidRDefault="7AB87B27" w:rsidP="002F1B9B">
      <w:pPr>
        <w:spacing w:before="240" w:after="240" w:line="360" w:lineRule="auto"/>
      </w:pPr>
    </w:p>
    <w:p w14:paraId="22D94383" w14:textId="7BA20E53" w:rsidR="7AB87B27" w:rsidRDefault="7AB87B27" w:rsidP="002F1B9B">
      <w:pPr>
        <w:spacing w:before="240" w:after="240" w:line="360" w:lineRule="auto"/>
      </w:pPr>
    </w:p>
    <w:p w14:paraId="5C44996F" w14:textId="20A28702" w:rsidR="359FE380" w:rsidRDefault="359FE380" w:rsidP="002F1B9B">
      <w:pPr>
        <w:spacing w:before="240" w:after="240" w:line="360" w:lineRule="auto"/>
      </w:pPr>
    </w:p>
    <w:p w14:paraId="4E66E8B4" w14:textId="7B1D7224" w:rsidR="2B379ACD" w:rsidRDefault="2B379ACD" w:rsidP="002F1B9B">
      <w:pPr>
        <w:spacing w:line="360" w:lineRule="auto"/>
      </w:pPr>
    </w:p>
    <w:p w14:paraId="43F9EEA8" w14:textId="494FE44A" w:rsidR="35121BE0" w:rsidRDefault="35121BE0" w:rsidP="002F1B9B">
      <w:pPr>
        <w:spacing w:line="360" w:lineRule="auto"/>
      </w:pPr>
    </w:p>
    <w:p w14:paraId="5F61CBDC" w14:textId="312ABDB0" w:rsidR="35121BE0" w:rsidRDefault="35121BE0" w:rsidP="002F1B9B">
      <w:pPr>
        <w:spacing w:line="360" w:lineRule="auto"/>
      </w:pPr>
    </w:p>
    <w:p w14:paraId="3C87AD5C" w14:textId="4EA86EB3" w:rsidR="35121BE0" w:rsidRDefault="35121BE0" w:rsidP="35121BE0"/>
    <w:p w14:paraId="52887CD0" w14:textId="6AF8C286" w:rsidR="4391FF10" w:rsidRDefault="4391FF10" w:rsidP="18342792">
      <w:r>
        <w:t xml:space="preserve">. </w:t>
      </w:r>
    </w:p>
    <w:p w14:paraId="7C525DD5" w14:textId="00DDB9AB" w:rsidR="18342792" w:rsidRDefault="18342792" w:rsidP="18342792"/>
    <w:p w14:paraId="0D92C238" w14:textId="669CEB4A" w:rsidR="18342792" w:rsidRDefault="18342792" w:rsidP="18342792"/>
    <w:p w14:paraId="7B58C5B4" w14:textId="3D9FD428" w:rsidR="18342792" w:rsidRDefault="18342792" w:rsidP="18342792"/>
    <w:p w14:paraId="4F9D7C63" w14:textId="117C014B" w:rsidR="18342792" w:rsidRDefault="18342792" w:rsidP="18342792"/>
    <w:p w14:paraId="1FB4DD4D" w14:textId="31A8B670" w:rsidR="18342792" w:rsidRDefault="18342792" w:rsidP="18342792"/>
    <w:p w14:paraId="173E3943" w14:textId="7AE988CE" w:rsidR="18342792" w:rsidRDefault="18342792" w:rsidP="18342792"/>
    <w:p w14:paraId="7D3732BE" w14:textId="0C8D95E7" w:rsidR="18342792" w:rsidRDefault="18342792" w:rsidP="18342792"/>
    <w:p w14:paraId="3B8C6B07" w14:textId="30E0D6C6" w:rsidR="18342792" w:rsidRDefault="18342792" w:rsidP="18342792"/>
    <w:p w14:paraId="26FB438D" w14:textId="536E133E" w:rsidR="18342792" w:rsidRDefault="18342792" w:rsidP="18342792"/>
    <w:p w14:paraId="06C486CE" w14:textId="66F50C5F" w:rsidR="18342792" w:rsidRDefault="18342792" w:rsidP="18342792"/>
    <w:p w14:paraId="65C2DB71" w14:textId="09621234" w:rsidR="18342792" w:rsidRDefault="18342792" w:rsidP="18342792"/>
    <w:p w14:paraId="72E7BE3C" w14:textId="35F593F6" w:rsidR="18342792" w:rsidRDefault="18342792" w:rsidP="18342792"/>
    <w:p w14:paraId="05AFB26D" w14:textId="25DF552D" w:rsidR="18342792" w:rsidRDefault="18342792" w:rsidP="18342792"/>
    <w:p w14:paraId="463B0E08" w14:textId="6E418E35" w:rsidR="18342792" w:rsidRDefault="18342792" w:rsidP="18342792"/>
    <w:p w14:paraId="65EE935F" w14:textId="17B1B821" w:rsidR="18342792" w:rsidRDefault="18342792" w:rsidP="18342792"/>
    <w:p w14:paraId="52C86942" w14:textId="764894D4" w:rsidR="18342792" w:rsidRDefault="18342792" w:rsidP="18342792"/>
    <w:p w14:paraId="042A048B" w14:textId="171BD3C4" w:rsidR="18342792" w:rsidRDefault="18342792" w:rsidP="18342792">
      <w:pPr>
        <w:spacing w:before="240" w:after="240"/>
      </w:pPr>
    </w:p>
    <w:p w14:paraId="38A4CFDF" w14:textId="04594924" w:rsidR="18342792" w:rsidRDefault="18342792" w:rsidP="18342792">
      <w:pPr>
        <w:spacing w:before="240" w:after="240"/>
      </w:pPr>
    </w:p>
    <w:p w14:paraId="3685892C" w14:textId="1585C47A" w:rsidR="18342792" w:rsidRDefault="18342792" w:rsidP="18342792"/>
    <w:sectPr w:rsidR="18342792" w:rsidSect="00B94488">
      <w:footerReference w:type="even"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62714" w14:textId="77777777" w:rsidR="005F3B0E" w:rsidRDefault="005F3B0E" w:rsidP="00543663">
      <w:pPr>
        <w:spacing w:after="0" w:line="240" w:lineRule="auto"/>
      </w:pPr>
      <w:r>
        <w:separator/>
      </w:r>
    </w:p>
  </w:endnote>
  <w:endnote w:type="continuationSeparator" w:id="0">
    <w:p w14:paraId="4F6FF22F" w14:textId="77777777" w:rsidR="005F3B0E" w:rsidRDefault="005F3B0E" w:rsidP="00543663">
      <w:pPr>
        <w:spacing w:after="0" w:line="240" w:lineRule="auto"/>
      </w:pPr>
      <w:r>
        <w:continuationSeparator/>
      </w:r>
    </w:p>
  </w:endnote>
  <w:endnote w:id="1">
    <w:p w14:paraId="6B2E9FD2" w14:textId="77777777" w:rsidR="000906ED" w:rsidRPr="00F230CE" w:rsidRDefault="000906ED">
      <w:pPr>
        <w:pStyle w:val="EndnoteText"/>
        <w:rPr>
          <w:lang w:val="en-US"/>
        </w:rPr>
      </w:pPr>
      <w:r>
        <w:rPr>
          <w:rStyle w:val="EndnoteReference"/>
        </w:rPr>
        <w:endnoteRef/>
      </w:r>
      <w:r>
        <w:t xml:space="preserve"> </w:t>
      </w:r>
    </w:p>
  </w:endnote>
  <w:endnote w:id="2">
    <w:p w14:paraId="7D9189A0" w14:textId="35EE181B" w:rsidR="0044668A" w:rsidRPr="0044668A" w:rsidRDefault="0044668A">
      <w:pPr>
        <w:pStyle w:val="EndnoteText"/>
        <w:rPr>
          <w:lang w:val="en-US"/>
        </w:rPr>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9688764"/>
      <w:docPartObj>
        <w:docPartGallery w:val="Page Numbers (Bottom of Page)"/>
        <w:docPartUnique/>
      </w:docPartObj>
    </w:sdtPr>
    <w:sdtEndPr>
      <w:rPr>
        <w:rStyle w:val="PageNumber"/>
      </w:rPr>
    </w:sdtEndPr>
    <w:sdtContent>
      <w:p w14:paraId="740E6967" w14:textId="458677FE" w:rsidR="00543663" w:rsidRDefault="00543663">
        <w:pPr>
          <w:pStyle w:val="Footer"/>
          <w:framePr w:wrap="none" w:vAnchor="text" w:hAnchor="margin" w:xAlign="center" w:y="1"/>
          <w:jc w:val="center"/>
          <w:rPr>
            <w:rStyle w:val="PageNumber"/>
          </w:rPr>
        </w:pPr>
        <w:r w:rsidRPr="3A388F9E">
          <w:rPr>
            <w:rStyle w:val="PageNumber"/>
          </w:rPr>
          <w:fldChar w:fldCharType="begin"/>
        </w:r>
        <w:r w:rsidRPr="3A388F9E">
          <w:rPr>
            <w:rStyle w:val="PageNumber"/>
          </w:rPr>
          <w:instrText xml:space="preserve"> PAGE </w:instrText>
        </w:r>
        <w:r w:rsidRPr="3A388F9E">
          <w:rPr>
            <w:rStyle w:val="PageNumber"/>
          </w:rPr>
          <w:fldChar w:fldCharType="end"/>
        </w:r>
      </w:p>
    </w:sdtContent>
  </w:sdt>
  <w:p w14:paraId="723D3E7F" w14:textId="77777777" w:rsidR="00543663" w:rsidRDefault="005436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1477284"/>
      <w:docPartObj>
        <w:docPartGallery w:val="Page Numbers (Bottom of Page)"/>
        <w:docPartUnique/>
      </w:docPartObj>
    </w:sdtPr>
    <w:sdtEndPr>
      <w:rPr>
        <w:rStyle w:val="PageNumber"/>
      </w:rPr>
    </w:sdtEndPr>
    <w:sdtContent>
      <w:p w14:paraId="6035B461" w14:textId="595E08D6" w:rsidR="00543663" w:rsidRDefault="00543663" w:rsidP="00B36A52">
        <w:pPr>
          <w:pStyle w:val="Footer"/>
          <w:framePr w:wrap="none" w:vAnchor="text" w:hAnchor="margin" w:xAlign="center" w:y="1"/>
          <w:spacing w:line="360" w:lineRule="auto"/>
          <w:jc w:val="center"/>
          <w:rPr>
            <w:rStyle w:val="PageNumber"/>
          </w:rPr>
        </w:pPr>
        <w:r w:rsidRPr="3A388F9E">
          <w:rPr>
            <w:rStyle w:val="PageNumber"/>
          </w:rPr>
          <w:fldChar w:fldCharType="begin"/>
        </w:r>
        <w:r w:rsidRPr="3A388F9E">
          <w:rPr>
            <w:rStyle w:val="PageNumber"/>
          </w:rPr>
          <w:instrText xml:space="preserve"> PAGE </w:instrText>
        </w:r>
        <w:r w:rsidRPr="3A388F9E">
          <w:rPr>
            <w:rStyle w:val="PageNumber"/>
          </w:rPr>
          <w:fldChar w:fldCharType="separate"/>
        </w:r>
        <w:r w:rsidR="3A388F9E" w:rsidRPr="3A388F9E">
          <w:rPr>
            <w:rStyle w:val="PageNumber"/>
          </w:rPr>
          <w:t>17</w:t>
        </w:r>
        <w:r w:rsidRPr="3A388F9E">
          <w:rPr>
            <w:rStyle w:val="PageNumber"/>
          </w:rPr>
          <w:fldChar w:fldCharType="end"/>
        </w:r>
      </w:p>
    </w:sdtContent>
  </w:sdt>
  <w:p w14:paraId="62EAC437" w14:textId="77777777" w:rsidR="00543663" w:rsidRDefault="00543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BDE1F" w14:textId="77777777" w:rsidR="005F3B0E" w:rsidRDefault="005F3B0E" w:rsidP="00543663">
      <w:pPr>
        <w:spacing w:after="0" w:line="240" w:lineRule="auto"/>
      </w:pPr>
      <w:r>
        <w:separator/>
      </w:r>
    </w:p>
  </w:footnote>
  <w:footnote w:type="continuationSeparator" w:id="0">
    <w:p w14:paraId="47F0A579" w14:textId="77777777" w:rsidR="005F3B0E" w:rsidRDefault="005F3B0E" w:rsidP="005436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A139"/>
    <w:multiLevelType w:val="hybridMultilevel"/>
    <w:tmpl w:val="FFFFFFFF"/>
    <w:lvl w:ilvl="0" w:tplc="D1D20AE8">
      <w:start w:val="1"/>
      <w:numFmt w:val="upperLetter"/>
      <w:lvlText w:val="%1."/>
      <w:lvlJc w:val="left"/>
      <w:pPr>
        <w:ind w:left="720" w:hanging="360"/>
      </w:pPr>
    </w:lvl>
    <w:lvl w:ilvl="1" w:tplc="C24A15D8">
      <w:start w:val="1"/>
      <w:numFmt w:val="lowerLetter"/>
      <w:lvlText w:val="%2."/>
      <w:lvlJc w:val="left"/>
      <w:pPr>
        <w:ind w:left="1440" w:hanging="360"/>
      </w:pPr>
    </w:lvl>
    <w:lvl w:ilvl="2" w:tplc="607E5D90">
      <w:start w:val="1"/>
      <w:numFmt w:val="lowerRoman"/>
      <w:lvlText w:val="%3."/>
      <w:lvlJc w:val="right"/>
      <w:pPr>
        <w:ind w:left="2160" w:hanging="180"/>
      </w:pPr>
    </w:lvl>
    <w:lvl w:ilvl="3" w:tplc="C9A68B9E">
      <w:start w:val="1"/>
      <w:numFmt w:val="decimal"/>
      <w:lvlText w:val="%4."/>
      <w:lvlJc w:val="left"/>
      <w:pPr>
        <w:ind w:left="2880" w:hanging="360"/>
      </w:pPr>
    </w:lvl>
    <w:lvl w:ilvl="4" w:tplc="AD9CAF40">
      <w:start w:val="1"/>
      <w:numFmt w:val="lowerLetter"/>
      <w:lvlText w:val="%5."/>
      <w:lvlJc w:val="left"/>
      <w:pPr>
        <w:ind w:left="3600" w:hanging="360"/>
      </w:pPr>
    </w:lvl>
    <w:lvl w:ilvl="5" w:tplc="AA7275C6">
      <w:start w:val="1"/>
      <w:numFmt w:val="lowerRoman"/>
      <w:lvlText w:val="%6."/>
      <w:lvlJc w:val="right"/>
      <w:pPr>
        <w:ind w:left="4320" w:hanging="180"/>
      </w:pPr>
    </w:lvl>
    <w:lvl w:ilvl="6" w:tplc="BD642BCC">
      <w:start w:val="1"/>
      <w:numFmt w:val="decimal"/>
      <w:lvlText w:val="%7."/>
      <w:lvlJc w:val="left"/>
      <w:pPr>
        <w:ind w:left="5040" w:hanging="360"/>
      </w:pPr>
    </w:lvl>
    <w:lvl w:ilvl="7" w:tplc="AF8E7426">
      <w:start w:val="1"/>
      <w:numFmt w:val="lowerLetter"/>
      <w:lvlText w:val="%8."/>
      <w:lvlJc w:val="left"/>
      <w:pPr>
        <w:ind w:left="5760" w:hanging="360"/>
      </w:pPr>
    </w:lvl>
    <w:lvl w:ilvl="8" w:tplc="77FA2DC2">
      <w:start w:val="1"/>
      <w:numFmt w:val="lowerRoman"/>
      <w:lvlText w:val="%9."/>
      <w:lvlJc w:val="right"/>
      <w:pPr>
        <w:ind w:left="6480" w:hanging="180"/>
      </w:pPr>
    </w:lvl>
  </w:abstractNum>
  <w:abstractNum w:abstractNumId="1" w15:restartNumberingAfterBreak="0">
    <w:nsid w:val="01E39CE8"/>
    <w:multiLevelType w:val="hybridMultilevel"/>
    <w:tmpl w:val="FFFFFFFF"/>
    <w:lvl w:ilvl="0" w:tplc="DD3E3EC8">
      <w:start w:val="1"/>
      <w:numFmt w:val="decimal"/>
      <w:lvlText w:val="%1."/>
      <w:lvlJc w:val="left"/>
      <w:pPr>
        <w:ind w:left="720" w:hanging="360"/>
      </w:pPr>
    </w:lvl>
    <w:lvl w:ilvl="1" w:tplc="044634D4">
      <w:start w:val="1"/>
      <w:numFmt w:val="lowerLetter"/>
      <w:lvlText w:val="%2."/>
      <w:lvlJc w:val="left"/>
      <w:pPr>
        <w:ind w:left="1440" w:hanging="360"/>
      </w:pPr>
    </w:lvl>
    <w:lvl w:ilvl="2" w:tplc="0FB4EF44">
      <w:start w:val="1"/>
      <w:numFmt w:val="lowerRoman"/>
      <w:lvlText w:val="%3."/>
      <w:lvlJc w:val="right"/>
      <w:pPr>
        <w:ind w:left="2160" w:hanging="180"/>
      </w:pPr>
    </w:lvl>
    <w:lvl w:ilvl="3" w:tplc="9A84695C">
      <w:start w:val="1"/>
      <w:numFmt w:val="decimal"/>
      <w:lvlText w:val="%4."/>
      <w:lvlJc w:val="left"/>
      <w:pPr>
        <w:ind w:left="2880" w:hanging="360"/>
      </w:pPr>
    </w:lvl>
    <w:lvl w:ilvl="4" w:tplc="6A9C3FAA">
      <w:start w:val="1"/>
      <w:numFmt w:val="lowerLetter"/>
      <w:lvlText w:val="%5."/>
      <w:lvlJc w:val="left"/>
      <w:pPr>
        <w:ind w:left="3600" w:hanging="360"/>
      </w:pPr>
    </w:lvl>
    <w:lvl w:ilvl="5" w:tplc="B6103210">
      <w:start w:val="1"/>
      <w:numFmt w:val="lowerRoman"/>
      <w:lvlText w:val="%6."/>
      <w:lvlJc w:val="right"/>
      <w:pPr>
        <w:ind w:left="4320" w:hanging="180"/>
      </w:pPr>
    </w:lvl>
    <w:lvl w:ilvl="6" w:tplc="0ECE48F2">
      <w:start w:val="1"/>
      <w:numFmt w:val="decimal"/>
      <w:lvlText w:val="%7."/>
      <w:lvlJc w:val="left"/>
      <w:pPr>
        <w:ind w:left="5040" w:hanging="360"/>
      </w:pPr>
    </w:lvl>
    <w:lvl w:ilvl="7" w:tplc="CA664D0C">
      <w:start w:val="1"/>
      <w:numFmt w:val="lowerLetter"/>
      <w:lvlText w:val="%8."/>
      <w:lvlJc w:val="left"/>
      <w:pPr>
        <w:ind w:left="5760" w:hanging="360"/>
      </w:pPr>
    </w:lvl>
    <w:lvl w:ilvl="8" w:tplc="1974F590">
      <w:start w:val="1"/>
      <w:numFmt w:val="lowerRoman"/>
      <w:lvlText w:val="%9."/>
      <w:lvlJc w:val="right"/>
      <w:pPr>
        <w:ind w:left="6480" w:hanging="180"/>
      </w:pPr>
    </w:lvl>
  </w:abstractNum>
  <w:abstractNum w:abstractNumId="2" w15:restartNumberingAfterBreak="0">
    <w:nsid w:val="04FB2E44"/>
    <w:multiLevelType w:val="hybridMultilevel"/>
    <w:tmpl w:val="41B89B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B5CAB"/>
    <w:multiLevelType w:val="hybridMultilevel"/>
    <w:tmpl w:val="A62440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EB636A"/>
    <w:multiLevelType w:val="hybridMultilevel"/>
    <w:tmpl w:val="0C2669B2"/>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964CE4"/>
    <w:multiLevelType w:val="hybridMultilevel"/>
    <w:tmpl w:val="FFFFFFFF"/>
    <w:lvl w:ilvl="0" w:tplc="6F162EA2">
      <w:start w:val="1"/>
      <w:numFmt w:val="bullet"/>
      <w:lvlText w:val=""/>
      <w:lvlJc w:val="left"/>
      <w:pPr>
        <w:ind w:left="720" w:hanging="360"/>
      </w:pPr>
      <w:rPr>
        <w:rFonts w:ascii="Wingdings" w:hAnsi="Wingdings" w:hint="default"/>
      </w:rPr>
    </w:lvl>
    <w:lvl w:ilvl="1" w:tplc="77380AC0">
      <w:start w:val="1"/>
      <w:numFmt w:val="bullet"/>
      <w:lvlText w:val="o"/>
      <w:lvlJc w:val="left"/>
      <w:pPr>
        <w:ind w:left="1440" w:hanging="360"/>
      </w:pPr>
      <w:rPr>
        <w:rFonts w:ascii="Courier New" w:hAnsi="Courier New" w:hint="default"/>
      </w:rPr>
    </w:lvl>
    <w:lvl w:ilvl="2" w:tplc="C7662726">
      <w:start w:val="1"/>
      <w:numFmt w:val="bullet"/>
      <w:lvlText w:val=""/>
      <w:lvlJc w:val="left"/>
      <w:pPr>
        <w:ind w:left="2160" w:hanging="360"/>
      </w:pPr>
      <w:rPr>
        <w:rFonts w:ascii="Wingdings" w:hAnsi="Wingdings" w:hint="default"/>
      </w:rPr>
    </w:lvl>
    <w:lvl w:ilvl="3" w:tplc="2A24F590">
      <w:start w:val="1"/>
      <w:numFmt w:val="bullet"/>
      <w:lvlText w:val=""/>
      <w:lvlJc w:val="left"/>
      <w:pPr>
        <w:ind w:left="2880" w:hanging="360"/>
      </w:pPr>
      <w:rPr>
        <w:rFonts w:ascii="Symbol" w:hAnsi="Symbol" w:hint="default"/>
      </w:rPr>
    </w:lvl>
    <w:lvl w:ilvl="4" w:tplc="3162FE76">
      <w:start w:val="1"/>
      <w:numFmt w:val="bullet"/>
      <w:lvlText w:val="o"/>
      <w:lvlJc w:val="left"/>
      <w:pPr>
        <w:ind w:left="3600" w:hanging="360"/>
      </w:pPr>
      <w:rPr>
        <w:rFonts w:ascii="Courier New" w:hAnsi="Courier New" w:hint="default"/>
      </w:rPr>
    </w:lvl>
    <w:lvl w:ilvl="5" w:tplc="91F88592">
      <w:start w:val="1"/>
      <w:numFmt w:val="bullet"/>
      <w:lvlText w:val=""/>
      <w:lvlJc w:val="left"/>
      <w:pPr>
        <w:ind w:left="4320" w:hanging="360"/>
      </w:pPr>
      <w:rPr>
        <w:rFonts w:ascii="Wingdings" w:hAnsi="Wingdings" w:hint="default"/>
      </w:rPr>
    </w:lvl>
    <w:lvl w:ilvl="6" w:tplc="C89EEFBC">
      <w:start w:val="1"/>
      <w:numFmt w:val="bullet"/>
      <w:lvlText w:val=""/>
      <w:lvlJc w:val="left"/>
      <w:pPr>
        <w:ind w:left="5040" w:hanging="360"/>
      </w:pPr>
      <w:rPr>
        <w:rFonts w:ascii="Symbol" w:hAnsi="Symbol" w:hint="default"/>
      </w:rPr>
    </w:lvl>
    <w:lvl w:ilvl="7" w:tplc="B54471F2">
      <w:start w:val="1"/>
      <w:numFmt w:val="bullet"/>
      <w:lvlText w:val="o"/>
      <w:lvlJc w:val="left"/>
      <w:pPr>
        <w:ind w:left="5760" w:hanging="360"/>
      </w:pPr>
      <w:rPr>
        <w:rFonts w:ascii="Courier New" w:hAnsi="Courier New" w:hint="default"/>
      </w:rPr>
    </w:lvl>
    <w:lvl w:ilvl="8" w:tplc="D03E9868">
      <w:start w:val="1"/>
      <w:numFmt w:val="bullet"/>
      <w:lvlText w:val=""/>
      <w:lvlJc w:val="left"/>
      <w:pPr>
        <w:ind w:left="6480" w:hanging="360"/>
      </w:pPr>
      <w:rPr>
        <w:rFonts w:ascii="Wingdings" w:hAnsi="Wingdings" w:hint="default"/>
      </w:rPr>
    </w:lvl>
  </w:abstractNum>
  <w:abstractNum w:abstractNumId="6" w15:restartNumberingAfterBreak="0">
    <w:nsid w:val="14761B29"/>
    <w:multiLevelType w:val="hybridMultilevel"/>
    <w:tmpl w:val="77D6B9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D0B69"/>
    <w:multiLevelType w:val="hybridMultilevel"/>
    <w:tmpl w:val="FEDE2D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B06019"/>
    <w:multiLevelType w:val="hybridMultilevel"/>
    <w:tmpl w:val="B36604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0C73D1"/>
    <w:multiLevelType w:val="hybridMultilevel"/>
    <w:tmpl w:val="ED7437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CB565D"/>
    <w:multiLevelType w:val="hybridMultilevel"/>
    <w:tmpl w:val="1108A6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1A3622"/>
    <w:multiLevelType w:val="hybridMultilevel"/>
    <w:tmpl w:val="FFFFFFFF"/>
    <w:lvl w:ilvl="0" w:tplc="8F228A36">
      <w:start w:val="1"/>
      <w:numFmt w:val="bullet"/>
      <w:lvlText w:val=""/>
      <w:lvlJc w:val="left"/>
      <w:pPr>
        <w:ind w:left="720" w:hanging="360"/>
      </w:pPr>
      <w:rPr>
        <w:rFonts w:ascii="Symbol" w:hAnsi="Symbol" w:hint="default"/>
      </w:rPr>
    </w:lvl>
    <w:lvl w:ilvl="1" w:tplc="D09A42B0">
      <w:start w:val="1"/>
      <w:numFmt w:val="bullet"/>
      <w:lvlText w:val="o"/>
      <w:lvlJc w:val="left"/>
      <w:pPr>
        <w:ind w:left="1440" w:hanging="360"/>
      </w:pPr>
      <w:rPr>
        <w:rFonts w:ascii="Courier New" w:hAnsi="Courier New" w:hint="default"/>
      </w:rPr>
    </w:lvl>
    <w:lvl w:ilvl="2" w:tplc="B1DE00F2">
      <w:start w:val="1"/>
      <w:numFmt w:val="bullet"/>
      <w:lvlText w:val=""/>
      <w:lvlJc w:val="left"/>
      <w:pPr>
        <w:ind w:left="2160" w:hanging="360"/>
      </w:pPr>
      <w:rPr>
        <w:rFonts w:ascii="Wingdings" w:hAnsi="Wingdings" w:hint="default"/>
      </w:rPr>
    </w:lvl>
    <w:lvl w:ilvl="3" w:tplc="B4D00AF8">
      <w:start w:val="1"/>
      <w:numFmt w:val="bullet"/>
      <w:lvlText w:val=""/>
      <w:lvlJc w:val="left"/>
      <w:pPr>
        <w:ind w:left="2880" w:hanging="360"/>
      </w:pPr>
      <w:rPr>
        <w:rFonts w:ascii="Symbol" w:hAnsi="Symbol" w:hint="default"/>
      </w:rPr>
    </w:lvl>
    <w:lvl w:ilvl="4" w:tplc="4C12D670">
      <w:start w:val="1"/>
      <w:numFmt w:val="bullet"/>
      <w:lvlText w:val="o"/>
      <w:lvlJc w:val="left"/>
      <w:pPr>
        <w:ind w:left="3600" w:hanging="360"/>
      </w:pPr>
      <w:rPr>
        <w:rFonts w:ascii="Courier New" w:hAnsi="Courier New" w:hint="default"/>
      </w:rPr>
    </w:lvl>
    <w:lvl w:ilvl="5" w:tplc="13F05F94">
      <w:start w:val="1"/>
      <w:numFmt w:val="bullet"/>
      <w:lvlText w:val=""/>
      <w:lvlJc w:val="left"/>
      <w:pPr>
        <w:ind w:left="4320" w:hanging="360"/>
      </w:pPr>
      <w:rPr>
        <w:rFonts w:ascii="Wingdings" w:hAnsi="Wingdings" w:hint="default"/>
      </w:rPr>
    </w:lvl>
    <w:lvl w:ilvl="6" w:tplc="125EE6EC">
      <w:start w:val="1"/>
      <w:numFmt w:val="bullet"/>
      <w:lvlText w:val=""/>
      <w:lvlJc w:val="left"/>
      <w:pPr>
        <w:ind w:left="5040" w:hanging="360"/>
      </w:pPr>
      <w:rPr>
        <w:rFonts w:ascii="Symbol" w:hAnsi="Symbol" w:hint="default"/>
      </w:rPr>
    </w:lvl>
    <w:lvl w:ilvl="7" w:tplc="968052F0">
      <w:start w:val="1"/>
      <w:numFmt w:val="bullet"/>
      <w:lvlText w:val="o"/>
      <w:lvlJc w:val="left"/>
      <w:pPr>
        <w:ind w:left="5760" w:hanging="360"/>
      </w:pPr>
      <w:rPr>
        <w:rFonts w:ascii="Courier New" w:hAnsi="Courier New" w:hint="default"/>
      </w:rPr>
    </w:lvl>
    <w:lvl w:ilvl="8" w:tplc="51408740">
      <w:start w:val="1"/>
      <w:numFmt w:val="bullet"/>
      <w:lvlText w:val=""/>
      <w:lvlJc w:val="left"/>
      <w:pPr>
        <w:ind w:left="6480" w:hanging="360"/>
      </w:pPr>
      <w:rPr>
        <w:rFonts w:ascii="Wingdings" w:hAnsi="Wingdings" w:hint="default"/>
      </w:rPr>
    </w:lvl>
  </w:abstractNum>
  <w:abstractNum w:abstractNumId="12" w15:restartNumberingAfterBreak="0">
    <w:nsid w:val="2DAD6D8F"/>
    <w:multiLevelType w:val="hybridMultilevel"/>
    <w:tmpl w:val="FFFFFFFF"/>
    <w:lvl w:ilvl="0" w:tplc="59BCF3BE">
      <w:start w:val="1"/>
      <w:numFmt w:val="upperRoman"/>
      <w:lvlText w:val="%1."/>
      <w:lvlJc w:val="right"/>
      <w:pPr>
        <w:ind w:left="720" w:hanging="360"/>
      </w:pPr>
    </w:lvl>
    <w:lvl w:ilvl="1" w:tplc="7D74693E">
      <w:start w:val="1"/>
      <w:numFmt w:val="lowerLetter"/>
      <w:lvlText w:val="%2."/>
      <w:lvlJc w:val="left"/>
      <w:pPr>
        <w:ind w:left="1440" w:hanging="360"/>
      </w:pPr>
    </w:lvl>
    <w:lvl w:ilvl="2" w:tplc="F8AEC4A4">
      <w:start w:val="1"/>
      <w:numFmt w:val="lowerRoman"/>
      <w:lvlText w:val="%3."/>
      <w:lvlJc w:val="right"/>
      <w:pPr>
        <w:ind w:left="2160" w:hanging="180"/>
      </w:pPr>
    </w:lvl>
    <w:lvl w:ilvl="3" w:tplc="4658F498">
      <w:start w:val="1"/>
      <w:numFmt w:val="decimal"/>
      <w:lvlText w:val="%4."/>
      <w:lvlJc w:val="left"/>
      <w:pPr>
        <w:ind w:left="2880" w:hanging="360"/>
      </w:pPr>
    </w:lvl>
    <w:lvl w:ilvl="4" w:tplc="1FCE70CA">
      <w:start w:val="1"/>
      <w:numFmt w:val="lowerLetter"/>
      <w:lvlText w:val="%5."/>
      <w:lvlJc w:val="left"/>
      <w:pPr>
        <w:ind w:left="3600" w:hanging="360"/>
      </w:pPr>
    </w:lvl>
    <w:lvl w:ilvl="5" w:tplc="86C47692">
      <w:start w:val="1"/>
      <w:numFmt w:val="lowerRoman"/>
      <w:lvlText w:val="%6."/>
      <w:lvlJc w:val="right"/>
      <w:pPr>
        <w:ind w:left="4320" w:hanging="180"/>
      </w:pPr>
    </w:lvl>
    <w:lvl w:ilvl="6" w:tplc="46188E2C">
      <w:start w:val="1"/>
      <w:numFmt w:val="decimal"/>
      <w:lvlText w:val="%7."/>
      <w:lvlJc w:val="left"/>
      <w:pPr>
        <w:ind w:left="5040" w:hanging="360"/>
      </w:pPr>
    </w:lvl>
    <w:lvl w:ilvl="7" w:tplc="A8B00044">
      <w:start w:val="1"/>
      <w:numFmt w:val="lowerLetter"/>
      <w:lvlText w:val="%8."/>
      <w:lvlJc w:val="left"/>
      <w:pPr>
        <w:ind w:left="5760" w:hanging="360"/>
      </w:pPr>
    </w:lvl>
    <w:lvl w:ilvl="8" w:tplc="6BA8A6FA">
      <w:start w:val="1"/>
      <w:numFmt w:val="lowerRoman"/>
      <w:lvlText w:val="%9."/>
      <w:lvlJc w:val="right"/>
      <w:pPr>
        <w:ind w:left="6480" w:hanging="180"/>
      </w:pPr>
    </w:lvl>
  </w:abstractNum>
  <w:abstractNum w:abstractNumId="13" w15:restartNumberingAfterBreak="0">
    <w:nsid w:val="354568C3"/>
    <w:multiLevelType w:val="hybridMultilevel"/>
    <w:tmpl w:val="797C100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B5B714"/>
    <w:multiLevelType w:val="hybridMultilevel"/>
    <w:tmpl w:val="FFFFFFFF"/>
    <w:lvl w:ilvl="0" w:tplc="F7B0B020">
      <w:start w:val="1"/>
      <w:numFmt w:val="bullet"/>
      <w:lvlText w:val="♦"/>
      <w:lvlJc w:val="left"/>
      <w:pPr>
        <w:ind w:left="720" w:hanging="360"/>
      </w:pPr>
      <w:rPr>
        <w:rFonts w:ascii="Courier New" w:hAnsi="Courier New" w:hint="default"/>
      </w:rPr>
    </w:lvl>
    <w:lvl w:ilvl="1" w:tplc="38F43F1A">
      <w:start w:val="1"/>
      <w:numFmt w:val="bullet"/>
      <w:lvlText w:val="o"/>
      <w:lvlJc w:val="left"/>
      <w:pPr>
        <w:ind w:left="1440" w:hanging="360"/>
      </w:pPr>
      <w:rPr>
        <w:rFonts w:ascii="Courier New" w:hAnsi="Courier New" w:hint="default"/>
      </w:rPr>
    </w:lvl>
    <w:lvl w:ilvl="2" w:tplc="4A283A42">
      <w:start w:val="1"/>
      <w:numFmt w:val="bullet"/>
      <w:lvlText w:val=""/>
      <w:lvlJc w:val="left"/>
      <w:pPr>
        <w:ind w:left="2160" w:hanging="360"/>
      </w:pPr>
      <w:rPr>
        <w:rFonts w:ascii="Wingdings" w:hAnsi="Wingdings" w:hint="default"/>
      </w:rPr>
    </w:lvl>
    <w:lvl w:ilvl="3" w:tplc="4922107C">
      <w:start w:val="1"/>
      <w:numFmt w:val="bullet"/>
      <w:lvlText w:val=""/>
      <w:lvlJc w:val="left"/>
      <w:pPr>
        <w:ind w:left="2880" w:hanging="360"/>
      </w:pPr>
      <w:rPr>
        <w:rFonts w:ascii="Symbol" w:hAnsi="Symbol" w:hint="default"/>
      </w:rPr>
    </w:lvl>
    <w:lvl w:ilvl="4" w:tplc="D5B4D900">
      <w:start w:val="1"/>
      <w:numFmt w:val="bullet"/>
      <w:lvlText w:val="o"/>
      <w:lvlJc w:val="left"/>
      <w:pPr>
        <w:ind w:left="3600" w:hanging="360"/>
      </w:pPr>
      <w:rPr>
        <w:rFonts w:ascii="Courier New" w:hAnsi="Courier New" w:hint="default"/>
      </w:rPr>
    </w:lvl>
    <w:lvl w:ilvl="5" w:tplc="4FE6ABA8">
      <w:start w:val="1"/>
      <w:numFmt w:val="bullet"/>
      <w:lvlText w:val=""/>
      <w:lvlJc w:val="left"/>
      <w:pPr>
        <w:ind w:left="4320" w:hanging="360"/>
      </w:pPr>
      <w:rPr>
        <w:rFonts w:ascii="Wingdings" w:hAnsi="Wingdings" w:hint="default"/>
      </w:rPr>
    </w:lvl>
    <w:lvl w:ilvl="6" w:tplc="C05C185C">
      <w:start w:val="1"/>
      <w:numFmt w:val="bullet"/>
      <w:lvlText w:val=""/>
      <w:lvlJc w:val="left"/>
      <w:pPr>
        <w:ind w:left="5040" w:hanging="360"/>
      </w:pPr>
      <w:rPr>
        <w:rFonts w:ascii="Symbol" w:hAnsi="Symbol" w:hint="default"/>
      </w:rPr>
    </w:lvl>
    <w:lvl w:ilvl="7" w:tplc="C5D8854E">
      <w:start w:val="1"/>
      <w:numFmt w:val="bullet"/>
      <w:lvlText w:val="o"/>
      <w:lvlJc w:val="left"/>
      <w:pPr>
        <w:ind w:left="5760" w:hanging="360"/>
      </w:pPr>
      <w:rPr>
        <w:rFonts w:ascii="Courier New" w:hAnsi="Courier New" w:hint="default"/>
      </w:rPr>
    </w:lvl>
    <w:lvl w:ilvl="8" w:tplc="644C4E26">
      <w:start w:val="1"/>
      <w:numFmt w:val="bullet"/>
      <w:lvlText w:val=""/>
      <w:lvlJc w:val="left"/>
      <w:pPr>
        <w:ind w:left="6480" w:hanging="360"/>
      </w:pPr>
      <w:rPr>
        <w:rFonts w:ascii="Wingdings" w:hAnsi="Wingdings" w:hint="default"/>
      </w:rPr>
    </w:lvl>
  </w:abstractNum>
  <w:abstractNum w:abstractNumId="15" w15:restartNumberingAfterBreak="0">
    <w:nsid w:val="3A536513"/>
    <w:multiLevelType w:val="hybridMultilevel"/>
    <w:tmpl w:val="FFFFFFFF"/>
    <w:lvl w:ilvl="0" w:tplc="6CD6E762">
      <w:start w:val="1"/>
      <w:numFmt w:val="bullet"/>
      <w:lvlText w:val="♦"/>
      <w:lvlJc w:val="left"/>
      <w:pPr>
        <w:ind w:left="720" w:hanging="360"/>
      </w:pPr>
      <w:rPr>
        <w:rFonts w:ascii="Courier New" w:hAnsi="Courier New" w:hint="default"/>
      </w:rPr>
    </w:lvl>
    <w:lvl w:ilvl="1" w:tplc="25D478E4">
      <w:start w:val="1"/>
      <w:numFmt w:val="bullet"/>
      <w:lvlText w:val="o"/>
      <w:lvlJc w:val="left"/>
      <w:pPr>
        <w:ind w:left="1440" w:hanging="360"/>
      </w:pPr>
      <w:rPr>
        <w:rFonts w:ascii="Courier New" w:hAnsi="Courier New" w:hint="default"/>
      </w:rPr>
    </w:lvl>
    <w:lvl w:ilvl="2" w:tplc="62DAD97A">
      <w:start w:val="1"/>
      <w:numFmt w:val="bullet"/>
      <w:lvlText w:val=""/>
      <w:lvlJc w:val="left"/>
      <w:pPr>
        <w:ind w:left="2160" w:hanging="360"/>
      </w:pPr>
      <w:rPr>
        <w:rFonts w:ascii="Wingdings" w:hAnsi="Wingdings" w:hint="default"/>
      </w:rPr>
    </w:lvl>
    <w:lvl w:ilvl="3" w:tplc="A5DC9C6E">
      <w:start w:val="1"/>
      <w:numFmt w:val="bullet"/>
      <w:lvlText w:val=""/>
      <w:lvlJc w:val="left"/>
      <w:pPr>
        <w:ind w:left="2880" w:hanging="360"/>
      </w:pPr>
      <w:rPr>
        <w:rFonts w:ascii="Symbol" w:hAnsi="Symbol" w:hint="default"/>
      </w:rPr>
    </w:lvl>
    <w:lvl w:ilvl="4" w:tplc="CE620176">
      <w:start w:val="1"/>
      <w:numFmt w:val="bullet"/>
      <w:lvlText w:val="o"/>
      <w:lvlJc w:val="left"/>
      <w:pPr>
        <w:ind w:left="3600" w:hanging="360"/>
      </w:pPr>
      <w:rPr>
        <w:rFonts w:ascii="Courier New" w:hAnsi="Courier New" w:hint="default"/>
      </w:rPr>
    </w:lvl>
    <w:lvl w:ilvl="5" w:tplc="6AEE8B28">
      <w:start w:val="1"/>
      <w:numFmt w:val="bullet"/>
      <w:lvlText w:val=""/>
      <w:lvlJc w:val="left"/>
      <w:pPr>
        <w:ind w:left="4320" w:hanging="360"/>
      </w:pPr>
      <w:rPr>
        <w:rFonts w:ascii="Wingdings" w:hAnsi="Wingdings" w:hint="default"/>
      </w:rPr>
    </w:lvl>
    <w:lvl w:ilvl="6" w:tplc="0E40FE00">
      <w:start w:val="1"/>
      <w:numFmt w:val="bullet"/>
      <w:lvlText w:val=""/>
      <w:lvlJc w:val="left"/>
      <w:pPr>
        <w:ind w:left="5040" w:hanging="360"/>
      </w:pPr>
      <w:rPr>
        <w:rFonts w:ascii="Symbol" w:hAnsi="Symbol" w:hint="default"/>
      </w:rPr>
    </w:lvl>
    <w:lvl w:ilvl="7" w:tplc="FE06D124">
      <w:start w:val="1"/>
      <w:numFmt w:val="bullet"/>
      <w:lvlText w:val="o"/>
      <w:lvlJc w:val="left"/>
      <w:pPr>
        <w:ind w:left="5760" w:hanging="360"/>
      </w:pPr>
      <w:rPr>
        <w:rFonts w:ascii="Courier New" w:hAnsi="Courier New" w:hint="default"/>
      </w:rPr>
    </w:lvl>
    <w:lvl w:ilvl="8" w:tplc="DA0A662A">
      <w:start w:val="1"/>
      <w:numFmt w:val="bullet"/>
      <w:lvlText w:val=""/>
      <w:lvlJc w:val="left"/>
      <w:pPr>
        <w:ind w:left="6480" w:hanging="360"/>
      </w:pPr>
      <w:rPr>
        <w:rFonts w:ascii="Wingdings" w:hAnsi="Wingdings" w:hint="default"/>
      </w:rPr>
    </w:lvl>
  </w:abstractNum>
  <w:abstractNum w:abstractNumId="16" w15:restartNumberingAfterBreak="0">
    <w:nsid w:val="3A99396E"/>
    <w:multiLevelType w:val="hybridMultilevel"/>
    <w:tmpl w:val="01F0B8F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2405B9"/>
    <w:multiLevelType w:val="hybridMultilevel"/>
    <w:tmpl w:val="FFFFFFFF"/>
    <w:lvl w:ilvl="0" w:tplc="F85812F8">
      <w:start w:val="1"/>
      <w:numFmt w:val="decimal"/>
      <w:lvlText w:val="%1."/>
      <w:lvlJc w:val="left"/>
      <w:pPr>
        <w:ind w:left="720" w:hanging="360"/>
      </w:pPr>
    </w:lvl>
    <w:lvl w:ilvl="1" w:tplc="164494E6">
      <w:start w:val="1"/>
      <w:numFmt w:val="lowerLetter"/>
      <w:lvlText w:val="%2."/>
      <w:lvlJc w:val="left"/>
      <w:pPr>
        <w:ind w:left="1440" w:hanging="360"/>
      </w:pPr>
    </w:lvl>
    <w:lvl w:ilvl="2" w:tplc="E038827E">
      <w:start w:val="1"/>
      <w:numFmt w:val="lowerRoman"/>
      <w:lvlText w:val="%3."/>
      <w:lvlJc w:val="right"/>
      <w:pPr>
        <w:ind w:left="2160" w:hanging="180"/>
      </w:pPr>
    </w:lvl>
    <w:lvl w:ilvl="3" w:tplc="B30A3530">
      <w:start w:val="1"/>
      <w:numFmt w:val="decimal"/>
      <w:lvlText w:val="%4."/>
      <w:lvlJc w:val="left"/>
      <w:pPr>
        <w:ind w:left="2880" w:hanging="360"/>
      </w:pPr>
    </w:lvl>
    <w:lvl w:ilvl="4" w:tplc="048E0690">
      <w:start w:val="1"/>
      <w:numFmt w:val="lowerLetter"/>
      <w:lvlText w:val="%5."/>
      <w:lvlJc w:val="left"/>
      <w:pPr>
        <w:ind w:left="3600" w:hanging="360"/>
      </w:pPr>
    </w:lvl>
    <w:lvl w:ilvl="5" w:tplc="2802359C">
      <w:start w:val="1"/>
      <w:numFmt w:val="lowerRoman"/>
      <w:lvlText w:val="%6."/>
      <w:lvlJc w:val="right"/>
      <w:pPr>
        <w:ind w:left="4320" w:hanging="180"/>
      </w:pPr>
    </w:lvl>
    <w:lvl w:ilvl="6" w:tplc="22B6F882">
      <w:start w:val="1"/>
      <w:numFmt w:val="decimal"/>
      <w:lvlText w:val="%7."/>
      <w:lvlJc w:val="left"/>
      <w:pPr>
        <w:ind w:left="5040" w:hanging="360"/>
      </w:pPr>
    </w:lvl>
    <w:lvl w:ilvl="7" w:tplc="37A64068">
      <w:start w:val="1"/>
      <w:numFmt w:val="lowerLetter"/>
      <w:lvlText w:val="%8."/>
      <w:lvlJc w:val="left"/>
      <w:pPr>
        <w:ind w:left="5760" w:hanging="360"/>
      </w:pPr>
    </w:lvl>
    <w:lvl w:ilvl="8" w:tplc="4768F1DC">
      <w:start w:val="1"/>
      <w:numFmt w:val="lowerRoman"/>
      <w:lvlText w:val="%9."/>
      <w:lvlJc w:val="right"/>
      <w:pPr>
        <w:ind w:left="6480" w:hanging="180"/>
      </w:pPr>
    </w:lvl>
  </w:abstractNum>
  <w:abstractNum w:abstractNumId="18" w15:restartNumberingAfterBreak="0">
    <w:nsid w:val="3D4C25A4"/>
    <w:multiLevelType w:val="hybridMultilevel"/>
    <w:tmpl w:val="FFFFFFFF"/>
    <w:lvl w:ilvl="0" w:tplc="028C2234">
      <w:start w:val="1"/>
      <w:numFmt w:val="bullet"/>
      <w:lvlText w:val="♦"/>
      <w:lvlJc w:val="left"/>
      <w:pPr>
        <w:ind w:left="720" w:hanging="360"/>
      </w:pPr>
      <w:rPr>
        <w:rFonts w:ascii="Courier New" w:hAnsi="Courier New" w:hint="default"/>
      </w:rPr>
    </w:lvl>
    <w:lvl w:ilvl="1" w:tplc="A6ACC4C6">
      <w:start w:val="1"/>
      <w:numFmt w:val="bullet"/>
      <w:lvlText w:val="o"/>
      <w:lvlJc w:val="left"/>
      <w:pPr>
        <w:ind w:left="1440" w:hanging="360"/>
      </w:pPr>
      <w:rPr>
        <w:rFonts w:ascii="Courier New" w:hAnsi="Courier New" w:hint="default"/>
      </w:rPr>
    </w:lvl>
    <w:lvl w:ilvl="2" w:tplc="61544AFE">
      <w:start w:val="1"/>
      <w:numFmt w:val="bullet"/>
      <w:lvlText w:val=""/>
      <w:lvlJc w:val="left"/>
      <w:pPr>
        <w:ind w:left="2160" w:hanging="360"/>
      </w:pPr>
      <w:rPr>
        <w:rFonts w:ascii="Wingdings" w:hAnsi="Wingdings" w:hint="default"/>
      </w:rPr>
    </w:lvl>
    <w:lvl w:ilvl="3" w:tplc="7EA0331E">
      <w:start w:val="1"/>
      <w:numFmt w:val="bullet"/>
      <w:lvlText w:val=""/>
      <w:lvlJc w:val="left"/>
      <w:pPr>
        <w:ind w:left="2880" w:hanging="360"/>
      </w:pPr>
      <w:rPr>
        <w:rFonts w:ascii="Symbol" w:hAnsi="Symbol" w:hint="default"/>
      </w:rPr>
    </w:lvl>
    <w:lvl w:ilvl="4" w:tplc="92AA1A32">
      <w:start w:val="1"/>
      <w:numFmt w:val="bullet"/>
      <w:lvlText w:val="o"/>
      <w:lvlJc w:val="left"/>
      <w:pPr>
        <w:ind w:left="3600" w:hanging="360"/>
      </w:pPr>
      <w:rPr>
        <w:rFonts w:ascii="Courier New" w:hAnsi="Courier New" w:hint="default"/>
      </w:rPr>
    </w:lvl>
    <w:lvl w:ilvl="5" w:tplc="54A6EC92">
      <w:start w:val="1"/>
      <w:numFmt w:val="bullet"/>
      <w:lvlText w:val=""/>
      <w:lvlJc w:val="left"/>
      <w:pPr>
        <w:ind w:left="4320" w:hanging="360"/>
      </w:pPr>
      <w:rPr>
        <w:rFonts w:ascii="Wingdings" w:hAnsi="Wingdings" w:hint="default"/>
      </w:rPr>
    </w:lvl>
    <w:lvl w:ilvl="6" w:tplc="654EC040">
      <w:start w:val="1"/>
      <w:numFmt w:val="bullet"/>
      <w:lvlText w:val=""/>
      <w:lvlJc w:val="left"/>
      <w:pPr>
        <w:ind w:left="5040" w:hanging="360"/>
      </w:pPr>
      <w:rPr>
        <w:rFonts w:ascii="Symbol" w:hAnsi="Symbol" w:hint="default"/>
      </w:rPr>
    </w:lvl>
    <w:lvl w:ilvl="7" w:tplc="E75C4988">
      <w:start w:val="1"/>
      <w:numFmt w:val="bullet"/>
      <w:lvlText w:val="o"/>
      <w:lvlJc w:val="left"/>
      <w:pPr>
        <w:ind w:left="5760" w:hanging="360"/>
      </w:pPr>
      <w:rPr>
        <w:rFonts w:ascii="Courier New" w:hAnsi="Courier New" w:hint="default"/>
      </w:rPr>
    </w:lvl>
    <w:lvl w:ilvl="8" w:tplc="7562A2E8">
      <w:start w:val="1"/>
      <w:numFmt w:val="bullet"/>
      <w:lvlText w:val=""/>
      <w:lvlJc w:val="left"/>
      <w:pPr>
        <w:ind w:left="6480" w:hanging="360"/>
      </w:pPr>
      <w:rPr>
        <w:rFonts w:ascii="Wingdings" w:hAnsi="Wingdings" w:hint="default"/>
      </w:rPr>
    </w:lvl>
  </w:abstractNum>
  <w:abstractNum w:abstractNumId="19" w15:restartNumberingAfterBreak="0">
    <w:nsid w:val="400EA00E"/>
    <w:multiLevelType w:val="hybridMultilevel"/>
    <w:tmpl w:val="FFFFFFFF"/>
    <w:lvl w:ilvl="0" w:tplc="0516923A">
      <w:start w:val="1"/>
      <w:numFmt w:val="bullet"/>
      <w:lvlText w:val="♦"/>
      <w:lvlJc w:val="left"/>
      <w:pPr>
        <w:ind w:left="720" w:hanging="360"/>
      </w:pPr>
      <w:rPr>
        <w:rFonts w:ascii="Courier New" w:hAnsi="Courier New" w:hint="default"/>
      </w:rPr>
    </w:lvl>
    <w:lvl w:ilvl="1" w:tplc="21087A92">
      <w:start w:val="1"/>
      <w:numFmt w:val="bullet"/>
      <w:lvlText w:val="o"/>
      <w:lvlJc w:val="left"/>
      <w:pPr>
        <w:ind w:left="1440" w:hanging="360"/>
      </w:pPr>
      <w:rPr>
        <w:rFonts w:ascii="Courier New" w:hAnsi="Courier New" w:hint="default"/>
      </w:rPr>
    </w:lvl>
    <w:lvl w:ilvl="2" w:tplc="AF8C1724">
      <w:start w:val="1"/>
      <w:numFmt w:val="bullet"/>
      <w:lvlText w:val=""/>
      <w:lvlJc w:val="left"/>
      <w:pPr>
        <w:ind w:left="2160" w:hanging="360"/>
      </w:pPr>
      <w:rPr>
        <w:rFonts w:ascii="Wingdings" w:hAnsi="Wingdings" w:hint="default"/>
      </w:rPr>
    </w:lvl>
    <w:lvl w:ilvl="3" w:tplc="48682ACE">
      <w:start w:val="1"/>
      <w:numFmt w:val="bullet"/>
      <w:lvlText w:val=""/>
      <w:lvlJc w:val="left"/>
      <w:pPr>
        <w:ind w:left="2880" w:hanging="360"/>
      </w:pPr>
      <w:rPr>
        <w:rFonts w:ascii="Symbol" w:hAnsi="Symbol" w:hint="default"/>
      </w:rPr>
    </w:lvl>
    <w:lvl w:ilvl="4" w:tplc="A5B0F7BE">
      <w:start w:val="1"/>
      <w:numFmt w:val="bullet"/>
      <w:lvlText w:val="o"/>
      <w:lvlJc w:val="left"/>
      <w:pPr>
        <w:ind w:left="3600" w:hanging="360"/>
      </w:pPr>
      <w:rPr>
        <w:rFonts w:ascii="Courier New" w:hAnsi="Courier New" w:hint="default"/>
      </w:rPr>
    </w:lvl>
    <w:lvl w:ilvl="5" w:tplc="E09ED27A">
      <w:start w:val="1"/>
      <w:numFmt w:val="bullet"/>
      <w:lvlText w:val=""/>
      <w:lvlJc w:val="left"/>
      <w:pPr>
        <w:ind w:left="4320" w:hanging="360"/>
      </w:pPr>
      <w:rPr>
        <w:rFonts w:ascii="Wingdings" w:hAnsi="Wingdings" w:hint="default"/>
      </w:rPr>
    </w:lvl>
    <w:lvl w:ilvl="6" w:tplc="39A49B84">
      <w:start w:val="1"/>
      <w:numFmt w:val="bullet"/>
      <w:lvlText w:val=""/>
      <w:lvlJc w:val="left"/>
      <w:pPr>
        <w:ind w:left="5040" w:hanging="360"/>
      </w:pPr>
      <w:rPr>
        <w:rFonts w:ascii="Symbol" w:hAnsi="Symbol" w:hint="default"/>
      </w:rPr>
    </w:lvl>
    <w:lvl w:ilvl="7" w:tplc="A0AC6616">
      <w:start w:val="1"/>
      <w:numFmt w:val="bullet"/>
      <w:lvlText w:val="o"/>
      <w:lvlJc w:val="left"/>
      <w:pPr>
        <w:ind w:left="5760" w:hanging="360"/>
      </w:pPr>
      <w:rPr>
        <w:rFonts w:ascii="Courier New" w:hAnsi="Courier New" w:hint="default"/>
      </w:rPr>
    </w:lvl>
    <w:lvl w:ilvl="8" w:tplc="C08AEFB8">
      <w:start w:val="1"/>
      <w:numFmt w:val="bullet"/>
      <w:lvlText w:val=""/>
      <w:lvlJc w:val="left"/>
      <w:pPr>
        <w:ind w:left="6480" w:hanging="360"/>
      </w:pPr>
      <w:rPr>
        <w:rFonts w:ascii="Wingdings" w:hAnsi="Wingdings" w:hint="default"/>
      </w:rPr>
    </w:lvl>
  </w:abstractNum>
  <w:abstractNum w:abstractNumId="20" w15:restartNumberingAfterBreak="0">
    <w:nsid w:val="4061707C"/>
    <w:multiLevelType w:val="hybridMultilevel"/>
    <w:tmpl w:val="FFFFFFFF"/>
    <w:lvl w:ilvl="0" w:tplc="28C0C15E">
      <w:start w:val="1"/>
      <w:numFmt w:val="upperLetter"/>
      <w:lvlText w:val="%1."/>
      <w:lvlJc w:val="left"/>
      <w:pPr>
        <w:ind w:left="720" w:hanging="360"/>
      </w:pPr>
    </w:lvl>
    <w:lvl w:ilvl="1" w:tplc="D8B423A8">
      <w:start w:val="1"/>
      <w:numFmt w:val="lowerLetter"/>
      <w:lvlText w:val="%2."/>
      <w:lvlJc w:val="left"/>
      <w:pPr>
        <w:ind w:left="1440" w:hanging="360"/>
      </w:pPr>
    </w:lvl>
    <w:lvl w:ilvl="2" w:tplc="387AF7F0">
      <w:start w:val="1"/>
      <w:numFmt w:val="lowerRoman"/>
      <w:lvlText w:val="%3."/>
      <w:lvlJc w:val="right"/>
      <w:pPr>
        <w:ind w:left="2160" w:hanging="180"/>
      </w:pPr>
    </w:lvl>
    <w:lvl w:ilvl="3" w:tplc="4F5264C4">
      <w:start w:val="1"/>
      <w:numFmt w:val="decimal"/>
      <w:lvlText w:val="%4."/>
      <w:lvlJc w:val="left"/>
      <w:pPr>
        <w:ind w:left="2880" w:hanging="360"/>
      </w:pPr>
    </w:lvl>
    <w:lvl w:ilvl="4" w:tplc="3B00CD10">
      <w:start w:val="1"/>
      <w:numFmt w:val="lowerLetter"/>
      <w:lvlText w:val="%5."/>
      <w:lvlJc w:val="left"/>
      <w:pPr>
        <w:ind w:left="3600" w:hanging="360"/>
      </w:pPr>
    </w:lvl>
    <w:lvl w:ilvl="5" w:tplc="69C04650">
      <w:start w:val="1"/>
      <w:numFmt w:val="lowerRoman"/>
      <w:lvlText w:val="%6."/>
      <w:lvlJc w:val="right"/>
      <w:pPr>
        <w:ind w:left="4320" w:hanging="180"/>
      </w:pPr>
    </w:lvl>
    <w:lvl w:ilvl="6" w:tplc="F2A0977A">
      <w:start w:val="1"/>
      <w:numFmt w:val="decimal"/>
      <w:lvlText w:val="%7."/>
      <w:lvlJc w:val="left"/>
      <w:pPr>
        <w:ind w:left="5040" w:hanging="360"/>
      </w:pPr>
    </w:lvl>
    <w:lvl w:ilvl="7" w:tplc="C9F698EE">
      <w:start w:val="1"/>
      <w:numFmt w:val="lowerLetter"/>
      <w:lvlText w:val="%8."/>
      <w:lvlJc w:val="left"/>
      <w:pPr>
        <w:ind w:left="5760" w:hanging="360"/>
      </w:pPr>
    </w:lvl>
    <w:lvl w:ilvl="8" w:tplc="66149FA8">
      <w:start w:val="1"/>
      <w:numFmt w:val="lowerRoman"/>
      <w:lvlText w:val="%9."/>
      <w:lvlJc w:val="right"/>
      <w:pPr>
        <w:ind w:left="6480" w:hanging="180"/>
      </w:pPr>
    </w:lvl>
  </w:abstractNum>
  <w:abstractNum w:abstractNumId="21" w15:restartNumberingAfterBreak="0">
    <w:nsid w:val="41BE5E8D"/>
    <w:multiLevelType w:val="hybridMultilevel"/>
    <w:tmpl w:val="37261C3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C11479"/>
    <w:multiLevelType w:val="hybridMultilevel"/>
    <w:tmpl w:val="FFFFFFFF"/>
    <w:lvl w:ilvl="0" w:tplc="B1267DDA">
      <w:start w:val="1"/>
      <w:numFmt w:val="decimal"/>
      <w:lvlText w:val="%1."/>
      <w:lvlJc w:val="left"/>
      <w:pPr>
        <w:ind w:left="720" w:hanging="360"/>
      </w:pPr>
    </w:lvl>
    <w:lvl w:ilvl="1" w:tplc="7D5CC62E">
      <w:start w:val="1"/>
      <w:numFmt w:val="lowerLetter"/>
      <w:lvlText w:val="%2."/>
      <w:lvlJc w:val="left"/>
      <w:pPr>
        <w:ind w:left="1440" w:hanging="360"/>
      </w:pPr>
    </w:lvl>
    <w:lvl w:ilvl="2" w:tplc="4DE6EFAC">
      <w:start w:val="1"/>
      <w:numFmt w:val="lowerRoman"/>
      <w:lvlText w:val="%3."/>
      <w:lvlJc w:val="right"/>
      <w:pPr>
        <w:ind w:left="2160" w:hanging="180"/>
      </w:pPr>
    </w:lvl>
    <w:lvl w:ilvl="3" w:tplc="2F00579E">
      <w:start w:val="1"/>
      <w:numFmt w:val="decimal"/>
      <w:lvlText w:val="%4."/>
      <w:lvlJc w:val="left"/>
      <w:pPr>
        <w:ind w:left="2880" w:hanging="360"/>
      </w:pPr>
    </w:lvl>
    <w:lvl w:ilvl="4" w:tplc="B4A47A0E">
      <w:start w:val="1"/>
      <w:numFmt w:val="lowerLetter"/>
      <w:lvlText w:val="%5."/>
      <w:lvlJc w:val="left"/>
      <w:pPr>
        <w:ind w:left="3600" w:hanging="360"/>
      </w:pPr>
    </w:lvl>
    <w:lvl w:ilvl="5" w:tplc="E418F1A4">
      <w:start w:val="1"/>
      <w:numFmt w:val="lowerRoman"/>
      <w:lvlText w:val="%6."/>
      <w:lvlJc w:val="right"/>
      <w:pPr>
        <w:ind w:left="4320" w:hanging="180"/>
      </w:pPr>
    </w:lvl>
    <w:lvl w:ilvl="6" w:tplc="B9B4A34E">
      <w:start w:val="1"/>
      <w:numFmt w:val="decimal"/>
      <w:lvlText w:val="%7."/>
      <w:lvlJc w:val="left"/>
      <w:pPr>
        <w:ind w:left="5040" w:hanging="360"/>
      </w:pPr>
    </w:lvl>
    <w:lvl w:ilvl="7" w:tplc="53DEBF5C">
      <w:start w:val="1"/>
      <w:numFmt w:val="lowerLetter"/>
      <w:lvlText w:val="%8."/>
      <w:lvlJc w:val="left"/>
      <w:pPr>
        <w:ind w:left="5760" w:hanging="360"/>
      </w:pPr>
    </w:lvl>
    <w:lvl w:ilvl="8" w:tplc="DA6022C6">
      <w:start w:val="1"/>
      <w:numFmt w:val="lowerRoman"/>
      <w:lvlText w:val="%9."/>
      <w:lvlJc w:val="right"/>
      <w:pPr>
        <w:ind w:left="6480" w:hanging="180"/>
      </w:pPr>
    </w:lvl>
  </w:abstractNum>
  <w:abstractNum w:abstractNumId="23" w15:restartNumberingAfterBreak="0">
    <w:nsid w:val="552F99C7"/>
    <w:multiLevelType w:val="hybridMultilevel"/>
    <w:tmpl w:val="FFFFFFFF"/>
    <w:lvl w:ilvl="0" w:tplc="FE1292AA">
      <w:start w:val="1"/>
      <w:numFmt w:val="bullet"/>
      <w:lvlText w:val="♦"/>
      <w:lvlJc w:val="left"/>
      <w:pPr>
        <w:ind w:left="720" w:hanging="360"/>
      </w:pPr>
      <w:rPr>
        <w:rFonts w:ascii="Courier New" w:hAnsi="Courier New" w:hint="default"/>
      </w:rPr>
    </w:lvl>
    <w:lvl w:ilvl="1" w:tplc="FF843122">
      <w:start w:val="1"/>
      <w:numFmt w:val="bullet"/>
      <w:lvlText w:val="o"/>
      <w:lvlJc w:val="left"/>
      <w:pPr>
        <w:ind w:left="1440" w:hanging="360"/>
      </w:pPr>
      <w:rPr>
        <w:rFonts w:ascii="Courier New" w:hAnsi="Courier New" w:hint="default"/>
      </w:rPr>
    </w:lvl>
    <w:lvl w:ilvl="2" w:tplc="4D20260E">
      <w:start w:val="1"/>
      <w:numFmt w:val="bullet"/>
      <w:lvlText w:val=""/>
      <w:lvlJc w:val="left"/>
      <w:pPr>
        <w:ind w:left="2160" w:hanging="360"/>
      </w:pPr>
      <w:rPr>
        <w:rFonts w:ascii="Wingdings" w:hAnsi="Wingdings" w:hint="default"/>
      </w:rPr>
    </w:lvl>
    <w:lvl w:ilvl="3" w:tplc="577C90D4">
      <w:start w:val="1"/>
      <w:numFmt w:val="bullet"/>
      <w:lvlText w:val=""/>
      <w:lvlJc w:val="left"/>
      <w:pPr>
        <w:ind w:left="2880" w:hanging="360"/>
      </w:pPr>
      <w:rPr>
        <w:rFonts w:ascii="Symbol" w:hAnsi="Symbol" w:hint="default"/>
      </w:rPr>
    </w:lvl>
    <w:lvl w:ilvl="4" w:tplc="99CCB204">
      <w:start w:val="1"/>
      <w:numFmt w:val="bullet"/>
      <w:lvlText w:val="o"/>
      <w:lvlJc w:val="left"/>
      <w:pPr>
        <w:ind w:left="3600" w:hanging="360"/>
      </w:pPr>
      <w:rPr>
        <w:rFonts w:ascii="Courier New" w:hAnsi="Courier New" w:hint="default"/>
      </w:rPr>
    </w:lvl>
    <w:lvl w:ilvl="5" w:tplc="AFBC35D4">
      <w:start w:val="1"/>
      <w:numFmt w:val="bullet"/>
      <w:lvlText w:val=""/>
      <w:lvlJc w:val="left"/>
      <w:pPr>
        <w:ind w:left="4320" w:hanging="360"/>
      </w:pPr>
      <w:rPr>
        <w:rFonts w:ascii="Wingdings" w:hAnsi="Wingdings" w:hint="default"/>
      </w:rPr>
    </w:lvl>
    <w:lvl w:ilvl="6" w:tplc="6CE63E96">
      <w:start w:val="1"/>
      <w:numFmt w:val="bullet"/>
      <w:lvlText w:val=""/>
      <w:lvlJc w:val="left"/>
      <w:pPr>
        <w:ind w:left="5040" w:hanging="360"/>
      </w:pPr>
      <w:rPr>
        <w:rFonts w:ascii="Symbol" w:hAnsi="Symbol" w:hint="default"/>
      </w:rPr>
    </w:lvl>
    <w:lvl w:ilvl="7" w:tplc="63AAEE1C">
      <w:start w:val="1"/>
      <w:numFmt w:val="bullet"/>
      <w:lvlText w:val="o"/>
      <w:lvlJc w:val="left"/>
      <w:pPr>
        <w:ind w:left="5760" w:hanging="360"/>
      </w:pPr>
      <w:rPr>
        <w:rFonts w:ascii="Courier New" w:hAnsi="Courier New" w:hint="default"/>
      </w:rPr>
    </w:lvl>
    <w:lvl w:ilvl="8" w:tplc="50D08B48">
      <w:start w:val="1"/>
      <w:numFmt w:val="bullet"/>
      <w:lvlText w:val=""/>
      <w:lvlJc w:val="left"/>
      <w:pPr>
        <w:ind w:left="6480" w:hanging="360"/>
      </w:pPr>
      <w:rPr>
        <w:rFonts w:ascii="Wingdings" w:hAnsi="Wingdings" w:hint="default"/>
      </w:rPr>
    </w:lvl>
  </w:abstractNum>
  <w:abstractNum w:abstractNumId="24" w15:restartNumberingAfterBreak="0">
    <w:nsid w:val="587D70EB"/>
    <w:multiLevelType w:val="hybridMultilevel"/>
    <w:tmpl w:val="59E87B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073E34"/>
    <w:multiLevelType w:val="hybridMultilevel"/>
    <w:tmpl w:val="06A692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D874F2"/>
    <w:multiLevelType w:val="hybridMultilevel"/>
    <w:tmpl w:val="800261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B92548"/>
    <w:multiLevelType w:val="hybridMultilevel"/>
    <w:tmpl w:val="EBDE2A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5A8076"/>
    <w:multiLevelType w:val="hybridMultilevel"/>
    <w:tmpl w:val="FFFFFFFF"/>
    <w:lvl w:ilvl="0" w:tplc="D43C819A">
      <w:start w:val="1"/>
      <w:numFmt w:val="bullet"/>
      <w:lvlText w:val="♦"/>
      <w:lvlJc w:val="left"/>
      <w:pPr>
        <w:ind w:left="720" w:hanging="360"/>
      </w:pPr>
      <w:rPr>
        <w:rFonts w:ascii="Courier New" w:hAnsi="Courier New" w:hint="default"/>
      </w:rPr>
    </w:lvl>
    <w:lvl w:ilvl="1" w:tplc="6F8E05C4">
      <w:start w:val="1"/>
      <w:numFmt w:val="bullet"/>
      <w:lvlText w:val="o"/>
      <w:lvlJc w:val="left"/>
      <w:pPr>
        <w:ind w:left="1440" w:hanging="360"/>
      </w:pPr>
      <w:rPr>
        <w:rFonts w:ascii="Courier New" w:hAnsi="Courier New" w:hint="default"/>
      </w:rPr>
    </w:lvl>
    <w:lvl w:ilvl="2" w:tplc="A61297C6">
      <w:start w:val="1"/>
      <w:numFmt w:val="bullet"/>
      <w:lvlText w:val=""/>
      <w:lvlJc w:val="left"/>
      <w:pPr>
        <w:ind w:left="2160" w:hanging="360"/>
      </w:pPr>
      <w:rPr>
        <w:rFonts w:ascii="Wingdings" w:hAnsi="Wingdings" w:hint="default"/>
      </w:rPr>
    </w:lvl>
    <w:lvl w:ilvl="3" w:tplc="0822805C">
      <w:start w:val="1"/>
      <w:numFmt w:val="bullet"/>
      <w:lvlText w:val=""/>
      <w:lvlJc w:val="left"/>
      <w:pPr>
        <w:ind w:left="2880" w:hanging="360"/>
      </w:pPr>
      <w:rPr>
        <w:rFonts w:ascii="Symbol" w:hAnsi="Symbol" w:hint="default"/>
      </w:rPr>
    </w:lvl>
    <w:lvl w:ilvl="4" w:tplc="EF506A74">
      <w:start w:val="1"/>
      <w:numFmt w:val="bullet"/>
      <w:lvlText w:val="o"/>
      <w:lvlJc w:val="left"/>
      <w:pPr>
        <w:ind w:left="3600" w:hanging="360"/>
      </w:pPr>
      <w:rPr>
        <w:rFonts w:ascii="Courier New" w:hAnsi="Courier New" w:hint="default"/>
      </w:rPr>
    </w:lvl>
    <w:lvl w:ilvl="5" w:tplc="8106254E">
      <w:start w:val="1"/>
      <w:numFmt w:val="bullet"/>
      <w:lvlText w:val=""/>
      <w:lvlJc w:val="left"/>
      <w:pPr>
        <w:ind w:left="4320" w:hanging="360"/>
      </w:pPr>
      <w:rPr>
        <w:rFonts w:ascii="Wingdings" w:hAnsi="Wingdings" w:hint="default"/>
      </w:rPr>
    </w:lvl>
    <w:lvl w:ilvl="6" w:tplc="7848BFCA">
      <w:start w:val="1"/>
      <w:numFmt w:val="bullet"/>
      <w:lvlText w:val=""/>
      <w:lvlJc w:val="left"/>
      <w:pPr>
        <w:ind w:left="5040" w:hanging="360"/>
      </w:pPr>
      <w:rPr>
        <w:rFonts w:ascii="Symbol" w:hAnsi="Symbol" w:hint="default"/>
      </w:rPr>
    </w:lvl>
    <w:lvl w:ilvl="7" w:tplc="490E250E">
      <w:start w:val="1"/>
      <w:numFmt w:val="bullet"/>
      <w:lvlText w:val="o"/>
      <w:lvlJc w:val="left"/>
      <w:pPr>
        <w:ind w:left="5760" w:hanging="360"/>
      </w:pPr>
      <w:rPr>
        <w:rFonts w:ascii="Courier New" w:hAnsi="Courier New" w:hint="default"/>
      </w:rPr>
    </w:lvl>
    <w:lvl w:ilvl="8" w:tplc="0C42892E">
      <w:start w:val="1"/>
      <w:numFmt w:val="bullet"/>
      <w:lvlText w:val=""/>
      <w:lvlJc w:val="left"/>
      <w:pPr>
        <w:ind w:left="6480" w:hanging="360"/>
      </w:pPr>
      <w:rPr>
        <w:rFonts w:ascii="Wingdings" w:hAnsi="Wingdings" w:hint="default"/>
      </w:rPr>
    </w:lvl>
  </w:abstractNum>
  <w:abstractNum w:abstractNumId="29" w15:restartNumberingAfterBreak="0">
    <w:nsid w:val="73A373B0"/>
    <w:multiLevelType w:val="hybridMultilevel"/>
    <w:tmpl w:val="E050DE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761E3C"/>
    <w:multiLevelType w:val="hybridMultilevel"/>
    <w:tmpl w:val="0AA6ED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A03E19"/>
    <w:multiLevelType w:val="hybridMultilevel"/>
    <w:tmpl w:val="EE2833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7BC98F"/>
    <w:multiLevelType w:val="hybridMultilevel"/>
    <w:tmpl w:val="FFFFFFFF"/>
    <w:lvl w:ilvl="0" w:tplc="56AC810E">
      <w:start w:val="1"/>
      <w:numFmt w:val="bullet"/>
      <w:lvlText w:val="♦"/>
      <w:lvlJc w:val="left"/>
      <w:pPr>
        <w:ind w:left="720" w:hanging="360"/>
      </w:pPr>
      <w:rPr>
        <w:rFonts w:ascii="Courier New" w:hAnsi="Courier New" w:hint="default"/>
      </w:rPr>
    </w:lvl>
    <w:lvl w:ilvl="1" w:tplc="91E6AED0">
      <w:start w:val="1"/>
      <w:numFmt w:val="bullet"/>
      <w:lvlText w:val="o"/>
      <w:lvlJc w:val="left"/>
      <w:pPr>
        <w:ind w:left="1440" w:hanging="360"/>
      </w:pPr>
      <w:rPr>
        <w:rFonts w:ascii="Courier New" w:hAnsi="Courier New" w:hint="default"/>
      </w:rPr>
    </w:lvl>
    <w:lvl w:ilvl="2" w:tplc="D9C2A054">
      <w:start w:val="1"/>
      <w:numFmt w:val="bullet"/>
      <w:lvlText w:val=""/>
      <w:lvlJc w:val="left"/>
      <w:pPr>
        <w:ind w:left="2160" w:hanging="360"/>
      </w:pPr>
      <w:rPr>
        <w:rFonts w:ascii="Wingdings" w:hAnsi="Wingdings" w:hint="default"/>
      </w:rPr>
    </w:lvl>
    <w:lvl w:ilvl="3" w:tplc="5630DD96">
      <w:start w:val="1"/>
      <w:numFmt w:val="bullet"/>
      <w:lvlText w:val=""/>
      <w:lvlJc w:val="left"/>
      <w:pPr>
        <w:ind w:left="2880" w:hanging="360"/>
      </w:pPr>
      <w:rPr>
        <w:rFonts w:ascii="Symbol" w:hAnsi="Symbol" w:hint="default"/>
      </w:rPr>
    </w:lvl>
    <w:lvl w:ilvl="4" w:tplc="57BE9CF0">
      <w:start w:val="1"/>
      <w:numFmt w:val="bullet"/>
      <w:lvlText w:val="o"/>
      <w:lvlJc w:val="left"/>
      <w:pPr>
        <w:ind w:left="3600" w:hanging="360"/>
      </w:pPr>
      <w:rPr>
        <w:rFonts w:ascii="Courier New" w:hAnsi="Courier New" w:hint="default"/>
      </w:rPr>
    </w:lvl>
    <w:lvl w:ilvl="5" w:tplc="152ECC52">
      <w:start w:val="1"/>
      <w:numFmt w:val="bullet"/>
      <w:lvlText w:val=""/>
      <w:lvlJc w:val="left"/>
      <w:pPr>
        <w:ind w:left="4320" w:hanging="360"/>
      </w:pPr>
      <w:rPr>
        <w:rFonts w:ascii="Wingdings" w:hAnsi="Wingdings" w:hint="default"/>
      </w:rPr>
    </w:lvl>
    <w:lvl w:ilvl="6" w:tplc="DFE27B54">
      <w:start w:val="1"/>
      <w:numFmt w:val="bullet"/>
      <w:lvlText w:val=""/>
      <w:lvlJc w:val="left"/>
      <w:pPr>
        <w:ind w:left="5040" w:hanging="360"/>
      </w:pPr>
      <w:rPr>
        <w:rFonts w:ascii="Symbol" w:hAnsi="Symbol" w:hint="default"/>
      </w:rPr>
    </w:lvl>
    <w:lvl w:ilvl="7" w:tplc="C0844106">
      <w:start w:val="1"/>
      <w:numFmt w:val="bullet"/>
      <w:lvlText w:val="o"/>
      <w:lvlJc w:val="left"/>
      <w:pPr>
        <w:ind w:left="5760" w:hanging="360"/>
      </w:pPr>
      <w:rPr>
        <w:rFonts w:ascii="Courier New" w:hAnsi="Courier New" w:hint="default"/>
      </w:rPr>
    </w:lvl>
    <w:lvl w:ilvl="8" w:tplc="E86034D2">
      <w:start w:val="1"/>
      <w:numFmt w:val="bullet"/>
      <w:lvlText w:val=""/>
      <w:lvlJc w:val="left"/>
      <w:pPr>
        <w:ind w:left="6480" w:hanging="360"/>
      </w:pPr>
      <w:rPr>
        <w:rFonts w:ascii="Wingdings" w:hAnsi="Wingdings" w:hint="default"/>
      </w:rPr>
    </w:lvl>
  </w:abstractNum>
  <w:num w:numId="1" w16cid:durableId="1885557142">
    <w:abstractNumId w:val="22"/>
  </w:num>
  <w:num w:numId="2" w16cid:durableId="464274269">
    <w:abstractNumId w:val="1"/>
  </w:num>
  <w:num w:numId="3" w16cid:durableId="1509441941">
    <w:abstractNumId w:val="0"/>
  </w:num>
  <w:num w:numId="4" w16cid:durableId="289676827">
    <w:abstractNumId w:val="18"/>
  </w:num>
  <w:num w:numId="5" w16cid:durableId="1117142477">
    <w:abstractNumId w:val="19"/>
  </w:num>
  <w:num w:numId="6" w16cid:durableId="1493638754">
    <w:abstractNumId w:val="23"/>
  </w:num>
  <w:num w:numId="7" w16cid:durableId="200434669">
    <w:abstractNumId w:val="14"/>
  </w:num>
  <w:num w:numId="8" w16cid:durableId="153961301">
    <w:abstractNumId w:val="5"/>
  </w:num>
  <w:num w:numId="9" w16cid:durableId="307979680">
    <w:abstractNumId w:val="28"/>
  </w:num>
  <w:num w:numId="10" w16cid:durableId="349720517">
    <w:abstractNumId w:val="4"/>
  </w:num>
  <w:num w:numId="11" w16cid:durableId="1164668271">
    <w:abstractNumId w:val="6"/>
  </w:num>
  <w:num w:numId="12" w16cid:durableId="626814546">
    <w:abstractNumId w:val="3"/>
  </w:num>
  <w:num w:numId="13" w16cid:durableId="1840536142">
    <w:abstractNumId w:val="16"/>
  </w:num>
  <w:num w:numId="14" w16cid:durableId="519128171">
    <w:abstractNumId w:val="31"/>
  </w:num>
  <w:num w:numId="15" w16cid:durableId="1855731106">
    <w:abstractNumId w:val="24"/>
  </w:num>
  <w:num w:numId="16" w16cid:durableId="1142774939">
    <w:abstractNumId w:val="27"/>
  </w:num>
  <w:num w:numId="17" w16cid:durableId="1802653027">
    <w:abstractNumId w:val="7"/>
  </w:num>
  <w:num w:numId="18" w16cid:durableId="211044435">
    <w:abstractNumId w:val="25"/>
  </w:num>
  <w:num w:numId="19" w16cid:durableId="1785733273">
    <w:abstractNumId w:val="21"/>
  </w:num>
  <w:num w:numId="20" w16cid:durableId="405615966">
    <w:abstractNumId w:val="2"/>
  </w:num>
  <w:num w:numId="21" w16cid:durableId="565845402">
    <w:abstractNumId w:val="26"/>
  </w:num>
  <w:num w:numId="22" w16cid:durableId="1923562006">
    <w:abstractNumId w:val="9"/>
  </w:num>
  <w:num w:numId="23" w16cid:durableId="1093281648">
    <w:abstractNumId w:val="13"/>
  </w:num>
  <w:num w:numId="24" w16cid:durableId="343476190">
    <w:abstractNumId w:val="30"/>
  </w:num>
  <w:num w:numId="25" w16cid:durableId="1477183425">
    <w:abstractNumId w:val="32"/>
  </w:num>
  <w:num w:numId="26" w16cid:durableId="1529685375">
    <w:abstractNumId w:val="12"/>
  </w:num>
  <w:num w:numId="27" w16cid:durableId="2092776466">
    <w:abstractNumId w:val="11"/>
  </w:num>
  <w:num w:numId="28" w16cid:durableId="2145733189">
    <w:abstractNumId w:val="20"/>
  </w:num>
  <w:num w:numId="29" w16cid:durableId="68774740">
    <w:abstractNumId w:val="17"/>
  </w:num>
  <w:num w:numId="30" w16cid:durableId="884950898">
    <w:abstractNumId w:val="15"/>
  </w:num>
  <w:num w:numId="31" w16cid:durableId="1252086939">
    <w:abstractNumId w:val="29"/>
  </w:num>
  <w:num w:numId="32" w16cid:durableId="598756407">
    <w:abstractNumId w:val="8"/>
  </w:num>
  <w:num w:numId="33" w16cid:durableId="10335328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7C788B"/>
    <w:rsid w:val="000017EA"/>
    <w:rsid w:val="000129BB"/>
    <w:rsid w:val="000151D8"/>
    <w:rsid w:val="000212CB"/>
    <w:rsid w:val="00023ACA"/>
    <w:rsid w:val="00033C37"/>
    <w:rsid w:val="000369C1"/>
    <w:rsid w:val="000566EF"/>
    <w:rsid w:val="00066492"/>
    <w:rsid w:val="00073752"/>
    <w:rsid w:val="0008130C"/>
    <w:rsid w:val="00082D3D"/>
    <w:rsid w:val="00087BA6"/>
    <w:rsid w:val="000906ED"/>
    <w:rsid w:val="00092710"/>
    <w:rsid w:val="000A1D34"/>
    <w:rsid w:val="000A401C"/>
    <w:rsid w:val="000A621E"/>
    <w:rsid w:val="000A7FA9"/>
    <w:rsid w:val="000B4B18"/>
    <w:rsid w:val="000B4F5D"/>
    <w:rsid w:val="000C0086"/>
    <w:rsid w:val="000C2377"/>
    <w:rsid w:val="000C354A"/>
    <w:rsid w:val="000D2C2B"/>
    <w:rsid w:val="000D6DC5"/>
    <w:rsid w:val="000D7B6A"/>
    <w:rsid w:val="000E69D0"/>
    <w:rsid w:val="000F0293"/>
    <w:rsid w:val="000F32CB"/>
    <w:rsid w:val="000F37B3"/>
    <w:rsid w:val="000F384D"/>
    <w:rsid w:val="000F4604"/>
    <w:rsid w:val="000F535B"/>
    <w:rsid w:val="00106831"/>
    <w:rsid w:val="00112D13"/>
    <w:rsid w:val="001156A8"/>
    <w:rsid w:val="00126417"/>
    <w:rsid w:val="001272BA"/>
    <w:rsid w:val="00127555"/>
    <w:rsid w:val="001401A0"/>
    <w:rsid w:val="00150F10"/>
    <w:rsid w:val="001513F2"/>
    <w:rsid w:val="00153DAD"/>
    <w:rsid w:val="00156F33"/>
    <w:rsid w:val="00161E89"/>
    <w:rsid w:val="0017594D"/>
    <w:rsid w:val="00176349"/>
    <w:rsid w:val="001806A3"/>
    <w:rsid w:val="00180843"/>
    <w:rsid w:val="00183A68"/>
    <w:rsid w:val="00184292"/>
    <w:rsid w:val="00186903"/>
    <w:rsid w:val="0019254C"/>
    <w:rsid w:val="00195BD0"/>
    <w:rsid w:val="001A3B59"/>
    <w:rsid w:val="001A6706"/>
    <w:rsid w:val="001B5DB5"/>
    <w:rsid w:val="001B7084"/>
    <w:rsid w:val="001C373F"/>
    <w:rsid w:val="001D4E76"/>
    <w:rsid w:val="001D6952"/>
    <w:rsid w:val="001D78CF"/>
    <w:rsid w:val="001E1862"/>
    <w:rsid w:val="001E26DC"/>
    <w:rsid w:val="001F0619"/>
    <w:rsid w:val="001F42C4"/>
    <w:rsid w:val="002006CC"/>
    <w:rsid w:val="00205E0D"/>
    <w:rsid w:val="002102A8"/>
    <w:rsid w:val="00212F36"/>
    <w:rsid w:val="00215ECB"/>
    <w:rsid w:val="00222BE1"/>
    <w:rsid w:val="00224F62"/>
    <w:rsid w:val="002264BC"/>
    <w:rsid w:val="00227959"/>
    <w:rsid w:val="00234E8F"/>
    <w:rsid w:val="00236291"/>
    <w:rsid w:val="00244754"/>
    <w:rsid w:val="00246B41"/>
    <w:rsid w:val="00246CB5"/>
    <w:rsid w:val="00256AD0"/>
    <w:rsid w:val="00273CEA"/>
    <w:rsid w:val="00274301"/>
    <w:rsid w:val="002834E9"/>
    <w:rsid w:val="0028B3DD"/>
    <w:rsid w:val="002965CA"/>
    <w:rsid w:val="002A269C"/>
    <w:rsid w:val="002A5852"/>
    <w:rsid w:val="002A7485"/>
    <w:rsid w:val="002B6B20"/>
    <w:rsid w:val="002C4FE7"/>
    <w:rsid w:val="002C7150"/>
    <w:rsid w:val="002D2251"/>
    <w:rsid w:val="002E1C31"/>
    <w:rsid w:val="002E60ED"/>
    <w:rsid w:val="002E7A2B"/>
    <w:rsid w:val="002F1B9B"/>
    <w:rsid w:val="00300A1C"/>
    <w:rsid w:val="003023BF"/>
    <w:rsid w:val="00302A33"/>
    <w:rsid w:val="003041BF"/>
    <w:rsid w:val="0030425C"/>
    <w:rsid w:val="003111E1"/>
    <w:rsid w:val="00317EED"/>
    <w:rsid w:val="00332EC2"/>
    <w:rsid w:val="00333419"/>
    <w:rsid w:val="0034144A"/>
    <w:rsid w:val="00345551"/>
    <w:rsid w:val="003479A8"/>
    <w:rsid w:val="00364CF1"/>
    <w:rsid w:val="00373904"/>
    <w:rsid w:val="00373A0A"/>
    <w:rsid w:val="00376849"/>
    <w:rsid w:val="00380239"/>
    <w:rsid w:val="0038066A"/>
    <w:rsid w:val="00382690"/>
    <w:rsid w:val="003945A0"/>
    <w:rsid w:val="00394F14"/>
    <w:rsid w:val="003978A8"/>
    <w:rsid w:val="003A1A39"/>
    <w:rsid w:val="003C06C4"/>
    <w:rsid w:val="003C1474"/>
    <w:rsid w:val="003C2B76"/>
    <w:rsid w:val="003C4DE3"/>
    <w:rsid w:val="003C4FB9"/>
    <w:rsid w:val="003C7F22"/>
    <w:rsid w:val="003E2450"/>
    <w:rsid w:val="003E29E0"/>
    <w:rsid w:val="003F007F"/>
    <w:rsid w:val="003F0FE5"/>
    <w:rsid w:val="003F13DC"/>
    <w:rsid w:val="003F25AE"/>
    <w:rsid w:val="003F3EDC"/>
    <w:rsid w:val="003F5920"/>
    <w:rsid w:val="003F5EAE"/>
    <w:rsid w:val="00400636"/>
    <w:rsid w:val="00406DF9"/>
    <w:rsid w:val="00410A5E"/>
    <w:rsid w:val="0041699E"/>
    <w:rsid w:val="00420EB1"/>
    <w:rsid w:val="004222A3"/>
    <w:rsid w:val="0042524B"/>
    <w:rsid w:val="004256C1"/>
    <w:rsid w:val="0043650E"/>
    <w:rsid w:val="00440BD0"/>
    <w:rsid w:val="00445626"/>
    <w:rsid w:val="0044668A"/>
    <w:rsid w:val="00464CBE"/>
    <w:rsid w:val="00465D8E"/>
    <w:rsid w:val="004709FB"/>
    <w:rsid w:val="00480D8A"/>
    <w:rsid w:val="00487854"/>
    <w:rsid w:val="00493917"/>
    <w:rsid w:val="00494916"/>
    <w:rsid w:val="00496BA4"/>
    <w:rsid w:val="004A4049"/>
    <w:rsid w:val="004B383B"/>
    <w:rsid w:val="004B6E58"/>
    <w:rsid w:val="004C1D73"/>
    <w:rsid w:val="004C1D8C"/>
    <w:rsid w:val="004C319C"/>
    <w:rsid w:val="004C62C9"/>
    <w:rsid w:val="004C787E"/>
    <w:rsid w:val="004E3D76"/>
    <w:rsid w:val="004E74AE"/>
    <w:rsid w:val="004F0E9E"/>
    <w:rsid w:val="004F25E8"/>
    <w:rsid w:val="004F394D"/>
    <w:rsid w:val="004F4013"/>
    <w:rsid w:val="00504EA1"/>
    <w:rsid w:val="005053AF"/>
    <w:rsid w:val="005059BD"/>
    <w:rsid w:val="0050735B"/>
    <w:rsid w:val="00515C8F"/>
    <w:rsid w:val="0052129C"/>
    <w:rsid w:val="0052303B"/>
    <w:rsid w:val="00523E02"/>
    <w:rsid w:val="00526E11"/>
    <w:rsid w:val="00532924"/>
    <w:rsid w:val="005353E7"/>
    <w:rsid w:val="005359F2"/>
    <w:rsid w:val="00536E2A"/>
    <w:rsid w:val="005370B4"/>
    <w:rsid w:val="0053786F"/>
    <w:rsid w:val="0054283C"/>
    <w:rsid w:val="00543663"/>
    <w:rsid w:val="005449E5"/>
    <w:rsid w:val="005509C5"/>
    <w:rsid w:val="00554D3C"/>
    <w:rsid w:val="0055649B"/>
    <w:rsid w:val="00564BDE"/>
    <w:rsid w:val="0057206A"/>
    <w:rsid w:val="0058045F"/>
    <w:rsid w:val="005818D6"/>
    <w:rsid w:val="00583EBC"/>
    <w:rsid w:val="00586704"/>
    <w:rsid w:val="0059531F"/>
    <w:rsid w:val="005A001C"/>
    <w:rsid w:val="005A7134"/>
    <w:rsid w:val="005B7244"/>
    <w:rsid w:val="005B7808"/>
    <w:rsid w:val="005D61F8"/>
    <w:rsid w:val="005D640A"/>
    <w:rsid w:val="005E7F19"/>
    <w:rsid w:val="005F01C8"/>
    <w:rsid w:val="005F055F"/>
    <w:rsid w:val="005F1EDC"/>
    <w:rsid w:val="005F2FF7"/>
    <w:rsid w:val="005F3B0E"/>
    <w:rsid w:val="00605A95"/>
    <w:rsid w:val="00605EDB"/>
    <w:rsid w:val="00617B80"/>
    <w:rsid w:val="00623166"/>
    <w:rsid w:val="00624833"/>
    <w:rsid w:val="006327AB"/>
    <w:rsid w:val="006327EB"/>
    <w:rsid w:val="00633A0B"/>
    <w:rsid w:val="006362D3"/>
    <w:rsid w:val="006408D6"/>
    <w:rsid w:val="0064127A"/>
    <w:rsid w:val="00641CE1"/>
    <w:rsid w:val="0064292E"/>
    <w:rsid w:val="00643C29"/>
    <w:rsid w:val="0064525F"/>
    <w:rsid w:val="00645BB0"/>
    <w:rsid w:val="006516F3"/>
    <w:rsid w:val="0066168E"/>
    <w:rsid w:val="00665D20"/>
    <w:rsid w:val="00675EDB"/>
    <w:rsid w:val="00676B41"/>
    <w:rsid w:val="006806FA"/>
    <w:rsid w:val="00682B7F"/>
    <w:rsid w:val="00683073"/>
    <w:rsid w:val="00694840"/>
    <w:rsid w:val="00696715"/>
    <w:rsid w:val="006A1E90"/>
    <w:rsid w:val="006A519B"/>
    <w:rsid w:val="006A7AE0"/>
    <w:rsid w:val="006B0ECF"/>
    <w:rsid w:val="006B1FC8"/>
    <w:rsid w:val="006B2C58"/>
    <w:rsid w:val="006B3546"/>
    <w:rsid w:val="006B7FD9"/>
    <w:rsid w:val="006D08C2"/>
    <w:rsid w:val="006D5733"/>
    <w:rsid w:val="006F188A"/>
    <w:rsid w:val="006F4009"/>
    <w:rsid w:val="006F7EF2"/>
    <w:rsid w:val="0070256D"/>
    <w:rsid w:val="00712BB3"/>
    <w:rsid w:val="0071482E"/>
    <w:rsid w:val="00721C0E"/>
    <w:rsid w:val="00721E5C"/>
    <w:rsid w:val="00721F54"/>
    <w:rsid w:val="00722D1E"/>
    <w:rsid w:val="00742117"/>
    <w:rsid w:val="007470A8"/>
    <w:rsid w:val="007475E1"/>
    <w:rsid w:val="0075288A"/>
    <w:rsid w:val="00754D1E"/>
    <w:rsid w:val="00755BC0"/>
    <w:rsid w:val="00767246"/>
    <w:rsid w:val="00767C2E"/>
    <w:rsid w:val="0076B0B4"/>
    <w:rsid w:val="007732CF"/>
    <w:rsid w:val="0077369A"/>
    <w:rsid w:val="00783DA0"/>
    <w:rsid w:val="00787957"/>
    <w:rsid w:val="00794AA4"/>
    <w:rsid w:val="00794FC1"/>
    <w:rsid w:val="00795971"/>
    <w:rsid w:val="007B3D92"/>
    <w:rsid w:val="007D143F"/>
    <w:rsid w:val="007D2EDB"/>
    <w:rsid w:val="007D4C04"/>
    <w:rsid w:val="007D6952"/>
    <w:rsid w:val="007D7B04"/>
    <w:rsid w:val="007E4A06"/>
    <w:rsid w:val="007E5DE8"/>
    <w:rsid w:val="007F18EC"/>
    <w:rsid w:val="007F1DDF"/>
    <w:rsid w:val="007F6EA3"/>
    <w:rsid w:val="007F7EEF"/>
    <w:rsid w:val="008011A4"/>
    <w:rsid w:val="008030CC"/>
    <w:rsid w:val="00804A84"/>
    <w:rsid w:val="00805DBB"/>
    <w:rsid w:val="008064EB"/>
    <w:rsid w:val="0080671E"/>
    <w:rsid w:val="008068B7"/>
    <w:rsid w:val="0081359F"/>
    <w:rsid w:val="008238A6"/>
    <w:rsid w:val="0082DBB5"/>
    <w:rsid w:val="00834CAF"/>
    <w:rsid w:val="00840053"/>
    <w:rsid w:val="00841B86"/>
    <w:rsid w:val="00843B33"/>
    <w:rsid w:val="008445C5"/>
    <w:rsid w:val="00845DED"/>
    <w:rsid w:val="00846AD6"/>
    <w:rsid w:val="00852F97"/>
    <w:rsid w:val="0085323F"/>
    <w:rsid w:val="00861456"/>
    <w:rsid w:val="00865A6E"/>
    <w:rsid w:val="00870E81"/>
    <w:rsid w:val="008712D7"/>
    <w:rsid w:val="008800A2"/>
    <w:rsid w:val="008801B6"/>
    <w:rsid w:val="0088068B"/>
    <w:rsid w:val="00882E97"/>
    <w:rsid w:val="00891218"/>
    <w:rsid w:val="00894408"/>
    <w:rsid w:val="00895F36"/>
    <w:rsid w:val="00897F7A"/>
    <w:rsid w:val="008A388A"/>
    <w:rsid w:val="008A3B17"/>
    <w:rsid w:val="008A43BA"/>
    <w:rsid w:val="008C414A"/>
    <w:rsid w:val="008C6A20"/>
    <w:rsid w:val="008C70AF"/>
    <w:rsid w:val="008D3BCB"/>
    <w:rsid w:val="008E06E8"/>
    <w:rsid w:val="008E2255"/>
    <w:rsid w:val="008E4E8A"/>
    <w:rsid w:val="008F5CD7"/>
    <w:rsid w:val="00903C97"/>
    <w:rsid w:val="00904908"/>
    <w:rsid w:val="0090563B"/>
    <w:rsid w:val="0091027B"/>
    <w:rsid w:val="00913D27"/>
    <w:rsid w:val="009351EC"/>
    <w:rsid w:val="00941F50"/>
    <w:rsid w:val="00945FF5"/>
    <w:rsid w:val="00956B63"/>
    <w:rsid w:val="009600D5"/>
    <w:rsid w:val="00973247"/>
    <w:rsid w:val="00974611"/>
    <w:rsid w:val="00976235"/>
    <w:rsid w:val="00981ED6"/>
    <w:rsid w:val="00990EA5"/>
    <w:rsid w:val="00994E55"/>
    <w:rsid w:val="0099505D"/>
    <w:rsid w:val="009A1827"/>
    <w:rsid w:val="009A5D9A"/>
    <w:rsid w:val="009C2748"/>
    <w:rsid w:val="009C4CA8"/>
    <w:rsid w:val="009C677C"/>
    <w:rsid w:val="009D4584"/>
    <w:rsid w:val="009D460F"/>
    <w:rsid w:val="009D5BBA"/>
    <w:rsid w:val="009D6500"/>
    <w:rsid w:val="009D7EE0"/>
    <w:rsid w:val="009E1D76"/>
    <w:rsid w:val="009F6098"/>
    <w:rsid w:val="009F6A2C"/>
    <w:rsid w:val="00A03243"/>
    <w:rsid w:val="00A03C6A"/>
    <w:rsid w:val="00A0620A"/>
    <w:rsid w:val="00A11830"/>
    <w:rsid w:val="00A2360A"/>
    <w:rsid w:val="00A31CFF"/>
    <w:rsid w:val="00A33CFB"/>
    <w:rsid w:val="00A352D3"/>
    <w:rsid w:val="00A3618A"/>
    <w:rsid w:val="00A3619B"/>
    <w:rsid w:val="00A37003"/>
    <w:rsid w:val="00A41452"/>
    <w:rsid w:val="00A41B89"/>
    <w:rsid w:val="00A42665"/>
    <w:rsid w:val="00A42CBA"/>
    <w:rsid w:val="00A460C5"/>
    <w:rsid w:val="00A50089"/>
    <w:rsid w:val="00A504F8"/>
    <w:rsid w:val="00A55763"/>
    <w:rsid w:val="00A665BD"/>
    <w:rsid w:val="00A721E0"/>
    <w:rsid w:val="00A741DC"/>
    <w:rsid w:val="00A7682B"/>
    <w:rsid w:val="00A77FF2"/>
    <w:rsid w:val="00A85E5D"/>
    <w:rsid w:val="00A91DB9"/>
    <w:rsid w:val="00A9456B"/>
    <w:rsid w:val="00AA092B"/>
    <w:rsid w:val="00AA292E"/>
    <w:rsid w:val="00AB7280"/>
    <w:rsid w:val="00AC1947"/>
    <w:rsid w:val="00AE09E6"/>
    <w:rsid w:val="00AE3B7F"/>
    <w:rsid w:val="00AE5FCF"/>
    <w:rsid w:val="00AF172C"/>
    <w:rsid w:val="00B0552A"/>
    <w:rsid w:val="00B07A6B"/>
    <w:rsid w:val="00B13B12"/>
    <w:rsid w:val="00B15D2F"/>
    <w:rsid w:val="00B31E4C"/>
    <w:rsid w:val="00B32FD4"/>
    <w:rsid w:val="00B3323F"/>
    <w:rsid w:val="00B36A52"/>
    <w:rsid w:val="00B37859"/>
    <w:rsid w:val="00B40C62"/>
    <w:rsid w:val="00B41BB1"/>
    <w:rsid w:val="00B41FA8"/>
    <w:rsid w:val="00B62478"/>
    <w:rsid w:val="00B63B60"/>
    <w:rsid w:val="00B650B1"/>
    <w:rsid w:val="00B70264"/>
    <w:rsid w:val="00B77EA5"/>
    <w:rsid w:val="00B817E7"/>
    <w:rsid w:val="00B81DB8"/>
    <w:rsid w:val="00B91822"/>
    <w:rsid w:val="00B92451"/>
    <w:rsid w:val="00B94488"/>
    <w:rsid w:val="00B94A1D"/>
    <w:rsid w:val="00B94FA6"/>
    <w:rsid w:val="00B95A0E"/>
    <w:rsid w:val="00B95C54"/>
    <w:rsid w:val="00B9A14E"/>
    <w:rsid w:val="00BA0957"/>
    <w:rsid w:val="00BA19B1"/>
    <w:rsid w:val="00BA3162"/>
    <w:rsid w:val="00BA62E0"/>
    <w:rsid w:val="00BA6B59"/>
    <w:rsid w:val="00BA71ED"/>
    <w:rsid w:val="00BB2FF0"/>
    <w:rsid w:val="00BB357C"/>
    <w:rsid w:val="00BB757F"/>
    <w:rsid w:val="00BC030A"/>
    <w:rsid w:val="00BC63E0"/>
    <w:rsid w:val="00BD3EE4"/>
    <w:rsid w:val="00BE27E1"/>
    <w:rsid w:val="00BE4C7D"/>
    <w:rsid w:val="00BE50A3"/>
    <w:rsid w:val="00BE6226"/>
    <w:rsid w:val="00BE6456"/>
    <w:rsid w:val="00BE6C62"/>
    <w:rsid w:val="00BF1793"/>
    <w:rsid w:val="00BF1911"/>
    <w:rsid w:val="00BF4309"/>
    <w:rsid w:val="00C07330"/>
    <w:rsid w:val="00C100FB"/>
    <w:rsid w:val="00C10DEB"/>
    <w:rsid w:val="00C235CA"/>
    <w:rsid w:val="00C26ECE"/>
    <w:rsid w:val="00C37C38"/>
    <w:rsid w:val="00C41FA1"/>
    <w:rsid w:val="00C528BB"/>
    <w:rsid w:val="00C53C8A"/>
    <w:rsid w:val="00C56925"/>
    <w:rsid w:val="00C65467"/>
    <w:rsid w:val="00C703DF"/>
    <w:rsid w:val="00C7679C"/>
    <w:rsid w:val="00C80F99"/>
    <w:rsid w:val="00C843C1"/>
    <w:rsid w:val="00C84C33"/>
    <w:rsid w:val="00C85758"/>
    <w:rsid w:val="00C92B09"/>
    <w:rsid w:val="00C95BAE"/>
    <w:rsid w:val="00CA249A"/>
    <w:rsid w:val="00CA449B"/>
    <w:rsid w:val="00CA637A"/>
    <w:rsid w:val="00CD5B60"/>
    <w:rsid w:val="00CD6999"/>
    <w:rsid w:val="00CF3807"/>
    <w:rsid w:val="00CF6153"/>
    <w:rsid w:val="00D00A5F"/>
    <w:rsid w:val="00D07FAA"/>
    <w:rsid w:val="00D129D1"/>
    <w:rsid w:val="00D30DF1"/>
    <w:rsid w:val="00D33868"/>
    <w:rsid w:val="00D36C08"/>
    <w:rsid w:val="00D43C9E"/>
    <w:rsid w:val="00D478E8"/>
    <w:rsid w:val="00D53604"/>
    <w:rsid w:val="00D536BF"/>
    <w:rsid w:val="00D53C91"/>
    <w:rsid w:val="00D57E23"/>
    <w:rsid w:val="00D65F48"/>
    <w:rsid w:val="00D72967"/>
    <w:rsid w:val="00D80F20"/>
    <w:rsid w:val="00D834F9"/>
    <w:rsid w:val="00D83853"/>
    <w:rsid w:val="00D958C3"/>
    <w:rsid w:val="00D97ADF"/>
    <w:rsid w:val="00DA04DF"/>
    <w:rsid w:val="00DA0F1B"/>
    <w:rsid w:val="00DB6523"/>
    <w:rsid w:val="00DC43B6"/>
    <w:rsid w:val="00DD1455"/>
    <w:rsid w:val="00DD7365"/>
    <w:rsid w:val="00DE28FB"/>
    <w:rsid w:val="00DE4B26"/>
    <w:rsid w:val="00DF127E"/>
    <w:rsid w:val="00E051B6"/>
    <w:rsid w:val="00E10CCA"/>
    <w:rsid w:val="00E120B8"/>
    <w:rsid w:val="00E212C4"/>
    <w:rsid w:val="00E3039B"/>
    <w:rsid w:val="00E33277"/>
    <w:rsid w:val="00E37FDF"/>
    <w:rsid w:val="00E6016C"/>
    <w:rsid w:val="00E62978"/>
    <w:rsid w:val="00E705A4"/>
    <w:rsid w:val="00E7103C"/>
    <w:rsid w:val="00E73582"/>
    <w:rsid w:val="00E769AC"/>
    <w:rsid w:val="00E77DD0"/>
    <w:rsid w:val="00E80D3D"/>
    <w:rsid w:val="00E82237"/>
    <w:rsid w:val="00E8250A"/>
    <w:rsid w:val="00E92728"/>
    <w:rsid w:val="00E92AFE"/>
    <w:rsid w:val="00E9627A"/>
    <w:rsid w:val="00EA4CE2"/>
    <w:rsid w:val="00EA657A"/>
    <w:rsid w:val="00EC2185"/>
    <w:rsid w:val="00EC7E9F"/>
    <w:rsid w:val="00ED5A32"/>
    <w:rsid w:val="00ED5BC2"/>
    <w:rsid w:val="00ED5C5D"/>
    <w:rsid w:val="00EE3805"/>
    <w:rsid w:val="00EF3F63"/>
    <w:rsid w:val="00EF460E"/>
    <w:rsid w:val="00F11964"/>
    <w:rsid w:val="00F241A5"/>
    <w:rsid w:val="00F24F04"/>
    <w:rsid w:val="00F37E65"/>
    <w:rsid w:val="00F44C2C"/>
    <w:rsid w:val="00F57714"/>
    <w:rsid w:val="00F646BF"/>
    <w:rsid w:val="00F64C73"/>
    <w:rsid w:val="00F6686F"/>
    <w:rsid w:val="00F77064"/>
    <w:rsid w:val="00F770AC"/>
    <w:rsid w:val="00F90C4F"/>
    <w:rsid w:val="00F964DD"/>
    <w:rsid w:val="00F97085"/>
    <w:rsid w:val="00FC1C5D"/>
    <w:rsid w:val="00FD0098"/>
    <w:rsid w:val="00FD1728"/>
    <w:rsid w:val="00FD32E6"/>
    <w:rsid w:val="00FD5CBE"/>
    <w:rsid w:val="00FD7398"/>
    <w:rsid w:val="00FD76FB"/>
    <w:rsid w:val="00FF51CA"/>
    <w:rsid w:val="01377E63"/>
    <w:rsid w:val="014D3730"/>
    <w:rsid w:val="0177856D"/>
    <w:rsid w:val="0191AF33"/>
    <w:rsid w:val="01A53E61"/>
    <w:rsid w:val="01AC00C1"/>
    <w:rsid w:val="01D4B683"/>
    <w:rsid w:val="02228452"/>
    <w:rsid w:val="022E46CB"/>
    <w:rsid w:val="02310ED3"/>
    <w:rsid w:val="02E133DA"/>
    <w:rsid w:val="02EA0C3F"/>
    <w:rsid w:val="0324BC25"/>
    <w:rsid w:val="042BB0B9"/>
    <w:rsid w:val="04437B11"/>
    <w:rsid w:val="0447586F"/>
    <w:rsid w:val="0486282C"/>
    <w:rsid w:val="04D0C5BD"/>
    <w:rsid w:val="04D63545"/>
    <w:rsid w:val="04E094B5"/>
    <w:rsid w:val="051CF8FB"/>
    <w:rsid w:val="05973867"/>
    <w:rsid w:val="059E4AD8"/>
    <w:rsid w:val="05A77B39"/>
    <w:rsid w:val="05CD7F89"/>
    <w:rsid w:val="05E2D175"/>
    <w:rsid w:val="05FB5F37"/>
    <w:rsid w:val="05FD2420"/>
    <w:rsid w:val="05FE1789"/>
    <w:rsid w:val="05FF0E82"/>
    <w:rsid w:val="0600E7A7"/>
    <w:rsid w:val="06125261"/>
    <w:rsid w:val="061BD246"/>
    <w:rsid w:val="06E7FA10"/>
    <w:rsid w:val="06EDE517"/>
    <w:rsid w:val="07479CBA"/>
    <w:rsid w:val="075B7CA0"/>
    <w:rsid w:val="07D55667"/>
    <w:rsid w:val="0813ED6B"/>
    <w:rsid w:val="085D0A17"/>
    <w:rsid w:val="08614F8F"/>
    <w:rsid w:val="08739BEC"/>
    <w:rsid w:val="087D1EA9"/>
    <w:rsid w:val="08F37039"/>
    <w:rsid w:val="0908D5A8"/>
    <w:rsid w:val="091ACE61"/>
    <w:rsid w:val="094CAB57"/>
    <w:rsid w:val="0980854F"/>
    <w:rsid w:val="099CFD8D"/>
    <w:rsid w:val="09A349E8"/>
    <w:rsid w:val="09AD46DC"/>
    <w:rsid w:val="09FCEB49"/>
    <w:rsid w:val="0A6DC72F"/>
    <w:rsid w:val="0AA3B13A"/>
    <w:rsid w:val="0AC8BE29"/>
    <w:rsid w:val="0AE0BA34"/>
    <w:rsid w:val="0AE77EC5"/>
    <w:rsid w:val="0B6D7301"/>
    <w:rsid w:val="0BA7E0F5"/>
    <w:rsid w:val="0BF2E275"/>
    <w:rsid w:val="0C0820C3"/>
    <w:rsid w:val="0C371961"/>
    <w:rsid w:val="0C50041A"/>
    <w:rsid w:val="0C66ED6A"/>
    <w:rsid w:val="0CB03692"/>
    <w:rsid w:val="0CC31D2D"/>
    <w:rsid w:val="0D4DD3F5"/>
    <w:rsid w:val="0DB80608"/>
    <w:rsid w:val="0DDBDDE7"/>
    <w:rsid w:val="0DE3D464"/>
    <w:rsid w:val="0DF1E216"/>
    <w:rsid w:val="0E05ADCB"/>
    <w:rsid w:val="0E39CC74"/>
    <w:rsid w:val="0E4E9607"/>
    <w:rsid w:val="0E4F6AA8"/>
    <w:rsid w:val="0E5409B5"/>
    <w:rsid w:val="0E73A705"/>
    <w:rsid w:val="0E930C64"/>
    <w:rsid w:val="0EBC1B83"/>
    <w:rsid w:val="0F105B73"/>
    <w:rsid w:val="0FA42150"/>
    <w:rsid w:val="0FA7D2A8"/>
    <w:rsid w:val="0FAE58C0"/>
    <w:rsid w:val="0FC63751"/>
    <w:rsid w:val="0FE8E216"/>
    <w:rsid w:val="10102FCB"/>
    <w:rsid w:val="10D0BA9E"/>
    <w:rsid w:val="10E09A29"/>
    <w:rsid w:val="10EB4C62"/>
    <w:rsid w:val="10EB4CF1"/>
    <w:rsid w:val="10F6C8E6"/>
    <w:rsid w:val="10FB299C"/>
    <w:rsid w:val="11468A18"/>
    <w:rsid w:val="1149D2AD"/>
    <w:rsid w:val="115217C5"/>
    <w:rsid w:val="11642328"/>
    <w:rsid w:val="116F888D"/>
    <w:rsid w:val="11AA2BD6"/>
    <w:rsid w:val="11E0FC18"/>
    <w:rsid w:val="11F0707E"/>
    <w:rsid w:val="1203C610"/>
    <w:rsid w:val="121ED158"/>
    <w:rsid w:val="12AA0423"/>
    <w:rsid w:val="12DBA198"/>
    <w:rsid w:val="12DF279E"/>
    <w:rsid w:val="12E0587C"/>
    <w:rsid w:val="13077972"/>
    <w:rsid w:val="132DD2FE"/>
    <w:rsid w:val="13878094"/>
    <w:rsid w:val="13BE535F"/>
    <w:rsid w:val="13E5E23C"/>
    <w:rsid w:val="14199FAB"/>
    <w:rsid w:val="141E7EF1"/>
    <w:rsid w:val="14757349"/>
    <w:rsid w:val="148B6196"/>
    <w:rsid w:val="1491CC68"/>
    <w:rsid w:val="14AA4336"/>
    <w:rsid w:val="14AE0A60"/>
    <w:rsid w:val="1532E281"/>
    <w:rsid w:val="155D2F36"/>
    <w:rsid w:val="15669A66"/>
    <w:rsid w:val="15965605"/>
    <w:rsid w:val="15AB7FAE"/>
    <w:rsid w:val="15BAC9DD"/>
    <w:rsid w:val="15F6B12C"/>
    <w:rsid w:val="15FA4FEB"/>
    <w:rsid w:val="15FF417F"/>
    <w:rsid w:val="161A2328"/>
    <w:rsid w:val="162B5990"/>
    <w:rsid w:val="16349CBF"/>
    <w:rsid w:val="16580285"/>
    <w:rsid w:val="165E84B0"/>
    <w:rsid w:val="168840EF"/>
    <w:rsid w:val="16B67B0D"/>
    <w:rsid w:val="16D0EB50"/>
    <w:rsid w:val="16E033A6"/>
    <w:rsid w:val="16FF86B6"/>
    <w:rsid w:val="170D411D"/>
    <w:rsid w:val="174CEA8C"/>
    <w:rsid w:val="17F843B5"/>
    <w:rsid w:val="180BEFE4"/>
    <w:rsid w:val="1810A4EC"/>
    <w:rsid w:val="18342792"/>
    <w:rsid w:val="1869EB4D"/>
    <w:rsid w:val="18A219F1"/>
    <w:rsid w:val="18CB64CC"/>
    <w:rsid w:val="18FF0E0C"/>
    <w:rsid w:val="191F327A"/>
    <w:rsid w:val="19419E44"/>
    <w:rsid w:val="19477FCA"/>
    <w:rsid w:val="19565B6A"/>
    <w:rsid w:val="19826425"/>
    <w:rsid w:val="19DDE19F"/>
    <w:rsid w:val="19F65A17"/>
    <w:rsid w:val="19F77724"/>
    <w:rsid w:val="19F9273E"/>
    <w:rsid w:val="19FDEB1E"/>
    <w:rsid w:val="1A24F540"/>
    <w:rsid w:val="1A35EBEA"/>
    <w:rsid w:val="1A6D3913"/>
    <w:rsid w:val="1B270EC1"/>
    <w:rsid w:val="1B48FBC6"/>
    <w:rsid w:val="1B5799ED"/>
    <w:rsid w:val="1B77ECFC"/>
    <w:rsid w:val="1B7938BC"/>
    <w:rsid w:val="1B8CA148"/>
    <w:rsid w:val="1BA7CBC5"/>
    <w:rsid w:val="1C0AE7EF"/>
    <w:rsid w:val="1C11148D"/>
    <w:rsid w:val="1C47C98F"/>
    <w:rsid w:val="1C76875A"/>
    <w:rsid w:val="1C8285E4"/>
    <w:rsid w:val="1D4E9495"/>
    <w:rsid w:val="1D692D56"/>
    <w:rsid w:val="1D6BFDE0"/>
    <w:rsid w:val="1DAE1123"/>
    <w:rsid w:val="1DD25D0F"/>
    <w:rsid w:val="1DFD752B"/>
    <w:rsid w:val="1E04E46C"/>
    <w:rsid w:val="1E29D302"/>
    <w:rsid w:val="1E484CC4"/>
    <w:rsid w:val="1E4DDFC2"/>
    <w:rsid w:val="1E6471AA"/>
    <w:rsid w:val="1E8C74CC"/>
    <w:rsid w:val="1E9F3869"/>
    <w:rsid w:val="1E9FFEFF"/>
    <w:rsid w:val="1EA6E89E"/>
    <w:rsid w:val="1EA79012"/>
    <w:rsid w:val="1EBA02F5"/>
    <w:rsid w:val="1ECBC12D"/>
    <w:rsid w:val="1ECEC819"/>
    <w:rsid w:val="1F121114"/>
    <w:rsid w:val="1FB6F2DE"/>
    <w:rsid w:val="1FD2592C"/>
    <w:rsid w:val="200735EC"/>
    <w:rsid w:val="205C6524"/>
    <w:rsid w:val="2082A1AB"/>
    <w:rsid w:val="20B44ADB"/>
    <w:rsid w:val="20C68E86"/>
    <w:rsid w:val="20CAC237"/>
    <w:rsid w:val="20DCDCF6"/>
    <w:rsid w:val="20E1ABD4"/>
    <w:rsid w:val="20E8D55E"/>
    <w:rsid w:val="21192C52"/>
    <w:rsid w:val="2127A7CD"/>
    <w:rsid w:val="215A41F1"/>
    <w:rsid w:val="218894A0"/>
    <w:rsid w:val="218CD11A"/>
    <w:rsid w:val="219063B2"/>
    <w:rsid w:val="21AE8DA6"/>
    <w:rsid w:val="227F7D56"/>
    <w:rsid w:val="22829631"/>
    <w:rsid w:val="228E516D"/>
    <w:rsid w:val="22A5A01C"/>
    <w:rsid w:val="231332E4"/>
    <w:rsid w:val="231687CA"/>
    <w:rsid w:val="232700A6"/>
    <w:rsid w:val="23616AC6"/>
    <w:rsid w:val="239ECAA0"/>
    <w:rsid w:val="23B73D12"/>
    <w:rsid w:val="243D021D"/>
    <w:rsid w:val="2454B498"/>
    <w:rsid w:val="247C051A"/>
    <w:rsid w:val="24E2060A"/>
    <w:rsid w:val="250309F2"/>
    <w:rsid w:val="2513570E"/>
    <w:rsid w:val="25212273"/>
    <w:rsid w:val="253B7B85"/>
    <w:rsid w:val="253EA239"/>
    <w:rsid w:val="2554EE6F"/>
    <w:rsid w:val="256B648F"/>
    <w:rsid w:val="25732642"/>
    <w:rsid w:val="25943B03"/>
    <w:rsid w:val="25BF20B9"/>
    <w:rsid w:val="25C20B9C"/>
    <w:rsid w:val="25D5CA3F"/>
    <w:rsid w:val="261EE4B2"/>
    <w:rsid w:val="2639FA4D"/>
    <w:rsid w:val="26761338"/>
    <w:rsid w:val="26865DE9"/>
    <w:rsid w:val="26B8F184"/>
    <w:rsid w:val="26D1043A"/>
    <w:rsid w:val="26F15730"/>
    <w:rsid w:val="271B2759"/>
    <w:rsid w:val="27280BAD"/>
    <w:rsid w:val="277822FD"/>
    <w:rsid w:val="277EEDA9"/>
    <w:rsid w:val="2791A13E"/>
    <w:rsid w:val="27A03769"/>
    <w:rsid w:val="27CAE3B0"/>
    <w:rsid w:val="284BCA62"/>
    <w:rsid w:val="285D4381"/>
    <w:rsid w:val="287326DE"/>
    <w:rsid w:val="290FFB64"/>
    <w:rsid w:val="29507387"/>
    <w:rsid w:val="29753BB8"/>
    <w:rsid w:val="2975E7FF"/>
    <w:rsid w:val="2998332E"/>
    <w:rsid w:val="299A4F61"/>
    <w:rsid w:val="29ABBD6B"/>
    <w:rsid w:val="29FD2C77"/>
    <w:rsid w:val="2A11FFEF"/>
    <w:rsid w:val="2A66E5F2"/>
    <w:rsid w:val="2A8B87C1"/>
    <w:rsid w:val="2AAC8B33"/>
    <w:rsid w:val="2AF55D80"/>
    <w:rsid w:val="2AF793DF"/>
    <w:rsid w:val="2B283B3C"/>
    <w:rsid w:val="2B379ACD"/>
    <w:rsid w:val="2B392FDB"/>
    <w:rsid w:val="2B45B9A8"/>
    <w:rsid w:val="2BA40403"/>
    <w:rsid w:val="2BAB23E2"/>
    <w:rsid w:val="2BBB8828"/>
    <w:rsid w:val="2BEE61DF"/>
    <w:rsid w:val="2C2B2907"/>
    <w:rsid w:val="2C306B18"/>
    <w:rsid w:val="2C6972AE"/>
    <w:rsid w:val="2D7106D8"/>
    <w:rsid w:val="2DAEE5DB"/>
    <w:rsid w:val="2E018319"/>
    <w:rsid w:val="2E164606"/>
    <w:rsid w:val="2ED9BC42"/>
    <w:rsid w:val="2EFA05F2"/>
    <w:rsid w:val="2F2BC66F"/>
    <w:rsid w:val="2F50A8D3"/>
    <w:rsid w:val="2F7D9B80"/>
    <w:rsid w:val="2F942F14"/>
    <w:rsid w:val="2FAFCCF7"/>
    <w:rsid w:val="2FC533BC"/>
    <w:rsid w:val="2FCC16F0"/>
    <w:rsid w:val="300F0DB4"/>
    <w:rsid w:val="304E31E1"/>
    <w:rsid w:val="30530464"/>
    <w:rsid w:val="306B7837"/>
    <w:rsid w:val="3087ACDC"/>
    <w:rsid w:val="30A97C77"/>
    <w:rsid w:val="31049D09"/>
    <w:rsid w:val="311C7BCC"/>
    <w:rsid w:val="314BD83F"/>
    <w:rsid w:val="314E5DCF"/>
    <w:rsid w:val="32D81970"/>
    <w:rsid w:val="330267C8"/>
    <w:rsid w:val="330B4704"/>
    <w:rsid w:val="3342DDBD"/>
    <w:rsid w:val="33433070"/>
    <w:rsid w:val="34029875"/>
    <w:rsid w:val="34A049D7"/>
    <w:rsid w:val="34D197BA"/>
    <w:rsid w:val="34F4E57E"/>
    <w:rsid w:val="34F5BC07"/>
    <w:rsid w:val="34FDDEEE"/>
    <w:rsid w:val="35121BE0"/>
    <w:rsid w:val="3586B932"/>
    <w:rsid w:val="3596CF9F"/>
    <w:rsid w:val="359FE380"/>
    <w:rsid w:val="35C62176"/>
    <w:rsid w:val="35D5A691"/>
    <w:rsid w:val="35F9867C"/>
    <w:rsid w:val="36865247"/>
    <w:rsid w:val="36B31569"/>
    <w:rsid w:val="36DA8D65"/>
    <w:rsid w:val="3755DE8D"/>
    <w:rsid w:val="377B2B77"/>
    <w:rsid w:val="378A3C23"/>
    <w:rsid w:val="378FD9E8"/>
    <w:rsid w:val="37FEBC84"/>
    <w:rsid w:val="382F6393"/>
    <w:rsid w:val="385B1D87"/>
    <w:rsid w:val="38DB7DC5"/>
    <w:rsid w:val="393567AD"/>
    <w:rsid w:val="393676E8"/>
    <w:rsid w:val="394B286F"/>
    <w:rsid w:val="394BEE7C"/>
    <w:rsid w:val="394C8FDC"/>
    <w:rsid w:val="399C88A2"/>
    <w:rsid w:val="399C9BF6"/>
    <w:rsid w:val="39D0779F"/>
    <w:rsid w:val="39DE2FB9"/>
    <w:rsid w:val="39F91436"/>
    <w:rsid w:val="3A388F9E"/>
    <w:rsid w:val="3A449024"/>
    <w:rsid w:val="3A85769C"/>
    <w:rsid w:val="3A871481"/>
    <w:rsid w:val="3A9339D7"/>
    <w:rsid w:val="3A96ED16"/>
    <w:rsid w:val="3AA30B48"/>
    <w:rsid w:val="3AABAC89"/>
    <w:rsid w:val="3B0AEEBB"/>
    <w:rsid w:val="3B15D5B3"/>
    <w:rsid w:val="3B4BFD89"/>
    <w:rsid w:val="3B4CB080"/>
    <w:rsid w:val="3B76B427"/>
    <w:rsid w:val="3BBC5FA3"/>
    <w:rsid w:val="3BC1BF9C"/>
    <w:rsid w:val="3BC21AFE"/>
    <w:rsid w:val="3BE5235A"/>
    <w:rsid w:val="3BF72EF7"/>
    <w:rsid w:val="3BF74E61"/>
    <w:rsid w:val="3C0D8C1E"/>
    <w:rsid w:val="3C1300E3"/>
    <w:rsid w:val="3C98677C"/>
    <w:rsid w:val="3CE2D3DC"/>
    <w:rsid w:val="3CFCD677"/>
    <w:rsid w:val="3D0A97B2"/>
    <w:rsid w:val="3D2276F3"/>
    <w:rsid w:val="3D347FD6"/>
    <w:rsid w:val="3D41C490"/>
    <w:rsid w:val="3D467650"/>
    <w:rsid w:val="3DC27CF7"/>
    <w:rsid w:val="3DD42476"/>
    <w:rsid w:val="3DD6AC89"/>
    <w:rsid w:val="3DD9A54C"/>
    <w:rsid w:val="3E07E97A"/>
    <w:rsid w:val="3E10B7CC"/>
    <w:rsid w:val="3E57AE14"/>
    <w:rsid w:val="3E794750"/>
    <w:rsid w:val="3E81020B"/>
    <w:rsid w:val="3F087696"/>
    <w:rsid w:val="3F145982"/>
    <w:rsid w:val="3F1715D6"/>
    <w:rsid w:val="3F615A47"/>
    <w:rsid w:val="3F7CF9A6"/>
    <w:rsid w:val="3FB43A4B"/>
    <w:rsid w:val="3FD570DB"/>
    <w:rsid w:val="3FDD0BCE"/>
    <w:rsid w:val="4073E693"/>
    <w:rsid w:val="407D440F"/>
    <w:rsid w:val="4097105E"/>
    <w:rsid w:val="40DD6452"/>
    <w:rsid w:val="41265E35"/>
    <w:rsid w:val="4141B351"/>
    <w:rsid w:val="4167AB22"/>
    <w:rsid w:val="41734131"/>
    <w:rsid w:val="419629AE"/>
    <w:rsid w:val="41994336"/>
    <w:rsid w:val="41CAAADE"/>
    <w:rsid w:val="41DDB265"/>
    <w:rsid w:val="41EADE93"/>
    <w:rsid w:val="42277AEA"/>
    <w:rsid w:val="4233D920"/>
    <w:rsid w:val="425F798A"/>
    <w:rsid w:val="42643382"/>
    <w:rsid w:val="4269FA33"/>
    <w:rsid w:val="42A98EFA"/>
    <w:rsid w:val="42E9E602"/>
    <w:rsid w:val="43486154"/>
    <w:rsid w:val="43515BD1"/>
    <w:rsid w:val="435C6EF2"/>
    <w:rsid w:val="438AF179"/>
    <w:rsid w:val="4391FF10"/>
    <w:rsid w:val="43BA7D7E"/>
    <w:rsid w:val="43C5C414"/>
    <w:rsid w:val="43F84313"/>
    <w:rsid w:val="44023135"/>
    <w:rsid w:val="4428E0E8"/>
    <w:rsid w:val="444184AE"/>
    <w:rsid w:val="445FFBEE"/>
    <w:rsid w:val="448CB336"/>
    <w:rsid w:val="448E0431"/>
    <w:rsid w:val="44B91111"/>
    <w:rsid w:val="44DF86C1"/>
    <w:rsid w:val="44FB0D68"/>
    <w:rsid w:val="450427B0"/>
    <w:rsid w:val="455D24AB"/>
    <w:rsid w:val="4588F358"/>
    <w:rsid w:val="4589192A"/>
    <w:rsid w:val="4615D0AB"/>
    <w:rsid w:val="46C98C8F"/>
    <w:rsid w:val="46FA3565"/>
    <w:rsid w:val="46FAB535"/>
    <w:rsid w:val="4717746E"/>
    <w:rsid w:val="4732B39A"/>
    <w:rsid w:val="47434613"/>
    <w:rsid w:val="476D8F8D"/>
    <w:rsid w:val="476F01FE"/>
    <w:rsid w:val="477974A9"/>
    <w:rsid w:val="47AD4068"/>
    <w:rsid w:val="47B68DFE"/>
    <w:rsid w:val="47C2DF8A"/>
    <w:rsid w:val="47C92878"/>
    <w:rsid w:val="47EC65DF"/>
    <w:rsid w:val="480D3FF8"/>
    <w:rsid w:val="483C8F9C"/>
    <w:rsid w:val="48734728"/>
    <w:rsid w:val="48DA4719"/>
    <w:rsid w:val="4908956B"/>
    <w:rsid w:val="49257135"/>
    <w:rsid w:val="492BC272"/>
    <w:rsid w:val="499C2B1D"/>
    <w:rsid w:val="499E9BDB"/>
    <w:rsid w:val="4A1824EC"/>
    <w:rsid w:val="4A1F601B"/>
    <w:rsid w:val="4A3536BF"/>
    <w:rsid w:val="4A403DE9"/>
    <w:rsid w:val="4A95BC68"/>
    <w:rsid w:val="4ACB485F"/>
    <w:rsid w:val="4B1DD31D"/>
    <w:rsid w:val="4B1E7F1D"/>
    <w:rsid w:val="4B2FF975"/>
    <w:rsid w:val="4B32E4DC"/>
    <w:rsid w:val="4B6425C1"/>
    <w:rsid w:val="4B75039D"/>
    <w:rsid w:val="4B79FC6B"/>
    <w:rsid w:val="4B9C369E"/>
    <w:rsid w:val="4BD11CEE"/>
    <w:rsid w:val="4BD8653C"/>
    <w:rsid w:val="4C369331"/>
    <w:rsid w:val="4C388B63"/>
    <w:rsid w:val="4C40B7F1"/>
    <w:rsid w:val="4C4302C0"/>
    <w:rsid w:val="4C890AEF"/>
    <w:rsid w:val="4D262DAE"/>
    <w:rsid w:val="4D4ECE17"/>
    <w:rsid w:val="4D7BFF42"/>
    <w:rsid w:val="4D8C76ED"/>
    <w:rsid w:val="4D9BDF6F"/>
    <w:rsid w:val="4DBD15E5"/>
    <w:rsid w:val="4DBE87E3"/>
    <w:rsid w:val="4E6E111E"/>
    <w:rsid w:val="4EB74636"/>
    <w:rsid w:val="4EC11D48"/>
    <w:rsid w:val="4ED27441"/>
    <w:rsid w:val="4EF7BE60"/>
    <w:rsid w:val="4F0C3F33"/>
    <w:rsid w:val="4F184450"/>
    <w:rsid w:val="4F1D8F75"/>
    <w:rsid w:val="4F39CE31"/>
    <w:rsid w:val="4F3E2EDD"/>
    <w:rsid w:val="4F6D36B2"/>
    <w:rsid w:val="4F702DF6"/>
    <w:rsid w:val="50689C6F"/>
    <w:rsid w:val="5075E74C"/>
    <w:rsid w:val="51165A1F"/>
    <w:rsid w:val="5179FC44"/>
    <w:rsid w:val="51810E0A"/>
    <w:rsid w:val="51BE2A45"/>
    <w:rsid w:val="51C99E96"/>
    <w:rsid w:val="51CFB878"/>
    <w:rsid w:val="5265A918"/>
    <w:rsid w:val="52B9D163"/>
    <w:rsid w:val="52BC4A41"/>
    <w:rsid w:val="52C42010"/>
    <w:rsid w:val="52CEC693"/>
    <w:rsid w:val="52DC9122"/>
    <w:rsid w:val="531D29DD"/>
    <w:rsid w:val="53637887"/>
    <w:rsid w:val="537B8324"/>
    <w:rsid w:val="53B0E129"/>
    <w:rsid w:val="53D417F6"/>
    <w:rsid w:val="53DA1399"/>
    <w:rsid w:val="53E52A0A"/>
    <w:rsid w:val="53FAB976"/>
    <w:rsid w:val="541915C3"/>
    <w:rsid w:val="544424CA"/>
    <w:rsid w:val="545DB909"/>
    <w:rsid w:val="54C58549"/>
    <w:rsid w:val="54E166BE"/>
    <w:rsid w:val="55027406"/>
    <w:rsid w:val="5516F615"/>
    <w:rsid w:val="556D402C"/>
    <w:rsid w:val="5621A6E2"/>
    <w:rsid w:val="56221676"/>
    <w:rsid w:val="562EFCE5"/>
    <w:rsid w:val="563BC3E7"/>
    <w:rsid w:val="56666FE9"/>
    <w:rsid w:val="56BC5FB6"/>
    <w:rsid w:val="571E58CC"/>
    <w:rsid w:val="57609AD1"/>
    <w:rsid w:val="57656B61"/>
    <w:rsid w:val="577D28A5"/>
    <w:rsid w:val="57FB9734"/>
    <w:rsid w:val="580E665B"/>
    <w:rsid w:val="5824AB1B"/>
    <w:rsid w:val="582BA3CE"/>
    <w:rsid w:val="58A0AED1"/>
    <w:rsid w:val="58B0D48D"/>
    <w:rsid w:val="58F000C6"/>
    <w:rsid w:val="58F4C9AF"/>
    <w:rsid w:val="5925CBB1"/>
    <w:rsid w:val="5933FDB0"/>
    <w:rsid w:val="59462192"/>
    <w:rsid w:val="59576EC7"/>
    <w:rsid w:val="59775A22"/>
    <w:rsid w:val="59C2A8DF"/>
    <w:rsid w:val="59D993A5"/>
    <w:rsid w:val="5A0CB0CF"/>
    <w:rsid w:val="5A5AD20C"/>
    <w:rsid w:val="5A5C83F7"/>
    <w:rsid w:val="5A6E1312"/>
    <w:rsid w:val="5A7F4014"/>
    <w:rsid w:val="5A8BE717"/>
    <w:rsid w:val="5AFA3C0C"/>
    <w:rsid w:val="5B15DCB7"/>
    <w:rsid w:val="5B5ED7A1"/>
    <w:rsid w:val="5B6EFC2E"/>
    <w:rsid w:val="5BEBEC4F"/>
    <w:rsid w:val="5BF3B541"/>
    <w:rsid w:val="5BFFB164"/>
    <w:rsid w:val="5C1EDA82"/>
    <w:rsid w:val="5C5A19C8"/>
    <w:rsid w:val="5C5C1241"/>
    <w:rsid w:val="5C5E34C2"/>
    <w:rsid w:val="5C6268F4"/>
    <w:rsid w:val="5CA905DB"/>
    <w:rsid w:val="5CC701EC"/>
    <w:rsid w:val="5CF790B6"/>
    <w:rsid w:val="5D115940"/>
    <w:rsid w:val="5D271FBD"/>
    <w:rsid w:val="5D478A64"/>
    <w:rsid w:val="5D5E91BC"/>
    <w:rsid w:val="5D739886"/>
    <w:rsid w:val="5D959BE1"/>
    <w:rsid w:val="5D98378E"/>
    <w:rsid w:val="5D9E3F52"/>
    <w:rsid w:val="5DA50BE1"/>
    <w:rsid w:val="5DB4C3C7"/>
    <w:rsid w:val="5DBF5D75"/>
    <w:rsid w:val="5DF1E8DF"/>
    <w:rsid w:val="5DFACB0B"/>
    <w:rsid w:val="5E186F71"/>
    <w:rsid w:val="5E915186"/>
    <w:rsid w:val="5E9698D9"/>
    <w:rsid w:val="5EE39ED1"/>
    <w:rsid w:val="5F18E3D3"/>
    <w:rsid w:val="5F199D92"/>
    <w:rsid w:val="5F217E28"/>
    <w:rsid w:val="5F7DE0E5"/>
    <w:rsid w:val="5FA91719"/>
    <w:rsid w:val="5FE0B5E4"/>
    <w:rsid w:val="5FE36A74"/>
    <w:rsid w:val="5FE9E4EB"/>
    <w:rsid w:val="602FAE94"/>
    <w:rsid w:val="60B78397"/>
    <w:rsid w:val="60E39EFC"/>
    <w:rsid w:val="60EDE6B8"/>
    <w:rsid w:val="611969E9"/>
    <w:rsid w:val="61497122"/>
    <w:rsid w:val="618DD10B"/>
    <w:rsid w:val="6197E9FA"/>
    <w:rsid w:val="61BCDE57"/>
    <w:rsid w:val="61E9A33E"/>
    <w:rsid w:val="622A0245"/>
    <w:rsid w:val="62391AFA"/>
    <w:rsid w:val="6239250C"/>
    <w:rsid w:val="626121E2"/>
    <w:rsid w:val="626BE3EE"/>
    <w:rsid w:val="627C788B"/>
    <w:rsid w:val="62B8CB02"/>
    <w:rsid w:val="62B9B973"/>
    <w:rsid w:val="62DB8C6B"/>
    <w:rsid w:val="62E7E456"/>
    <w:rsid w:val="62F4EBC8"/>
    <w:rsid w:val="62F5E364"/>
    <w:rsid w:val="6335925B"/>
    <w:rsid w:val="633DA7D9"/>
    <w:rsid w:val="6374985C"/>
    <w:rsid w:val="6394DD84"/>
    <w:rsid w:val="6395CC34"/>
    <w:rsid w:val="63DE46BE"/>
    <w:rsid w:val="641AAACB"/>
    <w:rsid w:val="64753467"/>
    <w:rsid w:val="649DEF0E"/>
    <w:rsid w:val="64C0D316"/>
    <w:rsid w:val="64D2B5F0"/>
    <w:rsid w:val="6510FCCA"/>
    <w:rsid w:val="6518FF0C"/>
    <w:rsid w:val="654DFD4F"/>
    <w:rsid w:val="65C0C290"/>
    <w:rsid w:val="65C50F3C"/>
    <w:rsid w:val="65D8EBC4"/>
    <w:rsid w:val="65E474B5"/>
    <w:rsid w:val="65F89182"/>
    <w:rsid w:val="663EE002"/>
    <w:rsid w:val="6696A4DD"/>
    <w:rsid w:val="669811D8"/>
    <w:rsid w:val="66BF76BE"/>
    <w:rsid w:val="66CDF1C3"/>
    <w:rsid w:val="66DC495F"/>
    <w:rsid w:val="66E79DA0"/>
    <w:rsid w:val="6703C241"/>
    <w:rsid w:val="6708666A"/>
    <w:rsid w:val="671BAD74"/>
    <w:rsid w:val="671FD6DE"/>
    <w:rsid w:val="67658ECC"/>
    <w:rsid w:val="678874E0"/>
    <w:rsid w:val="679770DB"/>
    <w:rsid w:val="682B8F91"/>
    <w:rsid w:val="68517767"/>
    <w:rsid w:val="68915145"/>
    <w:rsid w:val="689BE434"/>
    <w:rsid w:val="68DE9528"/>
    <w:rsid w:val="690C27F8"/>
    <w:rsid w:val="692A627E"/>
    <w:rsid w:val="69536ABB"/>
    <w:rsid w:val="696DA029"/>
    <w:rsid w:val="697F6E0D"/>
    <w:rsid w:val="699399EC"/>
    <w:rsid w:val="69AD41B2"/>
    <w:rsid w:val="69B7EF37"/>
    <w:rsid w:val="69C2E61A"/>
    <w:rsid w:val="69FE47A4"/>
    <w:rsid w:val="6A11117F"/>
    <w:rsid w:val="6A13E488"/>
    <w:rsid w:val="6A439B1B"/>
    <w:rsid w:val="6A6D527B"/>
    <w:rsid w:val="6AE12D62"/>
    <w:rsid w:val="6AE27E06"/>
    <w:rsid w:val="6AFF49D3"/>
    <w:rsid w:val="6B0B9CAB"/>
    <w:rsid w:val="6B5B80B6"/>
    <w:rsid w:val="6B960253"/>
    <w:rsid w:val="6BA6C0E3"/>
    <w:rsid w:val="6BCFA063"/>
    <w:rsid w:val="6BF5E484"/>
    <w:rsid w:val="6C423A1D"/>
    <w:rsid w:val="6CBEE065"/>
    <w:rsid w:val="6D0402BF"/>
    <w:rsid w:val="6D0920E1"/>
    <w:rsid w:val="6D0B1E35"/>
    <w:rsid w:val="6D1885CA"/>
    <w:rsid w:val="6D75201D"/>
    <w:rsid w:val="6DBF3C9B"/>
    <w:rsid w:val="6E09B097"/>
    <w:rsid w:val="6E2AD60A"/>
    <w:rsid w:val="6E2C2F13"/>
    <w:rsid w:val="6E30C758"/>
    <w:rsid w:val="6E68A2F9"/>
    <w:rsid w:val="6E6ED990"/>
    <w:rsid w:val="6E88815B"/>
    <w:rsid w:val="6E8CBFF1"/>
    <w:rsid w:val="6EA71235"/>
    <w:rsid w:val="6EABEC4B"/>
    <w:rsid w:val="6EAF064C"/>
    <w:rsid w:val="6F533155"/>
    <w:rsid w:val="6F617700"/>
    <w:rsid w:val="6F6A4D5C"/>
    <w:rsid w:val="6F6B2D96"/>
    <w:rsid w:val="6FA5A4AB"/>
    <w:rsid w:val="70C5C367"/>
    <w:rsid w:val="70CA23B2"/>
    <w:rsid w:val="70F1C154"/>
    <w:rsid w:val="7132FDFC"/>
    <w:rsid w:val="7160D9E8"/>
    <w:rsid w:val="71BA1F7E"/>
    <w:rsid w:val="720D35BA"/>
    <w:rsid w:val="72326154"/>
    <w:rsid w:val="725ECDA2"/>
    <w:rsid w:val="7298190E"/>
    <w:rsid w:val="72A0E3B8"/>
    <w:rsid w:val="72A159B6"/>
    <w:rsid w:val="72F6EB5D"/>
    <w:rsid w:val="732FC6D5"/>
    <w:rsid w:val="7333392A"/>
    <w:rsid w:val="737D639B"/>
    <w:rsid w:val="738F3C03"/>
    <w:rsid w:val="73D9FBC5"/>
    <w:rsid w:val="73EED59E"/>
    <w:rsid w:val="74231377"/>
    <w:rsid w:val="742F0A47"/>
    <w:rsid w:val="74310718"/>
    <w:rsid w:val="74397975"/>
    <w:rsid w:val="743F59E3"/>
    <w:rsid w:val="74612320"/>
    <w:rsid w:val="74A88483"/>
    <w:rsid w:val="75239984"/>
    <w:rsid w:val="753CD85F"/>
    <w:rsid w:val="75B083A1"/>
    <w:rsid w:val="75C68A07"/>
    <w:rsid w:val="75E154CB"/>
    <w:rsid w:val="75F961E9"/>
    <w:rsid w:val="7628859B"/>
    <w:rsid w:val="7628D302"/>
    <w:rsid w:val="76697C61"/>
    <w:rsid w:val="7693E214"/>
    <w:rsid w:val="76BC0863"/>
    <w:rsid w:val="77298546"/>
    <w:rsid w:val="772F278D"/>
    <w:rsid w:val="77354D24"/>
    <w:rsid w:val="77483CD7"/>
    <w:rsid w:val="7782C5D4"/>
    <w:rsid w:val="7790A31B"/>
    <w:rsid w:val="77BDC86A"/>
    <w:rsid w:val="77D9EDD8"/>
    <w:rsid w:val="77DBB8D2"/>
    <w:rsid w:val="77F88C5E"/>
    <w:rsid w:val="781F136F"/>
    <w:rsid w:val="783D1B4F"/>
    <w:rsid w:val="785F42A3"/>
    <w:rsid w:val="78C13950"/>
    <w:rsid w:val="78D8191A"/>
    <w:rsid w:val="78DDBFE5"/>
    <w:rsid w:val="7914DCB9"/>
    <w:rsid w:val="7920C0DE"/>
    <w:rsid w:val="794B621C"/>
    <w:rsid w:val="79994041"/>
    <w:rsid w:val="79BD6C4C"/>
    <w:rsid w:val="79C2E916"/>
    <w:rsid w:val="79D6ABD7"/>
    <w:rsid w:val="79E5BBFE"/>
    <w:rsid w:val="79E64C04"/>
    <w:rsid w:val="79FCC412"/>
    <w:rsid w:val="7A21927C"/>
    <w:rsid w:val="7A628697"/>
    <w:rsid w:val="7AA63DEE"/>
    <w:rsid w:val="7AAAFA2A"/>
    <w:rsid w:val="7AB87B27"/>
    <w:rsid w:val="7B25FD51"/>
    <w:rsid w:val="7B29B69C"/>
    <w:rsid w:val="7B66119F"/>
    <w:rsid w:val="7B6B528D"/>
    <w:rsid w:val="7B797326"/>
    <w:rsid w:val="7BBBD8A8"/>
    <w:rsid w:val="7BCFA7DF"/>
    <w:rsid w:val="7C1E3678"/>
    <w:rsid w:val="7C3B5787"/>
    <w:rsid w:val="7C4F5F2B"/>
    <w:rsid w:val="7C8004F7"/>
    <w:rsid w:val="7C93C1D2"/>
    <w:rsid w:val="7CC980D3"/>
    <w:rsid w:val="7CD5F870"/>
    <w:rsid w:val="7CF5EEB0"/>
    <w:rsid w:val="7D9C9135"/>
    <w:rsid w:val="7DA317B9"/>
    <w:rsid w:val="7DB0FA00"/>
    <w:rsid w:val="7DC7D4FF"/>
    <w:rsid w:val="7E20CF0D"/>
    <w:rsid w:val="7E43D66C"/>
    <w:rsid w:val="7E57028D"/>
    <w:rsid w:val="7E59AABB"/>
    <w:rsid w:val="7EA5F8F5"/>
    <w:rsid w:val="7EB1F87D"/>
    <w:rsid w:val="7F0A8B07"/>
    <w:rsid w:val="7F0E6A22"/>
    <w:rsid w:val="7F1C881C"/>
    <w:rsid w:val="7F6E22E8"/>
    <w:rsid w:val="7FBE2EF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27C788B"/>
  <w15:chartTrackingRefBased/>
  <w15:docId w15:val="{C0E5147C-3C2C-418A-9100-DC8F09AFC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A388F9E"/>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3A388F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A388F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A388F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A388F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A388F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A388F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A388F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A388F9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A388F9E"/>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3A388F9E"/>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A388F9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A388F9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A388F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A388F9E"/>
    <w:pPr>
      <w:ind w:left="720"/>
      <w:contextualSpacing/>
    </w:pPr>
  </w:style>
  <w:style w:type="table" w:styleId="TableGrid">
    <w:name w:val="Table Grid"/>
    <w:basedOn w:val="TableNormal"/>
    <w:uiPriority w:val="59"/>
    <w:rsid w:val="00834CA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3A388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663"/>
    <w:rPr>
      <w:rFonts w:ascii="Times New Roman" w:eastAsia="Times New Roman" w:hAnsi="Times New Roman" w:cs="Times New Roman"/>
      <w:lang w:val="en-GB"/>
    </w:rPr>
  </w:style>
  <w:style w:type="paragraph" w:styleId="Footer">
    <w:name w:val="footer"/>
    <w:basedOn w:val="Normal"/>
    <w:link w:val="FooterChar"/>
    <w:uiPriority w:val="99"/>
    <w:unhideWhenUsed/>
    <w:rsid w:val="3A388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663"/>
    <w:rPr>
      <w:rFonts w:ascii="Times New Roman" w:eastAsia="Times New Roman" w:hAnsi="Times New Roman" w:cs="Times New Roman"/>
      <w:lang w:val="en-GB"/>
    </w:rPr>
  </w:style>
  <w:style w:type="character" w:styleId="PageNumber">
    <w:name w:val="page number"/>
    <w:basedOn w:val="DefaultParagraphFont"/>
    <w:uiPriority w:val="99"/>
    <w:semiHidden/>
    <w:unhideWhenUsed/>
    <w:rsid w:val="00543663"/>
  </w:style>
  <w:style w:type="paragraph" w:styleId="NoSpacing">
    <w:name w:val="No Spacing"/>
    <w:uiPriority w:val="1"/>
    <w:qFormat/>
    <w:rsid w:val="000906ED"/>
    <w:pPr>
      <w:spacing w:after="0" w:line="240" w:lineRule="auto"/>
    </w:pPr>
    <w:rPr>
      <w:rFonts w:ascii="Times New Roman" w:eastAsia="Times New Roman" w:hAnsi="Times New Roman" w:cs="Times New Roman"/>
      <w:sz w:val="20"/>
      <w:szCs w:val="20"/>
      <w:lang w:eastAsia="en-US"/>
    </w:rPr>
  </w:style>
  <w:style w:type="paragraph" w:styleId="EndnoteText">
    <w:name w:val="endnote text"/>
    <w:basedOn w:val="Normal"/>
    <w:link w:val="EndnoteTextChar"/>
    <w:uiPriority w:val="99"/>
    <w:semiHidden/>
    <w:unhideWhenUsed/>
    <w:rsid w:val="3A388F9E"/>
    <w:pPr>
      <w:spacing w:after="0" w:line="240" w:lineRule="auto"/>
    </w:pPr>
    <w:rPr>
      <w:sz w:val="20"/>
      <w:szCs w:val="20"/>
      <w:lang w:eastAsia="en-US"/>
    </w:rPr>
  </w:style>
  <w:style w:type="character" w:customStyle="1" w:styleId="EndnoteTextChar">
    <w:name w:val="Endnote Text Char"/>
    <w:basedOn w:val="DefaultParagraphFont"/>
    <w:link w:val="EndnoteText"/>
    <w:uiPriority w:val="99"/>
    <w:semiHidden/>
    <w:rsid w:val="000906ED"/>
    <w:rPr>
      <w:rFonts w:ascii="Times New Roman" w:eastAsia="Times New Roman" w:hAnsi="Times New Roman" w:cs="Times New Roman"/>
      <w:sz w:val="20"/>
      <w:szCs w:val="20"/>
      <w:lang w:val="en-GB" w:eastAsia="en-US"/>
    </w:rPr>
  </w:style>
  <w:style w:type="character" w:styleId="EndnoteReference">
    <w:name w:val="endnote reference"/>
    <w:basedOn w:val="DefaultParagraphFont"/>
    <w:uiPriority w:val="99"/>
    <w:semiHidden/>
    <w:unhideWhenUsed/>
    <w:rsid w:val="000906ED"/>
    <w:rPr>
      <w:vertAlign w:val="superscript"/>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3">
    <w:name w:val="toc 3"/>
    <w:basedOn w:val="Normal"/>
    <w:next w:val="Normal"/>
    <w:autoRedefine/>
    <w:uiPriority w:val="39"/>
    <w:unhideWhenUs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utorchase.com/answers/a-level/business-studies/how-do-businesses-balance-quantitative-and-qualitative-factors-in-investment-decisions"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arksandspencer.com/" TargetMode="External"/><Relationship Id="rId17" Type="http://schemas.openxmlformats.org/officeDocument/2006/relationships/hyperlink" Target="https://corporate.marksandspencer.com/investors/our-performance-updates/2025-annual-report" TargetMode="External"/><Relationship Id="rId2" Type="http://schemas.openxmlformats.org/officeDocument/2006/relationships/styles" Target="styles.xml"/><Relationship Id="rId16" Type="http://schemas.openxmlformats.org/officeDocument/2006/relationships/hyperlink" Target="https://corporate.marksandspencer.com/sites/marksandspencer/files/2024-06/M-and-S-2024-Annual-Report.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ghtspeedhq.com/blog/retail-profit-margins/" TargetMode="External"/><Relationship Id="rId5" Type="http://schemas.openxmlformats.org/officeDocument/2006/relationships/footnotes" Target="footnotes.xml"/><Relationship Id="rId15" Type="http://schemas.openxmlformats.org/officeDocument/2006/relationships/hyperlink" Target="https://corporate.marksandspencer.com/sites/marksandspencer/files/2024-06/M-and-S_AR24_Financial_Statements.pdf" TargetMode="External"/><Relationship Id="rId10" Type="http://schemas.openxmlformats.org/officeDocument/2006/relationships/hyperlink" Target="https://www.investopedia.com/terms/i/investmentstrategy.asp"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g.com/uk/trading-strategies/what-are-the-average-returns-of-the-ftse-100--230511" TargetMode="External"/><Relationship Id="rId14" Type="http://schemas.openxmlformats.org/officeDocument/2006/relationships/hyperlink" Target="https://www.investopedia.com/terms/n/npv.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7999</Words>
  <Characters>45600</Characters>
  <Application>Microsoft Office Word</Application>
  <DocSecurity>0</DocSecurity>
  <Lines>380</Lines>
  <Paragraphs>106</Paragraphs>
  <ScaleCrop>false</ScaleCrop>
  <Company/>
  <LinksUpToDate>false</LinksUpToDate>
  <CharactersWithSpaces>53493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 vicky</dc:creator>
  <cp:keywords/>
  <dc:description/>
  <cp:lastModifiedBy>Simo vicky</cp:lastModifiedBy>
  <cp:revision>2</cp:revision>
  <dcterms:created xsi:type="dcterms:W3CDTF">2025-07-21T14:54:00Z</dcterms:created>
  <dcterms:modified xsi:type="dcterms:W3CDTF">2025-07-21T14:54:00Z</dcterms:modified>
</cp:coreProperties>
</file>