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88C4B" w14:textId="77777777" w:rsidR="0026301E" w:rsidRDefault="0026301E">
      <w:pPr>
        <w:spacing w:after="44" w:line="249" w:lineRule="auto"/>
        <w:ind w:left="1661"/>
        <w:jc w:val="center"/>
      </w:pPr>
    </w:p>
    <w:p w14:paraId="795DCBF8" w14:textId="441BAEAA" w:rsidR="009B01BA" w:rsidRDefault="009E3CBF">
      <w:pPr>
        <w:spacing w:after="44" w:line="249" w:lineRule="auto"/>
        <w:ind w:left="1661"/>
        <w:jc w:val="center"/>
      </w:pPr>
      <w:r>
        <w:rPr>
          <w:rFonts w:ascii="Calibri" w:eastAsia="Calibri" w:hAnsi="Calibri" w:cs="Calibri"/>
          <w:noProof/>
        </w:rPr>
        <mc:AlternateContent>
          <mc:Choice Requires="wpg">
            <w:drawing>
              <wp:inline distT="0" distB="0" distL="0" distR="0" wp14:anchorId="104EDDD1" wp14:editId="3CA04FAD">
                <wp:extent cx="5438778" cy="1648680"/>
                <wp:effectExtent l="0" t="0" r="0" b="8670"/>
                <wp:docPr id="1623761760" name="Group 23547"/>
                <wp:cNvGraphicFramePr/>
                <a:graphic xmlns:a="http://schemas.openxmlformats.org/drawingml/2006/main">
                  <a:graphicData uri="http://schemas.microsoft.com/office/word/2010/wordprocessingGroup">
                    <wpg:wgp>
                      <wpg:cNvGrpSpPr/>
                      <wpg:grpSpPr>
                        <a:xfrm>
                          <a:off x="0" y="0"/>
                          <a:ext cx="5438778" cy="1648680"/>
                          <a:chOff x="0" y="0"/>
                          <a:chExt cx="5438778" cy="1648680"/>
                        </a:xfrm>
                      </wpg:grpSpPr>
                      <wps:wsp>
                        <wps:cNvPr id="1678682430" name="Rectangle 57"/>
                        <wps:cNvSpPr/>
                        <wps:spPr>
                          <a:xfrm>
                            <a:off x="722632" y="0"/>
                            <a:ext cx="42062" cy="186235"/>
                          </a:xfrm>
                          <a:prstGeom prst="rect">
                            <a:avLst/>
                          </a:prstGeom>
                          <a:noFill/>
                          <a:ln cap="flat">
                            <a:noFill/>
                            <a:prstDash val="solid"/>
                          </a:ln>
                        </wps:spPr>
                        <wps:txbx>
                          <w:txbxContent>
                            <w:p w14:paraId="3A37E367" w14:textId="77777777" w:rsidR="009B01BA" w:rsidRDefault="009E3CBF">
                              <w:pPr>
                                <w:spacing w:line="249" w:lineRule="auto"/>
                              </w:pPr>
                              <w:r>
                                <w:rPr>
                                  <w:rFonts w:ascii="Times New Roman" w:hAnsi="Times New Roman"/>
                                  <w:sz w:val="20"/>
                                </w:rPr>
                                <w:t xml:space="preserve"> </w:t>
                              </w:r>
                            </w:p>
                          </w:txbxContent>
                        </wps:txbx>
                        <wps:bodyPr vert="horz" wrap="square" lIns="0" tIns="0" rIns="0" bIns="0" anchor="t" anchorCtr="0" compatLnSpc="0">
                          <a:noAutofit/>
                        </wps:bodyPr>
                      </wps:wsp>
                      <wps:wsp>
                        <wps:cNvPr id="519699870" name="Rectangle 58"/>
                        <wps:cNvSpPr/>
                        <wps:spPr>
                          <a:xfrm>
                            <a:off x="754636" y="0"/>
                            <a:ext cx="42062" cy="186235"/>
                          </a:xfrm>
                          <a:prstGeom prst="rect">
                            <a:avLst/>
                          </a:prstGeom>
                          <a:noFill/>
                          <a:ln cap="flat">
                            <a:noFill/>
                            <a:prstDash val="solid"/>
                          </a:ln>
                        </wps:spPr>
                        <wps:txbx>
                          <w:txbxContent>
                            <w:p w14:paraId="7E7FA48E" w14:textId="77777777" w:rsidR="009B01BA" w:rsidRDefault="009E3CBF">
                              <w:pPr>
                                <w:spacing w:line="249" w:lineRule="auto"/>
                              </w:pPr>
                              <w:r>
                                <w:rPr>
                                  <w:rFonts w:ascii="Times New Roman" w:hAnsi="Times New Roman"/>
                                  <w:sz w:val="20"/>
                                </w:rPr>
                                <w:t xml:space="preserve"> </w:t>
                              </w:r>
                            </w:p>
                          </w:txbxContent>
                        </wps:txbx>
                        <wps:bodyPr vert="horz" wrap="square" lIns="0" tIns="0" rIns="0" bIns="0" anchor="t" anchorCtr="0" compatLnSpc="0">
                          <a:noAutofit/>
                        </wps:bodyPr>
                      </wps:wsp>
                      <wps:wsp>
                        <wps:cNvPr id="685100637" name="Rectangle 65"/>
                        <wps:cNvSpPr/>
                        <wps:spPr>
                          <a:xfrm>
                            <a:off x="111501" y="1101760"/>
                            <a:ext cx="136282" cy="546920"/>
                          </a:xfrm>
                          <a:prstGeom prst="rect">
                            <a:avLst/>
                          </a:prstGeom>
                          <a:noFill/>
                          <a:ln cap="flat">
                            <a:noFill/>
                            <a:prstDash val="solid"/>
                          </a:ln>
                        </wps:spPr>
                        <wps:txbx>
                          <w:txbxContent>
                            <w:p w14:paraId="7424AC34" w14:textId="77777777" w:rsidR="009B01BA" w:rsidRDefault="009E3CBF">
                              <w:pPr>
                                <w:spacing w:line="249" w:lineRule="auto"/>
                              </w:pPr>
                              <w:r>
                                <w:rPr>
                                  <w:sz w:val="58"/>
                                </w:rPr>
                                <w:t xml:space="preserve"> </w:t>
                              </w:r>
                            </w:p>
                          </w:txbxContent>
                        </wps:txbx>
                        <wps:bodyPr vert="horz" wrap="square" lIns="0" tIns="0" rIns="0" bIns="0" anchor="t" anchorCtr="0" compatLnSpc="0">
                          <a:noAutofit/>
                        </wps:bodyPr>
                      </wps:wsp>
                      <pic:pic xmlns:pic="http://schemas.openxmlformats.org/drawingml/2006/picture">
                        <pic:nvPicPr>
                          <pic:cNvPr id="237389146" name="Picture 98"/>
                          <pic:cNvPicPr>
                            <a:picLocks noChangeAspect="1"/>
                          </pic:cNvPicPr>
                        </pic:nvPicPr>
                        <pic:blipFill>
                          <a:blip r:embed="rId7"/>
                          <a:stretch>
                            <a:fillRect/>
                          </a:stretch>
                        </pic:blipFill>
                        <pic:spPr>
                          <a:xfrm>
                            <a:off x="0" y="6281"/>
                            <a:ext cx="5438778" cy="1328422"/>
                          </a:xfrm>
                          <a:prstGeom prst="rect">
                            <a:avLst/>
                          </a:prstGeom>
                          <a:noFill/>
                          <a:ln>
                            <a:noFill/>
                            <a:prstDash/>
                          </a:ln>
                        </pic:spPr>
                      </pic:pic>
                    </wpg:wgp>
                  </a:graphicData>
                </a:graphic>
              </wp:inline>
            </w:drawing>
          </mc:Choice>
          <mc:Fallback>
            <w:pict>
              <v:group w14:anchorId="104EDDD1" id="Group 23547" o:spid="_x0000_s1026" style="width:428.25pt;height:129.8pt;mso-position-horizontal-relative:char;mso-position-vertical-relative:line" coordsize="54387,164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" filled="f" stroked="f">
                  <v:textbox inset="0,0,0,0">
                    <w:txbxContent>
                      <w:p w14:paraId="3A37E367" w14:textId="77777777" w:rsidR="009B01BA" w:rsidRDefault="009E3CBF">
                        <w:pPr>
                          <w:spacing w:line="249" w:lineRule="auto"/>
                        </w:pPr>
                        <w:r>
                          <w:rPr>
                            <w:rFonts w:ascii="Times New Roman" w:hAnsi="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" filled="f" stroked="f">
                  <v:textbox inset="0,0,0,0">
                    <w:txbxContent>
                      <w:p w14:paraId="7E7FA48E" w14:textId="77777777" w:rsidR="009B01BA" w:rsidRDefault="009E3CBF">
                        <w:pPr>
                          <w:spacing w:line="249" w:lineRule="auto"/>
                        </w:pPr>
                        <w:r>
                          <w:rPr>
                            <w:rFonts w:ascii="Times New Roman" w:hAnsi="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" filled="f" stroked="f">
                  <v:textbox inset="0,0,0,0">
                    <w:txbxContent>
                      <w:p w14:paraId="7424AC34" w14:textId="77777777" w:rsidR="009B01BA" w:rsidRDefault="009E3CBF">
                        <w:pPr>
                          <w:spacing w:line="249" w:lineRule="auto"/>
                        </w:pPr>
                        <w:r>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">
                  <v:imagedata r:id="rId8" o:title=""/>
                </v:shape>
                <w10:anchorlock/>
              </v:group>
            </w:pict>
          </mc:Fallback>
        </mc:AlternateContent>
      </w:r>
    </w:p>
    <w:p w14:paraId="1E66EE2B" w14:textId="77777777" w:rsidR="009B01BA" w:rsidRDefault="009B01BA">
      <w:pPr>
        <w:spacing w:after="0" w:line="249" w:lineRule="auto"/>
        <w:jc w:val="center"/>
      </w:pPr>
    </w:p>
    <w:p w14:paraId="6DCBB1DF" w14:textId="77777777" w:rsidR="009B01BA" w:rsidRDefault="009E3CBF">
      <w:pPr>
        <w:spacing w:after="0" w:line="249" w:lineRule="auto"/>
        <w:ind w:right="958"/>
        <w:jc w:val="center"/>
      </w:pPr>
      <w:r>
        <w:rPr>
          <w:sz w:val="58"/>
        </w:rPr>
        <w:t>Sefydliad Dysgu Canol Dinas /</w:t>
      </w:r>
    </w:p>
    <w:p w14:paraId="3A73B871" w14:textId="77777777" w:rsidR="009B01BA" w:rsidRDefault="009E3CBF">
      <w:pPr>
        <w:spacing w:after="0" w:line="249" w:lineRule="auto"/>
        <w:ind w:right="1322"/>
        <w:jc w:val="center"/>
        <w:rPr>
          <w:sz w:val="58"/>
        </w:rPr>
      </w:pPr>
      <w:r>
        <w:rPr>
          <w:sz w:val="58"/>
        </w:rPr>
        <w:t>Institute of</w:t>
      </w:r>
    </w:p>
    <w:p w14:paraId="0477876B" w14:textId="77777777" w:rsidR="009B01BA" w:rsidRDefault="009E3CBF">
      <w:pPr>
        <w:spacing w:after="0" w:line="249" w:lineRule="auto"/>
        <w:ind w:right="1322"/>
        <w:jc w:val="center"/>
      </w:pPr>
      <w:r>
        <w:rPr>
          <w:sz w:val="58"/>
        </w:rPr>
        <w:t xml:space="preserve"> Inner City Learning</w:t>
      </w:r>
    </w:p>
    <w:p w14:paraId="7892C878" w14:textId="77777777" w:rsidR="009B01BA" w:rsidRDefault="009B01BA">
      <w:pPr>
        <w:spacing w:after="0" w:line="249" w:lineRule="auto"/>
        <w:jc w:val="center"/>
      </w:pPr>
    </w:p>
    <w:p w14:paraId="32219111" w14:textId="77777777" w:rsidR="009B01BA" w:rsidRDefault="009B01BA">
      <w:pPr>
        <w:spacing w:after="321" w:line="249" w:lineRule="auto"/>
        <w:jc w:val="center"/>
      </w:pPr>
    </w:p>
    <w:p w14:paraId="4CC6FB30" w14:textId="77777777" w:rsidR="009B01BA" w:rsidRDefault="009B01BA">
      <w:pPr>
        <w:spacing w:after="0" w:line="249" w:lineRule="auto"/>
        <w:ind w:left="413"/>
        <w:jc w:val="center"/>
      </w:pPr>
    </w:p>
    <w:p w14:paraId="089F3B41" w14:textId="77777777" w:rsidR="009B01BA" w:rsidRDefault="009B01BA">
      <w:pPr>
        <w:spacing w:after="0" w:line="249" w:lineRule="auto"/>
        <w:ind w:left="413"/>
        <w:jc w:val="center"/>
      </w:pPr>
    </w:p>
    <w:p w14:paraId="5FB0E5C8" w14:textId="77777777" w:rsidR="009B01BA" w:rsidRDefault="009E3CBF">
      <w:pPr>
        <w:spacing w:after="0" w:line="249" w:lineRule="auto"/>
        <w:jc w:val="center"/>
      </w:pPr>
      <w:r>
        <w:rPr>
          <w:sz w:val="56"/>
        </w:rPr>
        <w:t>BA Leadership and Management</w:t>
      </w:r>
    </w:p>
    <w:p w14:paraId="206C1A33" w14:textId="77777777" w:rsidR="009B01BA" w:rsidRDefault="009B01BA">
      <w:pPr>
        <w:spacing w:line="360" w:lineRule="auto"/>
        <w:jc w:val="center"/>
        <w:rPr>
          <w:rFonts w:ascii="Arial" w:hAnsi="Arial" w:cs="Arial"/>
          <w:b/>
          <w:bCs/>
        </w:rPr>
      </w:pPr>
    </w:p>
    <w:p w14:paraId="6E35E99F" w14:textId="77777777" w:rsidR="009B01BA" w:rsidRDefault="009B01BA">
      <w:pPr>
        <w:spacing w:line="360" w:lineRule="auto"/>
        <w:jc w:val="center"/>
        <w:rPr>
          <w:rFonts w:ascii="Arial" w:hAnsi="Arial" w:cs="Arial"/>
          <w:b/>
          <w:bCs/>
        </w:rPr>
      </w:pPr>
    </w:p>
    <w:p w14:paraId="25506376" w14:textId="77777777" w:rsidR="009B01BA" w:rsidRDefault="009B01BA">
      <w:pPr>
        <w:spacing w:line="360" w:lineRule="auto"/>
        <w:jc w:val="center"/>
        <w:rPr>
          <w:rFonts w:ascii="Arial" w:hAnsi="Arial" w:cs="Arial"/>
          <w:b/>
          <w:bCs/>
        </w:rPr>
      </w:pPr>
    </w:p>
    <w:p w14:paraId="18047286" w14:textId="77777777" w:rsidR="009B01BA" w:rsidRDefault="009B01BA">
      <w:pPr>
        <w:spacing w:line="360" w:lineRule="auto"/>
        <w:jc w:val="center"/>
        <w:rPr>
          <w:rFonts w:ascii="Arial" w:hAnsi="Arial" w:cs="Arial"/>
          <w:b/>
          <w:bCs/>
        </w:rPr>
      </w:pPr>
    </w:p>
    <w:p w14:paraId="7DAA2B2F" w14:textId="77777777" w:rsidR="009B01BA" w:rsidRDefault="009B01BA">
      <w:pPr>
        <w:spacing w:line="360" w:lineRule="auto"/>
        <w:jc w:val="center"/>
        <w:rPr>
          <w:rFonts w:ascii="Arial" w:hAnsi="Arial" w:cs="Arial"/>
          <w:b/>
          <w:bCs/>
        </w:rPr>
      </w:pPr>
    </w:p>
    <w:p w14:paraId="0447A63C" w14:textId="77777777" w:rsidR="009B01BA" w:rsidRDefault="009B01BA">
      <w:pPr>
        <w:spacing w:line="360" w:lineRule="auto"/>
        <w:jc w:val="center"/>
        <w:rPr>
          <w:rFonts w:ascii="Arial" w:hAnsi="Arial" w:cs="Arial"/>
          <w:b/>
          <w:bCs/>
        </w:rPr>
      </w:pPr>
    </w:p>
    <w:p w14:paraId="4BC0FE86" w14:textId="77777777" w:rsidR="009B01BA" w:rsidRDefault="009B01BA">
      <w:pPr>
        <w:spacing w:line="360" w:lineRule="auto"/>
        <w:jc w:val="center"/>
        <w:rPr>
          <w:rFonts w:ascii="Arial" w:hAnsi="Arial" w:cs="Arial"/>
          <w:b/>
          <w:bCs/>
        </w:rPr>
      </w:pPr>
    </w:p>
    <w:p w14:paraId="45F13365" w14:textId="77777777" w:rsidR="009B01BA" w:rsidRDefault="009B01BA">
      <w:pPr>
        <w:spacing w:line="360" w:lineRule="auto"/>
        <w:jc w:val="center"/>
        <w:rPr>
          <w:rFonts w:ascii="Arial" w:hAnsi="Arial" w:cs="Arial"/>
          <w:b/>
          <w:bCs/>
        </w:rPr>
      </w:pPr>
    </w:p>
    <w:p w14:paraId="514D85ED" w14:textId="77777777" w:rsidR="009B01BA" w:rsidRDefault="009B01BA">
      <w:pPr>
        <w:spacing w:line="360" w:lineRule="auto"/>
        <w:jc w:val="center"/>
      </w:pPr>
    </w:p>
    <w:p w14:paraId="2617C5F1" w14:textId="77777777" w:rsidR="009B01BA" w:rsidRDefault="009B01BA">
      <w:pPr>
        <w:spacing w:line="360" w:lineRule="auto"/>
        <w:jc w:val="center"/>
        <w:rPr>
          <w:rFonts w:ascii="Arial" w:hAnsi="Arial" w:cs="Arial"/>
          <w:b/>
          <w:bCs/>
        </w:rPr>
      </w:pPr>
    </w:p>
    <w:tbl>
      <w:tblPr>
        <w:tblW w:w="9350" w:type="dxa"/>
        <w:tblCellMar>
          <w:left w:w="10" w:type="dxa"/>
          <w:right w:w="10" w:type="dxa"/>
        </w:tblCellMar>
        <w:tblLook w:val="0000" w:firstRow="0" w:lastRow="0" w:firstColumn="0" w:lastColumn="0" w:noHBand="0" w:noVBand="0"/>
      </w:tblPr>
      <w:tblGrid>
        <w:gridCol w:w="4585"/>
        <w:gridCol w:w="4765"/>
      </w:tblGrid>
      <w:tr w:rsidR="009B01BA" w14:paraId="79A35489" w14:textId="77777777">
        <w:tc>
          <w:tcPr>
            <w:tcW w:w="45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117727" w14:textId="77777777" w:rsidR="009B01BA" w:rsidRDefault="009E3CBF">
            <w:pPr>
              <w:spacing w:after="0" w:line="360" w:lineRule="auto"/>
              <w:jc w:val="center"/>
              <w:rPr>
                <w:rFonts w:ascii="Arial" w:hAnsi="Arial" w:cs="Arial"/>
                <w:b/>
                <w:bCs/>
              </w:rPr>
            </w:pPr>
            <w:r>
              <w:rPr>
                <w:rFonts w:ascii="Arial" w:hAnsi="Arial" w:cs="Arial"/>
                <w:b/>
                <w:bCs/>
              </w:rPr>
              <w:lastRenderedPageBreak/>
              <w:t>Student name</w:t>
            </w:r>
          </w:p>
        </w:tc>
        <w:tc>
          <w:tcPr>
            <w:tcW w:w="4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1513BF" w14:textId="77777777" w:rsidR="009B01BA" w:rsidRDefault="009E3CBF">
            <w:pPr>
              <w:spacing w:after="0" w:line="360" w:lineRule="auto"/>
              <w:jc w:val="center"/>
              <w:rPr>
                <w:rFonts w:ascii="Arial" w:hAnsi="Arial" w:cs="Arial"/>
                <w:b/>
                <w:bCs/>
              </w:rPr>
            </w:pPr>
            <w:r>
              <w:rPr>
                <w:rFonts w:ascii="Arial" w:hAnsi="Arial" w:cs="Arial"/>
                <w:b/>
                <w:bCs/>
              </w:rPr>
              <w:t>Stefan-Alexandru Popescu</w:t>
            </w:r>
          </w:p>
        </w:tc>
      </w:tr>
      <w:tr w:rsidR="009B01BA" w14:paraId="5EDE4CD7" w14:textId="77777777">
        <w:tc>
          <w:tcPr>
            <w:tcW w:w="45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EEF6EC" w14:textId="77777777" w:rsidR="009B01BA" w:rsidRDefault="009E3CBF">
            <w:pPr>
              <w:spacing w:after="0" w:line="360" w:lineRule="auto"/>
              <w:jc w:val="center"/>
              <w:rPr>
                <w:rFonts w:ascii="Arial" w:hAnsi="Arial" w:cs="Arial"/>
                <w:b/>
                <w:bCs/>
              </w:rPr>
            </w:pPr>
            <w:r>
              <w:rPr>
                <w:rFonts w:ascii="Arial" w:hAnsi="Arial" w:cs="Arial"/>
                <w:b/>
                <w:bCs/>
              </w:rPr>
              <w:t>Student ID number</w:t>
            </w:r>
          </w:p>
        </w:tc>
        <w:tc>
          <w:tcPr>
            <w:tcW w:w="4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83659F" w14:textId="77777777" w:rsidR="009B01BA" w:rsidRDefault="009E3CBF">
            <w:pPr>
              <w:spacing w:after="0" w:line="360" w:lineRule="auto"/>
              <w:jc w:val="center"/>
              <w:rPr>
                <w:rFonts w:ascii="Arial" w:hAnsi="Arial" w:cs="Arial"/>
                <w:b/>
                <w:bCs/>
              </w:rPr>
            </w:pPr>
            <w:r>
              <w:rPr>
                <w:rFonts w:ascii="Arial" w:hAnsi="Arial" w:cs="Arial"/>
                <w:b/>
                <w:bCs/>
              </w:rPr>
              <w:t>2213757</w:t>
            </w:r>
          </w:p>
        </w:tc>
      </w:tr>
      <w:tr w:rsidR="009B01BA" w14:paraId="0DB5248E" w14:textId="77777777">
        <w:tc>
          <w:tcPr>
            <w:tcW w:w="45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36CA45" w14:textId="77777777" w:rsidR="009B01BA" w:rsidRDefault="009E3CBF">
            <w:pPr>
              <w:spacing w:after="0" w:line="360" w:lineRule="auto"/>
              <w:jc w:val="center"/>
              <w:rPr>
                <w:rFonts w:ascii="Arial" w:hAnsi="Arial" w:cs="Arial"/>
                <w:b/>
                <w:bCs/>
              </w:rPr>
            </w:pPr>
            <w:r>
              <w:rPr>
                <w:rFonts w:ascii="Arial" w:hAnsi="Arial" w:cs="Arial"/>
                <w:b/>
                <w:bCs/>
              </w:rPr>
              <w:t>Programme</w:t>
            </w:r>
          </w:p>
        </w:tc>
        <w:tc>
          <w:tcPr>
            <w:tcW w:w="4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FA7DB3" w14:textId="77777777" w:rsidR="009B01BA" w:rsidRDefault="009E3CBF">
            <w:pPr>
              <w:spacing w:after="0" w:line="360" w:lineRule="auto"/>
              <w:jc w:val="center"/>
              <w:rPr>
                <w:rFonts w:ascii="Arial" w:hAnsi="Arial" w:cs="Arial"/>
                <w:b/>
                <w:bCs/>
              </w:rPr>
            </w:pPr>
            <w:r>
              <w:rPr>
                <w:rFonts w:ascii="Arial" w:hAnsi="Arial" w:cs="Arial"/>
                <w:b/>
                <w:bCs/>
              </w:rPr>
              <w:t>BA (Hons) Leadership and Management Skills in the workplace</w:t>
            </w:r>
          </w:p>
        </w:tc>
      </w:tr>
      <w:tr w:rsidR="009B01BA" w14:paraId="7679EAB7" w14:textId="77777777">
        <w:tc>
          <w:tcPr>
            <w:tcW w:w="45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481E0B" w14:textId="77777777" w:rsidR="009B01BA" w:rsidRDefault="009E3CBF">
            <w:pPr>
              <w:spacing w:after="0" w:line="360" w:lineRule="auto"/>
              <w:jc w:val="center"/>
              <w:rPr>
                <w:rFonts w:ascii="Arial" w:hAnsi="Arial" w:cs="Arial"/>
                <w:b/>
                <w:bCs/>
              </w:rPr>
            </w:pPr>
            <w:r>
              <w:rPr>
                <w:rFonts w:ascii="Arial" w:hAnsi="Arial" w:cs="Arial"/>
                <w:b/>
                <w:bCs/>
              </w:rPr>
              <w:t>Module name</w:t>
            </w:r>
          </w:p>
        </w:tc>
        <w:tc>
          <w:tcPr>
            <w:tcW w:w="4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B5909E" w14:textId="77777777" w:rsidR="009B01BA" w:rsidRDefault="009E3CBF">
            <w:pPr>
              <w:spacing w:after="0" w:line="360" w:lineRule="auto"/>
              <w:jc w:val="center"/>
            </w:pPr>
            <w:r>
              <w:rPr>
                <w:rFonts w:ascii="Arial" w:hAnsi="Arial" w:cs="Arial"/>
                <w:b/>
                <w:sz w:val="24"/>
                <w:szCs w:val="24"/>
              </w:rPr>
              <w:t>Independent Project</w:t>
            </w:r>
          </w:p>
        </w:tc>
      </w:tr>
      <w:tr w:rsidR="009B01BA" w14:paraId="73844C40" w14:textId="77777777">
        <w:tc>
          <w:tcPr>
            <w:tcW w:w="45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2E6F35" w14:textId="77777777" w:rsidR="009B01BA" w:rsidRDefault="009E3CBF">
            <w:pPr>
              <w:spacing w:after="0" w:line="360" w:lineRule="auto"/>
              <w:jc w:val="center"/>
              <w:rPr>
                <w:rFonts w:ascii="Arial" w:hAnsi="Arial" w:cs="Arial"/>
                <w:b/>
                <w:bCs/>
              </w:rPr>
            </w:pPr>
            <w:r>
              <w:rPr>
                <w:rFonts w:ascii="Arial" w:hAnsi="Arial" w:cs="Arial"/>
                <w:b/>
                <w:bCs/>
              </w:rPr>
              <w:t xml:space="preserve">Module code </w:t>
            </w:r>
          </w:p>
        </w:tc>
        <w:tc>
          <w:tcPr>
            <w:tcW w:w="4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6D207E" w14:textId="77777777" w:rsidR="009B01BA" w:rsidRDefault="009E3CBF">
            <w:pPr>
              <w:spacing w:after="0" w:line="360" w:lineRule="auto"/>
              <w:jc w:val="center"/>
              <w:rPr>
                <w:rFonts w:ascii="Arial" w:hAnsi="Arial" w:cs="Arial"/>
                <w:b/>
                <w:bCs/>
              </w:rPr>
            </w:pPr>
            <w:r>
              <w:rPr>
                <w:rFonts w:ascii="Arial" w:hAnsi="Arial" w:cs="Arial"/>
                <w:b/>
                <w:bCs/>
              </w:rPr>
              <w:t>LCLM6005</w:t>
            </w:r>
          </w:p>
        </w:tc>
      </w:tr>
      <w:tr w:rsidR="009B01BA" w14:paraId="39A353F9" w14:textId="77777777">
        <w:tc>
          <w:tcPr>
            <w:tcW w:w="45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6E2238" w14:textId="77777777" w:rsidR="009B01BA" w:rsidRDefault="009E3CBF">
            <w:pPr>
              <w:spacing w:after="0" w:line="360" w:lineRule="auto"/>
              <w:jc w:val="center"/>
              <w:rPr>
                <w:rFonts w:ascii="Arial" w:hAnsi="Arial" w:cs="Arial"/>
                <w:b/>
                <w:bCs/>
              </w:rPr>
            </w:pPr>
            <w:r>
              <w:rPr>
                <w:rFonts w:ascii="Arial" w:hAnsi="Arial" w:cs="Arial"/>
                <w:b/>
                <w:bCs/>
              </w:rPr>
              <w:t>Lecturer name</w:t>
            </w:r>
          </w:p>
        </w:tc>
        <w:tc>
          <w:tcPr>
            <w:tcW w:w="4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2398A2" w14:textId="77777777" w:rsidR="009B01BA" w:rsidRDefault="009E3CBF">
            <w:pPr>
              <w:spacing w:after="0" w:line="360" w:lineRule="auto"/>
              <w:jc w:val="center"/>
              <w:rPr>
                <w:rFonts w:ascii="Arial" w:hAnsi="Arial" w:cs="Arial"/>
                <w:b/>
                <w:bCs/>
              </w:rPr>
            </w:pPr>
            <w:r>
              <w:rPr>
                <w:rFonts w:ascii="Arial" w:hAnsi="Arial" w:cs="Arial"/>
                <w:b/>
                <w:bCs/>
              </w:rPr>
              <w:t>Munodzinesa Zuwirai</w:t>
            </w:r>
          </w:p>
        </w:tc>
      </w:tr>
      <w:tr w:rsidR="009B01BA" w14:paraId="29C38249" w14:textId="77777777">
        <w:tc>
          <w:tcPr>
            <w:tcW w:w="45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D9381F" w14:textId="77777777" w:rsidR="009B01BA" w:rsidRDefault="009E3CBF">
            <w:pPr>
              <w:spacing w:after="0" w:line="360" w:lineRule="auto"/>
              <w:jc w:val="center"/>
              <w:rPr>
                <w:rFonts w:ascii="Arial" w:hAnsi="Arial" w:cs="Arial"/>
                <w:b/>
                <w:bCs/>
              </w:rPr>
            </w:pPr>
            <w:r>
              <w:rPr>
                <w:rFonts w:ascii="Arial" w:hAnsi="Arial" w:cs="Arial"/>
                <w:b/>
                <w:bCs/>
              </w:rPr>
              <w:t xml:space="preserve">Supervisor name </w:t>
            </w:r>
          </w:p>
        </w:tc>
        <w:tc>
          <w:tcPr>
            <w:tcW w:w="4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4ACDBC" w14:textId="77777777" w:rsidR="009B01BA" w:rsidRDefault="009E3CBF">
            <w:pPr>
              <w:spacing w:after="0" w:line="360" w:lineRule="auto"/>
              <w:jc w:val="center"/>
              <w:rPr>
                <w:rFonts w:ascii="Arial" w:hAnsi="Arial" w:cs="Arial"/>
                <w:b/>
                <w:bCs/>
              </w:rPr>
            </w:pPr>
            <w:r>
              <w:rPr>
                <w:rFonts w:ascii="Arial" w:hAnsi="Arial" w:cs="Arial"/>
                <w:b/>
                <w:bCs/>
              </w:rPr>
              <w:t>Chinomso Nwagboso</w:t>
            </w:r>
          </w:p>
        </w:tc>
      </w:tr>
      <w:tr w:rsidR="009B01BA" w14:paraId="5AB037CC" w14:textId="77777777">
        <w:tc>
          <w:tcPr>
            <w:tcW w:w="45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9EDF4" w14:textId="77777777" w:rsidR="009B01BA" w:rsidRDefault="009E3CBF">
            <w:pPr>
              <w:spacing w:after="0" w:line="360" w:lineRule="auto"/>
              <w:jc w:val="center"/>
              <w:rPr>
                <w:rFonts w:ascii="Arial" w:hAnsi="Arial" w:cs="Arial"/>
                <w:b/>
                <w:bCs/>
              </w:rPr>
            </w:pPr>
            <w:r>
              <w:rPr>
                <w:rFonts w:ascii="Arial" w:hAnsi="Arial" w:cs="Arial"/>
                <w:b/>
                <w:bCs/>
              </w:rPr>
              <w:t>Assignment Title</w:t>
            </w:r>
          </w:p>
        </w:tc>
        <w:tc>
          <w:tcPr>
            <w:tcW w:w="4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DA95C4" w14:textId="77777777" w:rsidR="009B01BA" w:rsidRDefault="009E3CBF">
            <w:pPr>
              <w:spacing w:after="0" w:line="360" w:lineRule="auto"/>
              <w:jc w:val="center"/>
              <w:rPr>
                <w:rFonts w:ascii="Arial" w:hAnsi="Arial" w:cs="Arial"/>
                <w:b/>
                <w:bCs/>
              </w:rPr>
            </w:pPr>
            <w:r>
              <w:rPr>
                <w:rFonts w:ascii="Arial" w:hAnsi="Arial" w:cs="Arial"/>
                <w:b/>
                <w:bCs/>
              </w:rPr>
              <w:t>Component 1 – Business Research Proposal</w:t>
            </w:r>
          </w:p>
        </w:tc>
      </w:tr>
    </w:tbl>
    <w:p w14:paraId="355984C5" w14:textId="77777777" w:rsidR="009B01BA" w:rsidRDefault="009B01BA">
      <w:pPr>
        <w:spacing w:line="360" w:lineRule="auto"/>
        <w:jc w:val="center"/>
        <w:rPr>
          <w:rFonts w:ascii="Arial" w:hAnsi="Arial" w:cs="Arial"/>
          <w:b/>
          <w:bCs/>
        </w:rPr>
      </w:pPr>
    </w:p>
    <w:p w14:paraId="4647567A" w14:textId="77777777" w:rsidR="009B01BA" w:rsidRDefault="009B01BA">
      <w:pPr>
        <w:spacing w:line="360" w:lineRule="auto"/>
        <w:jc w:val="center"/>
        <w:rPr>
          <w:rFonts w:ascii="Arial" w:hAnsi="Arial" w:cs="Arial"/>
          <w:b/>
          <w:bCs/>
        </w:rPr>
      </w:pPr>
    </w:p>
    <w:p w14:paraId="39CD6927" w14:textId="77777777" w:rsidR="009B01BA" w:rsidRDefault="009B01BA">
      <w:pPr>
        <w:spacing w:line="360" w:lineRule="auto"/>
        <w:jc w:val="center"/>
        <w:rPr>
          <w:rFonts w:ascii="Arial" w:hAnsi="Arial" w:cs="Arial"/>
          <w:b/>
          <w:bCs/>
        </w:rPr>
      </w:pPr>
    </w:p>
    <w:p w14:paraId="1847C70D" w14:textId="77777777" w:rsidR="009B01BA" w:rsidRDefault="009B01BA">
      <w:pPr>
        <w:spacing w:line="360" w:lineRule="auto"/>
        <w:jc w:val="center"/>
        <w:rPr>
          <w:rFonts w:ascii="Arial" w:hAnsi="Arial" w:cs="Arial"/>
          <w:b/>
          <w:bCs/>
        </w:rPr>
      </w:pPr>
    </w:p>
    <w:p w14:paraId="14ABF4F3" w14:textId="77777777" w:rsidR="009B01BA" w:rsidRDefault="009B01BA">
      <w:pPr>
        <w:spacing w:line="360" w:lineRule="auto"/>
        <w:jc w:val="center"/>
        <w:rPr>
          <w:rFonts w:ascii="Arial" w:hAnsi="Arial" w:cs="Arial"/>
          <w:b/>
          <w:bCs/>
        </w:rPr>
      </w:pPr>
    </w:p>
    <w:p w14:paraId="23E0BCBC" w14:textId="77777777" w:rsidR="009B01BA" w:rsidRDefault="009B01BA">
      <w:pPr>
        <w:spacing w:line="360" w:lineRule="auto"/>
        <w:jc w:val="center"/>
        <w:rPr>
          <w:rFonts w:ascii="Arial" w:hAnsi="Arial" w:cs="Arial"/>
          <w:b/>
          <w:bCs/>
        </w:rPr>
      </w:pPr>
    </w:p>
    <w:p w14:paraId="7FB54372" w14:textId="77777777" w:rsidR="009B01BA" w:rsidRDefault="009B01BA">
      <w:pPr>
        <w:spacing w:line="360" w:lineRule="auto"/>
        <w:jc w:val="center"/>
        <w:rPr>
          <w:rFonts w:ascii="Arial" w:hAnsi="Arial" w:cs="Arial"/>
          <w:b/>
          <w:bCs/>
        </w:rPr>
      </w:pPr>
    </w:p>
    <w:p w14:paraId="67E973BC" w14:textId="77777777" w:rsidR="009B01BA" w:rsidRDefault="009B01BA">
      <w:pPr>
        <w:spacing w:line="360" w:lineRule="auto"/>
        <w:jc w:val="center"/>
        <w:rPr>
          <w:rFonts w:ascii="Arial" w:hAnsi="Arial" w:cs="Arial"/>
          <w:b/>
          <w:bCs/>
        </w:rPr>
      </w:pPr>
    </w:p>
    <w:p w14:paraId="0209CEF0" w14:textId="77777777" w:rsidR="009B01BA" w:rsidRDefault="009B01BA">
      <w:pPr>
        <w:spacing w:line="360" w:lineRule="auto"/>
        <w:jc w:val="center"/>
        <w:rPr>
          <w:rFonts w:ascii="Arial" w:hAnsi="Arial" w:cs="Arial"/>
          <w:b/>
          <w:bCs/>
        </w:rPr>
      </w:pPr>
    </w:p>
    <w:p w14:paraId="4D548648" w14:textId="77777777" w:rsidR="009B01BA" w:rsidRDefault="009B01BA">
      <w:pPr>
        <w:spacing w:line="360" w:lineRule="auto"/>
        <w:jc w:val="center"/>
        <w:rPr>
          <w:rFonts w:ascii="Arial" w:hAnsi="Arial" w:cs="Arial"/>
          <w:b/>
          <w:bCs/>
        </w:rPr>
      </w:pPr>
    </w:p>
    <w:p w14:paraId="3EB061BC" w14:textId="77777777" w:rsidR="009B01BA" w:rsidRDefault="009B01BA">
      <w:pPr>
        <w:spacing w:line="360" w:lineRule="auto"/>
        <w:jc w:val="center"/>
        <w:rPr>
          <w:rFonts w:ascii="Arial" w:hAnsi="Arial" w:cs="Arial"/>
          <w:b/>
          <w:bCs/>
        </w:rPr>
      </w:pPr>
    </w:p>
    <w:p w14:paraId="0FA23128" w14:textId="77777777" w:rsidR="009B01BA" w:rsidRDefault="009B01BA">
      <w:pPr>
        <w:spacing w:line="360" w:lineRule="auto"/>
        <w:jc w:val="center"/>
        <w:rPr>
          <w:rFonts w:ascii="Arial" w:hAnsi="Arial" w:cs="Arial"/>
          <w:b/>
          <w:bCs/>
        </w:rPr>
      </w:pPr>
    </w:p>
    <w:p w14:paraId="5C44866C" w14:textId="77777777" w:rsidR="009B01BA" w:rsidRDefault="009B01BA">
      <w:pPr>
        <w:spacing w:line="360" w:lineRule="auto"/>
        <w:jc w:val="center"/>
        <w:rPr>
          <w:rFonts w:ascii="Arial" w:hAnsi="Arial" w:cs="Arial"/>
          <w:b/>
          <w:bCs/>
        </w:rPr>
      </w:pPr>
    </w:p>
    <w:p w14:paraId="4BE5D498" w14:textId="77777777" w:rsidR="009B01BA" w:rsidRDefault="009B01BA">
      <w:pPr>
        <w:spacing w:line="360" w:lineRule="auto"/>
        <w:jc w:val="center"/>
        <w:rPr>
          <w:rFonts w:ascii="Arial" w:hAnsi="Arial" w:cs="Arial"/>
          <w:b/>
          <w:bCs/>
        </w:rPr>
      </w:pPr>
    </w:p>
    <w:p w14:paraId="4B19B29F" w14:textId="77777777" w:rsidR="009B01BA" w:rsidRDefault="009B01BA">
      <w:pPr>
        <w:spacing w:line="360" w:lineRule="auto"/>
        <w:jc w:val="center"/>
        <w:rPr>
          <w:rFonts w:ascii="Arial" w:hAnsi="Arial" w:cs="Arial"/>
          <w:b/>
          <w:bCs/>
        </w:rPr>
      </w:pPr>
    </w:p>
    <w:p w14:paraId="33E64AB7" w14:textId="77777777" w:rsidR="009B01BA" w:rsidRDefault="009B01BA">
      <w:pPr>
        <w:spacing w:line="360" w:lineRule="auto"/>
        <w:jc w:val="center"/>
        <w:rPr>
          <w:rFonts w:ascii="Arial" w:hAnsi="Arial" w:cs="Arial"/>
          <w:b/>
          <w:bCs/>
        </w:rPr>
      </w:pPr>
    </w:p>
    <w:p w14:paraId="24CD16DD" w14:textId="77777777" w:rsidR="009B01BA" w:rsidRDefault="009B01BA">
      <w:pPr>
        <w:spacing w:line="360" w:lineRule="auto"/>
        <w:jc w:val="center"/>
        <w:rPr>
          <w:rFonts w:ascii="Arial" w:hAnsi="Arial" w:cs="Arial"/>
          <w:b/>
          <w:bCs/>
        </w:rPr>
      </w:pPr>
    </w:p>
    <w:p w14:paraId="6AF2E197" w14:textId="77777777" w:rsidR="009B01BA" w:rsidRDefault="009E3CBF">
      <w:pPr>
        <w:pStyle w:val="TOCHeading"/>
      </w:pPr>
      <w:bookmarkStart w:id="0" w:name="_Toc212767957"/>
      <w:r>
        <w:lastRenderedPageBreak/>
        <w:t>Table of Contents</w:t>
      </w:r>
      <w:bookmarkEnd w:id="0"/>
    </w:p>
    <w:p w14:paraId="02C55EBC" w14:textId="77777777" w:rsidR="009B01BA" w:rsidRDefault="009E3CBF">
      <w:pPr>
        <w:pStyle w:val="TOC1"/>
        <w:tabs>
          <w:tab w:val="right" w:leader="dot" w:pos="9350"/>
        </w:tabs>
      </w:pPr>
      <w:r>
        <w:rPr>
          <w:rFonts w:ascii="Aptos Display" w:hAnsi="Aptos Display"/>
          <w:color w:val="0A2F41"/>
          <w:sz w:val="36"/>
          <w:szCs w:val="36"/>
        </w:rPr>
        <w:fldChar w:fldCharType="begin"/>
      </w:r>
      <w:r>
        <w:instrText xml:space="preserve"> TOC \o "1-3" \u \h </w:instrText>
      </w:r>
      <w:r>
        <w:rPr>
          <w:rFonts w:ascii="Aptos Display" w:hAnsi="Aptos Display"/>
          <w:color w:val="0A2F41"/>
          <w:sz w:val="36"/>
          <w:szCs w:val="36"/>
        </w:rPr>
        <w:fldChar w:fldCharType="separate"/>
      </w:r>
      <w:hyperlink w:anchor="_Toc212767957" w:history="1">
        <w:r>
          <w:rPr>
            <w:rStyle w:val="Hyperlink"/>
          </w:rPr>
          <w:t>Table of Contents</w:t>
        </w:r>
        <w:r>
          <w:tab/>
          <w:t>2</w:t>
        </w:r>
      </w:hyperlink>
    </w:p>
    <w:p w14:paraId="68D015F4" w14:textId="77777777" w:rsidR="009B01BA" w:rsidRDefault="009E3CBF">
      <w:pPr>
        <w:pStyle w:val="TOC2"/>
        <w:tabs>
          <w:tab w:val="right" w:leader="dot" w:pos="9350"/>
        </w:tabs>
      </w:pPr>
      <w:hyperlink w:anchor="_Toc212767958" w:history="1">
        <w:r>
          <w:rPr>
            <w:rStyle w:val="Hyperlink"/>
          </w:rPr>
          <w:t>DECLARATION</w:t>
        </w:r>
        <w:r>
          <w:tab/>
          <w:t>5</w:t>
        </w:r>
      </w:hyperlink>
    </w:p>
    <w:p w14:paraId="11E732AC" w14:textId="77777777" w:rsidR="009B01BA" w:rsidRDefault="009E3CBF">
      <w:pPr>
        <w:pStyle w:val="TOC2"/>
        <w:tabs>
          <w:tab w:val="right" w:leader="dot" w:pos="9350"/>
        </w:tabs>
      </w:pPr>
      <w:hyperlink w:anchor="_Toc212767959" w:history="1">
        <w:r>
          <w:rPr>
            <w:rStyle w:val="Hyperlink"/>
            <w:rFonts w:ascii="Arial" w:hAnsi="Arial" w:cs="Arial"/>
          </w:rPr>
          <w:t>CHAPTER 1: INTRODUCTION</w:t>
        </w:r>
        <w:r>
          <w:tab/>
          <w:t>6</w:t>
        </w:r>
      </w:hyperlink>
    </w:p>
    <w:p w14:paraId="6D8FB2B8" w14:textId="77777777" w:rsidR="009B01BA" w:rsidRDefault="009E3CBF">
      <w:pPr>
        <w:pStyle w:val="TOC3"/>
        <w:tabs>
          <w:tab w:val="right" w:leader="dot" w:pos="9350"/>
        </w:tabs>
      </w:pPr>
      <w:hyperlink w:anchor="_Toc212767960" w:history="1">
        <w:r>
          <w:rPr>
            <w:rStyle w:val="Hyperlink"/>
            <w:rFonts w:ascii="Arial" w:hAnsi="Arial" w:cs="Arial"/>
          </w:rPr>
          <w:t>1.1 Introduction</w:t>
        </w:r>
        <w:r>
          <w:tab/>
          <w:t>6</w:t>
        </w:r>
      </w:hyperlink>
    </w:p>
    <w:p w14:paraId="3CC82C90" w14:textId="77777777" w:rsidR="009B01BA" w:rsidRDefault="009E3CBF">
      <w:pPr>
        <w:pStyle w:val="TOC3"/>
        <w:tabs>
          <w:tab w:val="right" w:leader="dot" w:pos="9350"/>
        </w:tabs>
      </w:pPr>
      <w:hyperlink w:anchor="_Toc212767961" w:history="1">
        <w:r>
          <w:rPr>
            <w:rStyle w:val="Hyperlink"/>
            <w:rFonts w:ascii="Arial" w:hAnsi="Arial" w:cs="Arial"/>
          </w:rPr>
          <w:t>1.2 Background</w:t>
        </w:r>
        <w:r>
          <w:tab/>
          <w:t>6</w:t>
        </w:r>
      </w:hyperlink>
    </w:p>
    <w:p w14:paraId="6662638E" w14:textId="77777777" w:rsidR="009B01BA" w:rsidRDefault="009E3CBF">
      <w:pPr>
        <w:pStyle w:val="TOC3"/>
        <w:tabs>
          <w:tab w:val="right" w:leader="dot" w:pos="9350"/>
        </w:tabs>
      </w:pPr>
      <w:hyperlink w:anchor="_Toc212767962" w:history="1">
        <w:r>
          <w:rPr>
            <w:rStyle w:val="Hyperlink"/>
            <w:rFonts w:ascii="Arial" w:hAnsi="Arial" w:cs="Arial"/>
          </w:rPr>
          <w:t>1.3 Research Aim</w:t>
        </w:r>
        <w:r>
          <w:tab/>
          <w:t>7</w:t>
        </w:r>
      </w:hyperlink>
    </w:p>
    <w:p w14:paraId="67923738" w14:textId="77777777" w:rsidR="009B01BA" w:rsidRDefault="009E3CBF">
      <w:pPr>
        <w:pStyle w:val="TOC3"/>
        <w:tabs>
          <w:tab w:val="right" w:leader="dot" w:pos="9350"/>
        </w:tabs>
      </w:pPr>
      <w:hyperlink w:anchor="_Toc212767963" w:history="1">
        <w:r>
          <w:rPr>
            <w:rStyle w:val="Hyperlink"/>
            <w:rFonts w:ascii="Arial" w:hAnsi="Arial" w:cs="Arial"/>
          </w:rPr>
          <w:t>1.4 Research Objectives</w:t>
        </w:r>
        <w:r>
          <w:tab/>
          <w:t>7</w:t>
        </w:r>
      </w:hyperlink>
    </w:p>
    <w:p w14:paraId="6F5D4A1D" w14:textId="77777777" w:rsidR="009B01BA" w:rsidRDefault="009E3CBF">
      <w:pPr>
        <w:pStyle w:val="TOC3"/>
        <w:tabs>
          <w:tab w:val="right" w:leader="dot" w:pos="9350"/>
        </w:tabs>
      </w:pPr>
      <w:hyperlink w:anchor="_Toc212767964" w:history="1">
        <w:r>
          <w:rPr>
            <w:rStyle w:val="Hyperlink"/>
            <w:rFonts w:ascii="Arial" w:hAnsi="Arial" w:cs="Arial"/>
          </w:rPr>
          <w:t>1.5 Research Questions</w:t>
        </w:r>
        <w:r>
          <w:tab/>
          <w:t>7</w:t>
        </w:r>
      </w:hyperlink>
    </w:p>
    <w:p w14:paraId="68F13484" w14:textId="77777777" w:rsidR="009B01BA" w:rsidRDefault="009E3CBF">
      <w:pPr>
        <w:pStyle w:val="TOC3"/>
        <w:tabs>
          <w:tab w:val="right" w:leader="dot" w:pos="9350"/>
        </w:tabs>
      </w:pPr>
      <w:hyperlink w:anchor="_Toc212767965" w:history="1">
        <w:r>
          <w:rPr>
            <w:rStyle w:val="Hyperlink"/>
            <w:rFonts w:ascii="Arial" w:hAnsi="Arial" w:cs="Arial"/>
          </w:rPr>
          <w:t>1.6 Research Type</w:t>
        </w:r>
        <w:r>
          <w:tab/>
          <w:t>8</w:t>
        </w:r>
      </w:hyperlink>
    </w:p>
    <w:p w14:paraId="0878A112" w14:textId="77777777" w:rsidR="009B01BA" w:rsidRDefault="009E3CBF">
      <w:pPr>
        <w:pStyle w:val="TOC3"/>
        <w:tabs>
          <w:tab w:val="right" w:leader="dot" w:pos="9350"/>
        </w:tabs>
      </w:pPr>
      <w:hyperlink w:anchor="_Toc212767966" w:history="1">
        <w:r>
          <w:rPr>
            <w:rStyle w:val="Hyperlink"/>
            <w:rFonts w:ascii="Arial" w:hAnsi="Arial" w:cs="Arial"/>
          </w:rPr>
          <w:t>1.7 Rationale of the Study</w:t>
        </w:r>
        <w:r>
          <w:tab/>
          <w:t>8</w:t>
        </w:r>
      </w:hyperlink>
    </w:p>
    <w:p w14:paraId="16C7DF59" w14:textId="77777777" w:rsidR="009B01BA" w:rsidRDefault="009E3CBF">
      <w:pPr>
        <w:pStyle w:val="TOC3"/>
        <w:tabs>
          <w:tab w:val="right" w:leader="dot" w:pos="9350"/>
        </w:tabs>
      </w:pPr>
      <w:hyperlink w:anchor="_Toc212767967" w:history="1">
        <w:r>
          <w:rPr>
            <w:rStyle w:val="Hyperlink"/>
            <w:rFonts w:ascii="Arial" w:hAnsi="Arial" w:cs="Arial"/>
          </w:rPr>
          <w:t>1.8 Structure of the Dissertation</w:t>
        </w:r>
        <w:r>
          <w:tab/>
          <w:t>9</w:t>
        </w:r>
      </w:hyperlink>
    </w:p>
    <w:p w14:paraId="0CD00877" w14:textId="77777777" w:rsidR="009B01BA" w:rsidRDefault="009E3CBF">
      <w:pPr>
        <w:pStyle w:val="TOC2"/>
        <w:tabs>
          <w:tab w:val="right" w:leader="dot" w:pos="9350"/>
        </w:tabs>
      </w:pPr>
      <w:hyperlink w:anchor="_Toc212767968" w:history="1">
        <w:r>
          <w:rPr>
            <w:rStyle w:val="Hyperlink"/>
            <w:rFonts w:ascii="Arial" w:hAnsi="Arial" w:cs="Arial"/>
          </w:rPr>
          <w:t>CHAPTER 2: LITERATURE REVIEW</w:t>
        </w:r>
        <w:r>
          <w:tab/>
          <w:t>9</w:t>
        </w:r>
      </w:hyperlink>
    </w:p>
    <w:p w14:paraId="23E17A60" w14:textId="77777777" w:rsidR="009B01BA" w:rsidRDefault="009E3CBF">
      <w:pPr>
        <w:pStyle w:val="TOC3"/>
        <w:tabs>
          <w:tab w:val="right" w:leader="dot" w:pos="9350"/>
        </w:tabs>
      </w:pPr>
      <w:hyperlink w:anchor="_Toc212767969" w:history="1">
        <w:r>
          <w:rPr>
            <w:rStyle w:val="Hyperlink"/>
            <w:rFonts w:ascii="Arial" w:hAnsi="Arial" w:cs="Arial"/>
          </w:rPr>
          <w:t>2.1 Introduction</w:t>
        </w:r>
        <w:r>
          <w:tab/>
          <w:t>9</w:t>
        </w:r>
      </w:hyperlink>
    </w:p>
    <w:p w14:paraId="1C2070BF" w14:textId="77777777" w:rsidR="009B01BA" w:rsidRDefault="009E3CBF">
      <w:pPr>
        <w:pStyle w:val="TOC3"/>
        <w:tabs>
          <w:tab w:val="right" w:leader="dot" w:pos="9350"/>
        </w:tabs>
      </w:pPr>
      <w:hyperlink w:anchor="_Toc212767970" w:history="1">
        <w:r>
          <w:rPr>
            <w:rStyle w:val="Hyperlink"/>
            <w:rFonts w:ascii="Arial" w:hAnsi="Arial" w:cs="Arial"/>
          </w:rPr>
          <w:t>2.2 Theoretical Foundations of Supply Chain Management</w:t>
        </w:r>
        <w:r>
          <w:tab/>
          <w:t>9</w:t>
        </w:r>
      </w:hyperlink>
    </w:p>
    <w:p w14:paraId="239207E2" w14:textId="77777777" w:rsidR="009B01BA" w:rsidRDefault="009E3CBF">
      <w:pPr>
        <w:pStyle w:val="TOC3"/>
        <w:tabs>
          <w:tab w:val="right" w:leader="dot" w:pos="9350"/>
        </w:tabs>
      </w:pPr>
      <w:hyperlink w:anchor="_Toc212767971" w:history="1">
        <w:r>
          <w:rPr>
            <w:rStyle w:val="Hyperlink"/>
            <w:rFonts w:ascii="Arial" w:hAnsi="Arial" w:cs="Arial"/>
          </w:rPr>
          <w:t>2.3 Apple’s Global Supply Chain Model</w:t>
        </w:r>
        <w:r>
          <w:tab/>
          <w:t>10</w:t>
        </w:r>
      </w:hyperlink>
    </w:p>
    <w:p w14:paraId="3445414B" w14:textId="77777777" w:rsidR="009B01BA" w:rsidRDefault="009E3CBF">
      <w:pPr>
        <w:pStyle w:val="TOC3"/>
        <w:tabs>
          <w:tab w:val="right" w:leader="dot" w:pos="9350"/>
        </w:tabs>
      </w:pPr>
      <w:hyperlink w:anchor="_Toc212767972" w:history="1">
        <w:r>
          <w:rPr>
            <w:rStyle w:val="Hyperlink"/>
            <w:rFonts w:ascii="Arial" w:hAnsi="Arial" w:cs="Arial"/>
          </w:rPr>
          <w:t>2.4 Global Supply Chain Challenges Affecting Apple Inc.</w:t>
        </w:r>
        <w:r>
          <w:tab/>
          <w:t>11</w:t>
        </w:r>
      </w:hyperlink>
    </w:p>
    <w:p w14:paraId="5FE6AC11" w14:textId="77777777" w:rsidR="009B01BA" w:rsidRDefault="009E3CBF">
      <w:pPr>
        <w:pStyle w:val="TOC3"/>
        <w:tabs>
          <w:tab w:val="right" w:leader="dot" w:pos="9350"/>
        </w:tabs>
      </w:pPr>
      <w:hyperlink w:anchor="_Toc212767973" w:history="1">
        <w:r>
          <w:rPr>
            <w:rStyle w:val="Hyperlink"/>
            <w:rFonts w:ascii="Arial" w:hAnsi="Arial" w:cs="Arial"/>
          </w:rPr>
          <w:t>2.4.1 COVID-19 Pandemic</w:t>
        </w:r>
        <w:r>
          <w:tab/>
          <w:t>11</w:t>
        </w:r>
      </w:hyperlink>
    </w:p>
    <w:p w14:paraId="2F63EF81" w14:textId="77777777" w:rsidR="009B01BA" w:rsidRDefault="009E3CBF">
      <w:pPr>
        <w:pStyle w:val="TOC3"/>
        <w:tabs>
          <w:tab w:val="right" w:leader="dot" w:pos="9350"/>
        </w:tabs>
      </w:pPr>
      <w:hyperlink w:anchor="_Toc212767974" w:history="1">
        <w:r>
          <w:rPr>
            <w:rStyle w:val="Hyperlink"/>
            <w:rFonts w:ascii="Arial" w:hAnsi="Arial" w:cs="Arial"/>
          </w:rPr>
          <w:t>2.4.2 Geopolitical Tensions</w:t>
        </w:r>
        <w:r>
          <w:tab/>
          <w:t>12</w:t>
        </w:r>
      </w:hyperlink>
    </w:p>
    <w:p w14:paraId="27E7EDD9" w14:textId="77777777" w:rsidR="009B01BA" w:rsidRDefault="009E3CBF">
      <w:pPr>
        <w:pStyle w:val="TOC3"/>
        <w:tabs>
          <w:tab w:val="right" w:leader="dot" w:pos="9350"/>
        </w:tabs>
      </w:pPr>
      <w:hyperlink w:anchor="_Toc212767975" w:history="1">
        <w:r>
          <w:rPr>
            <w:rStyle w:val="Hyperlink"/>
            <w:rFonts w:ascii="Arial" w:hAnsi="Arial" w:cs="Arial"/>
          </w:rPr>
          <w:t>2.4.3 Environmental and Ethical Pressures</w:t>
        </w:r>
        <w:r>
          <w:tab/>
          <w:t>12</w:t>
        </w:r>
      </w:hyperlink>
    </w:p>
    <w:p w14:paraId="079C6A56" w14:textId="77777777" w:rsidR="009B01BA" w:rsidRDefault="009E3CBF">
      <w:pPr>
        <w:pStyle w:val="TOC3"/>
        <w:tabs>
          <w:tab w:val="right" w:leader="dot" w:pos="9350"/>
        </w:tabs>
      </w:pPr>
      <w:hyperlink w:anchor="_Toc212767976" w:history="1">
        <w:r>
          <w:rPr>
            <w:rStyle w:val="Hyperlink"/>
            <w:rFonts w:ascii="Arial" w:hAnsi="Arial" w:cs="Arial"/>
          </w:rPr>
          <w:t>2.4.4 Technological Complexity and Innovation Pressure</w:t>
        </w:r>
        <w:r>
          <w:tab/>
          <w:t>12</w:t>
        </w:r>
      </w:hyperlink>
    </w:p>
    <w:p w14:paraId="16A82A2E" w14:textId="77777777" w:rsidR="009B01BA" w:rsidRDefault="009E3CBF">
      <w:pPr>
        <w:pStyle w:val="TOC3"/>
        <w:tabs>
          <w:tab w:val="right" w:leader="dot" w:pos="9350"/>
        </w:tabs>
      </w:pPr>
      <w:hyperlink w:anchor="_Toc212767977" w:history="1">
        <w:r>
          <w:rPr>
            <w:rStyle w:val="Hyperlink"/>
            <w:rFonts w:ascii="Arial" w:hAnsi="Arial" w:cs="Arial"/>
          </w:rPr>
          <w:t>2.5 Apple’s Strategic Responses to Supply Chain Challenges</w:t>
        </w:r>
        <w:r>
          <w:tab/>
          <w:t>14</w:t>
        </w:r>
      </w:hyperlink>
    </w:p>
    <w:p w14:paraId="4C66DE62" w14:textId="77777777" w:rsidR="009B01BA" w:rsidRDefault="009E3CBF">
      <w:pPr>
        <w:pStyle w:val="TOC3"/>
        <w:tabs>
          <w:tab w:val="right" w:leader="dot" w:pos="9350"/>
        </w:tabs>
      </w:pPr>
      <w:hyperlink w:anchor="_Toc212767978" w:history="1">
        <w:r>
          <w:rPr>
            <w:rStyle w:val="Hyperlink"/>
            <w:rFonts w:ascii="Arial" w:hAnsi="Arial" w:cs="Arial"/>
          </w:rPr>
          <w:t>2.5.1 Supplier Diversification</w:t>
        </w:r>
        <w:r>
          <w:tab/>
          <w:t>14</w:t>
        </w:r>
      </w:hyperlink>
    </w:p>
    <w:p w14:paraId="216E2DDF" w14:textId="77777777" w:rsidR="009B01BA" w:rsidRDefault="009E3CBF">
      <w:pPr>
        <w:pStyle w:val="TOC3"/>
        <w:tabs>
          <w:tab w:val="right" w:leader="dot" w:pos="9350"/>
        </w:tabs>
      </w:pPr>
      <w:hyperlink w:anchor="_Toc212767979" w:history="1">
        <w:r>
          <w:rPr>
            <w:rStyle w:val="Hyperlink"/>
            <w:rFonts w:ascii="Arial" w:hAnsi="Arial" w:cs="Arial"/>
          </w:rPr>
          <w:t>2.5.2 Investment in Sustainability</w:t>
        </w:r>
        <w:r>
          <w:tab/>
          <w:t>14</w:t>
        </w:r>
      </w:hyperlink>
    </w:p>
    <w:p w14:paraId="1AE27671" w14:textId="77777777" w:rsidR="009B01BA" w:rsidRDefault="009E3CBF">
      <w:pPr>
        <w:pStyle w:val="TOC3"/>
        <w:tabs>
          <w:tab w:val="right" w:leader="dot" w:pos="9350"/>
        </w:tabs>
      </w:pPr>
      <w:hyperlink w:anchor="_Toc212767980" w:history="1">
        <w:r>
          <w:rPr>
            <w:rStyle w:val="Hyperlink"/>
            <w:rFonts w:ascii="Arial" w:hAnsi="Arial" w:cs="Arial"/>
          </w:rPr>
          <w:t>2.5.3 Technological Innovation and Digital Integration</w:t>
        </w:r>
        <w:r>
          <w:tab/>
          <w:t>14</w:t>
        </w:r>
      </w:hyperlink>
    </w:p>
    <w:p w14:paraId="7CE689E4" w14:textId="77777777" w:rsidR="009B01BA" w:rsidRDefault="009E3CBF">
      <w:pPr>
        <w:pStyle w:val="TOC3"/>
        <w:tabs>
          <w:tab w:val="right" w:leader="dot" w:pos="9350"/>
        </w:tabs>
      </w:pPr>
      <w:hyperlink w:anchor="_Toc212767981" w:history="1">
        <w:r>
          <w:rPr>
            <w:rStyle w:val="Hyperlink"/>
            <w:rFonts w:ascii="Arial" w:hAnsi="Arial" w:cs="Arial"/>
          </w:rPr>
          <w:t>2.5.4 Strategic Partnerships and Vertical Integration</w:t>
        </w:r>
        <w:r>
          <w:tab/>
          <w:t>15</w:t>
        </w:r>
      </w:hyperlink>
    </w:p>
    <w:p w14:paraId="3344DC8D" w14:textId="77777777" w:rsidR="009B01BA" w:rsidRDefault="009E3CBF">
      <w:pPr>
        <w:pStyle w:val="TOC3"/>
        <w:tabs>
          <w:tab w:val="right" w:leader="dot" w:pos="9350"/>
        </w:tabs>
      </w:pPr>
      <w:hyperlink w:anchor="_Toc212767982" w:history="1">
        <w:r>
          <w:rPr>
            <w:rStyle w:val="Hyperlink"/>
            <w:rFonts w:ascii="Arial" w:hAnsi="Arial" w:cs="Arial"/>
          </w:rPr>
          <w:t>2.6 Conceptual Framework</w:t>
        </w:r>
        <w:r>
          <w:tab/>
          <w:t>16</w:t>
        </w:r>
      </w:hyperlink>
    </w:p>
    <w:p w14:paraId="73CDD646" w14:textId="77777777" w:rsidR="009B01BA" w:rsidRDefault="009E3CBF">
      <w:pPr>
        <w:pStyle w:val="TOC2"/>
        <w:tabs>
          <w:tab w:val="right" w:leader="dot" w:pos="9350"/>
        </w:tabs>
      </w:pPr>
      <w:hyperlink w:anchor="_Toc212767983" w:history="1">
        <w:r>
          <w:rPr>
            <w:rStyle w:val="Hyperlink"/>
            <w:rFonts w:ascii="Arial" w:hAnsi="Arial" w:cs="Arial"/>
          </w:rPr>
          <w:t>CHAPTER 3: METHODOLOGY</w:t>
        </w:r>
        <w:r>
          <w:tab/>
          <w:t>16</w:t>
        </w:r>
      </w:hyperlink>
    </w:p>
    <w:p w14:paraId="3AA23F74" w14:textId="77777777" w:rsidR="009B01BA" w:rsidRDefault="009E3CBF">
      <w:pPr>
        <w:pStyle w:val="TOC3"/>
        <w:tabs>
          <w:tab w:val="right" w:leader="dot" w:pos="9350"/>
        </w:tabs>
      </w:pPr>
      <w:hyperlink w:anchor="_Toc212767984" w:history="1">
        <w:r>
          <w:rPr>
            <w:rStyle w:val="Hyperlink"/>
            <w:rFonts w:ascii="Arial" w:hAnsi="Arial" w:cs="Arial"/>
          </w:rPr>
          <w:t>3.1 Systematic Literature Review (SLR)</w:t>
        </w:r>
        <w:r>
          <w:tab/>
          <w:t>16</w:t>
        </w:r>
      </w:hyperlink>
    </w:p>
    <w:p w14:paraId="7D692113" w14:textId="77777777" w:rsidR="009B01BA" w:rsidRDefault="009E3CBF">
      <w:pPr>
        <w:pStyle w:val="TOC3"/>
        <w:tabs>
          <w:tab w:val="right" w:leader="dot" w:pos="9350"/>
        </w:tabs>
      </w:pPr>
      <w:hyperlink w:anchor="_Toc212767985" w:history="1">
        <w:r>
          <w:rPr>
            <w:rStyle w:val="Hyperlink"/>
            <w:rFonts w:ascii="Arial" w:hAnsi="Arial" w:cs="Arial"/>
          </w:rPr>
          <w:t>3.2 Search Strategy</w:t>
        </w:r>
        <w:r>
          <w:tab/>
          <w:t>17</w:t>
        </w:r>
      </w:hyperlink>
    </w:p>
    <w:p w14:paraId="4526D13C" w14:textId="77777777" w:rsidR="009B01BA" w:rsidRDefault="009E3CBF">
      <w:pPr>
        <w:pStyle w:val="TOC3"/>
        <w:tabs>
          <w:tab w:val="right" w:leader="dot" w:pos="9350"/>
        </w:tabs>
      </w:pPr>
      <w:hyperlink w:anchor="_Toc212767986" w:history="1">
        <w:r>
          <w:rPr>
            <w:rStyle w:val="Hyperlink"/>
            <w:rFonts w:ascii="Arial" w:hAnsi="Arial" w:cs="Arial"/>
          </w:rPr>
          <w:t>3.3 Search Terms</w:t>
        </w:r>
        <w:r>
          <w:tab/>
          <w:t>17</w:t>
        </w:r>
      </w:hyperlink>
    </w:p>
    <w:p w14:paraId="7D35C408" w14:textId="77777777" w:rsidR="009B01BA" w:rsidRDefault="009E3CBF">
      <w:pPr>
        <w:pStyle w:val="TOC3"/>
        <w:tabs>
          <w:tab w:val="right" w:leader="dot" w:pos="9350"/>
        </w:tabs>
      </w:pPr>
      <w:hyperlink w:anchor="_Toc212767987" w:history="1">
        <w:r>
          <w:rPr>
            <w:rStyle w:val="Hyperlink"/>
            <w:rFonts w:ascii="Arial" w:hAnsi="Arial" w:cs="Arial"/>
          </w:rPr>
          <w:t>3.4 Keywords</w:t>
        </w:r>
        <w:r>
          <w:tab/>
          <w:t>18</w:t>
        </w:r>
      </w:hyperlink>
    </w:p>
    <w:p w14:paraId="12AE73ED" w14:textId="77777777" w:rsidR="009B01BA" w:rsidRDefault="009E3CBF">
      <w:pPr>
        <w:pStyle w:val="TOC3"/>
        <w:tabs>
          <w:tab w:val="right" w:leader="dot" w:pos="9350"/>
        </w:tabs>
      </w:pPr>
      <w:hyperlink w:anchor="_Toc212767988" w:history="1">
        <w:r>
          <w:rPr>
            <w:rStyle w:val="Hyperlink"/>
            <w:rFonts w:ascii="Arial" w:hAnsi="Arial" w:cs="Arial"/>
          </w:rPr>
          <w:t>3.5 Databases</w:t>
        </w:r>
        <w:r>
          <w:tab/>
          <w:t>18</w:t>
        </w:r>
      </w:hyperlink>
    </w:p>
    <w:p w14:paraId="49A1F8E1" w14:textId="77777777" w:rsidR="009B01BA" w:rsidRDefault="009E3CBF">
      <w:pPr>
        <w:pStyle w:val="TOC3"/>
        <w:tabs>
          <w:tab w:val="right" w:leader="dot" w:pos="9350"/>
        </w:tabs>
      </w:pPr>
      <w:hyperlink w:anchor="_Toc212767989" w:history="1">
        <w:r>
          <w:rPr>
            <w:rStyle w:val="Hyperlink"/>
            <w:rFonts w:ascii="Arial" w:hAnsi="Arial" w:cs="Arial"/>
          </w:rPr>
          <w:t>3.6 Inclusion and Exclusion Criteria</w:t>
        </w:r>
        <w:r>
          <w:tab/>
          <w:t>18</w:t>
        </w:r>
      </w:hyperlink>
    </w:p>
    <w:p w14:paraId="65D5A8E7" w14:textId="77777777" w:rsidR="009B01BA" w:rsidRDefault="009E3CBF">
      <w:pPr>
        <w:pStyle w:val="TOC3"/>
        <w:tabs>
          <w:tab w:val="right" w:leader="dot" w:pos="9350"/>
        </w:tabs>
      </w:pPr>
      <w:hyperlink w:anchor="_Toc212767990" w:history="1">
        <w:r>
          <w:rPr>
            <w:rStyle w:val="Hyperlink"/>
            <w:rFonts w:ascii="Arial" w:hAnsi="Arial" w:cs="Arial"/>
          </w:rPr>
          <w:t>3.6.1 Inclusion Criteria</w:t>
        </w:r>
        <w:r>
          <w:tab/>
          <w:t>19</w:t>
        </w:r>
      </w:hyperlink>
    </w:p>
    <w:p w14:paraId="50BD859A" w14:textId="77777777" w:rsidR="009B01BA" w:rsidRDefault="009E3CBF">
      <w:pPr>
        <w:pStyle w:val="TOC3"/>
        <w:tabs>
          <w:tab w:val="right" w:leader="dot" w:pos="9350"/>
        </w:tabs>
      </w:pPr>
      <w:hyperlink w:anchor="_Toc212767991" w:history="1">
        <w:r>
          <w:rPr>
            <w:rStyle w:val="Hyperlink"/>
            <w:rFonts w:ascii="Arial" w:hAnsi="Arial" w:cs="Arial"/>
          </w:rPr>
          <w:t>3.6.2 Exclusion Criteria</w:t>
        </w:r>
        <w:r>
          <w:tab/>
          <w:t>19</w:t>
        </w:r>
      </w:hyperlink>
    </w:p>
    <w:p w14:paraId="11BB3D10" w14:textId="77777777" w:rsidR="009B01BA" w:rsidRDefault="009E3CBF">
      <w:pPr>
        <w:pStyle w:val="TOC3"/>
        <w:tabs>
          <w:tab w:val="right" w:leader="dot" w:pos="9350"/>
        </w:tabs>
      </w:pPr>
      <w:hyperlink w:anchor="_Toc212767992" w:history="1">
        <w:r>
          <w:rPr>
            <w:rStyle w:val="Hyperlink"/>
            <w:rFonts w:ascii="Arial" w:hAnsi="Arial" w:cs="Arial"/>
          </w:rPr>
          <w:t>3.7 Search Results</w:t>
        </w:r>
        <w:r>
          <w:tab/>
          <w:t>19</w:t>
        </w:r>
      </w:hyperlink>
    </w:p>
    <w:p w14:paraId="572259AA" w14:textId="77777777" w:rsidR="009B01BA" w:rsidRDefault="009E3CBF">
      <w:pPr>
        <w:pStyle w:val="TOC3"/>
        <w:tabs>
          <w:tab w:val="right" w:leader="dot" w:pos="9350"/>
        </w:tabs>
      </w:pPr>
      <w:hyperlink w:anchor="_Toc212767993" w:history="1">
        <w:r>
          <w:rPr>
            <w:rStyle w:val="Hyperlink"/>
            <w:rFonts w:ascii="Arial" w:hAnsi="Arial" w:cs="Arial"/>
          </w:rPr>
          <w:t>3.8 Ethical Considerations</w:t>
        </w:r>
        <w:r>
          <w:tab/>
          <w:t>20</w:t>
        </w:r>
      </w:hyperlink>
    </w:p>
    <w:p w14:paraId="5BD6BA34" w14:textId="77777777" w:rsidR="009B01BA" w:rsidRDefault="009E3CBF">
      <w:pPr>
        <w:pStyle w:val="TOC2"/>
        <w:tabs>
          <w:tab w:val="right" w:leader="dot" w:pos="9350"/>
        </w:tabs>
      </w:pPr>
      <w:hyperlink w:anchor="_Toc212767994" w:history="1">
        <w:r>
          <w:rPr>
            <w:rStyle w:val="Hyperlink"/>
            <w:rFonts w:ascii="Arial" w:hAnsi="Arial" w:cs="Arial"/>
          </w:rPr>
          <w:t>CHAPTER 4: FINDINGS AND DISCUSSION</w:t>
        </w:r>
        <w:r>
          <w:tab/>
          <w:t>20</w:t>
        </w:r>
      </w:hyperlink>
    </w:p>
    <w:p w14:paraId="57B248DC" w14:textId="77777777" w:rsidR="009B01BA" w:rsidRDefault="009E3CBF">
      <w:pPr>
        <w:pStyle w:val="TOC3"/>
        <w:tabs>
          <w:tab w:val="right" w:leader="dot" w:pos="9350"/>
        </w:tabs>
      </w:pPr>
      <w:hyperlink w:anchor="_Toc212767995" w:history="1">
        <w:r>
          <w:rPr>
            <w:rStyle w:val="Hyperlink"/>
            <w:rFonts w:ascii="Arial" w:hAnsi="Arial" w:cs="Arial"/>
          </w:rPr>
          <w:t>4.1 Introduction</w:t>
        </w:r>
        <w:r>
          <w:tab/>
          <w:t>20</w:t>
        </w:r>
      </w:hyperlink>
    </w:p>
    <w:p w14:paraId="6DA2164E" w14:textId="77777777" w:rsidR="009B01BA" w:rsidRDefault="009E3CBF">
      <w:pPr>
        <w:pStyle w:val="TOC2"/>
        <w:tabs>
          <w:tab w:val="right" w:leader="dot" w:pos="9350"/>
        </w:tabs>
      </w:pPr>
      <w:hyperlink w:anchor="_Toc212767996" w:history="1">
        <w:r>
          <w:rPr>
            <w:rStyle w:val="Hyperlink"/>
            <w:rFonts w:ascii="Arial" w:hAnsi="Arial" w:cs="Arial"/>
          </w:rPr>
          <w:t>4.2 Global Supply Chain Disruptions, Concentration, and Vulnerability</w:t>
        </w:r>
        <w:r>
          <w:tab/>
          <w:t>21</w:t>
        </w:r>
      </w:hyperlink>
    </w:p>
    <w:p w14:paraId="7E3EAE3C" w14:textId="77777777" w:rsidR="009B01BA" w:rsidRDefault="009E3CBF">
      <w:pPr>
        <w:pStyle w:val="TOC3"/>
        <w:tabs>
          <w:tab w:val="right" w:leader="dot" w:pos="9350"/>
        </w:tabs>
      </w:pPr>
      <w:hyperlink w:anchor="_Toc212767997" w:history="1">
        <w:r>
          <w:rPr>
            <w:rStyle w:val="Hyperlink"/>
            <w:rFonts w:ascii="Arial" w:hAnsi="Arial" w:cs="Arial"/>
          </w:rPr>
          <w:t>4.2.1 Dependency on Concentrated Regions and Suppliers</w:t>
        </w:r>
        <w:r>
          <w:tab/>
          <w:t>21</w:t>
        </w:r>
      </w:hyperlink>
    </w:p>
    <w:p w14:paraId="45AF3666" w14:textId="77777777" w:rsidR="009B01BA" w:rsidRDefault="009E3CBF">
      <w:pPr>
        <w:pStyle w:val="TOC3"/>
        <w:tabs>
          <w:tab w:val="right" w:leader="dot" w:pos="9350"/>
        </w:tabs>
      </w:pPr>
      <w:hyperlink w:anchor="_Toc212767998" w:history="1">
        <w:r>
          <w:rPr>
            <w:rStyle w:val="Hyperlink"/>
            <w:rFonts w:ascii="Arial" w:hAnsi="Arial" w:cs="Arial"/>
          </w:rPr>
          <w:t>4.2.2 COVID-19 and Shock Propagation</w:t>
        </w:r>
        <w:r>
          <w:tab/>
          <w:t>22</w:t>
        </w:r>
      </w:hyperlink>
    </w:p>
    <w:p w14:paraId="6DC6B19B" w14:textId="77777777" w:rsidR="009B01BA" w:rsidRDefault="009E3CBF">
      <w:pPr>
        <w:pStyle w:val="TOC3"/>
        <w:tabs>
          <w:tab w:val="right" w:leader="dot" w:pos="9350"/>
        </w:tabs>
      </w:pPr>
      <w:hyperlink w:anchor="_Toc212767999" w:history="1">
        <w:r>
          <w:rPr>
            <w:rStyle w:val="Hyperlink"/>
            <w:rFonts w:ascii="Arial" w:hAnsi="Arial" w:cs="Arial"/>
          </w:rPr>
          <w:t>4.2.3 Geopolitical Risks, Tariffs, and Trade Volatility</w:t>
        </w:r>
        <w:r>
          <w:tab/>
          <w:t>23</w:t>
        </w:r>
      </w:hyperlink>
    </w:p>
    <w:p w14:paraId="7A987D3E" w14:textId="77777777" w:rsidR="009B01BA" w:rsidRDefault="009E3CBF">
      <w:pPr>
        <w:pStyle w:val="TOC3"/>
        <w:tabs>
          <w:tab w:val="right" w:leader="dot" w:pos="9350"/>
        </w:tabs>
      </w:pPr>
      <w:hyperlink w:anchor="_Toc212768000" w:history="1">
        <w:r>
          <w:rPr>
            <w:rStyle w:val="Hyperlink"/>
            <w:rFonts w:ascii="Arial" w:hAnsi="Arial" w:cs="Arial"/>
          </w:rPr>
          <w:t>4.2.4 The Efficiency–Resilience Trade-Off</w:t>
        </w:r>
        <w:r>
          <w:tab/>
          <w:t>24</w:t>
        </w:r>
      </w:hyperlink>
    </w:p>
    <w:p w14:paraId="4709B021" w14:textId="77777777" w:rsidR="009B01BA" w:rsidRDefault="009E3CBF">
      <w:pPr>
        <w:pStyle w:val="TOC3"/>
        <w:tabs>
          <w:tab w:val="right" w:leader="dot" w:pos="9350"/>
        </w:tabs>
      </w:pPr>
      <w:hyperlink w:anchor="_Toc212768001" w:history="1">
        <w:r>
          <w:rPr>
            <w:rStyle w:val="Hyperlink"/>
            <w:rFonts w:ascii="Arial" w:hAnsi="Arial" w:cs="Arial"/>
          </w:rPr>
          <w:t>4.3 Supplier Diversification, Regionalisation, and Governance</w:t>
        </w:r>
        <w:r>
          <w:tab/>
          <w:t>25</w:t>
        </w:r>
      </w:hyperlink>
    </w:p>
    <w:p w14:paraId="59B6BE86" w14:textId="77777777" w:rsidR="009B01BA" w:rsidRDefault="009E3CBF">
      <w:pPr>
        <w:pStyle w:val="TOC3"/>
        <w:tabs>
          <w:tab w:val="right" w:leader="dot" w:pos="9350"/>
        </w:tabs>
      </w:pPr>
      <w:hyperlink w:anchor="_Toc212768002" w:history="1">
        <w:r>
          <w:rPr>
            <w:rStyle w:val="Hyperlink"/>
            <w:rFonts w:ascii="Arial" w:hAnsi="Arial" w:cs="Arial"/>
          </w:rPr>
          <w:t>4.3.1 Geographic Diversification and the “China+1” Strategy</w:t>
        </w:r>
        <w:r>
          <w:tab/>
          <w:t>25</w:t>
        </w:r>
      </w:hyperlink>
    </w:p>
    <w:p w14:paraId="52B80108" w14:textId="77777777" w:rsidR="009B01BA" w:rsidRDefault="009E3CBF">
      <w:pPr>
        <w:pStyle w:val="TOC3"/>
        <w:tabs>
          <w:tab w:val="right" w:leader="dot" w:pos="9350"/>
        </w:tabs>
      </w:pPr>
      <w:hyperlink w:anchor="_Toc212768003" w:history="1">
        <w:r>
          <w:rPr>
            <w:rStyle w:val="Hyperlink"/>
          </w:rPr>
          <w:t>4.3.2 Supplier Governance, Auditing, and Ethical Compliance</w:t>
        </w:r>
        <w:r>
          <w:tab/>
          <w:t>26</w:t>
        </w:r>
      </w:hyperlink>
    </w:p>
    <w:p w14:paraId="780C6E63" w14:textId="77777777" w:rsidR="009B01BA" w:rsidRDefault="009E3CBF">
      <w:pPr>
        <w:pStyle w:val="TOC3"/>
        <w:tabs>
          <w:tab w:val="right" w:leader="dot" w:pos="9350"/>
        </w:tabs>
      </w:pPr>
      <w:hyperlink w:anchor="_Toc212768004" w:history="1">
        <w:r>
          <w:rPr>
            <w:rStyle w:val="Hyperlink"/>
            <w:rFonts w:ascii="Arial" w:hAnsi="Arial" w:cs="Arial"/>
          </w:rPr>
          <w:t>4.3.3 Collaboration and Supplier Development</w:t>
        </w:r>
        <w:r>
          <w:tab/>
          <w:t>27</w:t>
        </w:r>
      </w:hyperlink>
    </w:p>
    <w:p w14:paraId="0FF3CE0B" w14:textId="77777777" w:rsidR="009B01BA" w:rsidRDefault="009E3CBF">
      <w:pPr>
        <w:pStyle w:val="TOC3"/>
        <w:tabs>
          <w:tab w:val="right" w:leader="dot" w:pos="9350"/>
        </w:tabs>
      </w:pPr>
      <w:hyperlink w:anchor="_Toc212768005" w:history="1">
        <w:r>
          <w:rPr>
            <w:rStyle w:val="Hyperlink"/>
            <w:rFonts w:ascii="Arial" w:hAnsi="Arial" w:cs="Arial"/>
          </w:rPr>
          <w:t>4.4 Sustainability, Ethical Sourcing, and Circular Supply Chains</w:t>
        </w:r>
        <w:r>
          <w:tab/>
          <w:t>27</w:t>
        </w:r>
      </w:hyperlink>
    </w:p>
    <w:p w14:paraId="17343C10" w14:textId="77777777" w:rsidR="009B01BA" w:rsidRDefault="009E3CBF">
      <w:pPr>
        <w:pStyle w:val="TOC3"/>
        <w:tabs>
          <w:tab w:val="right" w:leader="dot" w:pos="9350"/>
        </w:tabs>
      </w:pPr>
      <w:hyperlink w:anchor="_Toc212768006" w:history="1">
        <w:r>
          <w:rPr>
            <w:rStyle w:val="Hyperlink"/>
            <w:rFonts w:ascii="Arial" w:hAnsi="Arial" w:cs="Arial"/>
          </w:rPr>
          <w:t>4.4.1 Carbon Neutrality and Environmental Performance</w:t>
        </w:r>
        <w:r>
          <w:tab/>
          <w:t>27</w:t>
        </w:r>
      </w:hyperlink>
    </w:p>
    <w:p w14:paraId="49F0F0E7" w14:textId="77777777" w:rsidR="009B01BA" w:rsidRDefault="009E3CBF">
      <w:pPr>
        <w:pStyle w:val="TOC3"/>
        <w:tabs>
          <w:tab w:val="right" w:leader="dot" w:pos="9350"/>
        </w:tabs>
      </w:pPr>
      <w:hyperlink w:anchor="_Toc212768007" w:history="1">
        <w:r>
          <w:rPr>
            <w:rStyle w:val="Hyperlink"/>
            <w:rFonts w:ascii="Arial" w:hAnsi="Arial" w:cs="Arial"/>
          </w:rPr>
          <w:t>4.4.2 Ethical Labour Practices and Human Rights</w:t>
        </w:r>
        <w:r>
          <w:tab/>
          <w:t>28</w:t>
        </w:r>
      </w:hyperlink>
    </w:p>
    <w:p w14:paraId="3B56A582" w14:textId="77777777" w:rsidR="009B01BA" w:rsidRDefault="009E3CBF">
      <w:pPr>
        <w:pStyle w:val="TOC3"/>
        <w:tabs>
          <w:tab w:val="right" w:leader="dot" w:pos="9350"/>
        </w:tabs>
      </w:pPr>
      <w:hyperlink w:anchor="_Toc212768008" w:history="1">
        <w:r>
          <w:rPr>
            <w:rStyle w:val="Hyperlink"/>
          </w:rPr>
          <w:t>4.4.3 Circular Economy and Innovation</w:t>
        </w:r>
        <w:r>
          <w:tab/>
          <w:t>30</w:t>
        </w:r>
      </w:hyperlink>
    </w:p>
    <w:p w14:paraId="06185308" w14:textId="77777777" w:rsidR="009B01BA" w:rsidRDefault="009E3CBF">
      <w:pPr>
        <w:pStyle w:val="TOC3"/>
        <w:tabs>
          <w:tab w:val="right" w:leader="dot" w:pos="9350"/>
        </w:tabs>
      </w:pPr>
      <w:hyperlink w:anchor="_Toc212768009" w:history="1">
        <w:r>
          <w:rPr>
            <w:rStyle w:val="Hyperlink"/>
            <w:rFonts w:ascii="Arial" w:hAnsi="Arial" w:cs="Arial"/>
          </w:rPr>
          <w:t>4.5 Technological Innovation, Visibility, and Digital Resilience</w:t>
        </w:r>
        <w:r>
          <w:tab/>
          <w:t>30</w:t>
        </w:r>
      </w:hyperlink>
    </w:p>
    <w:p w14:paraId="6E361579" w14:textId="77777777" w:rsidR="009B01BA" w:rsidRDefault="009E3CBF">
      <w:pPr>
        <w:pStyle w:val="TOC3"/>
        <w:tabs>
          <w:tab w:val="right" w:leader="dot" w:pos="9350"/>
        </w:tabs>
      </w:pPr>
      <w:hyperlink w:anchor="_Toc212768010" w:history="1">
        <w:r>
          <w:rPr>
            <w:rStyle w:val="Hyperlink"/>
            <w:rFonts w:ascii="Arial" w:hAnsi="Arial" w:cs="Arial"/>
          </w:rPr>
          <w:t>4.5.1 Digital Visibility and Predictive Analytics</w:t>
        </w:r>
        <w:r>
          <w:tab/>
          <w:t>30</w:t>
        </w:r>
      </w:hyperlink>
    </w:p>
    <w:p w14:paraId="2BE2AC4F" w14:textId="77777777" w:rsidR="009B01BA" w:rsidRDefault="009E3CBF">
      <w:pPr>
        <w:pStyle w:val="TOC3"/>
        <w:tabs>
          <w:tab w:val="right" w:leader="dot" w:pos="9350"/>
        </w:tabs>
      </w:pPr>
      <w:hyperlink w:anchor="_Toc212768011" w:history="1">
        <w:r>
          <w:rPr>
            <w:rStyle w:val="Hyperlink"/>
            <w:rFonts w:ascii="Arial" w:hAnsi="Arial" w:cs="Arial"/>
          </w:rPr>
          <w:t>4.5.2 Vertical Integration and Strategic Control</w:t>
        </w:r>
        <w:r>
          <w:tab/>
          <w:t>31</w:t>
        </w:r>
      </w:hyperlink>
    </w:p>
    <w:p w14:paraId="31F91529" w14:textId="77777777" w:rsidR="009B01BA" w:rsidRDefault="009E3CBF">
      <w:pPr>
        <w:pStyle w:val="TOC3"/>
        <w:tabs>
          <w:tab w:val="right" w:leader="dot" w:pos="9350"/>
        </w:tabs>
      </w:pPr>
      <w:hyperlink w:anchor="_Toc212768012" w:history="1">
        <w:r>
          <w:rPr>
            <w:rStyle w:val="Hyperlink"/>
            <w:rFonts w:ascii="Arial" w:hAnsi="Arial" w:cs="Arial"/>
          </w:rPr>
          <w:t>4.5.3 Collaboration Platforms and Supplier Engagement</w:t>
        </w:r>
        <w:r>
          <w:tab/>
          <w:t>32</w:t>
        </w:r>
      </w:hyperlink>
    </w:p>
    <w:p w14:paraId="3BADA428" w14:textId="77777777" w:rsidR="009B01BA" w:rsidRDefault="009E3CBF">
      <w:pPr>
        <w:pStyle w:val="TOC3"/>
        <w:tabs>
          <w:tab w:val="right" w:leader="dot" w:pos="9350"/>
        </w:tabs>
      </w:pPr>
      <w:hyperlink w:anchor="_Toc212768013" w:history="1">
        <w:r>
          <w:rPr>
            <w:rStyle w:val="Hyperlink"/>
            <w:rFonts w:ascii="Arial" w:hAnsi="Arial" w:cs="Arial"/>
          </w:rPr>
          <w:t>4.6 Lessons, Trade-Offs, and Strategic Implications</w:t>
        </w:r>
        <w:r>
          <w:tab/>
          <w:t>33</w:t>
        </w:r>
      </w:hyperlink>
    </w:p>
    <w:p w14:paraId="0F7F5957" w14:textId="77777777" w:rsidR="009B01BA" w:rsidRDefault="009E3CBF">
      <w:pPr>
        <w:pStyle w:val="TOC3"/>
        <w:tabs>
          <w:tab w:val="right" w:leader="dot" w:pos="9350"/>
        </w:tabs>
      </w:pPr>
      <w:hyperlink w:anchor="_Toc212768014" w:history="1">
        <w:r>
          <w:rPr>
            <w:rStyle w:val="Hyperlink"/>
            <w:rFonts w:ascii="Arial" w:hAnsi="Arial" w:cs="Arial"/>
          </w:rPr>
          <w:t>4.6.1 Designing Resilience into the Supply Chain</w:t>
        </w:r>
        <w:r>
          <w:tab/>
          <w:t>33</w:t>
        </w:r>
      </w:hyperlink>
    </w:p>
    <w:p w14:paraId="23932B09" w14:textId="77777777" w:rsidR="009B01BA" w:rsidRDefault="009E3CBF">
      <w:pPr>
        <w:pStyle w:val="TOC3"/>
        <w:tabs>
          <w:tab w:val="right" w:leader="dot" w:pos="9350"/>
        </w:tabs>
      </w:pPr>
      <w:hyperlink w:anchor="_Toc212768015" w:history="1">
        <w:r>
          <w:rPr>
            <w:rStyle w:val="Hyperlink"/>
            <w:rFonts w:ascii="Arial" w:hAnsi="Arial" w:cs="Arial"/>
          </w:rPr>
          <w:t>4.6.2 Stakeholder Expectations and Reputation Management</w:t>
        </w:r>
        <w:r>
          <w:tab/>
          <w:t>33</w:t>
        </w:r>
      </w:hyperlink>
    </w:p>
    <w:p w14:paraId="5FE6B63C" w14:textId="77777777" w:rsidR="009B01BA" w:rsidRDefault="009E3CBF">
      <w:pPr>
        <w:pStyle w:val="TOC3"/>
        <w:tabs>
          <w:tab w:val="right" w:leader="dot" w:pos="9350"/>
        </w:tabs>
      </w:pPr>
      <w:hyperlink w:anchor="_Toc212768016" w:history="1">
        <w:r>
          <w:rPr>
            <w:rStyle w:val="Hyperlink"/>
            <w:rFonts w:ascii="Arial" w:hAnsi="Arial" w:cs="Arial"/>
          </w:rPr>
          <w:t>4.6.3 The Limits and Complexities of Diversification</w:t>
        </w:r>
        <w:r>
          <w:tab/>
          <w:t>34</w:t>
        </w:r>
      </w:hyperlink>
    </w:p>
    <w:p w14:paraId="30E9FDF4" w14:textId="77777777" w:rsidR="009B01BA" w:rsidRDefault="009E3CBF">
      <w:pPr>
        <w:pStyle w:val="TOC3"/>
        <w:tabs>
          <w:tab w:val="right" w:leader="dot" w:pos="9350"/>
        </w:tabs>
      </w:pPr>
      <w:hyperlink w:anchor="_Toc212768017" w:history="1">
        <w:r>
          <w:rPr>
            <w:rStyle w:val="Hyperlink"/>
            <w:rFonts w:ascii="Arial" w:hAnsi="Arial" w:cs="Arial"/>
          </w:rPr>
          <w:t>4.6.4 Digital Transformation as a Strategic Enabler</w:t>
        </w:r>
        <w:r>
          <w:tab/>
          <w:t>35</w:t>
        </w:r>
      </w:hyperlink>
    </w:p>
    <w:p w14:paraId="1BC05189" w14:textId="77777777" w:rsidR="009B01BA" w:rsidRDefault="009E3CBF">
      <w:pPr>
        <w:pStyle w:val="TOC3"/>
        <w:tabs>
          <w:tab w:val="right" w:leader="dot" w:pos="9350"/>
        </w:tabs>
      </w:pPr>
      <w:hyperlink w:anchor="_Toc212768018" w:history="1">
        <w:r>
          <w:rPr>
            <w:rStyle w:val="Hyperlink"/>
            <w:rFonts w:ascii="Arial" w:hAnsi="Arial" w:cs="Arial"/>
          </w:rPr>
          <w:t>4.6.5 Governance, Ethics, and Long-Term Trust</w:t>
        </w:r>
        <w:r>
          <w:tab/>
          <w:t>35</w:t>
        </w:r>
      </w:hyperlink>
    </w:p>
    <w:p w14:paraId="3C04AAB8" w14:textId="77777777" w:rsidR="009B01BA" w:rsidRDefault="009E3CBF">
      <w:pPr>
        <w:pStyle w:val="TOC3"/>
        <w:tabs>
          <w:tab w:val="right" w:leader="dot" w:pos="9350"/>
        </w:tabs>
      </w:pPr>
      <w:hyperlink w:anchor="_Toc212768019" w:history="1">
        <w:r>
          <w:rPr>
            <w:rStyle w:val="Hyperlink"/>
          </w:rPr>
          <w:t>4.6.6 Strategic Balance and Adaptive Posture</w:t>
        </w:r>
        <w:r>
          <w:tab/>
          <w:t>36</w:t>
        </w:r>
      </w:hyperlink>
    </w:p>
    <w:p w14:paraId="1A16264B" w14:textId="77777777" w:rsidR="009B01BA" w:rsidRDefault="009E3CBF">
      <w:pPr>
        <w:pStyle w:val="TOC3"/>
        <w:tabs>
          <w:tab w:val="right" w:leader="dot" w:pos="9350"/>
        </w:tabs>
      </w:pPr>
      <w:hyperlink w:anchor="_Toc212768020" w:history="1">
        <w:r>
          <w:rPr>
            <w:rStyle w:val="Hyperlink"/>
            <w:rFonts w:ascii="Arial" w:hAnsi="Arial" w:cs="Arial"/>
          </w:rPr>
          <w:t>4.7 Summary of Key Findings and Theoretical Synthesis</w:t>
        </w:r>
        <w:r>
          <w:tab/>
          <w:t>36</w:t>
        </w:r>
      </w:hyperlink>
    </w:p>
    <w:p w14:paraId="5EC7CFBB" w14:textId="77777777" w:rsidR="009B01BA" w:rsidRDefault="009E3CBF">
      <w:pPr>
        <w:pStyle w:val="TOC2"/>
        <w:tabs>
          <w:tab w:val="right" w:leader="dot" w:pos="9350"/>
        </w:tabs>
      </w:pPr>
      <w:hyperlink w:anchor="_Toc212768021" w:history="1">
        <w:r>
          <w:rPr>
            <w:rStyle w:val="Hyperlink"/>
            <w:rFonts w:ascii="Arial" w:hAnsi="Arial" w:cs="Arial"/>
          </w:rPr>
          <w:t>Chapter 5: Recommendations, Conclusion and Limitations of the Research</w:t>
        </w:r>
        <w:r>
          <w:tab/>
          <w:t>37</w:t>
        </w:r>
      </w:hyperlink>
    </w:p>
    <w:p w14:paraId="32791386" w14:textId="77777777" w:rsidR="009B01BA" w:rsidRDefault="009E3CBF">
      <w:pPr>
        <w:pStyle w:val="TOC3"/>
        <w:tabs>
          <w:tab w:val="right" w:leader="dot" w:pos="9350"/>
        </w:tabs>
      </w:pPr>
      <w:hyperlink w:anchor="_Toc212768022" w:history="1">
        <w:r>
          <w:rPr>
            <w:rStyle w:val="Hyperlink"/>
            <w:rFonts w:ascii="Arial" w:hAnsi="Arial" w:cs="Arial"/>
          </w:rPr>
          <w:t>5.1 Conclusion</w:t>
        </w:r>
        <w:r>
          <w:tab/>
          <w:t>37</w:t>
        </w:r>
      </w:hyperlink>
    </w:p>
    <w:p w14:paraId="69EEC64E" w14:textId="77777777" w:rsidR="009B01BA" w:rsidRDefault="009E3CBF">
      <w:pPr>
        <w:pStyle w:val="TOC3"/>
        <w:tabs>
          <w:tab w:val="right" w:leader="dot" w:pos="9350"/>
        </w:tabs>
      </w:pPr>
      <w:hyperlink w:anchor="_Toc212768023" w:history="1">
        <w:r>
          <w:rPr>
            <w:rStyle w:val="Hyperlink"/>
            <w:rFonts w:ascii="Arial" w:hAnsi="Arial" w:cs="Arial"/>
          </w:rPr>
          <w:t>References</w:t>
        </w:r>
        <w:r>
          <w:tab/>
          <w:t>40</w:t>
        </w:r>
      </w:hyperlink>
    </w:p>
    <w:p w14:paraId="083A9B3F" w14:textId="77777777" w:rsidR="009B01BA" w:rsidRDefault="009E3CBF">
      <w:r>
        <w:fldChar w:fldCharType="end"/>
      </w:r>
    </w:p>
    <w:p w14:paraId="4B626B7F" w14:textId="77777777" w:rsidR="009B01BA" w:rsidRDefault="009B01BA">
      <w:pPr>
        <w:spacing w:line="360" w:lineRule="auto"/>
        <w:jc w:val="center"/>
        <w:rPr>
          <w:rFonts w:ascii="Arial" w:hAnsi="Arial" w:cs="Arial"/>
          <w:b/>
          <w:bCs/>
        </w:rPr>
      </w:pPr>
    </w:p>
    <w:p w14:paraId="19C2B60A" w14:textId="77777777" w:rsidR="009B01BA" w:rsidRDefault="009B01BA">
      <w:pPr>
        <w:spacing w:line="360" w:lineRule="auto"/>
        <w:jc w:val="center"/>
        <w:rPr>
          <w:rFonts w:ascii="Arial" w:hAnsi="Arial" w:cs="Arial"/>
          <w:b/>
          <w:bCs/>
        </w:rPr>
      </w:pPr>
    </w:p>
    <w:p w14:paraId="5DCE5B5F" w14:textId="77777777" w:rsidR="009B01BA" w:rsidRDefault="009B01BA">
      <w:pPr>
        <w:spacing w:line="360" w:lineRule="auto"/>
        <w:jc w:val="center"/>
        <w:rPr>
          <w:rFonts w:ascii="Arial" w:hAnsi="Arial" w:cs="Arial"/>
          <w:b/>
          <w:bCs/>
        </w:rPr>
      </w:pPr>
    </w:p>
    <w:p w14:paraId="50943F20" w14:textId="77777777" w:rsidR="009B01BA" w:rsidRDefault="009B01BA">
      <w:pPr>
        <w:spacing w:line="360" w:lineRule="auto"/>
        <w:jc w:val="center"/>
        <w:rPr>
          <w:rFonts w:ascii="Arial" w:hAnsi="Arial" w:cs="Arial"/>
          <w:b/>
          <w:bCs/>
        </w:rPr>
      </w:pPr>
    </w:p>
    <w:p w14:paraId="624692E1" w14:textId="77777777" w:rsidR="009B01BA" w:rsidRDefault="009B01BA">
      <w:pPr>
        <w:spacing w:line="360" w:lineRule="auto"/>
        <w:jc w:val="center"/>
        <w:rPr>
          <w:rFonts w:ascii="Arial" w:hAnsi="Arial" w:cs="Arial"/>
          <w:b/>
          <w:bCs/>
        </w:rPr>
      </w:pPr>
    </w:p>
    <w:p w14:paraId="487D9CED" w14:textId="77777777" w:rsidR="009B01BA" w:rsidRDefault="009B01BA">
      <w:pPr>
        <w:spacing w:line="360" w:lineRule="auto"/>
        <w:jc w:val="center"/>
        <w:rPr>
          <w:rFonts w:ascii="Arial" w:hAnsi="Arial" w:cs="Arial"/>
          <w:b/>
          <w:bCs/>
        </w:rPr>
      </w:pPr>
    </w:p>
    <w:p w14:paraId="15FA0C1D" w14:textId="77777777" w:rsidR="009B01BA" w:rsidRDefault="009B01BA">
      <w:pPr>
        <w:spacing w:line="360" w:lineRule="auto"/>
        <w:jc w:val="center"/>
        <w:rPr>
          <w:rFonts w:ascii="Arial" w:hAnsi="Arial" w:cs="Arial"/>
          <w:b/>
          <w:bCs/>
        </w:rPr>
      </w:pPr>
    </w:p>
    <w:p w14:paraId="34AF6A1C" w14:textId="77777777" w:rsidR="009B01BA" w:rsidRDefault="009B01BA">
      <w:pPr>
        <w:spacing w:line="360" w:lineRule="auto"/>
        <w:jc w:val="center"/>
        <w:rPr>
          <w:rFonts w:ascii="Arial" w:hAnsi="Arial" w:cs="Arial"/>
          <w:b/>
          <w:bCs/>
        </w:rPr>
      </w:pPr>
    </w:p>
    <w:p w14:paraId="48868924" w14:textId="77777777" w:rsidR="009B01BA" w:rsidRDefault="009B01BA">
      <w:pPr>
        <w:spacing w:line="360" w:lineRule="auto"/>
        <w:jc w:val="center"/>
        <w:rPr>
          <w:rFonts w:ascii="Arial" w:hAnsi="Arial" w:cs="Arial"/>
          <w:b/>
          <w:bCs/>
        </w:rPr>
      </w:pPr>
    </w:p>
    <w:p w14:paraId="6C48032A" w14:textId="77777777" w:rsidR="009B01BA" w:rsidRDefault="009B01BA">
      <w:pPr>
        <w:spacing w:line="360" w:lineRule="auto"/>
        <w:jc w:val="center"/>
        <w:rPr>
          <w:rFonts w:ascii="Arial" w:hAnsi="Arial" w:cs="Arial"/>
          <w:b/>
          <w:bCs/>
        </w:rPr>
      </w:pPr>
    </w:p>
    <w:p w14:paraId="21AE6157" w14:textId="77777777" w:rsidR="009B01BA" w:rsidRDefault="009B01BA">
      <w:pPr>
        <w:spacing w:line="360" w:lineRule="auto"/>
        <w:jc w:val="center"/>
        <w:rPr>
          <w:rFonts w:ascii="Arial" w:hAnsi="Arial" w:cs="Arial"/>
          <w:b/>
          <w:bCs/>
        </w:rPr>
      </w:pPr>
    </w:p>
    <w:p w14:paraId="39D8FC7B" w14:textId="77777777" w:rsidR="009B01BA" w:rsidRDefault="009B01BA">
      <w:pPr>
        <w:spacing w:line="360" w:lineRule="auto"/>
        <w:jc w:val="center"/>
        <w:rPr>
          <w:rFonts w:ascii="Arial" w:hAnsi="Arial" w:cs="Arial"/>
          <w:b/>
          <w:bCs/>
        </w:rPr>
      </w:pPr>
    </w:p>
    <w:p w14:paraId="545AC529" w14:textId="77777777" w:rsidR="009B01BA" w:rsidRDefault="009B01BA">
      <w:pPr>
        <w:spacing w:line="360" w:lineRule="auto"/>
        <w:jc w:val="center"/>
        <w:rPr>
          <w:rFonts w:ascii="Arial" w:hAnsi="Arial" w:cs="Arial"/>
          <w:b/>
          <w:bCs/>
        </w:rPr>
      </w:pPr>
    </w:p>
    <w:p w14:paraId="394AA4DD" w14:textId="77777777" w:rsidR="009B01BA" w:rsidRDefault="009B01BA">
      <w:pPr>
        <w:spacing w:line="360" w:lineRule="auto"/>
        <w:jc w:val="center"/>
        <w:rPr>
          <w:rFonts w:ascii="Arial" w:hAnsi="Arial" w:cs="Arial"/>
          <w:b/>
          <w:bCs/>
        </w:rPr>
      </w:pPr>
    </w:p>
    <w:p w14:paraId="7FA38C7F" w14:textId="77777777" w:rsidR="009B01BA" w:rsidRDefault="009B01BA">
      <w:pPr>
        <w:spacing w:line="360" w:lineRule="auto"/>
        <w:jc w:val="center"/>
        <w:rPr>
          <w:rFonts w:ascii="Arial" w:hAnsi="Arial" w:cs="Arial"/>
          <w:b/>
          <w:bCs/>
        </w:rPr>
      </w:pPr>
    </w:p>
    <w:p w14:paraId="4051D8A7" w14:textId="77777777" w:rsidR="009B01BA" w:rsidRDefault="009B01BA">
      <w:pPr>
        <w:spacing w:line="360" w:lineRule="auto"/>
        <w:jc w:val="center"/>
        <w:rPr>
          <w:rFonts w:ascii="Arial" w:hAnsi="Arial" w:cs="Arial"/>
          <w:b/>
          <w:bCs/>
        </w:rPr>
      </w:pPr>
    </w:p>
    <w:p w14:paraId="1EF14388" w14:textId="77777777" w:rsidR="009B01BA" w:rsidRDefault="009B01BA">
      <w:pPr>
        <w:spacing w:line="360" w:lineRule="auto"/>
        <w:jc w:val="center"/>
        <w:rPr>
          <w:rFonts w:ascii="Arial" w:hAnsi="Arial" w:cs="Arial"/>
          <w:b/>
          <w:bCs/>
        </w:rPr>
      </w:pPr>
    </w:p>
    <w:p w14:paraId="28B8691D" w14:textId="77777777" w:rsidR="009B01BA" w:rsidRDefault="009B01BA">
      <w:pPr>
        <w:spacing w:line="360" w:lineRule="auto"/>
        <w:jc w:val="center"/>
        <w:rPr>
          <w:rFonts w:ascii="Arial" w:hAnsi="Arial" w:cs="Arial"/>
          <w:b/>
          <w:bCs/>
        </w:rPr>
      </w:pPr>
    </w:p>
    <w:p w14:paraId="45A5338F" w14:textId="77777777" w:rsidR="009B01BA" w:rsidRDefault="009B01BA">
      <w:pPr>
        <w:spacing w:line="360" w:lineRule="auto"/>
        <w:jc w:val="center"/>
        <w:rPr>
          <w:rFonts w:ascii="Arial" w:hAnsi="Arial" w:cs="Arial"/>
          <w:b/>
          <w:bCs/>
        </w:rPr>
      </w:pPr>
    </w:p>
    <w:p w14:paraId="6DB7CD5D" w14:textId="77777777" w:rsidR="009B01BA" w:rsidRDefault="009B01BA">
      <w:pPr>
        <w:spacing w:line="360" w:lineRule="auto"/>
        <w:jc w:val="center"/>
        <w:rPr>
          <w:rFonts w:ascii="Arial" w:hAnsi="Arial" w:cs="Arial"/>
          <w:b/>
          <w:bCs/>
        </w:rPr>
      </w:pPr>
    </w:p>
    <w:p w14:paraId="3F4E4F83" w14:textId="77777777" w:rsidR="009B01BA" w:rsidRDefault="009B01BA">
      <w:pPr>
        <w:spacing w:line="360" w:lineRule="auto"/>
        <w:jc w:val="center"/>
        <w:rPr>
          <w:rFonts w:ascii="Arial" w:hAnsi="Arial" w:cs="Arial"/>
          <w:b/>
          <w:bCs/>
        </w:rPr>
      </w:pPr>
    </w:p>
    <w:p w14:paraId="3A4D2FA1" w14:textId="77777777" w:rsidR="009B01BA" w:rsidRDefault="009B01BA">
      <w:pPr>
        <w:spacing w:line="360" w:lineRule="auto"/>
        <w:jc w:val="center"/>
        <w:rPr>
          <w:rFonts w:ascii="Arial" w:hAnsi="Arial" w:cs="Arial"/>
          <w:b/>
          <w:bCs/>
        </w:rPr>
      </w:pPr>
    </w:p>
    <w:p w14:paraId="3E290190" w14:textId="77777777" w:rsidR="009B01BA" w:rsidRDefault="009B01BA">
      <w:pPr>
        <w:spacing w:line="360" w:lineRule="auto"/>
        <w:jc w:val="center"/>
        <w:rPr>
          <w:rFonts w:ascii="Arial" w:hAnsi="Arial" w:cs="Arial"/>
          <w:b/>
          <w:bCs/>
        </w:rPr>
      </w:pPr>
    </w:p>
    <w:p w14:paraId="462DD57E" w14:textId="77777777" w:rsidR="009B01BA" w:rsidRDefault="009B01BA">
      <w:pPr>
        <w:spacing w:line="360" w:lineRule="auto"/>
        <w:jc w:val="center"/>
        <w:rPr>
          <w:rFonts w:ascii="Arial" w:hAnsi="Arial" w:cs="Arial"/>
          <w:b/>
          <w:bCs/>
        </w:rPr>
      </w:pPr>
    </w:p>
    <w:p w14:paraId="676416FE" w14:textId="77777777" w:rsidR="009B01BA" w:rsidRDefault="009B01BA">
      <w:pPr>
        <w:spacing w:line="360" w:lineRule="auto"/>
        <w:jc w:val="center"/>
        <w:rPr>
          <w:rFonts w:ascii="Arial" w:hAnsi="Arial" w:cs="Arial"/>
          <w:b/>
          <w:bCs/>
        </w:rPr>
      </w:pPr>
    </w:p>
    <w:p w14:paraId="05D2EE69" w14:textId="77777777" w:rsidR="009B01BA" w:rsidRDefault="009B01BA">
      <w:pPr>
        <w:spacing w:line="360" w:lineRule="auto"/>
        <w:jc w:val="center"/>
        <w:rPr>
          <w:rFonts w:ascii="Arial" w:hAnsi="Arial" w:cs="Arial"/>
          <w:b/>
          <w:bCs/>
        </w:rPr>
      </w:pPr>
    </w:p>
    <w:p w14:paraId="0810E759" w14:textId="77777777" w:rsidR="009B01BA" w:rsidRDefault="009E3CBF">
      <w:pPr>
        <w:spacing w:line="360" w:lineRule="auto"/>
        <w:jc w:val="center"/>
        <w:rPr>
          <w:rFonts w:ascii="Arial" w:hAnsi="Arial" w:cs="Arial"/>
          <w:b/>
          <w:bCs/>
        </w:rPr>
      </w:pPr>
      <w:r>
        <w:rPr>
          <w:rFonts w:ascii="Arial" w:hAnsi="Arial" w:cs="Arial"/>
          <w:b/>
          <w:bCs/>
        </w:rPr>
        <w:t>Addressing Supply Chain Challenges in Apple Inc.: A Strategic Business Management Perspective</w:t>
      </w:r>
    </w:p>
    <w:p w14:paraId="0B87F376" w14:textId="77777777" w:rsidR="009B01BA" w:rsidRDefault="009B01BA">
      <w:pPr>
        <w:spacing w:line="360" w:lineRule="auto"/>
        <w:jc w:val="center"/>
        <w:rPr>
          <w:rFonts w:ascii="Arial" w:hAnsi="Arial" w:cs="Arial"/>
          <w:b/>
          <w:bCs/>
        </w:rPr>
      </w:pPr>
    </w:p>
    <w:p w14:paraId="7993BD32" w14:textId="77777777" w:rsidR="009B01BA" w:rsidRDefault="009B01BA">
      <w:pPr>
        <w:spacing w:line="360" w:lineRule="auto"/>
        <w:jc w:val="center"/>
        <w:rPr>
          <w:rFonts w:ascii="Arial" w:hAnsi="Arial" w:cs="Arial"/>
          <w:b/>
          <w:bCs/>
        </w:rPr>
      </w:pPr>
    </w:p>
    <w:p w14:paraId="33CE245F" w14:textId="77777777" w:rsidR="009B01BA" w:rsidRDefault="009B01BA">
      <w:pPr>
        <w:spacing w:line="360" w:lineRule="auto"/>
        <w:jc w:val="center"/>
        <w:rPr>
          <w:rFonts w:ascii="Arial" w:hAnsi="Arial" w:cs="Arial"/>
          <w:b/>
          <w:bCs/>
        </w:rPr>
      </w:pPr>
    </w:p>
    <w:p w14:paraId="06561812" w14:textId="77777777" w:rsidR="009B01BA" w:rsidRDefault="009B01BA">
      <w:pPr>
        <w:spacing w:line="360" w:lineRule="auto"/>
        <w:jc w:val="center"/>
        <w:rPr>
          <w:rFonts w:ascii="Arial" w:hAnsi="Arial" w:cs="Arial"/>
          <w:b/>
          <w:bCs/>
        </w:rPr>
      </w:pPr>
    </w:p>
    <w:p w14:paraId="2FE62FED" w14:textId="77777777" w:rsidR="009B01BA" w:rsidRDefault="009B01BA">
      <w:pPr>
        <w:spacing w:line="360" w:lineRule="auto"/>
        <w:jc w:val="center"/>
        <w:rPr>
          <w:rFonts w:ascii="Arial" w:hAnsi="Arial" w:cs="Arial"/>
          <w:b/>
          <w:bCs/>
        </w:rPr>
      </w:pPr>
    </w:p>
    <w:p w14:paraId="2CC95238" w14:textId="77777777" w:rsidR="009B01BA" w:rsidRDefault="009B01BA">
      <w:pPr>
        <w:spacing w:line="360" w:lineRule="auto"/>
        <w:jc w:val="center"/>
        <w:rPr>
          <w:rFonts w:ascii="Arial" w:hAnsi="Arial" w:cs="Arial"/>
          <w:b/>
          <w:bCs/>
        </w:rPr>
      </w:pPr>
    </w:p>
    <w:p w14:paraId="4263EDE2" w14:textId="77777777" w:rsidR="009B01BA" w:rsidRDefault="009B01BA">
      <w:pPr>
        <w:spacing w:line="360" w:lineRule="auto"/>
        <w:jc w:val="center"/>
        <w:rPr>
          <w:rFonts w:ascii="Arial" w:hAnsi="Arial" w:cs="Arial"/>
          <w:b/>
          <w:bCs/>
        </w:rPr>
      </w:pPr>
    </w:p>
    <w:p w14:paraId="0EA9D225" w14:textId="77777777" w:rsidR="009B01BA" w:rsidRDefault="009B01BA">
      <w:pPr>
        <w:spacing w:line="360" w:lineRule="auto"/>
        <w:jc w:val="center"/>
        <w:rPr>
          <w:rFonts w:ascii="Arial" w:hAnsi="Arial" w:cs="Arial"/>
          <w:b/>
          <w:bCs/>
        </w:rPr>
      </w:pPr>
    </w:p>
    <w:p w14:paraId="23EF7D28" w14:textId="77777777" w:rsidR="009B01BA" w:rsidRDefault="009B01BA">
      <w:pPr>
        <w:spacing w:line="360" w:lineRule="auto"/>
        <w:jc w:val="center"/>
        <w:rPr>
          <w:rFonts w:ascii="Arial" w:hAnsi="Arial" w:cs="Arial"/>
          <w:b/>
          <w:bCs/>
        </w:rPr>
      </w:pPr>
    </w:p>
    <w:p w14:paraId="35A12559" w14:textId="77777777" w:rsidR="009B01BA" w:rsidRDefault="009B01BA">
      <w:pPr>
        <w:spacing w:line="360" w:lineRule="auto"/>
        <w:jc w:val="center"/>
        <w:rPr>
          <w:rFonts w:ascii="Arial" w:hAnsi="Arial" w:cs="Arial"/>
          <w:b/>
          <w:bCs/>
        </w:rPr>
      </w:pPr>
    </w:p>
    <w:p w14:paraId="02229B8E" w14:textId="77777777" w:rsidR="009B01BA" w:rsidRDefault="009B01BA">
      <w:pPr>
        <w:spacing w:line="360" w:lineRule="auto"/>
        <w:jc w:val="center"/>
        <w:rPr>
          <w:rFonts w:ascii="Arial" w:hAnsi="Arial" w:cs="Arial"/>
          <w:b/>
          <w:bCs/>
        </w:rPr>
      </w:pPr>
    </w:p>
    <w:p w14:paraId="04B6505C" w14:textId="77777777" w:rsidR="009B01BA" w:rsidRDefault="009B01BA">
      <w:pPr>
        <w:spacing w:line="360" w:lineRule="auto"/>
        <w:jc w:val="center"/>
        <w:rPr>
          <w:rFonts w:ascii="Arial" w:hAnsi="Arial" w:cs="Arial"/>
          <w:b/>
          <w:bCs/>
        </w:rPr>
      </w:pPr>
    </w:p>
    <w:p w14:paraId="61358E9F" w14:textId="77777777" w:rsidR="009B01BA" w:rsidRDefault="009B01BA">
      <w:pPr>
        <w:spacing w:line="360" w:lineRule="auto"/>
        <w:jc w:val="center"/>
        <w:rPr>
          <w:rFonts w:ascii="Arial" w:hAnsi="Arial" w:cs="Arial"/>
          <w:b/>
          <w:bCs/>
        </w:rPr>
      </w:pPr>
    </w:p>
    <w:p w14:paraId="5EAD593E" w14:textId="77777777" w:rsidR="009B01BA" w:rsidRDefault="009B01BA">
      <w:pPr>
        <w:spacing w:line="360" w:lineRule="auto"/>
        <w:jc w:val="center"/>
        <w:rPr>
          <w:rFonts w:ascii="Arial" w:hAnsi="Arial" w:cs="Arial"/>
          <w:b/>
          <w:bCs/>
        </w:rPr>
      </w:pPr>
    </w:p>
    <w:p w14:paraId="3B459B3B" w14:textId="77777777" w:rsidR="009B01BA" w:rsidRDefault="009B01BA">
      <w:pPr>
        <w:spacing w:line="360" w:lineRule="auto"/>
        <w:jc w:val="center"/>
        <w:rPr>
          <w:rFonts w:ascii="Arial" w:hAnsi="Arial" w:cs="Arial"/>
          <w:b/>
          <w:bCs/>
        </w:rPr>
      </w:pPr>
    </w:p>
    <w:p w14:paraId="7860FC00" w14:textId="77777777" w:rsidR="009B01BA" w:rsidRDefault="009B01BA">
      <w:pPr>
        <w:spacing w:line="360" w:lineRule="auto"/>
        <w:jc w:val="center"/>
        <w:rPr>
          <w:rFonts w:ascii="Arial" w:hAnsi="Arial" w:cs="Arial"/>
          <w:b/>
          <w:bCs/>
        </w:rPr>
      </w:pPr>
    </w:p>
    <w:p w14:paraId="3BB07679" w14:textId="77777777" w:rsidR="009B01BA" w:rsidRDefault="009B01BA">
      <w:pPr>
        <w:spacing w:line="360" w:lineRule="auto"/>
        <w:jc w:val="center"/>
        <w:rPr>
          <w:rFonts w:ascii="Arial" w:hAnsi="Arial" w:cs="Arial"/>
          <w:b/>
          <w:bCs/>
        </w:rPr>
      </w:pPr>
    </w:p>
    <w:p w14:paraId="7BBDDE23" w14:textId="77777777" w:rsidR="009B01BA" w:rsidRDefault="009B01BA">
      <w:pPr>
        <w:spacing w:line="360" w:lineRule="auto"/>
        <w:jc w:val="center"/>
        <w:rPr>
          <w:rFonts w:ascii="Arial" w:hAnsi="Arial" w:cs="Arial"/>
          <w:b/>
          <w:bCs/>
        </w:rPr>
      </w:pPr>
    </w:p>
    <w:p w14:paraId="3DFFF148" w14:textId="77777777" w:rsidR="009B01BA" w:rsidRDefault="009B01BA">
      <w:pPr>
        <w:spacing w:line="360" w:lineRule="auto"/>
        <w:jc w:val="center"/>
        <w:rPr>
          <w:rFonts w:ascii="Arial" w:hAnsi="Arial" w:cs="Arial"/>
          <w:b/>
          <w:bCs/>
        </w:rPr>
      </w:pPr>
    </w:p>
    <w:p w14:paraId="1ED827B5" w14:textId="77777777" w:rsidR="009B01BA" w:rsidRDefault="009B01BA">
      <w:pPr>
        <w:spacing w:line="360" w:lineRule="auto"/>
        <w:jc w:val="center"/>
        <w:rPr>
          <w:rFonts w:ascii="Arial" w:hAnsi="Arial" w:cs="Arial"/>
          <w:b/>
          <w:bCs/>
        </w:rPr>
      </w:pPr>
    </w:p>
    <w:p w14:paraId="65780858" w14:textId="77777777" w:rsidR="009B01BA" w:rsidRDefault="009B01BA">
      <w:pPr>
        <w:spacing w:line="360" w:lineRule="auto"/>
        <w:jc w:val="center"/>
        <w:rPr>
          <w:rFonts w:ascii="Arial" w:hAnsi="Arial" w:cs="Arial"/>
          <w:b/>
          <w:bCs/>
        </w:rPr>
      </w:pPr>
    </w:p>
    <w:p w14:paraId="48E4FDA5" w14:textId="77777777" w:rsidR="009B01BA" w:rsidRDefault="009B01BA">
      <w:pPr>
        <w:spacing w:line="360" w:lineRule="auto"/>
        <w:jc w:val="center"/>
        <w:rPr>
          <w:rFonts w:ascii="Arial" w:hAnsi="Arial" w:cs="Arial"/>
          <w:b/>
          <w:bCs/>
        </w:rPr>
      </w:pPr>
    </w:p>
    <w:p w14:paraId="13E38F71" w14:textId="77777777" w:rsidR="009B01BA" w:rsidRDefault="009E3CBF">
      <w:pPr>
        <w:pStyle w:val="Heading2"/>
        <w:ind w:left="10" w:right="57"/>
      </w:pPr>
      <w:bookmarkStart w:id="1" w:name="_Toc212767958"/>
      <w:r>
        <w:t>DECLARATION</w:t>
      </w:r>
      <w:bookmarkEnd w:id="1"/>
      <w:r>
        <w:t xml:space="preserve"> </w:t>
      </w:r>
    </w:p>
    <w:p w14:paraId="1C029621" w14:textId="77777777" w:rsidR="009B01BA" w:rsidRDefault="009E3CBF">
      <w:pPr>
        <w:spacing w:after="0" w:line="256" w:lineRule="auto"/>
      </w:pPr>
      <w:r>
        <w:t xml:space="preserve"> </w:t>
      </w:r>
    </w:p>
    <w:p w14:paraId="2A462CAF" w14:textId="77777777" w:rsidR="009B01BA" w:rsidRDefault="009E3CBF">
      <w:pPr>
        <w:ind w:left="-5" w:right="39"/>
      </w:pPr>
      <w:r>
        <w:t xml:space="preserve">I, </w:t>
      </w:r>
      <w:r>
        <w:rPr>
          <w:i/>
        </w:rPr>
        <w:t xml:space="preserve">Stefan Alexandru Popescu </w:t>
      </w:r>
      <w:r>
        <w:t xml:space="preserve">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612CEDFE" w14:textId="77777777" w:rsidR="009B01BA" w:rsidRDefault="009E3CBF">
      <w:pPr>
        <w:spacing w:after="0" w:line="256" w:lineRule="auto"/>
      </w:pPr>
      <w:r>
        <w:t xml:space="preserve"> </w:t>
      </w:r>
    </w:p>
    <w:p w14:paraId="13B320DD" w14:textId="77777777" w:rsidR="009B01BA" w:rsidRDefault="009E3CBF">
      <w:pPr>
        <w:spacing w:after="33"/>
        <w:ind w:left="-5" w:right="4319"/>
      </w:pPr>
      <w:r>
        <w:t xml:space="preserve">Signature: Stefan Alexandru Popescu </w:t>
      </w:r>
    </w:p>
    <w:p w14:paraId="5A006DDD" w14:textId="77777777" w:rsidR="009B01BA" w:rsidRDefault="009E3CBF">
      <w:pPr>
        <w:ind w:left="-5" w:right="39"/>
      </w:pPr>
      <w:r>
        <w:t>Date: 31/10/2025</w:t>
      </w:r>
    </w:p>
    <w:p w14:paraId="5D839E3C" w14:textId="77777777" w:rsidR="009B01BA" w:rsidRDefault="009E3CBF">
      <w:pPr>
        <w:spacing w:after="14" w:line="256" w:lineRule="auto"/>
      </w:pPr>
      <w:r>
        <w:t xml:space="preserve"> </w:t>
      </w:r>
    </w:p>
    <w:p w14:paraId="1D5A53AB" w14:textId="77777777" w:rsidR="009B01BA" w:rsidRDefault="009B01BA">
      <w:pPr>
        <w:spacing w:line="360" w:lineRule="auto"/>
        <w:rPr>
          <w:rFonts w:ascii="Arial" w:hAnsi="Arial" w:cs="Arial"/>
          <w:b/>
          <w:bCs/>
        </w:rPr>
      </w:pPr>
    </w:p>
    <w:p w14:paraId="2D4881DE" w14:textId="77777777" w:rsidR="009B01BA" w:rsidRDefault="009B01BA">
      <w:pPr>
        <w:spacing w:line="360" w:lineRule="auto"/>
        <w:jc w:val="center"/>
        <w:rPr>
          <w:rFonts w:ascii="Arial" w:hAnsi="Arial" w:cs="Arial"/>
          <w:b/>
          <w:bCs/>
        </w:rPr>
      </w:pPr>
    </w:p>
    <w:p w14:paraId="51AAE4B5" w14:textId="77777777" w:rsidR="009B01BA" w:rsidRDefault="009B01BA">
      <w:pPr>
        <w:spacing w:line="360" w:lineRule="auto"/>
        <w:jc w:val="center"/>
        <w:rPr>
          <w:rFonts w:ascii="Arial" w:hAnsi="Arial" w:cs="Arial"/>
          <w:b/>
          <w:bCs/>
        </w:rPr>
      </w:pPr>
    </w:p>
    <w:p w14:paraId="2414E366" w14:textId="77777777" w:rsidR="009B01BA" w:rsidRDefault="009B01BA">
      <w:pPr>
        <w:spacing w:line="360" w:lineRule="auto"/>
        <w:jc w:val="center"/>
        <w:rPr>
          <w:rFonts w:ascii="Arial" w:hAnsi="Arial" w:cs="Arial"/>
          <w:b/>
          <w:bCs/>
        </w:rPr>
      </w:pPr>
    </w:p>
    <w:p w14:paraId="50648C42" w14:textId="77777777" w:rsidR="009B01BA" w:rsidRDefault="009B01BA">
      <w:pPr>
        <w:spacing w:line="360" w:lineRule="auto"/>
        <w:jc w:val="center"/>
        <w:rPr>
          <w:rFonts w:ascii="Arial" w:hAnsi="Arial" w:cs="Arial"/>
          <w:b/>
          <w:bCs/>
        </w:rPr>
      </w:pPr>
    </w:p>
    <w:p w14:paraId="3C658F67" w14:textId="77777777" w:rsidR="009B01BA" w:rsidRDefault="009B01BA">
      <w:pPr>
        <w:spacing w:line="360" w:lineRule="auto"/>
        <w:jc w:val="center"/>
        <w:rPr>
          <w:rFonts w:ascii="Arial" w:hAnsi="Arial" w:cs="Arial"/>
          <w:b/>
          <w:bCs/>
        </w:rPr>
      </w:pPr>
    </w:p>
    <w:p w14:paraId="1F3B2A94" w14:textId="77777777" w:rsidR="009B01BA" w:rsidRDefault="009B01BA">
      <w:pPr>
        <w:spacing w:line="360" w:lineRule="auto"/>
        <w:jc w:val="center"/>
        <w:rPr>
          <w:rFonts w:ascii="Arial" w:hAnsi="Arial" w:cs="Arial"/>
          <w:b/>
          <w:bCs/>
        </w:rPr>
      </w:pPr>
    </w:p>
    <w:p w14:paraId="3BDD202B" w14:textId="77777777" w:rsidR="009B01BA" w:rsidRDefault="009B01BA">
      <w:pPr>
        <w:spacing w:line="360" w:lineRule="auto"/>
        <w:jc w:val="center"/>
        <w:rPr>
          <w:rFonts w:ascii="Arial" w:hAnsi="Arial" w:cs="Arial"/>
          <w:b/>
          <w:bCs/>
        </w:rPr>
      </w:pPr>
    </w:p>
    <w:p w14:paraId="2D27F880" w14:textId="77777777" w:rsidR="009B01BA" w:rsidRDefault="009B01BA">
      <w:pPr>
        <w:spacing w:line="360" w:lineRule="auto"/>
        <w:jc w:val="center"/>
        <w:rPr>
          <w:rFonts w:ascii="Arial" w:hAnsi="Arial" w:cs="Arial"/>
          <w:b/>
          <w:bCs/>
        </w:rPr>
      </w:pPr>
    </w:p>
    <w:p w14:paraId="71750909" w14:textId="77777777" w:rsidR="009B01BA" w:rsidRDefault="009B01BA">
      <w:pPr>
        <w:spacing w:line="360" w:lineRule="auto"/>
        <w:jc w:val="center"/>
        <w:rPr>
          <w:rFonts w:ascii="Arial" w:hAnsi="Arial" w:cs="Arial"/>
          <w:b/>
          <w:bCs/>
        </w:rPr>
      </w:pPr>
    </w:p>
    <w:p w14:paraId="31E88380" w14:textId="77777777" w:rsidR="009B01BA" w:rsidRDefault="009B01BA">
      <w:pPr>
        <w:spacing w:line="360" w:lineRule="auto"/>
        <w:jc w:val="center"/>
        <w:rPr>
          <w:rFonts w:ascii="Arial" w:hAnsi="Arial" w:cs="Arial"/>
          <w:b/>
          <w:bCs/>
        </w:rPr>
      </w:pPr>
    </w:p>
    <w:p w14:paraId="40098843" w14:textId="77777777" w:rsidR="009B01BA" w:rsidRDefault="009B01BA">
      <w:pPr>
        <w:spacing w:line="360" w:lineRule="auto"/>
        <w:jc w:val="center"/>
        <w:rPr>
          <w:rFonts w:ascii="Arial" w:hAnsi="Arial" w:cs="Arial"/>
          <w:b/>
          <w:bCs/>
        </w:rPr>
      </w:pPr>
    </w:p>
    <w:p w14:paraId="48BD461C" w14:textId="77777777" w:rsidR="009B01BA" w:rsidRDefault="009B01BA">
      <w:pPr>
        <w:spacing w:line="360" w:lineRule="auto"/>
        <w:jc w:val="center"/>
        <w:rPr>
          <w:rFonts w:ascii="Arial" w:hAnsi="Arial" w:cs="Arial"/>
          <w:b/>
          <w:bCs/>
        </w:rPr>
      </w:pPr>
    </w:p>
    <w:p w14:paraId="20377CDC" w14:textId="77777777" w:rsidR="009B01BA" w:rsidRDefault="009B01BA">
      <w:pPr>
        <w:spacing w:line="360" w:lineRule="auto"/>
        <w:jc w:val="center"/>
        <w:rPr>
          <w:rFonts w:ascii="Arial" w:hAnsi="Arial" w:cs="Arial"/>
          <w:b/>
          <w:bCs/>
        </w:rPr>
      </w:pPr>
    </w:p>
    <w:p w14:paraId="0BBDD1DA" w14:textId="77777777" w:rsidR="009B01BA" w:rsidRDefault="009B01BA">
      <w:pPr>
        <w:spacing w:line="360" w:lineRule="auto"/>
        <w:jc w:val="center"/>
        <w:rPr>
          <w:rFonts w:ascii="Arial" w:hAnsi="Arial" w:cs="Arial"/>
          <w:b/>
          <w:bCs/>
        </w:rPr>
      </w:pPr>
    </w:p>
    <w:p w14:paraId="0C284814" w14:textId="77777777" w:rsidR="009B01BA" w:rsidRDefault="009B01BA">
      <w:pPr>
        <w:spacing w:line="360" w:lineRule="auto"/>
        <w:jc w:val="center"/>
        <w:rPr>
          <w:rFonts w:ascii="Arial" w:hAnsi="Arial" w:cs="Arial"/>
          <w:b/>
          <w:bCs/>
        </w:rPr>
      </w:pPr>
    </w:p>
    <w:p w14:paraId="0061DD5E" w14:textId="77777777" w:rsidR="009B01BA" w:rsidRDefault="009B01BA">
      <w:pPr>
        <w:rPr>
          <w:rFonts w:ascii="Arial" w:hAnsi="Arial" w:cs="Arial"/>
        </w:rPr>
      </w:pPr>
    </w:p>
    <w:p w14:paraId="4576182B" w14:textId="77777777" w:rsidR="009B01BA" w:rsidRDefault="009B01BA">
      <w:pPr>
        <w:rPr>
          <w:rFonts w:ascii="Arial" w:hAnsi="Arial" w:cs="Arial"/>
        </w:rPr>
      </w:pPr>
    </w:p>
    <w:p w14:paraId="5E8A0C3A" w14:textId="77777777" w:rsidR="009B01BA" w:rsidRDefault="009E3CBF">
      <w:pPr>
        <w:pStyle w:val="Heading2"/>
        <w:rPr>
          <w:rFonts w:ascii="Arial" w:hAnsi="Arial" w:cs="Arial"/>
        </w:rPr>
      </w:pPr>
      <w:bookmarkStart w:id="2" w:name="_Toc212767959"/>
      <w:r>
        <w:rPr>
          <w:rFonts w:ascii="Arial" w:hAnsi="Arial" w:cs="Arial"/>
        </w:rPr>
        <w:t>CHAPTER 1: INTRODUCTION</w:t>
      </w:r>
      <w:bookmarkEnd w:id="2"/>
    </w:p>
    <w:p w14:paraId="7103F6CB" w14:textId="77777777" w:rsidR="009B01BA" w:rsidRDefault="009E3CBF">
      <w:pPr>
        <w:pStyle w:val="Heading3"/>
        <w:rPr>
          <w:rFonts w:ascii="Arial" w:hAnsi="Arial" w:cs="Arial"/>
        </w:rPr>
      </w:pPr>
      <w:bookmarkStart w:id="3" w:name="_Toc212767960"/>
      <w:r>
        <w:rPr>
          <w:rFonts w:ascii="Arial" w:hAnsi="Arial" w:cs="Arial"/>
        </w:rPr>
        <w:t>1.1 Introduction</w:t>
      </w:r>
      <w:bookmarkEnd w:id="3"/>
    </w:p>
    <w:p w14:paraId="401FAEE6" w14:textId="77777777" w:rsidR="009B01BA" w:rsidRDefault="009B01BA">
      <w:pPr>
        <w:rPr>
          <w:rFonts w:ascii="Arial" w:hAnsi="Arial" w:cs="Arial"/>
        </w:rPr>
      </w:pPr>
    </w:p>
    <w:p w14:paraId="1A858FCA" w14:textId="77777777" w:rsidR="009B01BA" w:rsidRDefault="009E3CBF">
      <w:pPr>
        <w:spacing w:line="360" w:lineRule="auto"/>
        <w:jc w:val="both"/>
        <w:rPr>
          <w:rFonts w:ascii="Arial" w:hAnsi="Arial" w:cs="Arial"/>
        </w:rPr>
      </w:pPr>
      <w:r>
        <w:rPr>
          <w:rFonts w:ascii="Arial" w:hAnsi="Arial" w:cs="Arial"/>
        </w:rPr>
        <w:t>In an increasingly interconnected global economy, effective supply chain management has emerged as a critical component for multinational firms' success and sustainability. The supply chain is a network of suppliers, manufacturers, distributors, and retailers that collaborate to provide items to customers. Global supply chains have been significantly disrupted in recent years due to events such as the COVID-19 pandemic, geopolitical conflicts, environmental concerns, and technological advancements (Christopher and Peck, 2020). To preserve efficiency and resilience in the face of these upheavals, multinational businesses must rethink their operational models and implement new tactics.</w:t>
      </w:r>
    </w:p>
    <w:p w14:paraId="10E9F0E2" w14:textId="77777777" w:rsidR="009B01BA" w:rsidRDefault="009E3CBF">
      <w:pPr>
        <w:spacing w:line="360" w:lineRule="auto"/>
        <w:jc w:val="both"/>
        <w:rPr>
          <w:rFonts w:ascii="Arial" w:hAnsi="Arial" w:cs="Arial"/>
        </w:rPr>
      </w:pPr>
      <w:r>
        <w:rPr>
          <w:rFonts w:ascii="Arial" w:hAnsi="Arial" w:cs="Arial"/>
        </w:rPr>
        <w:t>One of the most valuable technological businesses in the world, Apple Inc., makes a perfect case study for examining supply chain management issues. With thousands of suppliers spread across several nations and important manufacturing operations centered in China, the company's worldwide supply chain is extremely intricate (Kerr and Xu, 2022). Despite being frequently regarded as one of the most effective supply chains globally, Apple is nonetheless susceptible to outside shocks like trade barriers, pandemics, and sustainability requirements. Examining the wider ramifications for supply chain resilience and business continuity in the technology industry requires an understanding of how Apple handles and reacts to these issues (Ivanov, 2021).</w:t>
      </w:r>
    </w:p>
    <w:p w14:paraId="79CABFED" w14:textId="77777777" w:rsidR="009B01BA" w:rsidRDefault="009E3CBF">
      <w:pPr>
        <w:pStyle w:val="Heading3"/>
        <w:rPr>
          <w:rFonts w:ascii="Arial" w:hAnsi="Arial" w:cs="Arial"/>
        </w:rPr>
      </w:pPr>
      <w:bookmarkStart w:id="4" w:name="_Toc212767961"/>
      <w:r>
        <w:rPr>
          <w:rFonts w:ascii="Arial" w:hAnsi="Arial" w:cs="Arial"/>
        </w:rPr>
        <w:t>1.2 Background</w:t>
      </w:r>
      <w:bookmarkEnd w:id="4"/>
    </w:p>
    <w:p w14:paraId="7231DF48" w14:textId="77777777" w:rsidR="009B01BA" w:rsidRDefault="009B01BA">
      <w:pPr>
        <w:rPr>
          <w:rFonts w:ascii="Arial" w:hAnsi="Arial" w:cs="Arial"/>
        </w:rPr>
      </w:pPr>
    </w:p>
    <w:p w14:paraId="7E4FB47B" w14:textId="77777777" w:rsidR="009B01BA" w:rsidRDefault="009E3CBF">
      <w:pPr>
        <w:spacing w:line="360" w:lineRule="auto"/>
        <w:jc w:val="both"/>
        <w:rPr>
          <w:rFonts w:ascii="Arial" w:hAnsi="Arial" w:cs="Arial"/>
        </w:rPr>
      </w:pPr>
      <w:r>
        <w:rPr>
          <w:rFonts w:ascii="Arial" w:hAnsi="Arial" w:cs="Arial"/>
        </w:rPr>
        <w:t>Apple Inc., founded in 1976 and headquartered in Cupertino, California, has transformed the consumer electronics market with devices like the iPhone, iPad, Mac, and Apple Watch. The company's business model is mainly reliant on outsourcing manufacture to partners such as Foxconn and Pegatron, who are primarily headquartered in China and other parts of Asia. This methodology allowed Apple to maintain cost effectiveness and scalability while also exposing the corporation to supply chain weaknesses (Lashinsky, 2012).</w:t>
      </w:r>
    </w:p>
    <w:p w14:paraId="52CBBF1B" w14:textId="77777777" w:rsidR="009B01BA" w:rsidRDefault="009E3CBF">
      <w:pPr>
        <w:spacing w:line="360" w:lineRule="auto"/>
        <w:jc w:val="both"/>
        <w:rPr>
          <w:rFonts w:ascii="Arial" w:hAnsi="Arial" w:cs="Arial"/>
        </w:rPr>
      </w:pPr>
      <w:r>
        <w:rPr>
          <w:rFonts w:ascii="Arial" w:hAnsi="Arial" w:cs="Arial"/>
        </w:rPr>
        <w:t xml:space="preserve">The COVID-19 pandemic highlighted the fragility of global supply networks. Factory shutdowns in China, transportation constraints, and essential component shortages caused substantial interruptions to Apple's manufacturing plans (Shih, 2020). Furthermore, escalating geopolitical tensions between the United States and China have heightened risks associated with tariffs, supply chain decoupling, and political instability. Beyond these operational difficulties, Apple is under </w:t>
      </w:r>
      <w:r>
        <w:rPr>
          <w:rFonts w:ascii="Arial" w:hAnsi="Arial" w:cs="Arial"/>
        </w:rPr>
        <w:lastRenderedPageBreak/>
        <w:t>increased criticism for environmental sustainability and ethical sourcing. Stakeholders increasingly expect global firms to maintain transparency, reduce carbon emissions, and promote social responsibility throughout their supply chains (Gereffi, 2020).</w:t>
      </w:r>
    </w:p>
    <w:p w14:paraId="6D6F425A" w14:textId="77777777" w:rsidR="009B01BA" w:rsidRDefault="009E3CBF">
      <w:pPr>
        <w:spacing w:line="360" w:lineRule="auto"/>
        <w:jc w:val="both"/>
        <w:rPr>
          <w:rFonts w:ascii="Arial" w:hAnsi="Arial" w:cs="Arial"/>
        </w:rPr>
      </w:pPr>
      <w:r>
        <w:rPr>
          <w:rFonts w:ascii="Arial" w:hAnsi="Arial" w:cs="Arial"/>
        </w:rPr>
        <w:t>As a worldwide leader, Apple's capacity to adapt and respond to these problems is instructive for both practitioners and scholars interested in modern supply chain management. Analysing Apple's tactics, which range from supplier diversity to investment in sustainable technology, provides a foundation for understanding how multinational organisations may remain resilient in the face of volatility (Chowdhury et al., 2021).</w:t>
      </w:r>
    </w:p>
    <w:p w14:paraId="605164D7" w14:textId="77777777" w:rsidR="009B01BA" w:rsidRDefault="009E3CBF">
      <w:pPr>
        <w:pStyle w:val="Heading3"/>
        <w:rPr>
          <w:rFonts w:ascii="Arial" w:hAnsi="Arial" w:cs="Arial"/>
        </w:rPr>
      </w:pPr>
      <w:bookmarkStart w:id="5" w:name="_Toc212767962"/>
      <w:r>
        <w:rPr>
          <w:rFonts w:ascii="Arial" w:hAnsi="Arial" w:cs="Arial"/>
        </w:rPr>
        <w:t>1.3 Research Aim</w:t>
      </w:r>
      <w:bookmarkEnd w:id="5"/>
    </w:p>
    <w:p w14:paraId="2D96668C" w14:textId="77777777" w:rsidR="009B01BA" w:rsidRDefault="009B01BA">
      <w:pPr>
        <w:rPr>
          <w:rFonts w:ascii="Arial" w:hAnsi="Arial" w:cs="Arial"/>
        </w:rPr>
      </w:pPr>
    </w:p>
    <w:p w14:paraId="7DE8C58C" w14:textId="77777777" w:rsidR="009B01BA" w:rsidRDefault="009E3CBF">
      <w:pPr>
        <w:spacing w:line="360" w:lineRule="auto"/>
        <w:jc w:val="both"/>
        <w:rPr>
          <w:rFonts w:ascii="Arial" w:hAnsi="Arial" w:cs="Arial"/>
        </w:rPr>
      </w:pPr>
      <w:r>
        <w:rPr>
          <w:rFonts w:ascii="Arial" w:hAnsi="Arial" w:cs="Arial"/>
        </w:rPr>
        <w:t>As a global leader, Apple's ability to adapt and respond to these issues is educational for both practitioners and academics studying modern supply chain management. Analysing Apple's strategies, which include supplier variety and investment in sustainable technologies, provides a framework for understanding how global corporations can remain robust in the face of uncertainty (Ivanov and Dolgui, 2020).</w:t>
      </w:r>
    </w:p>
    <w:p w14:paraId="65EF9101" w14:textId="77777777" w:rsidR="009B01BA" w:rsidRDefault="009E3CBF">
      <w:pPr>
        <w:pStyle w:val="Heading3"/>
        <w:rPr>
          <w:rFonts w:ascii="Arial" w:hAnsi="Arial" w:cs="Arial"/>
        </w:rPr>
      </w:pPr>
      <w:bookmarkStart w:id="6" w:name="_Toc212767963"/>
      <w:r>
        <w:rPr>
          <w:rFonts w:ascii="Arial" w:hAnsi="Arial" w:cs="Arial"/>
        </w:rPr>
        <w:t>1.4 Research Objectives</w:t>
      </w:r>
      <w:bookmarkEnd w:id="6"/>
    </w:p>
    <w:p w14:paraId="329ACB06" w14:textId="77777777" w:rsidR="009B01BA" w:rsidRDefault="009B01BA">
      <w:pPr>
        <w:rPr>
          <w:rFonts w:ascii="Arial" w:hAnsi="Arial" w:cs="Arial"/>
        </w:rPr>
      </w:pPr>
    </w:p>
    <w:p w14:paraId="776B8216" w14:textId="77777777" w:rsidR="009B01BA" w:rsidRDefault="009E3CBF">
      <w:pPr>
        <w:spacing w:line="360" w:lineRule="auto"/>
        <w:jc w:val="both"/>
        <w:rPr>
          <w:rFonts w:ascii="Arial" w:hAnsi="Arial" w:cs="Arial"/>
        </w:rPr>
      </w:pPr>
      <w:r>
        <w:rPr>
          <w:rFonts w:ascii="Arial" w:hAnsi="Arial" w:cs="Arial"/>
        </w:rPr>
        <w:t>To achieve the stated aim, the study will pursue the following objectives:</w:t>
      </w:r>
    </w:p>
    <w:p w14:paraId="726A8F2F" w14:textId="77777777" w:rsidR="009B01BA" w:rsidRDefault="009E3CBF">
      <w:pPr>
        <w:numPr>
          <w:ilvl w:val="0"/>
          <w:numId w:val="2"/>
        </w:numPr>
        <w:spacing w:line="360" w:lineRule="auto"/>
        <w:jc w:val="both"/>
        <w:rPr>
          <w:rFonts w:ascii="Arial" w:hAnsi="Arial" w:cs="Arial"/>
        </w:rPr>
      </w:pPr>
      <w:r>
        <w:rPr>
          <w:rFonts w:ascii="Arial" w:hAnsi="Arial" w:cs="Arial"/>
        </w:rPr>
        <w:t>To identify the main supply chain challenges Apple Inc. has faced in recent years.</w:t>
      </w:r>
    </w:p>
    <w:p w14:paraId="7D03EE63" w14:textId="77777777" w:rsidR="009B01BA" w:rsidRDefault="009E3CBF">
      <w:pPr>
        <w:numPr>
          <w:ilvl w:val="0"/>
          <w:numId w:val="2"/>
        </w:numPr>
        <w:spacing w:line="360" w:lineRule="auto"/>
        <w:jc w:val="both"/>
        <w:rPr>
          <w:rFonts w:ascii="Arial" w:hAnsi="Arial" w:cs="Arial"/>
        </w:rPr>
      </w:pPr>
      <w:r>
        <w:rPr>
          <w:rFonts w:ascii="Arial" w:hAnsi="Arial" w:cs="Arial"/>
        </w:rPr>
        <w:t>To evaluate Apple’s strategies and innovations aimed at mitigating these challenges.</w:t>
      </w:r>
    </w:p>
    <w:p w14:paraId="1ADD56F6" w14:textId="77777777" w:rsidR="009B01BA" w:rsidRDefault="009E3CBF">
      <w:pPr>
        <w:numPr>
          <w:ilvl w:val="0"/>
          <w:numId w:val="2"/>
        </w:numPr>
        <w:spacing w:line="360" w:lineRule="auto"/>
        <w:jc w:val="both"/>
        <w:rPr>
          <w:rFonts w:ascii="Arial" w:hAnsi="Arial" w:cs="Arial"/>
        </w:rPr>
      </w:pPr>
      <w:r>
        <w:rPr>
          <w:rFonts w:ascii="Arial" w:hAnsi="Arial" w:cs="Arial"/>
        </w:rPr>
        <w:t>To analyse the impact of global disruptions (e.g., COVID-19, geopolitical tensions, and sustainability concerns) on Apple’s supply chain operations.</w:t>
      </w:r>
    </w:p>
    <w:p w14:paraId="385DCCBF" w14:textId="77777777" w:rsidR="009B01BA" w:rsidRDefault="009E3CBF">
      <w:pPr>
        <w:numPr>
          <w:ilvl w:val="0"/>
          <w:numId w:val="2"/>
        </w:numPr>
        <w:spacing w:line="360" w:lineRule="auto"/>
        <w:jc w:val="both"/>
        <w:rPr>
          <w:rFonts w:ascii="Arial" w:hAnsi="Arial" w:cs="Arial"/>
        </w:rPr>
      </w:pPr>
      <w:r>
        <w:rPr>
          <w:rFonts w:ascii="Arial" w:hAnsi="Arial" w:cs="Arial"/>
        </w:rPr>
        <w:t>To provide recommendations for strengthening Apple’s supply chain resilience and long-term sustainability.</w:t>
      </w:r>
    </w:p>
    <w:p w14:paraId="018489C4" w14:textId="77777777" w:rsidR="009B01BA" w:rsidRDefault="009E3CBF">
      <w:pPr>
        <w:pStyle w:val="Heading3"/>
        <w:rPr>
          <w:rFonts w:ascii="Arial" w:hAnsi="Arial" w:cs="Arial"/>
        </w:rPr>
      </w:pPr>
      <w:bookmarkStart w:id="7" w:name="_Toc212767964"/>
      <w:r>
        <w:rPr>
          <w:rFonts w:ascii="Arial" w:hAnsi="Arial" w:cs="Arial"/>
        </w:rPr>
        <w:t>1.5 Research Questions</w:t>
      </w:r>
      <w:bookmarkEnd w:id="7"/>
    </w:p>
    <w:p w14:paraId="54A5D787" w14:textId="77777777" w:rsidR="009B01BA" w:rsidRDefault="009B01BA"/>
    <w:p w14:paraId="794A4024" w14:textId="77777777" w:rsidR="009B01BA" w:rsidRDefault="009E3CBF">
      <w:pPr>
        <w:spacing w:line="360" w:lineRule="auto"/>
        <w:jc w:val="both"/>
        <w:rPr>
          <w:rFonts w:ascii="Arial" w:hAnsi="Arial" w:cs="Arial"/>
        </w:rPr>
      </w:pPr>
      <w:r>
        <w:rPr>
          <w:rFonts w:ascii="Arial" w:hAnsi="Arial" w:cs="Arial"/>
        </w:rPr>
        <w:t>The research will address the following questions:</w:t>
      </w:r>
    </w:p>
    <w:p w14:paraId="308B922D" w14:textId="77777777" w:rsidR="009B01BA" w:rsidRDefault="009E3CBF">
      <w:pPr>
        <w:numPr>
          <w:ilvl w:val="0"/>
          <w:numId w:val="3"/>
        </w:numPr>
        <w:spacing w:line="360" w:lineRule="auto"/>
        <w:jc w:val="both"/>
        <w:rPr>
          <w:rFonts w:ascii="Arial" w:hAnsi="Arial" w:cs="Arial"/>
        </w:rPr>
      </w:pPr>
      <w:r>
        <w:rPr>
          <w:rFonts w:ascii="Arial" w:hAnsi="Arial" w:cs="Arial"/>
        </w:rPr>
        <w:t>What are the key supply chain challenges Apple Inc. has faced in the global market?</w:t>
      </w:r>
    </w:p>
    <w:p w14:paraId="75738DCE" w14:textId="77777777" w:rsidR="009B01BA" w:rsidRDefault="009E3CBF">
      <w:pPr>
        <w:numPr>
          <w:ilvl w:val="0"/>
          <w:numId w:val="3"/>
        </w:numPr>
        <w:spacing w:line="360" w:lineRule="auto"/>
        <w:jc w:val="both"/>
        <w:rPr>
          <w:rFonts w:ascii="Arial" w:hAnsi="Arial" w:cs="Arial"/>
        </w:rPr>
      </w:pPr>
      <w:r>
        <w:rPr>
          <w:rFonts w:ascii="Arial" w:hAnsi="Arial" w:cs="Arial"/>
        </w:rPr>
        <w:t>How has Apple responded strategically to these challenges?</w:t>
      </w:r>
    </w:p>
    <w:p w14:paraId="6D140049" w14:textId="77777777" w:rsidR="009B01BA" w:rsidRDefault="009E3CBF">
      <w:pPr>
        <w:numPr>
          <w:ilvl w:val="0"/>
          <w:numId w:val="3"/>
        </w:numPr>
        <w:spacing w:line="360" w:lineRule="auto"/>
        <w:jc w:val="both"/>
        <w:rPr>
          <w:rFonts w:ascii="Arial" w:hAnsi="Arial" w:cs="Arial"/>
        </w:rPr>
      </w:pPr>
      <w:r>
        <w:rPr>
          <w:rFonts w:ascii="Arial" w:hAnsi="Arial" w:cs="Arial"/>
        </w:rPr>
        <w:lastRenderedPageBreak/>
        <w:t>What lessons can be drawn from Apple’s approach to improving supply chain resilience?</w:t>
      </w:r>
    </w:p>
    <w:p w14:paraId="335BD274" w14:textId="77777777" w:rsidR="009B01BA" w:rsidRDefault="009E3CBF">
      <w:pPr>
        <w:numPr>
          <w:ilvl w:val="0"/>
          <w:numId w:val="3"/>
        </w:numPr>
        <w:spacing w:line="360" w:lineRule="auto"/>
        <w:jc w:val="both"/>
        <w:rPr>
          <w:rFonts w:ascii="Arial" w:hAnsi="Arial" w:cs="Arial"/>
        </w:rPr>
      </w:pPr>
      <w:r>
        <w:rPr>
          <w:rFonts w:ascii="Arial" w:hAnsi="Arial" w:cs="Arial"/>
        </w:rPr>
        <w:t>What further strategies could Apple implement to enhance supply chain sustainability?</w:t>
      </w:r>
    </w:p>
    <w:p w14:paraId="64A56F33" w14:textId="77777777" w:rsidR="009B01BA" w:rsidRDefault="009E3CBF">
      <w:pPr>
        <w:pStyle w:val="Heading3"/>
        <w:rPr>
          <w:rFonts w:ascii="Arial" w:hAnsi="Arial" w:cs="Arial"/>
        </w:rPr>
      </w:pPr>
      <w:bookmarkStart w:id="8" w:name="_Toc212767965"/>
      <w:r>
        <w:rPr>
          <w:rFonts w:ascii="Arial" w:hAnsi="Arial" w:cs="Arial"/>
        </w:rPr>
        <w:t>1.6 Research Type</w:t>
      </w:r>
      <w:bookmarkEnd w:id="8"/>
    </w:p>
    <w:p w14:paraId="39A7E72C" w14:textId="77777777" w:rsidR="009B01BA" w:rsidRDefault="009B01BA"/>
    <w:p w14:paraId="795C4F2F" w14:textId="77777777" w:rsidR="009B01BA" w:rsidRDefault="009E3CBF">
      <w:pPr>
        <w:spacing w:line="360" w:lineRule="auto"/>
        <w:jc w:val="both"/>
        <w:rPr>
          <w:rFonts w:ascii="Arial" w:hAnsi="Arial" w:cs="Arial"/>
        </w:rPr>
      </w:pPr>
      <w:r>
        <w:rPr>
          <w:rFonts w:ascii="Arial" w:hAnsi="Arial" w:cs="Arial"/>
        </w:rPr>
        <w:t>This study is based on secondary research and employs a Systematic Literature Review (SLR) approach. It does not include the acquisition of primary data through surveys or interviews. Instead, the study will critically examine current data and literature from reputable academic, professional, and industrial sources. These include peer-reviewed journal publications, business case studies, Apple's sustainability and annual reports, as well as statistics from recognised industry reports like Gartner, Statista, and McKinsey.</w:t>
      </w:r>
    </w:p>
    <w:p w14:paraId="6556B3DC" w14:textId="77777777" w:rsidR="009B01BA" w:rsidRDefault="009E3CBF">
      <w:pPr>
        <w:spacing w:line="360" w:lineRule="auto"/>
        <w:jc w:val="both"/>
        <w:rPr>
          <w:rFonts w:ascii="Arial" w:hAnsi="Arial" w:cs="Arial"/>
        </w:rPr>
      </w:pPr>
      <w:r>
        <w:rPr>
          <w:rFonts w:ascii="Arial" w:hAnsi="Arial" w:cs="Arial"/>
        </w:rPr>
        <w:t>This dissertation's secondary research design provides for a thorough analysis of existing information while maintaining objectivity and trustworthiness. The SLR technique facilitates the identification, evaluation, and synthesis of relevant material, allowing for significant conclusions about Apple's supply chain performance and strategic management solutions (Tranfield, Denyer and Smart, 2003).</w:t>
      </w:r>
    </w:p>
    <w:p w14:paraId="4A3EED71" w14:textId="77777777" w:rsidR="009B01BA" w:rsidRDefault="009E3CBF">
      <w:pPr>
        <w:pStyle w:val="Heading3"/>
        <w:rPr>
          <w:rFonts w:ascii="Arial" w:hAnsi="Arial" w:cs="Arial"/>
        </w:rPr>
      </w:pPr>
      <w:bookmarkStart w:id="9" w:name="_Toc212767966"/>
      <w:r>
        <w:rPr>
          <w:rFonts w:ascii="Arial" w:hAnsi="Arial" w:cs="Arial"/>
        </w:rPr>
        <w:t>1.7 Rationale of the Study</w:t>
      </w:r>
      <w:bookmarkEnd w:id="9"/>
    </w:p>
    <w:p w14:paraId="6B27DED1" w14:textId="77777777" w:rsidR="009B01BA" w:rsidRDefault="009B01BA"/>
    <w:p w14:paraId="739BDECD" w14:textId="77777777" w:rsidR="009B01BA" w:rsidRDefault="009E3CBF">
      <w:pPr>
        <w:spacing w:line="360" w:lineRule="auto"/>
        <w:jc w:val="both"/>
        <w:rPr>
          <w:rFonts w:ascii="Arial" w:hAnsi="Arial" w:cs="Arial"/>
        </w:rPr>
      </w:pPr>
      <w:r>
        <w:rPr>
          <w:rFonts w:ascii="Arial" w:hAnsi="Arial" w:cs="Arial"/>
        </w:rPr>
        <w:t>The justification for focusing this research on Apple Inc. stems from the company's reputation as a worldwide technology leader and the intricacy of its supply chain operations. As digital transformation continues to change businesses, supply chain resilience has emerged as a strategic need for remaining competitive (Ivanov, 2021). Apple's experiences offer a relevant and topical case study for examining how multinational corporations can manage risks, sustain innovation, and respond to global crises. Furthermore, knowing Apple's strategy contributes to broader discussions about supply chain leadership and sustainable business practices (Choi, Rogers and Vakil, 2020).</w:t>
      </w:r>
    </w:p>
    <w:p w14:paraId="3DBF4773" w14:textId="77777777" w:rsidR="009B01BA" w:rsidRDefault="009E3CBF">
      <w:pPr>
        <w:spacing w:line="360" w:lineRule="auto"/>
        <w:jc w:val="both"/>
      </w:pPr>
      <w:r>
        <w:t>This research also addresses an academic and practical gap in understanding how leading corporations balance efficiency with flexibility in the face of global volatility. By analysing Apple’s supply chain responses, this dissertation seeks to provide actionable insights that can inform management strategies across industries (Christopher and Holweg, 2017).</w:t>
      </w:r>
    </w:p>
    <w:p w14:paraId="6E24CCAF" w14:textId="77777777" w:rsidR="009B01BA" w:rsidRDefault="009B01BA">
      <w:pPr>
        <w:spacing w:line="360" w:lineRule="auto"/>
        <w:jc w:val="both"/>
      </w:pPr>
    </w:p>
    <w:p w14:paraId="14CD4179" w14:textId="77777777" w:rsidR="009B01BA" w:rsidRDefault="009E3CBF">
      <w:pPr>
        <w:pStyle w:val="Heading3"/>
        <w:rPr>
          <w:rFonts w:ascii="Arial" w:hAnsi="Arial" w:cs="Arial"/>
        </w:rPr>
      </w:pPr>
      <w:bookmarkStart w:id="10" w:name="_Toc212767967"/>
      <w:r>
        <w:rPr>
          <w:rFonts w:ascii="Arial" w:hAnsi="Arial" w:cs="Arial"/>
        </w:rPr>
        <w:lastRenderedPageBreak/>
        <w:t>1.8 Structure of the Dissertation</w:t>
      </w:r>
      <w:bookmarkEnd w:id="10"/>
    </w:p>
    <w:p w14:paraId="21558804" w14:textId="77777777" w:rsidR="009B01BA" w:rsidRDefault="009B01BA"/>
    <w:p w14:paraId="694FB8BF" w14:textId="77777777" w:rsidR="009B01BA" w:rsidRDefault="009E3CBF">
      <w:pPr>
        <w:spacing w:line="360" w:lineRule="auto"/>
        <w:jc w:val="both"/>
        <w:rPr>
          <w:rFonts w:ascii="Arial" w:hAnsi="Arial" w:cs="Arial"/>
        </w:rPr>
      </w:pPr>
      <w:r>
        <w:rPr>
          <w:rFonts w:ascii="Arial" w:hAnsi="Arial" w:cs="Arial"/>
        </w:rPr>
        <w:t>The dissertation is organised into five chapters:</w:t>
      </w:r>
    </w:p>
    <w:p w14:paraId="326F798A" w14:textId="77777777" w:rsidR="009B01BA" w:rsidRDefault="009E3CBF">
      <w:pPr>
        <w:numPr>
          <w:ilvl w:val="0"/>
          <w:numId w:val="4"/>
        </w:numPr>
        <w:spacing w:line="360" w:lineRule="auto"/>
        <w:jc w:val="both"/>
      </w:pPr>
      <w:r>
        <w:rPr>
          <w:rFonts w:ascii="Arial" w:hAnsi="Arial" w:cs="Arial"/>
          <w:b/>
          <w:bCs/>
        </w:rPr>
        <w:t>Chapter 1: Introduction</w:t>
      </w:r>
      <w:r>
        <w:rPr>
          <w:rFonts w:ascii="Arial" w:hAnsi="Arial" w:cs="Arial"/>
        </w:rPr>
        <w:t xml:space="preserve"> – Outlines the research background, aims, objectives, and research questions.</w:t>
      </w:r>
    </w:p>
    <w:p w14:paraId="79966A29" w14:textId="77777777" w:rsidR="009B01BA" w:rsidRDefault="009E3CBF">
      <w:pPr>
        <w:numPr>
          <w:ilvl w:val="0"/>
          <w:numId w:val="4"/>
        </w:numPr>
        <w:spacing w:line="360" w:lineRule="auto"/>
        <w:jc w:val="both"/>
      </w:pPr>
      <w:r>
        <w:rPr>
          <w:rFonts w:ascii="Arial" w:hAnsi="Arial" w:cs="Arial"/>
          <w:b/>
          <w:bCs/>
        </w:rPr>
        <w:t>Chapter 2: Literature Review</w:t>
      </w:r>
      <w:r>
        <w:rPr>
          <w:rFonts w:ascii="Arial" w:hAnsi="Arial" w:cs="Arial"/>
        </w:rPr>
        <w:t xml:space="preserve"> – Reviews existing academic and industry literature related to supply chain management, global challenges, and Apple’s operational strategies.</w:t>
      </w:r>
    </w:p>
    <w:p w14:paraId="1A73AE98" w14:textId="77777777" w:rsidR="009B01BA" w:rsidRDefault="009E3CBF">
      <w:pPr>
        <w:numPr>
          <w:ilvl w:val="0"/>
          <w:numId w:val="4"/>
        </w:numPr>
        <w:spacing w:line="360" w:lineRule="auto"/>
        <w:jc w:val="both"/>
      </w:pPr>
      <w:r>
        <w:rPr>
          <w:rFonts w:ascii="Arial" w:hAnsi="Arial" w:cs="Arial"/>
          <w:b/>
          <w:bCs/>
        </w:rPr>
        <w:t>Chapter 3: Methodology</w:t>
      </w:r>
      <w:r>
        <w:rPr>
          <w:rFonts w:ascii="Arial" w:hAnsi="Arial" w:cs="Arial"/>
        </w:rPr>
        <w:t xml:space="preserve"> – Explains the systematic literature review process, including search strategies, databases, and ethical considerations.</w:t>
      </w:r>
    </w:p>
    <w:p w14:paraId="62FDAEE5" w14:textId="77777777" w:rsidR="009B01BA" w:rsidRDefault="009E3CBF">
      <w:pPr>
        <w:numPr>
          <w:ilvl w:val="0"/>
          <w:numId w:val="4"/>
        </w:numPr>
        <w:spacing w:line="360" w:lineRule="auto"/>
        <w:jc w:val="both"/>
      </w:pPr>
      <w:r>
        <w:rPr>
          <w:rFonts w:ascii="Arial" w:hAnsi="Arial" w:cs="Arial"/>
          <w:b/>
          <w:bCs/>
        </w:rPr>
        <w:t>Chapter 4: Findings and Discussion</w:t>
      </w:r>
      <w:r>
        <w:rPr>
          <w:rFonts w:ascii="Arial" w:hAnsi="Arial" w:cs="Arial"/>
        </w:rPr>
        <w:t xml:space="preserve"> – Presents the key findings derived from the literature and critically analyses Apple’s responses to supply chain challenges.</w:t>
      </w:r>
    </w:p>
    <w:p w14:paraId="392B7171" w14:textId="77777777" w:rsidR="009B01BA" w:rsidRDefault="009E3CBF">
      <w:pPr>
        <w:numPr>
          <w:ilvl w:val="0"/>
          <w:numId w:val="4"/>
        </w:numPr>
        <w:spacing w:line="360" w:lineRule="auto"/>
        <w:jc w:val="both"/>
      </w:pPr>
      <w:r>
        <w:rPr>
          <w:rFonts w:ascii="Arial" w:hAnsi="Arial" w:cs="Arial"/>
          <w:b/>
          <w:bCs/>
        </w:rPr>
        <w:t>Chapter 5: Recommendations, Conclusion and Limitations</w:t>
      </w:r>
      <w:r>
        <w:rPr>
          <w:rFonts w:ascii="Arial" w:hAnsi="Arial" w:cs="Arial"/>
        </w:rPr>
        <w:t xml:space="preserve"> – Summarises the overall findings, offers strategic recommendations, and acknowledges research limitations.</w:t>
      </w:r>
    </w:p>
    <w:p w14:paraId="52ABC541" w14:textId="77777777" w:rsidR="009B01BA" w:rsidRDefault="009E3CBF">
      <w:pPr>
        <w:pStyle w:val="Heading2"/>
        <w:rPr>
          <w:rFonts w:ascii="Arial" w:hAnsi="Arial" w:cs="Arial"/>
        </w:rPr>
      </w:pPr>
      <w:bookmarkStart w:id="11" w:name="_Toc212767968"/>
      <w:r>
        <w:rPr>
          <w:rFonts w:ascii="Arial" w:hAnsi="Arial" w:cs="Arial"/>
        </w:rPr>
        <w:t>CHAPTER 2: LITERATURE REVIEW</w:t>
      </w:r>
      <w:bookmarkEnd w:id="11"/>
    </w:p>
    <w:p w14:paraId="22BB3A36" w14:textId="77777777" w:rsidR="009B01BA" w:rsidRDefault="009E3CBF">
      <w:pPr>
        <w:pStyle w:val="Heading3"/>
        <w:rPr>
          <w:rFonts w:ascii="Arial" w:hAnsi="Arial" w:cs="Arial"/>
        </w:rPr>
      </w:pPr>
      <w:bookmarkStart w:id="12" w:name="_Toc212767969"/>
      <w:r>
        <w:rPr>
          <w:rFonts w:ascii="Arial" w:hAnsi="Arial" w:cs="Arial"/>
        </w:rPr>
        <w:t>2.1 Introduction</w:t>
      </w:r>
      <w:bookmarkEnd w:id="12"/>
    </w:p>
    <w:p w14:paraId="03B4FD2B" w14:textId="77777777" w:rsidR="009B01BA" w:rsidRDefault="009B01BA"/>
    <w:p w14:paraId="5160FC0A" w14:textId="77777777" w:rsidR="009B01BA" w:rsidRDefault="009E3CBF">
      <w:pPr>
        <w:spacing w:line="360" w:lineRule="auto"/>
        <w:jc w:val="both"/>
        <w:rPr>
          <w:rFonts w:ascii="Arial" w:hAnsi="Arial" w:cs="Arial"/>
        </w:rPr>
      </w:pPr>
      <w:r>
        <w:rPr>
          <w:rFonts w:ascii="Arial" w:hAnsi="Arial" w:cs="Arial"/>
        </w:rPr>
        <w:t>The goal of this chapter is to conduct a critical evaluation of important academic and industrial literature on supply chain management, global disruptions, and Apple Inc. operational strategies. The literature review provides the theoretical and conceptual framework for the study, highlights important issues in Apple's worldwide supply chain, and assesses the company's strategic approaches to these challenges. This chapter is based around four major themes: (1) supply chain management theories, (2) Apple's global supply chain structure, (3) the primary difficulties confronting Apple's supply network, and (4) strategic answers to resilience and sustainability (Mentzer et al., 2001).</w:t>
      </w:r>
    </w:p>
    <w:p w14:paraId="10B1E5ED" w14:textId="77777777" w:rsidR="009B01BA" w:rsidRDefault="009E3CBF">
      <w:pPr>
        <w:pStyle w:val="Heading3"/>
        <w:rPr>
          <w:rFonts w:ascii="Arial" w:hAnsi="Arial" w:cs="Arial"/>
        </w:rPr>
      </w:pPr>
      <w:bookmarkStart w:id="13" w:name="_Toc212767970"/>
      <w:r>
        <w:rPr>
          <w:rFonts w:ascii="Arial" w:hAnsi="Arial" w:cs="Arial"/>
        </w:rPr>
        <w:t>2.2 Theoretical Foundations of Supply Chain Management</w:t>
      </w:r>
      <w:bookmarkEnd w:id="13"/>
    </w:p>
    <w:p w14:paraId="13CE63DB" w14:textId="77777777" w:rsidR="009B01BA" w:rsidRDefault="009B01BA"/>
    <w:p w14:paraId="6FD98938" w14:textId="77777777" w:rsidR="009B01BA" w:rsidRDefault="009E3CBF">
      <w:pPr>
        <w:spacing w:line="360" w:lineRule="auto"/>
        <w:jc w:val="both"/>
      </w:pPr>
      <w:r>
        <w:rPr>
          <w:rFonts w:ascii="Arial" w:hAnsi="Arial" w:cs="Arial"/>
        </w:rPr>
        <w:t>Supply chain management (SCM) is the coordination and integration of all processes involved in sourcing, procurement, production, and distribution to efficiently deliver items to clients (Christopher, 2016). Effective SCM increases competitiveness, lowers costs, and allows businesses to respond quickly to changing market demands. Theories and approaches such as Lean, Agile, Resilient, and Sustainable SCM have emerged to handle the changing global challenges.</w:t>
      </w:r>
    </w:p>
    <w:p w14:paraId="0772202F" w14:textId="77777777" w:rsidR="009B01BA" w:rsidRDefault="009E3CBF">
      <w:pPr>
        <w:spacing w:line="360" w:lineRule="auto"/>
        <w:jc w:val="both"/>
        <w:rPr>
          <w:rFonts w:ascii="Arial" w:hAnsi="Arial" w:cs="Arial"/>
        </w:rPr>
      </w:pPr>
      <w:r>
        <w:rPr>
          <w:rFonts w:ascii="Arial" w:hAnsi="Arial" w:cs="Arial"/>
        </w:rPr>
        <w:lastRenderedPageBreak/>
        <w:t>The goal of Lean Supply Chain Management is to maximise efficiency by minimising waste, lowering costs, and standardising processes. It seeks to add value by optimising every stage of the supply chain and minimising non-value-adding operations. However, because lean systems sometimes prioritise efficiency above adaptability, they are subject to unexpected disturbances (Womack and Jones, 2003).</w:t>
      </w:r>
    </w:p>
    <w:p w14:paraId="404961D9" w14:textId="77777777" w:rsidR="009B01BA" w:rsidRDefault="009E3CBF">
      <w:pPr>
        <w:spacing w:line="360" w:lineRule="auto"/>
        <w:jc w:val="both"/>
      </w:pPr>
      <w:r>
        <w:rPr>
          <w:rFonts w:ascii="Arial" w:hAnsi="Arial" w:cs="Arial"/>
        </w:rPr>
        <w:t>Agile supply chain management, on the other hand, promotes adaptability and reactivity to market volatility (Christopher &amp; Towill, 2001). Agile supply chains emphasise adaptability, speed, and customer reaction, making them especially helpful in areas like technology, where product life cycles are short and demand is volatile.</w:t>
      </w:r>
    </w:p>
    <w:p w14:paraId="5A3B9334" w14:textId="77777777" w:rsidR="009B01BA" w:rsidRDefault="009E3CBF">
      <w:pPr>
        <w:spacing w:line="360" w:lineRule="auto"/>
        <w:jc w:val="both"/>
        <w:rPr>
          <w:rFonts w:ascii="Arial" w:hAnsi="Arial" w:cs="Arial"/>
        </w:rPr>
      </w:pPr>
      <w:r>
        <w:rPr>
          <w:rFonts w:ascii="Arial" w:hAnsi="Arial" w:cs="Arial"/>
        </w:rPr>
        <w:t>The necessity to manage uncertainty and risk led to the development of resilient supply chain management practices. It refers to a supply chain's ability to predict, plan for, respond to, and recover from disturbances while remaining functioning.</w:t>
      </w:r>
    </w:p>
    <w:p w14:paraId="3A8B15C5" w14:textId="77777777" w:rsidR="009B01BA" w:rsidRDefault="009E3CBF">
      <w:pPr>
        <w:spacing w:line="360" w:lineRule="auto"/>
        <w:jc w:val="both"/>
      </w:pPr>
      <w:r>
        <w:rPr>
          <w:rFonts w:ascii="Arial" w:hAnsi="Arial" w:cs="Arial"/>
        </w:rPr>
        <w:t>Sustainable Supply Chain Management (SSCM) incorporates environmental and social factors into operating procedures (Carter &amp; Rogers, 2008). With a growing global emphasis on corporate social responsibility, businesses are required to cut carbon emissions, assure ethical sourcing, and encourage circular economy practices.</w:t>
      </w:r>
    </w:p>
    <w:p w14:paraId="04CF0548" w14:textId="77777777" w:rsidR="009B01BA" w:rsidRDefault="009E3CBF">
      <w:r>
        <w:rPr>
          <w:b/>
          <w:bCs/>
        </w:rPr>
        <w:t>Table 1: Summary of Key Supply Chain Management Theories</w:t>
      </w:r>
    </w:p>
    <w:tbl>
      <w:tblPr>
        <w:tblW w:w="9350" w:type="dxa"/>
        <w:tblCellMar>
          <w:left w:w="10" w:type="dxa"/>
          <w:right w:w="10" w:type="dxa"/>
        </w:tblCellMar>
        <w:tblLook w:val="0000" w:firstRow="0" w:lastRow="0" w:firstColumn="0" w:lastColumn="0" w:noHBand="0" w:noVBand="0"/>
      </w:tblPr>
      <w:tblGrid>
        <w:gridCol w:w="1364"/>
        <w:gridCol w:w="2760"/>
        <w:gridCol w:w="2941"/>
        <w:gridCol w:w="2285"/>
      </w:tblGrid>
      <w:tr w:rsidR="009B01BA" w14:paraId="65F2B234" w14:textId="77777777">
        <w:trPr>
          <w:tblHeader/>
        </w:trPr>
        <w:tc>
          <w:tcPr>
            <w:tcW w:w="1364" w:type="dxa"/>
            <w:tcBorders>
              <w:top w:val="single" w:sz="4" w:space="0" w:color="000000"/>
              <w:left w:val="single" w:sz="4" w:space="0" w:color="000000"/>
              <w:bottom w:val="single" w:sz="4" w:space="0" w:color="000000"/>
            </w:tcBorders>
            <w:tcMar>
              <w:top w:w="15" w:type="dxa"/>
              <w:left w:w="15" w:type="dxa"/>
              <w:bottom w:w="15" w:type="dxa"/>
              <w:right w:w="15" w:type="dxa"/>
            </w:tcMar>
            <w:vAlign w:val="center"/>
          </w:tcPr>
          <w:p w14:paraId="150A3F0D" w14:textId="77777777" w:rsidR="009B01BA" w:rsidRDefault="009E3CBF">
            <w:pPr>
              <w:jc w:val="center"/>
              <w:rPr>
                <w:rFonts w:ascii="Arial" w:hAnsi="Arial" w:cs="Arial"/>
                <w:b/>
                <w:bCs/>
              </w:rPr>
            </w:pPr>
            <w:r>
              <w:rPr>
                <w:rFonts w:ascii="Arial" w:hAnsi="Arial" w:cs="Arial"/>
                <w:b/>
                <w:bCs/>
              </w:rPr>
              <w:t>Theory</w:t>
            </w:r>
          </w:p>
        </w:tc>
        <w:tc>
          <w:tcPr>
            <w:tcW w:w="2760" w:type="dxa"/>
            <w:tcBorders>
              <w:top w:val="single" w:sz="4" w:space="0" w:color="000000"/>
              <w:left w:val="single" w:sz="4" w:space="0" w:color="000000"/>
              <w:bottom w:val="single" w:sz="4" w:space="0" w:color="000000"/>
            </w:tcBorders>
            <w:tcMar>
              <w:top w:w="15" w:type="dxa"/>
              <w:left w:w="15" w:type="dxa"/>
              <w:bottom w:w="15" w:type="dxa"/>
              <w:right w:w="15" w:type="dxa"/>
            </w:tcMar>
            <w:vAlign w:val="center"/>
          </w:tcPr>
          <w:p w14:paraId="4521896C" w14:textId="77777777" w:rsidR="009B01BA" w:rsidRDefault="009E3CBF">
            <w:pPr>
              <w:jc w:val="center"/>
              <w:rPr>
                <w:rFonts w:ascii="Arial" w:hAnsi="Arial" w:cs="Arial"/>
                <w:b/>
                <w:bCs/>
              </w:rPr>
            </w:pPr>
            <w:r>
              <w:rPr>
                <w:rFonts w:ascii="Arial" w:hAnsi="Arial" w:cs="Arial"/>
                <w:b/>
                <w:bCs/>
              </w:rPr>
              <w:t>Core Focus</w:t>
            </w:r>
          </w:p>
        </w:tc>
        <w:tc>
          <w:tcPr>
            <w:tcW w:w="294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32A1DAD0" w14:textId="77777777" w:rsidR="009B01BA" w:rsidRDefault="009E3CBF">
            <w:pPr>
              <w:jc w:val="center"/>
              <w:rPr>
                <w:rFonts w:ascii="Arial" w:hAnsi="Arial" w:cs="Arial"/>
                <w:b/>
                <w:bCs/>
              </w:rPr>
            </w:pPr>
            <w:r>
              <w:rPr>
                <w:rFonts w:ascii="Arial" w:hAnsi="Arial" w:cs="Arial"/>
                <w:b/>
                <w:bCs/>
              </w:rPr>
              <w:t>Key Advantages</w:t>
            </w:r>
          </w:p>
        </w:tc>
        <w:tc>
          <w:tcPr>
            <w:tcW w:w="2285" w:type="dxa"/>
            <w:tcBorders>
              <w:top w:val="single" w:sz="4" w:space="0" w:color="000000"/>
              <w:bottom w:val="single" w:sz="4" w:space="0" w:color="000000"/>
              <w:right w:val="single" w:sz="4" w:space="0" w:color="000000"/>
            </w:tcBorders>
            <w:tcMar>
              <w:top w:w="15" w:type="dxa"/>
              <w:left w:w="15" w:type="dxa"/>
              <w:bottom w:w="15" w:type="dxa"/>
              <w:right w:w="15" w:type="dxa"/>
            </w:tcMar>
            <w:vAlign w:val="center"/>
          </w:tcPr>
          <w:p w14:paraId="06542A98" w14:textId="77777777" w:rsidR="009B01BA" w:rsidRDefault="009E3CBF">
            <w:pPr>
              <w:jc w:val="center"/>
              <w:rPr>
                <w:rFonts w:ascii="Arial" w:hAnsi="Arial" w:cs="Arial"/>
                <w:b/>
                <w:bCs/>
              </w:rPr>
            </w:pPr>
            <w:r>
              <w:rPr>
                <w:rFonts w:ascii="Arial" w:hAnsi="Arial" w:cs="Arial"/>
                <w:b/>
                <w:bCs/>
              </w:rPr>
              <w:t>Key Limitations</w:t>
            </w:r>
          </w:p>
        </w:tc>
      </w:tr>
      <w:tr w:rsidR="009B01BA" w14:paraId="5CB6C6E4" w14:textId="77777777">
        <w:tc>
          <w:tcPr>
            <w:tcW w:w="1364" w:type="dxa"/>
            <w:tcBorders>
              <w:left w:val="single" w:sz="4" w:space="0" w:color="000000"/>
            </w:tcBorders>
            <w:tcMar>
              <w:top w:w="15" w:type="dxa"/>
              <w:left w:w="15" w:type="dxa"/>
              <w:bottom w:w="15" w:type="dxa"/>
              <w:right w:w="15" w:type="dxa"/>
            </w:tcMar>
            <w:vAlign w:val="center"/>
          </w:tcPr>
          <w:p w14:paraId="2AAB5C71" w14:textId="77777777" w:rsidR="009B01BA" w:rsidRDefault="009E3CBF">
            <w:pPr>
              <w:jc w:val="center"/>
              <w:rPr>
                <w:rFonts w:ascii="Arial" w:hAnsi="Arial" w:cs="Arial"/>
              </w:rPr>
            </w:pPr>
            <w:r>
              <w:rPr>
                <w:rFonts w:ascii="Arial" w:hAnsi="Arial" w:cs="Arial"/>
              </w:rPr>
              <w:t>Lean SCM</w:t>
            </w:r>
          </w:p>
        </w:tc>
        <w:tc>
          <w:tcPr>
            <w:tcW w:w="2760" w:type="dxa"/>
            <w:tcBorders>
              <w:left w:val="single" w:sz="4" w:space="0" w:color="000000"/>
            </w:tcBorders>
            <w:tcMar>
              <w:top w:w="15" w:type="dxa"/>
              <w:left w:w="15" w:type="dxa"/>
              <w:bottom w:w="15" w:type="dxa"/>
              <w:right w:w="15" w:type="dxa"/>
            </w:tcMar>
            <w:vAlign w:val="center"/>
          </w:tcPr>
          <w:p w14:paraId="0B0635F1" w14:textId="77777777" w:rsidR="009B01BA" w:rsidRDefault="009E3CBF">
            <w:pPr>
              <w:jc w:val="center"/>
              <w:rPr>
                <w:rFonts w:ascii="Arial" w:hAnsi="Arial" w:cs="Arial"/>
              </w:rPr>
            </w:pPr>
            <w:r>
              <w:rPr>
                <w:rFonts w:ascii="Arial" w:hAnsi="Arial" w:cs="Arial"/>
              </w:rPr>
              <w:t>Waste reduction and efficiency</w:t>
            </w:r>
          </w:p>
        </w:tc>
        <w:tc>
          <w:tcPr>
            <w:tcW w:w="2941" w:type="dxa"/>
            <w:tcBorders>
              <w:left w:val="single" w:sz="4" w:space="0" w:color="000000"/>
              <w:right w:val="single" w:sz="4" w:space="0" w:color="000000"/>
            </w:tcBorders>
            <w:tcMar>
              <w:top w:w="15" w:type="dxa"/>
              <w:left w:w="15" w:type="dxa"/>
              <w:bottom w:w="15" w:type="dxa"/>
              <w:right w:w="15" w:type="dxa"/>
            </w:tcMar>
            <w:vAlign w:val="center"/>
          </w:tcPr>
          <w:p w14:paraId="08501EB1" w14:textId="77777777" w:rsidR="009B01BA" w:rsidRDefault="009E3CBF">
            <w:pPr>
              <w:jc w:val="center"/>
              <w:rPr>
                <w:rFonts w:ascii="Arial" w:hAnsi="Arial" w:cs="Arial"/>
              </w:rPr>
            </w:pPr>
            <w:r>
              <w:rPr>
                <w:rFonts w:ascii="Arial" w:hAnsi="Arial" w:cs="Arial"/>
              </w:rPr>
              <w:t>Lower costs, process optimisation</w:t>
            </w:r>
          </w:p>
        </w:tc>
        <w:tc>
          <w:tcPr>
            <w:tcW w:w="2285" w:type="dxa"/>
            <w:tcBorders>
              <w:right w:val="single" w:sz="4" w:space="0" w:color="000000"/>
            </w:tcBorders>
            <w:tcMar>
              <w:top w:w="15" w:type="dxa"/>
              <w:left w:w="15" w:type="dxa"/>
              <w:bottom w:w="15" w:type="dxa"/>
              <w:right w:w="15" w:type="dxa"/>
            </w:tcMar>
            <w:vAlign w:val="center"/>
          </w:tcPr>
          <w:p w14:paraId="04B6325D" w14:textId="77777777" w:rsidR="009B01BA" w:rsidRDefault="009E3CBF">
            <w:pPr>
              <w:jc w:val="center"/>
              <w:rPr>
                <w:rFonts w:ascii="Arial" w:hAnsi="Arial" w:cs="Arial"/>
              </w:rPr>
            </w:pPr>
            <w:r>
              <w:rPr>
                <w:rFonts w:ascii="Arial" w:hAnsi="Arial" w:cs="Arial"/>
              </w:rPr>
              <w:t>Vulnerable to disruptions</w:t>
            </w:r>
          </w:p>
        </w:tc>
      </w:tr>
      <w:tr w:rsidR="009B01BA" w14:paraId="6DEDD8DA" w14:textId="77777777">
        <w:tc>
          <w:tcPr>
            <w:tcW w:w="1364" w:type="dxa"/>
            <w:tcBorders>
              <w:top w:val="single" w:sz="4" w:space="0" w:color="000000"/>
              <w:left w:val="single" w:sz="4" w:space="0" w:color="000000"/>
              <w:bottom w:val="single" w:sz="4" w:space="0" w:color="000000"/>
            </w:tcBorders>
            <w:tcMar>
              <w:top w:w="15" w:type="dxa"/>
              <w:left w:w="15" w:type="dxa"/>
              <w:bottom w:w="15" w:type="dxa"/>
              <w:right w:w="15" w:type="dxa"/>
            </w:tcMar>
            <w:vAlign w:val="center"/>
          </w:tcPr>
          <w:p w14:paraId="6AF90001" w14:textId="77777777" w:rsidR="009B01BA" w:rsidRDefault="009E3CBF">
            <w:pPr>
              <w:jc w:val="center"/>
              <w:rPr>
                <w:rFonts w:ascii="Arial" w:hAnsi="Arial" w:cs="Arial"/>
              </w:rPr>
            </w:pPr>
            <w:r>
              <w:rPr>
                <w:rFonts w:ascii="Arial" w:hAnsi="Arial" w:cs="Arial"/>
              </w:rPr>
              <w:t>Agile SCM</w:t>
            </w:r>
          </w:p>
        </w:tc>
        <w:tc>
          <w:tcPr>
            <w:tcW w:w="2760" w:type="dxa"/>
            <w:tcBorders>
              <w:top w:val="single" w:sz="4" w:space="0" w:color="000000"/>
              <w:left w:val="single" w:sz="4" w:space="0" w:color="000000"/>
              <w:bottom w:val="single" w:sz="4" w:space="0" w:color="000000"/>
            </w:tcBorders>
            <w:tcMar>
              <w:top w:w="15" w:type="dxa"/>
              <w:left w:w="15" w:type="dxa"/>
              <w:bottom w:w="15" w:type="dxa"/>
              <w:right w:w="15" w:type="dxa"/>
            </w:tcMar>
            <w:vAlign w:val="center"/>
          </w:tcPr>
          <w:p w14:paraId="6D8204C5" w14:textId="77777777" w:rsidR="009B01BA" w:rsidRDefault="009E3CBF">
            <w:pPr>
              <w:jc w:val="center"/>
              <w:rPr>
                <w:rFonts w:ascii="Arial" w:hAnsi="Arial" w:cs="Arial"/>
              </w:rPr>
            </w:pPr>
            <w:r>
              <w:rPr>
                <w:rFonts w:ascii="Arial" w:hAnsi="Arial" w:cs="Arial"/>
              </w:rPr>
              <w:t>Flexibility and responsiveness</w:t>
            </w:r>
          </w:p>
        </w:tc>
        <w:tc>
          <w:tcPr>
            <w:tcW w:w="294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2FFDF4AD" w14:textId="77777777" w:rsidR="009B01BA" w:rsidRDefault="009E3CBF">
            <w:pPr>
              <w:jc w:val="center"/>
              <w:rPr>
                <w:rFonts w:ascii="Arial" w:hAnsi="Arial" w:cs="Arial"/>
              </w:rPr>
            </w:pPr>
            <w:r>
              <w:rPr>
                <w:rFonts w:ascii="Arial" w:hAnsi="Arial" w:cs="Arial"/>
              </w:rPr>
              <w:t>Rapid adaptation to market changes</w:t>
            </w:r>
          </w:p>
        </w:tc>
        <w:tc>
          <w:tcPr>
            <w:tcW w:w="2285" w:type="dxa"/>
            <w:tcBorders>
              <w:top w:val="single" w:sz="4" w:space="0" w:color="000000"/>
              <w:bottom w:val="single" w:sz="4" w:space="0" w:color="000000"/>
              <w:right w:val="single" w:sz="4" w:space="0" w:color="000000"/>
            </w:tcBorders>
            <w:tcMar>
              <w:top w:w="15" w:type="dxa"/>
              <w:left w:w="15" w:type="dxa"/>
              <w:bottom w:w="15" w:type="dxa"/>
              <w:right w:w="15" w:type="dxa"/>
            </w:tcMar>
            <w:vAlign w:val="center"/>
          </w:tcPr>
          <w:p w14:paraId="3CA0551C" w14:textId="77777777" w:rsidR="009B01BA" w:rsidRDefault="009E3CBF">
            <w:pPr>
              <w:jc w:val="center"/>
              <w:rPr>
                <w:rFonts w:ascii="Arial" w:hAnsi="Arial" w:cs="Arial"/>
              </w:rPr>
            </w:pPr>
            <w:r>
              <w:rPr>
                <w:rFonts w:ascii="Arial" w:hAnsi="Arial" w:cs="Arial"/>
              </w:rPr>
              <w:t>Can increase operational costs</w:t>
            </w:r>
          </w:p>
        </w:tc>
      </w:tr>
      <w:tr w:rsidR="009B01BA" w14:paraId="27909727" w14:textId="77777777">
        <w:tc>
          <w:tcPr>
            <w:tcW w:w="1364" w:type="dxa"/>
            <w:tcBorders>
              <w:left w:val="single" w:sz="4" w:space="0" w:color="000000"/>
              <w:bottom w:val="single" w:sz="4" w:space="0" w:color="000000"/>
            </w:tcBorders>
            <w:tcMar>
              <w:top w:w="15" w:type="dxa"/>
              <w:left w:w="15" w:type="dxa"/>
              <w:bottom w:w="15" w:type="dxa"/>
              <w:right w:w="15" w:type="dxa"/>
            </w:tcMar>
            <w:vAlign w:val="center"/>
          </w:tcPr>
          <w:p w14:paraId="58A5208D" w14:textId="77777777" w:rsidR="009B01BA" w:rsidRDefault="009E3CBF">
            <w:pPr>
              <w:jc w:val="center"/>
              <w:rPr>
                <w:rFonts w:ascii="Arial" w:hAnsi="Arial" w:cs="Arial"/>
              </w:rPr>
            </w:pPr>
            <w:r>
              <w:rPr>
                <w:rFonts w:ascii="Arial" w:hAnsi="Arial" w:cs="Arial"/>
              </w:rPr>
              <w:t>Resilient SCM</w:t>
            </w:r>
          </w:p>
        </w:tc>
        <w:tc>
          <w:tcPr>
            <w:tcW w:w="2760" w:type="dxa"/>
            <w:tcBorders>
              <w:left w:val="single" w:sz="4" w:space="0" w:color="000000"/>
              <w:bottom w:val="single" w:sz="4" w:space="0" w:color="000000"/>
            </w:tcBorders>
            <w:tcMar>
              <w:top w:w="15" w:type="dxa"/>
              <w:left w:w="15" w:type="dxa"/>
              <w:bottom w:w="15" w:type="dxa"/>
              <w:right w:w="15" w:type="dxa"/>
            </w:tcMar>
            <w:vAlign w:val="center"/>
          </w:tcPr>
          <w:p w14:paraId="51DE96B7" w14:textId="77777777" w:rsidR="009B01BA" w:rsidRDefault="009E3CBF">
            <w:pPr>
              <w:jc w:val="center"/>
              <w:rPr>
                <w:rFonts w:ascii="Arial" w:hAnsi="Arial" w:cs="Arial"/>
              </w:rPr>
            </w:pPr>
            <w:r>
              <w:rPr>
                <w:rFonts w:ascii="Arial" w:hAnsi="Arial" w:cs="Arial"/>
              </w:rPr>
              <w:t>Risk management and recovery</w:t>
            </w:r>
          </w:p>
        </w:tc>
        <w:tc>
          <w:tcPr>
            <w:tcW w:w="2941" w:type="dxa"/>
            <w:tcBorders>
              <w:left w:val="single" w:sz="4" w:space="0" w:color="000000"/>
              <w:bottom w:val="single" w:sz="4" w:space="0" w:color="000000"/>
              <w:right w:val="single" w:sz="4" w:space="0" w:color="000000"/>
            </w:tcBorders>
            <w:tcMar>
              <w:top w:w="15" w:type="dxa"/>
              <w:left w:w="15" w:type="dxa"/>
              <w:bottom w:w="15" w:type="dxa"/>
              <w:right w:w="15" w:type="dxa"/>
            </w:tcMar>
            <w:vAlign w:val="center"/>
          </w:tcPr>
          <w:p w14:paraId="6348CDFC" w14:textId="77777777" w:rsidR="009B01BA" w:rsidRDefault="009E3CBF">
            <w:pPr>
              <w:jc w:val="center"/>
              <w:rPr>
                <w:rFonts w:ascii="Arial" w:hAnsi="Arial" w:cs="Arial"/>
              </w:rPr>
            </w:pPr>
            <w:r>
              <w:rPr>
                <w:rFonts w:ascii="Arial" w:hAnsi="Arial" w:cs="Arial"/>
              </w:rPr>
              <w:t>Improves continuity and robustness</w:t>
            </w:r>
          </w:p>
        </w:tc>
        <w:tc>
          <w:tcPr>
            <w:tcW w:w="2285" w:type="dxa"/>
            <w:tcBorders>
              <w:bottom w:val="single" w:sz="4" w:space="0" w:color="000000"/>
              <w:right w:val="single" w:sz="4" w:space="0" w:color="000000"/>
            </w:tcBorders>
            <w:tcMar>
              <w:top w:w="15" w:type="dxa"/>
              <w:left w:w="15" w:type="dxa"/>
              <w:bottom w:w="15" w:type="dxa"/>
              <w:right w:w="15" w:type="dxa"/>
            </w:tcMar>
            <w:vAlign w:val="center"/>
          </w:tcPr>
          <w:p w14:paraId="7B131EC6" w14:textId="77777777" w:rsidR="009B01BA" w:rsidRDefault="009E3CBF">
            <w:pPr>
              <w:jc w:val="center"/>
              <w:rPr>
                <w:rFonts w:ascii="Arial" w:hAnsi="Arial" w:cs="Arial"/>
              </w:rPr>
            </w:pPr>
            <w:r>
              <w:rPr>
                <w:rFonts w:ascii="Arial" w:hAnsi="Arial" w:cs="Arial"/>
              </w:rPr>
              <w:t>May reduce efficiency</w:t>
            </w:r>
          </w:p>
        </w:tc>
      </w:tr>
      <w:tr w:rsidR="009B01BA" w14:paraId="7B323BBB" w14:textId="77777777">
        <w:tc>
          <w:tcPr>
            <w:tcW w:w="1364" w:type="dxa"/>
            <w:tcBorders>
              <w:left w:val="single" w:sz="4" w:space="0" w:color="000000"/>
              <w:bottom w:val="single" w:sz="4" w:space="0" w:color="000000"/>
            </w:tcBorders>
            <w:tcMar>
              <w:top w:w="15" w:type="dxa"/>
              <w:left w:w="15" w:type="dxa"/>
              <w:bottom w:w="15" w:type="dxa"/>
              <w:right w:w="15" w:type="dxa"/>
            </w:tcMar>
            <w:vAlign w:val="center"/>
          </w:tcPr>
          <w:p w14:paraId="71038B81" w14:textId="77777777" w:rsidR="009B01BA" w:rsidRDefault="009E3CBF">
            <w:pPr>
              <w:jc w:val="center"/>
              <w:rPr>
                <w:rFonts w:ascii="Arial" w:hAnsi="Arial" w:cs="Arial"/>
              </w:rPr>
            </w:pPr>
            <w:r>
              <w:rPr>
                <w:rFonts w:ascii="Arial" w:hAnsi="Arial" w:cs="Arial"/>
              </w:rPr>
              <w:t>Sustainable SCM</w:t>
            </w:r>
          </w:p>
        </w:tc>
        <w:tc>
          <w:tcPr>
            <w:tcW w:w="2760" w:type="dxa"/>
            <w:tcBorders>
              <w:left w:val="single" w:sz="4" w:space="0" w:color="000000"/>
              <w:bottom w:val="single" w:sz="4" w:space="0" w:color="000000"/>
            </w:tcBorders>
            <w:tcMar>
              <w:top w:w="15" w:type="dxa"/>
              <w:left w:w="15" w:type="dxa"/>
              <w:bottom w:w="15" w:type="dxa"/>
              <w:right w:w="15" w:type="dxa"/>
            </w:tcMar>
            <w:vAlign w:val="center"/>
          </w:tcPr>
          <w:p w14:paraId="300BD9FC" w14:textId="77777777" w:rsidR="009B01BA" w:rsidRDefault="009E3CBF">
            <w:pPr>
              <w:jc w:val="center"/>
              <w:rPr>
                <w:rFonts w:ascii="Arial" w:hAnsi="Arial" w:cs="Arial"/>
              </w:rPr>
            </w:pPr>
            <w:r>
              <w:rPr>
                <w:rFonts w:ascii="Arial" w:hAnsi="Arial" w:cs="Arial"/>
              </w:rPr>
              <w:t>Environmental and social responsibility</w:t>
            </w:r>
          </w:p>
        </w:tc>
        <w:tc>
          <w:tcPr>
            <w:tcW w:w="2941" w:type="dxa"/>
            <w:tcBorders>
              <w:left w:val="single" w:sz="4" w:space="0" w:color="000000"/>
              <w:bottom w:val="single" w:sz="4" w:space="0" w:color="000000"/>
              <w:right w:val="single" w:sz="4" w:space="0" w:color="000000"/>
            </w:tcBorders>
            <w:tcMar>
              <w:top w:w="15" w:type="dxa"/>
              <w:left w:w="15" w:type="dxa"/>
              <w:bottom w:w="15" w:type="dxa"/>
              <w:right w:w="15" w:type="dxa"/>
            </w:tcMar>
            <w:vAlign w:val="center"/>
          </w:tcPr>
          <w:p w14:paraId="51B677C8" w14:textId="77777777" w:rsidR="009B01BA" w:rsidRDefault="009E3CBF">
            <w:pPr>
              <w:jc w:val="center"/>
              <w:rPr>
                <w:rFonts w:ascii="Arial" w:hAnsi="Arial" w:cs="Arial"/>
              </w:rPr>
            </w:pPr>
            <w:r>
              <w:rPr>
                <w:rFonts w:ascii="Arial" w:hAnsi="Arial" w:cs="Arial"/>
              </w:rPr>
              <w:t>Enhances brand reputation, compliance</w:t>
            </w:r>
          </w:p>
        </w:tc>
        <w:tc>
          <w:tcPr>
            <w:tcW w:w="2285" w:type="dxa"/>
            <w:tcBorders>
              <w:bottom w:val="single" w:sz="4" w:space="0" w:color="000000"/>
              <w:right w:val="single" w:sz="4" w:space="0" w:color="000000"/>
            </w:tcBorders>
            <w:tcMar>
              <w:top w:w="15" w:type="dxa"/>
              <w:left w:w="15" w:type="dxa"/>
              <w:bottom w:w="15" w:type="dxa"/>
              <w:right w:w="15" w:type="dxa"/>
            </w:tcMar>
            <w:vAlign w:val="center"/>
          </w:tcPr>
          <w:p w14:paraId="601E0853" w14:textId="77777777" w:rsidR="009B01BA" w:rsidRDefault="009E3CBF">
            <w:pPr>
              <w:jc w:val="center"/>
              <w:rPr>
                <w:rFonts w:ascii="Arial" w:hAnsi="Arial" w:cs="Arial"/>
              </w:rPr>
            </w:pPr>
            <w:r>
              <w:rPr>
                <w:rFonts w:ascii="Arial" w:hAnsi="Arial" w:cs="Arial"/>
              </w:rPr>
              <w:t>Requires long-term investment</w:t>
            </w:r>
          </w:p>
        </w:tc>
      </w:tr>
    </w:tbl>
    <w:p w14:paraId="512A5E22" w14:textId="77777777" w:rsidR="009B01BA" w:rsidRDefault="009E3CBF">
      <w:r>
        <w:t>Figure 1. Author Stefan Alexandru Popescu</w:t>
      </w:r>
    </w:p>
    <w:p w14:paraId="616A1917" w14:textId="77777777" w:rsidR="009B01BA" w:rsidRDefault="009E3CBF">
      <w:pPr>
        <w:pStyle w:val="Heading3"/>
        <w:rPr>
          <w:rFonts w:ascii="Arial" w:hAnsi="Arial" w:cs="Arial"/>
        </w:rPr>
      </w:pPr>
      <w:bookmarkStart w:id="14" w:name="_Toc212767971"/>
      <w:r>
        <w:rPr>
          <w:rFonts w:ascii="Arial" w:hAnsi="Arial" w:cs="Arial"/>
        </w:rPr>
        <w:t>2.3 Apple’s Global Supply Chain Model</w:t>
      </w:r>
      <w:bookmarkEnd w:id="14"/>
    </w:p>
    <w:p w14:paraId="3E515FEC" w14:textId="77777777" w:rsidR="009B01BA" w:rsidRDefault="009B01BA"/>
    <w:p w14:paraId="52D9AF09" w14:textId="77777777" w:rsidR="009B01BA" w:rsidRDefault="009E3CBF">
      <w:pPr>
        <w:spacing w:line="360" w:lineRule="auto"/>
        <w:jc w:val="both"/>
        <w:rPr>
          <w:rFonts w:ascii="Arial" w:hAnsi="Arial" w:cs="Arial"/>
        </w:rPr>
      </w:pPr>
      <w:r>
        <w:rPr>
          <w:rFonts w:ascii="Arial" w:hAnsi="Arial" w:cs="Arial"/>
        </w:rPr>
        <w:t xml:space="preserve">Apple’s supply chain is often recognised as one of the most sophisticated and tightly integrated in the world. The corporation outsources production to a network of contract manufacturers who </w:t>
      </w:r>
      <w:r>
        <w:rPr>
          <w:rFonts w:ascii="Arial" w:hAnsi="Arial" w:cs="Arial"/>
        </w:rPr>
        <w:lastRenderedPageBreak/>
        <w:t>operate large-scale facilities around Asia, including Foxconn, Pegatron, and Wistron. Apple maintains rigorous control over product design, quality standards, and logistics, but relies on third-party suppliers for manufacturing and component procurement (Dedrick, Kraemer and Linden, 2011).</w:t>
      </w:r>
    </w:p>
    <w:p w14:paraId="041CBEFF" w14:textId="77777777" w:rsidR="009B01BA" w:rsidRDefault="009E3CBF">
      <w:pPr>
        <w:spacing w:line="360" w:lineRule="auto"/>
        <w:jc w:val="both"/>
        <w:rPr>
          <w:rFonts w:ascii="Arial" w:hAnsi="Arial" w:cs="Arial"/>
        </w:rPr>
      </w:pPr>
      <w:r>
        <w:rPr>
          <w:rFonts w:ascii="Arial" w:hAnsi="Arial" w:cs="Arial"/>
        </w:rPr>
        <w:t>The supply chain architecture is vertically integrated at critical points, allowing Apple to retain control over fundamental processes like design, software integration, and marketing while outsourcing capital-intensive assembly activities. This hybrid structure has enabled Apple to achieve both cost-effectiveness and innovation. However, it generates a strong reliance on specific suppliers and geographic regions, particularly China (Lashinsky, 2012).</w:t>
      </w:r>
    </w:p>
    <w:p w14:paraId="5DD7DE21" w14:textId="77777777" w:rsidR="009B01BA" w:rsidRDefault="009E3CBF">
      <w:pPr>
        <w:spacing w:line="360" w:lineRule="auto"/>
        <w:jc w:val="both"/>
        <w:rPr>
          <w:rFonts w:ascii="Arial" w:hAnsi="Arial" w:cs="Arial"/>
        </w:rPr>
      </w:pPr>
      <w:r>
        <w:rPr>
          <w:rFonts w:ascii="Arial" w:hAnsi="Arial" w:cs="Arial"/>
        </w:rPr>
        <w:t>Apple’s supply chain success relies on several critical components:</w:t>
      </w:r>
    </w:p>
    <w:p w14:paraId="3D71793F" w14:textId="77777777" w:rsidR="009B01BA" w:rsidRDefault="009E3CBF">
      <w:pPr>
        <w:numPr>
          <w:ilvl w:val="0"/>
          <w:numId w:val="5"/>
        </w:numPr>
        <w:spacing w:line="360" w:lineRule="auto"/>
        <w:jc w:val="both"/>
      </w:pPr>
      <w:r>
        <w:rPr>
          <w:rFonts w:ascii="Arial" w:hAnsi="Arial" w:cs="Arial"/>
          <w:b/>
          <w:bCs/>
        </w:rPr>
        <w:t>Global supplier network</w:t>
      </w:r>
      <w:r>
        <w:rPr>
          <w:rFonts w:ascii="Arial" w:hAnsi="Arial" w:cs="Arial"/>
        </w:rPr>
        <w:t xml:space="preserve"> with over 200 key suppliers.</w:t>
      </w:r>
    </w:p>
    <w:p w14:paraId="454536E2" w14:textId="77777777" w:rsidR="009B01BA" w:rsidRDefault="009E3CBF">
      <w:pPr>
        <w:numPr>
          <w:ilvl w:val="0"/>
          <w:numId w:val="5"/>
        </w:numPr>
        <w:spacing w:line="360" w:lineRule="auto"/>
        <w:jc w:val="both"/>
      </w:pPr>
      <w:r>
        <w:rPr>
          <w:rFonts w:ascii="Arial" w:hAnsi="Arial" w:cs="Arial"/>
          <w:b/>
          <w:bCs/>
        </w:rPr>
        <w:t>Advanced logistics and inventory systems</w:t>
      </w:r>
      <w:r>
        <w:rPr>
          <w:rFonts w:ascii="Arial" w:hAnsi="Arial" w:cs="Arial"/>
        </w:rPr>
        <w:t xml:space="preserve"> that optimise delivery times.</w:t>
      </w:r>
    </w:p>
    <w:p w14:paraId="0B576382" w14:textId="77777777" w:rsidR="009B01BA" w:rsidRDefault="009E3CBF">
      <w:pPr>
        <w:numPr>
          <w:ilvl w:val="0"/>
          <w:numId w:val="5"/>
        </w:numPr>
        <w:spacing w:line="360" w:lineRule="auto"/>
        <w:jc w:val="both"/>
      </w:pPr>
      <w:r>
        <w:rPr>
          <w:rFonts w:ascii="Arial" w:hAnsi="Arial" w:cs="Arial"/>
          <w:b/>
          <w:bCs/>
        </w:rPr>
        <w:t>Close supplier partnerships</w:t>
      </w:r>
      <w:r>
        <w:rPr>
          <w:rFonts w:ascii="Arial" w:hAnsi="Arial" w:cs="Arial"/>
        </w:rPr>
        <w:t xml:space="preserve"> that foster collaboration and quality control.</w:t>
      </w:r>
    </w:p>
    <w:p w14:paraId="329118D1" w14:textId="77777777" w:rsidR="009B01BA" w:rsidRDefault="009E3CBF">
      <w:pPr>
        <w:numPr>
          <w:ilvl w:val="0"/>
          <w:numId w:val="5"/>
        </w:numPr>
        <w:spacing w:line="360" w:lineRule="auto"/>
        <w:jc w:val="both"/>
      </w:pPr>
      <w:r>
        <w:rPr>
          <w:rFonts w:ascii="Arial" w:hAnsi="Arial" w:cs="Arial"/>
          <w:b/>
          <w:bCs/>
        </w:rPr>
        <w:t>High confidentiality and operational secrecy</w:t>
      </w:r>
      <w:r>
        <w:rPr>
          <w:rFonts w:ascii="Arial" w:hAnsi="Arial" w:cs="Arial"/>
        </w:rPr>
        <w:t xml:space="preserve"> to protect innovation (Dedrick, Kraemer and Linden, 2011).</w:t>
      </w:r>
    </w:p>
    <w:p w14:paraId="0371D24F" w14:textId="77777777" w:rsidR="009B01BA" w:rsidRDefault="009E3CBF">
      <w:pPr>
        <w:spacing w:line="360" w:lineRule="auto"/>
        <w:jc w:val="both"/>
        <w:rPr>
          <w:rFonts w:ascii="Arial" w:hAnsi="Arial" w:cs="Arial"/>
        </w:rPr>
      </w:pPr>
      <w:r>
        <w:rPr>
          <w:rFonts w:ascii="Arial" w:hAnsi="Arial" w:cs="Arial"/>
        </w:rPr>
        <w:t>Despite its advantages, Apple’s supply chain has been criticised for issues such as overreliance on Chinese manufacturing, limited transparency, and exposure to external shocks.</w:t>
      </w:r>
    </w:p>
    <w:p w14:paraId="409DE602" w14:textId="77777777" w:rsidR="009B01BA" w:rsidRDefault="009E3CBF">
      <w:pPr>
        <w:pStyle w:val="Heading3"/>
        <w:rPr>
          <w:rFonts w:ascii="Arial" w:hAnsi="Arial" w:cs="Arial"/>
        </w:rPr>
      </w:pPr>
      <w:bookmarkStart w:id="15" w:name="_Toc212767972"/>
      <w:r>
        <w:rPr>
          <w:rFonts w:ascii="Arial" w:hAnsi="Arial" w:cs="Arial"/>
        </w:rPr>
        <w:t>2.4 Global Supply Chain Challenges Affecting Apple Inc.</w:t>
      </w:r>
      <w:bookmarkEnd w:id="15"/>
    </w:p>
    <w:p w14:paraId="048DB53E" w14:textId="77777777" w:rsidR="009B01BA" w:rsidRDefault="009E3CBF">
      <w:pPr>
        <w:pStyle w:val="Heading3"/>
        <w:rPr>
          <w:rFonts w:ascii="Arial" w:hAnsi="Arial" w:cs="Arial"/>
        </w:rPr>
      </w:pPr>
      <w:bookmarkStart w:id="16" w:name="_Toc212767973"/>
      <w:r>
        <w:rPr>
          <w:rFonts w:ascii="Arial" w:hAnsi="Arial" w:cs="Arial"/>
        </w:rPr>
        <w:t>2.4.1 COVID-19 Pandemic</w:t>
      </w:r>
      <w:bookmarkEnd w:id="16"/>
    </w:p>
    <w:p w14:paraId="4B6ECF2F" w14:textId="77777777" w:rsidR="009B01BA" w:rsidRDefault="009B01BA">
      <w:pPr>
        <w:spacing w:line="360" w:lineRule="auto"/>
        <w:jc w:val="both"/>
        <w:rPr>
          <w:rFonts w:ascii="Arial" w:hAnsi="Arial" w:cs="Arial"/>
        </w:rPr>
      </w:pPr>
    </w:p>
    <w:p w14:paraId="750F18BC" w14:textId="77777777" w:rsidR="009B01BA" w:rsidRDefault="009E3CBF">
      <w:pPr>
        <w:spacing w:line="360" w:lineRule="auto"/>
        <w:jc w:val="both"/>
      </w:pPr>
      <w:r>
        <w:rPr>
          <w:rFonts w:ascii="Arial" w:hAnsi="Arial" w:cs="Arial"/>
        </w:rPr>
        <w:t>The COVID-19 pandemic produced unprecedented global supply chain disruptions, suspending output in key manufacturing hubs and generating logistical and raw material shortages (Ivanov &amp; Dolgui, 2020). Apple had plant shutdowns in China, delaying product launches and limiting the availability of iPhones and other gadgets. According to Apple's 2020 annual report, supply restrictions had a direct impact on quarterly revenues.</w:t>
      </w:r>
    </w:p>
    <w:p w14:paraId="5F34DC41" w14:textId="77777777" w:rsidR="009B01BA" w:rsidRDefault="009E3CBF">
      <w:pPr>
        <w:spacing w:line="360" w:lineRule="auto"/>
        <w:jc w:val="both"/>
        <w:rPr>
          <w:rFonts w:ascii="Arial" w:hAnsi="Arial" w:cs="Arial"/>
        </w:rPr>
      </w:pPr>
      <w:r>
        <w:rPr>
          <w:rFonts w:ascii="Arial" w:hAnsi="Arial" w:cs="Arial"/>
        </w:rPr>
        <w:t xml:space="preserve">The epidemic exposed Apple's reliance on a small number of suppliers, as well as the limitations of just-in-time inventory management systems. It also revealed flaws in Apple's risk management strategy, as the business depended significantly on one region for assembly and component manufacture. In response, Apple has intensified its attempts to diversify production by expanding into countries such as India and Vietnam, as well as investing in digital tools to improve end-to-end </w:t>
      </w:r>
      <w:r>
        <w:rPr>
          <w:rFonts w:ascii="Arial" w:hAnsi="Arial" w:cs="Arial"/>
        </w:rPr>
        <w:lastRenderedPageBreak/>
        <w:t>visibility and real-time monitoring across its supply chain. The incident highlighted the significance of agility, contingency planning, and resilience-building in Apple's worldwide supply chain, which influenced the company's long-term operational strategy (Ivanov, 2021).</w:t>
      </w:r>
    </w:p>
    <w:p w14:paraId="09F2A27A" w14:textId="77777777" w:rsidR="009B01BA" w:rsidRDefault="009E3CBF">
      <w:pPr>
        <w:pStyle w:val="Heading3"/>
        <w:rPr>
          <w:rFonts w:ascii="Arial" w:hAnsi="Arial" w:cs="Arial"/>
        </w:rPr>
      </w:pPr>
      <w:bookmarkStart w:id="17" w:name="_Toc212767974"/>
      <w:r>
        <w:rPr>
          <w:rFonts w:ascii="Arial" w:hAnsi="Arial" w:cs="Arial"/>
        </w:rPr>
        <w:t>2.4.2 Geopolitical Tensions</w:t>
      </w:r>
      <w:bookmarkEnd w:id="17"/>
    </w:p>
    <w:p w14:paraId="3C4FD546" w14:textId="77777777" w:rsidR="009B01BA" w:rsidRDefault="009B01BA"/>
    <w:p w14:paraId="5DB5A5AF" w14:textId="77777777" w:rsidR="009B01BA" w:rsidRDefault="009E3CBF">
      <w:pPr>
        <w:spacing w:line="360" w:lineRule="auto"/>
        <w:jc w:val="both"/>
      </w:pPr>
      <w:r>
        <w:rPr>
          <w:rFonts w:ascii="Arial" w:hAnsi="Arial" w:cs="Arial"/>
        </w:rPr>
        <w:t>Geopolitical connections, especially those between the United States and China, have a significant impact on Apple's supply chain. Trade conflicts, tariffs, and export restrictions have raised operational concerns (Evenett, 2021). Political instability and fluctuating trade policy can disrupt supply chains and raise production costs. These conflicts have an impact not just on Apple's profitability but also on the company's long-term strategic decisions, as it must negotiate contradictory regulatory frameworks while maintaining partnerships with both US and Chinese authorities. In recent years, export limitations on innovative technology and rising labour costs in China have exacerbated supply chain challenges.</w:t>
      </w:r>
    </w:p>
    <w:p w14:paraId="1CA220D0" w14:textId="77777777" w:rsidR="009B01BA" w:rsidRDefault="009E3CBF">
      <w:pPr>
        <w:spacing w:line="360" w:lineRule="auto"/>
        <w:jc w:val="both"/>
        <w:rPr>
          <w:rFonts w:ascii="Arial" w:hAnsi="Arial" w:cs="Arial"/>
        </w:rPr>
      </w:pPr>
      <w:r>
        <w:rPr>
          <w:rFonts w:ascii="Arial" w:hAnsi="Arial" w:cs="Arial"/>
        </w:rPr>
        <w:t>To avoid these risks, Apple has considered "China+1" plans, which involve shifting some production to alternative markets such as India, Vietnam, and Malaysia. This strategy promotes operational diversification and geographical balance, lowering susceptibility to geopolitical unpredictability while preserving efficiency and production scale (Choudhury and Choudhury, 2022).</w:t>
      </w:r>
    </w:p>
    <w:p w14:paraId="12D1972B" w14:textId="77777777" w:rsidR="009B01BA" w:rsidRDefault="009E3CBF">
      <w:pPr>
        <w:pStyle w:val="Heading3"/>
        <w:rPr>
          <w:rFonts w:ascii="Arial" w:hAnsi="Arial" w:cs="Arial"/>
        </w:rPr>
      </w:pPr>
      <w:bookmarkStart w:id="18" w:name="_Toc212767975"/>
      <w:r>
        <w:rPr>
          <w:rFonts w:ascii="Arial" w:hAnsi="Arial" w:cs="Arial"/>
        </w:rPr>
        <w:t>2.4.3 Environmental and Ethical Pressures</w:t>
      </w:r>
      <w:bookmarkEnd w:id="18"/>
    </w:p>
    <w:p w14:paraId="0DA10AAA" w14:textId="77777777" w:rsidR="009B01BA" w:rsidRDefault="009B01BA">
      <w:pPr>
        <w:rPr>
          <w:rFonts w:ascii="Arial" w:hAnsi="Arial" w:cs="Arial"/>
        </w:rPr>
      </w:pPr>
    </w:p>
    <w:p w14:paraId="7622DE84" w14:textId="77777777" w:rsidR="009B01BA" w:rsidRDefault="009E3CBF">
      <w:pPr>
        <w:spacing w:line="360" w:lineRule="auto"/>
        <w:jc w:val="both"/>
      </w:pPr>
      <w:r>
        <w:rPr>
          <w:rFonts w:ascii="Arial" w:hAnsi="Arial" w:cs="Arial"/>
        </w:rPr>
        <w:t>Sustainability has become a significant supply chain challenge. Stakeholders want ecologically responsible operations, ethical labour standards, and sourcing transparency (Sarkis et al. 2019). Apple has made great progress in this area, aiming to be carbon-neutral by 2030 and requiring suppliers to use renewable energy. The company's Supplier Responsibility Program and Environmental Progress Reports show continual efforts to minimise emissions, minimise packaging waste, and increase material recycling. However, there are ongoing worries about supplier labour conditions, workplace safety standards, and electronic waste disposal. Critics claim that, despite Apple's commitments, obtaining complete openness across thousands of suppliers is still challenging. Furthermore, increased regulatory scrutiny and consumer expectations for ethical sourcing put extra pressure on Apple to go beyond compliance and provide demonstrable environmental and social consequences across its worldwide supply chain.</w:t>
      </w:r>
    </w:p>
    <w:p w14:paraId="32BF6816" w14:textId="77777777" w:rsidR="009B01BA" w:rsidRDefault="009E3CBF">
      <w:pPr>
        <w:pStyle w:val="Heading3"/>
        <w:rPr>
          <w:rFonts w:ascii="Arial" w:hAnsi="Arial" w:cs="Arial"/>
        </w:rPr>
      </w:pPr>
      <w:bookmarkStart w:id="19" w:name="_Toc212767976"/>
      <w:r>
        <w:rPr>
          <w:rFonts w:ascii="Arial" w:hAnsi="Arial" w:cs="Arial"/>
        </w:rPr>
        <w:t>2.4.4 Technological Complexity and Innovation Pressure</w:t>
      </w:r>
      <w:bookmarkEnd w:id="19"/>
    </w:p>
    <w:p w14:paraId="7408F0D3" w14:textId="77777777" w:rsidR="009B01BA" w:rsidRDefault="009B01BA">
      <w:pPr>
        <w:spacing w:line="360" w:lineRule="auto"/>
        <w:jc w:val="both"/>
        <w:rPr>
          <w:rFonts w:ascii="Arial" w:hAnsi="Arial" w:cs="Arial"/>
        </w:rPr>
      </w:pPr>
    </w:p>
    <w:p w14:paraId="160BD0E1" w14:textId="77777777" w:rsidR="009B01BA" w:rsidRDefault="009E3CBF">
      <w:pPr>
        <w:spacing w:line="360" w:lineRule="auto"/>
        <w:jc w:val="both"/>
        <w:rPr>
          <w:rFonts w:ascii="Arial" w:hAnsi="Arial" w:cs="Arial"/>
        </w:rPr>
      </w:pPr>
      <w:r>
        <w:rPr>
          <w:rFonts w:ascii="Arial" w:hAnsi="Arial" w:cs="Arial"/>
        </w:rPr>
        <w:lastRenderedPageBreak/>
        <w:t>As Apple innovates, the complexity of its supply chain grows. The introduction of new product features and materials (such as silicon chips, sophisticated displays, and custom processors) necessitates collaboration with a variety of specialised vendors. This increases dependency and makes the supply chain more susceptible to disruptions, especially when dealing with proprietary technologies and limited raw materials (Dedrick, Kraemer and Linden, 2011). The company's shift to in-house chip manufacture, such as the Apple Silicon line, has exacerbated this complexity by necessitating advanced fabrication skills and tight collaboration with semiconductor partners such as TSMC. Furthermore, the rising demand for rare earth elements used in electrical components exposes Apple to market volatility and geopolitical concerns linked to resource shortages. Managing these technological and material dependencies has thus become an essential component of Apple's long-term risk management and supply chain resilience strategy (Kaur, Sharma and Singh, 2022).</w:t>
      </w:r>
    </w:p>
    <w:p w14:paraId="5E5915E3" w14:textId="77777777" w:rsidR="009B01BA" w:rsidRDefault="009E3CBF">
      <w:pPr>
        <w:spacing w:line="360" w:lineRule="auto"/>
        <w:jc w:val="both"/>
      </w:pPr>
      <w:r>
        <w:rPr>
          <w:rFonts w:ascii="Arial" w:hAnsi="Arial" w:cs="Arial"/>
          <w:b/>
          <w:bCs/>
        </w:rPr>
        <w:t>Table 2: Key Global Challenges Affecting Apple’s Supply Chain</w:t>
      </w:r>
    </w:p>
    <w:tbl>
      <w:tblPr>
        <w:tblW w:w="9350" w:type="dxa"/>
        <w:tblCellMar>
          <w:left w:w="10" w:type="dxa"/>
          <w:right w:w="10" w:type="dxa"/>
        </w:tblCellMar>
        <w:tblLook w:val="0000" w:firstRow="0" w:lastRow="0" w:firstColumn="0" w:lastColumn="0" w:noHBand="0" w:noVBand="0"/>
      </w:tblPr>
      <w:tblGrid>
        <w:gridCol w:w="1550"/>
        <w:gridCol w:w="2546"/>
        <w:gridCol w:w="2208"/>
        <w:gridCol w:w="3046"/>
      </w:tblGrid>
      <w:tr w:rsidR="009B01BA" w14:paraId="72CFF59D" w14:textId="77777777">
        <w:trPr>
          <w:tblHeader/>
        </w:trPr>
        <w:tc>
          <w:tcPr>
            <w:tcW w:w="1550" w:type="dxa"/>
            <w:tcBorders>
              <w:top w:val="single" w:sz="4" w:space="0" w:color="000000"/>
              <w:left w:val="single" w:sz="4" w:space="0" w:color="000000"/>
              <w:bottom w:val="single" w:sz="4" w:space="0" w:color="000000"/>
            </w:tcBorders>
            <w:tcMar>
              <w:top w:w="15" w:type="dxa"/>
              <w:left w:w="15" w:type="dxa"/>
              <w:bottom w:w="15" w:type="dxa"/>
              <w:right w:w="15" w:type="dxa"/>
            </w:tcMar>
            <w:vAlign w:val="center"/>
          </w:tcPr>
          <w:p w14:paraId="1AA9909D" w14:textId="77777777" w:rsidR="009B01BA" w:rsidRDefault="009E3CBF">
            <w:pPr>
              <w:spacing w:line="360" w:lineRule="auto"/>
              <w:jc w:val="center"/>
              <w:rPr>
                <w:rFonts w:ascii="Arial" w:hAnsi="Arial" w:cs="Arial"/>
                <w:b/>
                <w:bCs/>
              </w:rPr>
            </w:pPr>
            <w:r>
              <w:rPr>
                <w:rFonts w:ascii="Arial" w:hAnsi="Arial" w:cs="Arial"/>
                <w:b/>
                <w:bCs/>
              </w:rPr>
              <w:t>Challenge</w:t>
            </w:r>
          </w:p>
        </w:tc>
        <w:tc>
          <w:tcPr>
            <w:tcW w:w="25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761DA721" w14:textId="77777777" w:rsidR="009B01BA" w:rsidRDefault="009E3CBF">
            <w:pPr>
              <w:spacing w:line="360" w:lineRule="auto"/>
              <w:jc w:val="center"/>
              <w:rPr>
                <w:rFonts w:ascii="Arial" w:hAnsi="Arial" w:cs="Arial"/>
                <w:b/>
                <w:bCs/>
              </w:rPr>
            </w:pPr>
            <w:r>
              <w:rPr>
                <w:rFonts w:ascii="Arial" w:hAnsi="Arial" w:cs="Arial"/>
                <w:b/>
                <w:bCs/>
              </w:rPr>
              <w:t>Description</w:t>
            </w:r>
          </w:p>
        </w:tc>
        <w:tc>
          <w:tcPr>
            <w:tcW w:w="2208" w:type="dxa"/>
            <w:tcBorders>
              <w:top w:val="single" w:sz="4" w:space="0" w:color="000000"/>
              <w:bottom w:val="single" w:sz="4" w:space="0" w:color="000000"/>
              <w:right w:val="single" w:sz="4" w:space="0" w:color="000000"/>
            </w:tcBorders>
            <w:tcMar>
              <w:top w:w="15" w:type="dxa"/>
              <w:left w:w="15" w:type="dxa"/>
              <w:bottom w:w="15" w:type="dxa"/>
              <w:right w:w="15" w:type="dxa"/>
            </w:tcMar>
            <w:vAlign w:val="center"/>
          </w:tcPr>
          <w:p w14:paraId="6AA1A3DB" w14:textId="77777777" w:rsidR="009B01BA" w:rsidRDefault="009E3CBF">
            <w:pPr>
              <w:spacing w:line="360" w:lineRule="auto"/>
              <w:jc w:val="center"/>
              <w:rPr>
                <w:rFonts w:ascii="Arial" w:hAnsi="Arial" w:cs="Arial"/>
                <w:b/>
                <w:bCs/>
              </w:rPr>
            </w:pPr>
            <w:r>
              <w:rPr>
                <w:rFonts w:ascii="Arial" w:hAnsi="Arial" w:cs="Arial"/>
                <w:b/>
                <w:bCs/>
              </w:rPr>
              <w:t>Impact on Apple’s Supply Chain</w:t>
            </w:r>
          </w:p>
        </w:tc>
        <w:tc>
          <w:tcPr>
            <w:tcW w:w="3046" w:type="dxa"/>
            <w:tcBorders>
              <w:top w:val="single" w:sz="4" w:space="0" w:color="000000"/>
              <w:bottom w:val="single" w:sz="4" w:space="0" w:color="000000"/>
              <w:right w:val="single" w:sz="4" w:space="0" w:color="000000"/>
            </w:tcBorders>
            <w:tcMar>
              <w:top w:w="15" w:type="dxa"/>
              <w:left w:w="15" w:type="dxa"/>
              <w:bottom w:w="15" w:type="dxa"/>
              <w:right w:w="15" w:type="dxa"/>
            </w:tcMar>
            <w:vAlign w:val="center"/>
          </w:tcPr>
          <w:p w14:paraId="561806F6" w14:textId="77777777" w:rsidR="009B01BA" w:rsidRDefault="009E3CBF">
            <w:pPr>
              <w:spacing w:line="360" w:lineRule="auto"/>
              <w:jc w:val="center"/>
              <w:rPr>
                <w:rFonts w:ascii="Arial" w:hAnsi="Arial" w:cs="Arial"/>
                <w:b/>
                <w:bCs/>
              </w:rPr>
            </w:pPr>
            <w:r>
              <w:rPr>
                <w:rFonts w:ascii="Arial" w:hAnsi="Arial" w:cs="Arial"/>
                <w:b/>
                <w:bCs/>
              </w:rPr>
              <w:t>Apple’s Response</w:t>
            </w:r>
          </w:p>
        </w:tc>
      </w:tr>
      <w:tr w:rsidR="009B01BA" w14:paraId="05F39FCA" w14:textId="77777777">
        <w:tc>
          <w:tcPr>
            <w:tcW w:w="1550" w:type="dxa"/>
            <w:tcBorders>
              <w:left w:val="single" w:sz="4" w:space="0" w:color="000000"/>
              <w:bottom w:val="single" w:sz="4" w:space="0" w:color="000000"/>
            </w:tcBorders>
            <w:tcMar>
              <w:top w:w="15" w:type="dxa"/>
              <w:left w:w="15" w:type="dxa"/>
              <w:bottom w:w="15" w:type="dxa"/>
              <w:right w:w="15" w:type="dxa"/>
            </w:tcMar>
            <w:vAlign w:val="center"/>
          </w:tcPr>
          <w:p w14:paraId="2F0E779B" w14:textId="77777777" w:rsidR="009B01BA" w:rsidRDefault="009E3CBF">
            <w:pPr>
              <w:spacing w:line="360" w:lineRule="auto"/>
              <w:jc w:val="center"/>
              <w:rPr>
                <w:rFonts w:ascii="Arial" w:hAnsi="Arial" w:cs="Arial"/>
              </w:rPr>
            </w:pPr>
            <w:r>
              <w:rPr>
                <w:rFonts w:ascii="Arial" w:hAnsi="Arial" w:cs="Arial"/>
              </w:rPr>
              <w:t>COVID-19 Pandemic</w:t>
            </w:r>
          </w:p>
        </w:tc>
        <w:tc>
          <w:tcPr>
            <w:tcW w:w="2546" w:type="dxa"/>
            <w:tcBorders>
              <w:left w:val="single" w:sz="4" w:space="0" w:color="000000"/>
              <w:bottom w:val="single" w:sz="4" w:space="0" w:color="000000"/>
              <w:right w:val="single" w:sz="4" w:space="0" w:color="000000"/>
            </w:tcBorders>
            <w:tcMar>
              <w:top w:w="15" w:type="dxa"/>
              <w:left w:w="15" w:type="dxa"/>
              <w:bottom w:w="15" w:type="dxa"/>
              <w:right w:w="15" w:type="dxa"/>
            </w:tcMar>
            <w:vAlign w:val="center"/>
          </w:tcPr>
          <w:p w14:paraId="590F3A9E" w14:textId="77777777" w:rsidR="009B01BA" w:rsidRDefault="009E3CBF">
            <w:pPr>
              <w:spacing w:line="360" w:lineRule="auto"/>
              <w:jc w:val="center"/>
              <w:rPr>
                <w:rFonts w:ascii="Arial" w:hAnsi="Arial" w:cs="Arial"/>
              </w:rPr>
            </w:pPr>
            <w:r>
              <w:rPr>
                <w:rFonts w:ascii="Arial" w:hAnsi="Arial" w:cs="Arial"/>
              </w:rPr>
              <w:t>Factory closures and logistics disruptions</w:t>
            </w:r>
          </w:p>
        </w:tc>
        <w:tc>
          <w:tcPr>
            <w:tcW w:w="2208" w:type="dxa"/>
            <w:tcBorders>
              <w:bottom w:val="single" w:sz="4" w:space="0" w:color="000000"/>
              <w:right w:val="single" w:sz="4" w:space="0" w:color="000000"/>
            </w:tcBorders>
            <w:tcMar>
              <w:top w:w="15" w:type="dxa"/>
              <w:left w:w="15" w:type="dxa"/>
              <w:bottom w:w="15" w:type="dxa"/>
              <w:right w:w="15" w:type="dxa"/>
            </w:tcMar>
            <w:vAlign w:val="center"/>
          </w:tcPr>
          <w:p w14:paraId="384899EA" w14:textId="77777777" w:rsidR="009B01BA" w:rsidRDefault="009E3CBF">
            <w:pPr>
              <w:spacing w:line="360" w:lineRule="auto"/>
              <w:jc w:val="center"/>
              <w:rPr>
                <w:rFonts w:ascii="Arial" w:hAnsi="Arial" w:cs="Arial"/>
              </w:rPr>
            </w:pPr>
            <w:r>
              <w:rPr>
                <w:rFonts w:ascii="Arial" w:hAnsi="Arial" w:cs="Arial"/>
              </w:rPr>
              <w:t>Production delays, reduced inventory</w:t>
            </w:r>
          </w:p>
        </w:tc>
        <w:tc>
          <w:tcPr>
            <w:tcW w:w="3046" w:type="dxa"/>
            <w:tcBorders>
              <w:bottom w:val="single" w:sz="4" w:space="0" w:color="000000"/>
              <w:right w:val="single" w:sz="4" w:space="0" w:color="000000"/>
            </w:tcBorders>
            <w:tcMar>
              <w:top w:w="15" w:type="dxa"/>
              <w:left w:w="15" w:type="dxa"/>
              <w:bottom w:w="15" w:type="dxa"/>
              <w:right w:w="15" w:type="dxa"/>
            </w:tcMar>
            <w:vAlign w:val="center"/>
          </w:tcPr>
          <w:p w14:paraId="544569AB" w14:textId="77777777" w:rsidR="009B01BA" w:rsidRDefault="009E3CBF">
            <w:pPr>
              <w:spacing w:line="360" w:lineRule="auto"/>
              <w:jc w:val="center"/>
              <w:rPr>
                <w:rFonts w:ascii="Arial" w:hAnsi="Arial" w:cs="Arial"/>
              </w:rPr>
            </w:pPr>
            <w:r>
              <w:rPr>
                <w:rFonts w:ascii="Arial" w:hAnsi="Arial" w:cs="Arial"/>
              </w:rPr>
              <w:t>Diversification of manufacturing, improved logistics planning</w:t>
            </w:r>
          </w:p>
        </w:tc>
      </w:tr>
      <w:tr w:rsidR="009B01BA" w14:paraId="663BBDCB" w14:textId="77777777">
        <w:tc>
          <w:tcPr>
            <w:tcW w:w="1550" w:type="dxa"/>
            <w:tcBorders>
              <w:left w:val="single" w:sz="4" w:space="0" w:color="000000"/>
            </w:tcBorders>
            <w:tcMar>
              <w:top w:w="15" w:type="dxa"/>
              <w:left w:w="15" w:type="dxa"/>
              <w:bottom w:w="15" w:type="dxa"/>
              <w:right w:w="15" w:type="dxa"/>
            </w:tcMar>
            <w:vAlign w:val="center"/>
          </w:tcPr>
          <w:p w14:paraId="6E45B39D" w14:textId="77777777" w:rsidR="009B01BA" w:rsidRDefault="009E3CBF">
            <w:pPr>
              <w:spacing w:line="360" w:lineRule="auto"/>
              <w:jc w:val="center"/>
              <w:rPr>
                <w:rFonts w:ascii="Arial" w:hAnsi="Arial" w:cs="Arial"/>
              </w:rPr>
            </w:pPr>
            <w:r>
              <w:rPr>
                <w:rFonts w:ascii="Arial" w:hAnsi="Arial" w:cs="Arial"/>
              </w:rPr>
              <w:t>Geopolitical Tensions</w:t>
            </w:r>
          </w:p>
        </w:tc>
        <w:tc>
          <w:tcPr>
            <w:tcW w:w="2546" w:type="dxa"/>
            <w:tcBorders>
              <w:left w:val="single" w:sz="4" w:space="0" w:color="000000"/>
              <w:right w:val="single" w:sz="4" w:space="0" w:color="000000"/>
            </w:tcBorders>
            <w:tcMar>
              <w:top w:w="15" w:type="dxa"/>
              <w:left w:w="15" w:type="dxa"/>
              <w:bottom w:w="15" w:type="dxa"/>
              <w:right w:w="15" w:type="dxa"/>
            </w:tcMar>
            <w:vAlign w:val="center"/>
          </w:tcPr>
          <w:p w14:paraId="030886D3" w14:textId="77777777" w:rsidR="009B01BA" w:rsidRDefault="009E3CBF">
            <w:pPr>
              <w:spacing w:line="360" w:lineRule="auto"/>
              <w:jc w:val="center"/>
              <w:rPr>
                <w:rFonts w:ascii="Arial" w:hAnsi="Arial" w:cs="Arial"/>
              </w:rPr>
            </w:pPr>
            <w:r>
              <w:rPr>
                <w:rFonts w:ascii="Arial" w:hAnsi="Arial" w:cs="Arial"/>
              </w:rPr>
              <w:t>US-China trade conflicts, tariffs</w:t>
            </w:r>
          </w:p>
        </w:tc>
        <w:tc>
          <w:tcPr>
            <w:tcW w:w="2208" w:type="dxa"/>
            <w:tcBorders>
              <w:right w:val="single" w:sz="4" w:space="0" w:color="000000"/>
            </w:tcBorders>
            <w:tcMar>
              <w:top w:w="15" w:type="dxa"/>
              <w:left w:w="15" w:type="dxa"/>
              <w:bottom w:w="15" w:type="dxa"/>
              <w:right w:w="15" w:type="dxa"/>
            </w:tcMar>
            <w:vAlign w:val="center"/>
          </w:tcPr>
          <w:p w14:paraId="7928F8A2" w14:textId="77777777" w:rsidR="009B01BA" w:rsidRDefault="009E3CBF">
            <w:pPr>
              <w:spacing w:line="360" w:lineRule="auto"/>
              <w:jc w:val="center"/>
              <w:rPr>
                <w:rFonts w:ascii="Arial" w:hAnsi="Arial" w:cs="Arial"/>
              </w:rPr>
            </w:pPr>
            <w:r>
              <w:rPr>
                <w:rFonts w:ascii="Arial" w:hAnsi="Arial" w:cs="Arial"/>
              </w:rPr>
              <w:t>Cost increases, policy uncertainty</w:t>
            </w:r>
          </w:p>
        </w:tc>
        <w:tc>
          <w:tcPr>
            <w:tcW w:w="3046" w:type="dxa"/>
            <w:tcBorders>
              <w:right w:val="single" w:sz="4" w:space="0" w:color="000000"/>
            </w:tcBorders>
            <w:tcMar>
              <w:top w:w="15" w:type="dxa"/>
              <w:left w:w="15" w:type="dxa"/>
              <w:bottom w:w="15" w:type="dxa"/>
              <w:right w:w="15" w:type="dxa"/>
            </w:tcMar>
            <w:vAlign w:val="center"/>
          </w:tcPr>
          <w:p w14:paraId="33D75099" w14:textId="77777777" w:rsidR="009B01BA" w:rsidRDefault="009E3CBF">
            <w:pPr>
              <w:spacing w:line="360" w:lineRule="auto"/>
              <w:jc w:val="center"/>
              <w:rPr>
                <w:rFonts w:ascii="Arial" w:hAnsi="Arial" w:cs="Arial"/>
              </w:rPr>
            </w:pPr>
            <w:r>
              <w:rPr>
                <w:rFonts w:ascii="Arial" w:hAnsi="Arial" w:cs="Arial"/>
              </w:rPr>
              <w:t>Supplier diversification (“China+1” strategy)</w:t>
            </w:r>
          </w:p>
        </w:tc>
      </w:tr>
      <w:tr w:rsidR="009B01BA" w14:paraId="13C051FD" w14:textId="77777777">
        <w:tc>
          <w:tcPr>
            <w:tcW w:w="1550" w:type="dxa"/>
            <w:tcBorders>
              <w:top w:val="single" w:sz="4" w:space="0" w:color="000000"/>
              <w:left w:val="single" w:sz="4" w:space="0" w:color="000000"/>
            </w:tcBorders>
            <w:tcMar>
              <w:top w:w="15" w:type="dxa"/>
              <w:left w:w="15" w:type="dxa"/>
              <w:bottom w:w="15" w:type="dxa"/>
              <w:right w:w="15" w:type="dxa"/>
            </w:tcMar>
            <w:vAlign w:val="center"/>
          </w:tcPr>
          <w:p w14:paraId="1CED0823" w14:textId="77777777" w:rsidR="009B01BA" w:rsidRDefault="009E3CBF">
            <w:pPr>
              <w:spacing w:line="360" w:lineRule="auto"/>
              <w:jc w:val="center"/>
              <w:rPr>
                <w:rFonts w:ascii="Arial" w:hAnsi="Arial" w:cs="Arial"/>
              </w:rPr>
            </w:pPr>
            <w:r>
              <w:rPr>
                <w:rFonts w:ascii="Arial" w:hAnsi="Arial" w:cs="Arial"/>
              </w:rPr>
              <w:t>Environmental Pressures</w:t>
            </w:r>
          </w:p>
        </w:tc>
        <w:tc>
          <w:tcPr>
            <w:tcW w:w="2546" w:type="dxa"/>
            <w:tcBorders>
              <w:top w:val="single" w:sz="4" w:space="0" w:color="000000"/>
              <w:left w:val="single" w:sz="4" w:space="0" w:color="000000"/>
              <w:right w:val="single" w:sz="4" w:space="0" w:color="000000"/>
            </w:tcBorders>
            <w:tcMar>
              <w:top w:w="15" w:type="dxa"/>
              <w:left w:w="15" w:type="dxa"/>
              <w:bottom w:w="15" w:type="dxa"/>
              <w:right w:w="15" w:type="dxa"/>
            </w:tcMar>
            <w:vAlign w:val="center"/>
          </w:tcPr>
          <w:p w14:paraId="4C5DF610" w14:textId="77777777" w:rsidR="009B01BA" w:rsidRDefault="009E3CBF">
            <w:pPr>
              <w:spacing w:line="360" w:lineRule="auto"/>
              <w:jc w:val="center"/>
              <w:rPr>
                <w:rFonts w:ascii="Arial" w:hAnsi="Arial" w:cs="Arial"/>
              </w:rPr>
            </w:pPr>
            <w:r>
              <w:rPr>
                <w:rFonts w:ascii="Arial" w:hAnsi="Arial" w:cs="Arial"/>
              </w:rPr>
              <w:t>Sustainability and ethical sourcing demands</w:t>
            </w:r>
          </w:p>
        </w:tc>
        <w:tc>
          <w:tcPr>
            <w:tcW w:w="2208" w:type="dxa"/>
            <w:tcBorders>
              <w:top w:val="single" w:sz="4" w:space="0" w:color="000000"/>
              <w:right w:val="single" w:sz="4" w:space="0" w:color="000000"/>
            </w:tcBorders>
            <w:tcMar>
              <w:top w:w="15" w:type="dxa"/>
              <w:left w:w="15" w:type="dxa"/>
              <w:bottom w:w="15" w:type="dxa"/>
              <w:right w:w="15" w:type="dxa"/>
            </w:tcMar>
            <w:vAlign w:val="center"/>
          </w:tcPr>
          <w:p w14:paraId="4BB5AB5D" w14:textId="77777777" w:rsidR="009B01BA" w:rsidRDefault="009E3CBF">
            <w:pPr>
              <w:spacing w:line="360" w:lineRule="auto"/>
              <w:jc w:val="center"/>
              <w:rPr>
                <w:rFonts w:ascii="Arial" w:hAnsi="Arial" w:cs="Arial"/>
              </w:rPr>
            </w:pPr>
            <w:r>
              <w:rPr>
                <w:rFonts w:ascii="Arial" w:hAnsi="Arial" w:cs="Arial"/>
              </w:rPr>
              <w:t>Reputational risks, compliance challenges</w:t>
            </w:r>
          </w:p>
        </w:tc>
        <w:tc>
          <w:tcPr>
            <w:tcW w:w="3046" w:type="dxa"/>
            <w:tcBorders>
              <w:top w:val="single" w:sz="4" w:space="0" w:color="000000"/>
              <w:right w:val="single" w:sz="4" w:space="0" w:color="000000"/>
            </w:tcBorders>
            <w:tcMar>
              <w:top w:w="15" w:type="dxa"/>
              <w:left w:w="15" w:type="dxa"/>
              <w:bottom w:w="15" w:type="dxa"/>
              <w:right w:w="15" w:type="dxa"/>
            </w:tcMar>
            <w:vAlign w:val="center"/>
          </w:tcPr>
          <w:p w14:paraId="137BE9AD" w14:textId="77777777" w:rsidR="009B01BA" w:rsidRDefault="009E3CBF">
            <w:pPr>
              <w:spacing w:line="360" w:lineRule="auto"/>
              <w:jc w:val="center"/>
              <w:rPr>
                <w:rFonts w:ascii="Arial" w:hAnsi="Arial" w:cs="Arial"/>
              </w:rPr>
            </w:pPr>
            <w:r>
              <w:rPr>
                <w:rFonts w:ascii="Arial" w:hAnsi="Arial" w:cs="Arial"/>
              </w:rPr>
              <w:t>Carbon-neutral goals, renewable energy initiatives</w:t>
            </w:r>
          </w:p>
        </w:tc>
      </w:tr>
      <w:tr w:rsidR="009B01BA" w14:paraId="563421E7" w14:textId="77777777">
        <w:tc>
          <w:tcPr>
            <w:tcW w:w="1550" w:type="dxa"/>
            <w:tcBorders>
              <w:top w:val="single" w:sz="4" w:space="0" w:color="000000"/>
              <w:left w:val="single" w:sz="4" w:space="0" w:color="000000"/>
              <w:bottom w:val="single" w:sz="4" w:space="0" w:color="000000"/>
            </w:tcBorders>
            <w:tcMar>
              <w:top w:w="15" w:type="dxa"/>
              <w:left w:w="15" w:type="dxa"/>
              <w:bottom w:w="15" w:type="dxa"/>
              <w:right w:w="15" w:type="dxa"/>
            </w:tcMar>
            <w:vAlign w:val="center"/>
          </w:tcPr>
          <w:p w14:paraId="54161CF8" w14:textId="77777777" w:rsidR="009B01BA" w:rsidRDefault="009E3CBF">
            <w:pPr>
              <w:spacing w:line="360" w:lineRule="auto"/>
              <w:jc w:val="center"/>
              <w:rPr>
                <w:rFonts w:ascii="Arial" w:hAnsi="Arial" w:cs="Arial"/>
              </w:rPr>
            </w:pPr>
            <w:r>
              <w:rPr>
                <w:rFonts w:ascii="Arial" w:hAnsi="Arial" w:cs="Arial"/>
              </w:rPr>
              <w:t>Technological Complexity</w:t>
            </w:r>
          </w:p>
        </w:tc>
        <w:tc>
          <w:tcPr>
            <w:tcW w:w="25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6F622990" w14:textId="77777777" w:rsidR="009B01BA" w:rsidRDefault="009E3CBF">
            <w:pPr>
              <w:spacing w:line="360" w:lineRule="auto"/>
              <w:jc w:val="center"/>
              <w:rPr>
                <w:rFonts w:ascii="Arial" w:hAnsi="Arial" w:cs="Arial"/>
              </w:rPr>
            </w:pPr>
            <w:r>
              <w:rPr>
                <w:rFonts w:ascii="Arial" w:hAnsi="Arial" w:cs="Arial"/>
              </w:rPr>
              <w:t>Advanced product design and material requirements</w:t>
            </w:r>
          </w:p>
        </w:tc>
        <w:tc>
          <w:tcPr>
            <w:tcW w:w="2208" w:type="dxa"/>
            <w:tcBorders>
              <w:top w:val="single" w:sz="4" w:space="0" w:color="000000"/>
              <w:bottom w:val="single" w:sz="4" w:space="0" w:color="000000"/>
              <w:right w:val="single" w:sz="4" w:space="0" w:color="000000"/>
            </w:tcBorders>
            <w:tcMar>
              <w:top w:w="15" w:type="dxa"/>
              <w:left w:w="15" w:type="dxa"/>
              <w:bottom w:w="15" w:type="dxa"/>
              <w:right w:w="15" w:type="dxa"/>
            </w:tcMar>
            <w:vAlign w:val="center"/>
          </w:tcPr>
          <w:p w14:paraId="23E1607E" w14:textId="77777777" w:rsidR="009B01BA" w:rsidRDefault="009E3CBF">
            <w:pPr>
              <w:spacing w:line="360" w:lineRule="auto"/>
              <w:jc w:val="center"/>
              <w:rPr>
                <w:rFonts w:ascii="Arial" w:hAnsi="Arial" w:cs="Arial"/>
              </w:rPr>
            </w:pPr>
            <w:r>
              <w:rPr>
                <w:rFonts w:ascii="Arial" w:hAnsi="Arial" w:cs="Arial"/>
              </w:rPr>
              <w:t>Dependency on specialised suppliers</w:t>
            </w:r>
          </w:p>
        </w:tc>
        <w:tc>
          <w:tcPr>
            <w:tcW w:w="3046" w:type="dxa"/>
            <w:tcBorders>
              <w:top w:val="single" w:sz="4" w:space="0" w:color="000000"/>
              <w:bottom w:val="single" w:sz="4" w:space="0" w:color="000000"/>
              <w:right w:val="single" w:sz="4" w:space="0" w:color="000000"/>
            </w:tcBorders>
            <w:tcMar>
              <w:top w:w="15" w:type="dxa"/>
              <w:left w:w="15" w:type="dxa"/>
              <w:bottom w:w="15" w:type="dxa"/>
              <w:right w:w="15" w:type="dxa"/>
            </w:tcMar>
            <w:vAlign w:val="center"/>
          </w:tcPr>
          <w:p w14:paraId="183F79E6" w14:textId="77777777" w:rsidR="009B01BA" w:rsidRDefault="009E3CBF">
            <w:pPr>
              <w:spacing w:line="360" w:lineRule="auto"/>
              <w:jc w:val="center"/>
              <w:rPr>
                <w:rFonts w:ascii="Arial" w:hAnsi="Arial" w:cs="Arial"/>
              </w:rPr>
            </w:pPr>
            <w:r>
              <w:rPr>
                <w:rFonts w:ascii="Arial" w:hAnsi="Arial" w:cs="Arial"/>
              </w:rPr>
              <w:t>Supplier collaboration and vertical integration</w:t>
            </w:r>
          </w:p>
        </w:tc>
      </w:tr>
    </w:tbl>
    <w:p w14:paraId="29058159" w14:textId="77777777" w:rsidR="009B01BA" w:rsidRDefault="009E3CBF">
      <w:r>
        <w:t>Figure 2. Author Stefan Alexandru Popescu</w:t>
      </w:r>
    </w:p>
    <w:p w14:paraId="533FF26C" w14:textId="77777777" w:rsidR="009B01BA" w:rsidRDefault="009B01BA">
      <w:pPr>
        <w:spacing w:line="360" w:lineRule="auto"/>
        <w:jc w:val="both"/>
        <w:rPr>
          <w:rFonts w:ascii="Arial" w:hAnsi="Arial" w:cs="Arial"/>
        </w:rPr>
      </w:pPr>
    </w:p>
    <w:p w14:paraId="5743F0D3" w14:textId="77777777" w:rsidR="009B01BA" w:rsidRDefault="009B01BA">
      <w:pPr>
        <w:spacing w:line="360" w:lineRule="auto"/>
        <w:jc w:val="both"/>
        <w:rPr>
          <w:rFonts w:ascii="Arial" w:hAnsi="Arial" w:cs="Arial"/>
        </w:rPr>
      </w:pPr>
    </w:p>
    <w:p w14:paraId="647AB574" w14:textId="77777777" w:rsidR="009B01BA" w:rsidRDefault="009E3CBF">
      <w:pPr>
        <w:pStyle w:val="Heading3"/>
        <w:rPr>
          <w:rFonts w:ascii="Arial" w:hAnsi="Arial" w:cs="Arial"/>
        </w:rPr>
      </w:pPr>
      <w:bookmarkStart w:id="20" w:name="_Toc212767977"/>
      <w:r>
        <w:rPr>
          <w:rFonts w:ascii="Arial" w:hAnsi="Arial" w:cs="Arial"/>
        </w:rPr>
        <w:lastRenderedPageBreak/>
        <w:t>2.5 Apple’s Strategic Responses to Supply Chain Challenges</w:t>
      </w:r>
      <w:bookmarkEnd w:id="20"/>
    </w:p>
    <w:p w14:paraId="52900512" w14:textId="77777777" w:rsidR="009B01BA" w:rsidRDefault="009E3CBF">
      <w:pPr>
        <w:pStyle w:val="Heading3"/>
        <w:rPr>
          <w:rFonts w:ascii="Arial" w:hAnsi="Arial" w:cs="Arial"/>
        </w:rPr>
      </w:pPr>
      <w:bookmarkStart w:id="21" w:name="_Toc212767978"/>
      <w:r>
        <w:rPr>
          <w:rFonts w:ascii="Arial" w:hAnsi="Arial" w:cs="Arial"/>
        </w:rPr>
        <w:t>2.5.1 Supplier Diversification</w:t>
      </w:r>
      <w:bookmarkEnd w:id="21"/>
    </w:p>
    <w:p w14:paraId="7A1F6CE3" w14:textId="77777777" w:rsidR="009B01BA" w:rsidRDefault="009B01BA">
      <w:pPr>
        <w:spacing w:line="360" w:lineRule="auto"/>
        <w:jc w:val="both"/>
        <w:rPr>
          <w:rFonts w:ascii="Arial" w:hAnsi="Arial" w:cs="Arial"/>
        </w:rPr>
      </w:pPr>
    </w:p>
    <w:p w14:paraId="22A12924" w14:textId="77777777" w:rsidR="009B01BA" w:rsidRDefault="009E3CBF">
      <w:pPr>
        <w:spacing w:line="360" w:lineRule="auto"/>
        <w:jc w:val="both"/>
        <w:rPr>
          <w:rFonts w:ascii="Arial" w:hAnsi="Arial" w:cs="Arial"/>
        </w:rPr>
      </w:pPr>
      <w:r>
        <w:rPr>
          <w:rFonts w:ascii="Arial" w:hAnsi="Arial" w:cs="Arial"/>
        </w:rPr>
        <w:t>Apple has developed a supplier diversification strategy to lessen reliance on China. Apple hopes to avoid the dangers of regional instability, trade restrictions, and growing labour costs by extending production to nations such as India and Vietnam. This diversification not only tackles immediate operational weaknesses, but also improves Apple's long-term strategic flexibility, allowing it to better adapt to global disturbances. Furthermore, by forming alliances with alternative suppliers, Apple can keep manufacturing schedules consistent and avoid any bottlenecks. Supplier diversification also gives you negotiating leverage, fosters competitive pricing, and helps you integrate new technologies and processes across many areas, all of which contribute to overall supply chain resilience and operational sustainability (Choudhury and Choudhury, 2022).</w:t>
      </w:r>
    </w:p>
    <w:p w14:paraId="1BB41A7B" w14:textId="77777777" w:rsidR="009B01BA" w:rsidRDefault="009E3CBF">
      <w:pPr>
        <w:pStyle w:val="Heading3"/>
        <w:rPr>
          <w:rFonts w:ascii="Arial" w:hAnsi="Arial" w:cs="Arial"/>
        </w:rPr>
      </w:pPr>
      <w:bookmarkStart w:id="22" w:name="_Toc212767979"/>
      <w:r>
        <w:rPr>
          <w:rFonts w:ascii="Arial" w:hAnsi="Arial" w:cs="Arial"/>
        </w:rPr>
        <w:t>2.5.2 Investment in Sustainability</w:t>
      </w:r>
      <w:bookmarkEnd w:id="22"/>
    </w:p>
    <w:p w14:paraId="67689056" w14:textId="77777777" w:rsidR="009B01BA" w:rsidRDefault="009B01BA">
      <w:pPr>
        <w:rPr>
          <w:rFonts w:ascii="Arial" w:hAnsi="Arial" w:cs="Arial"/>
        </w:rPr>
      </w:pPr>
    </w:p>
    <w:p w14:paraId="3176212A" w14:textId="77777777" w:rsidR="009B01BA" w:rsidRDefault="009E3CBF">
      <w:pPr>
        <w:spacing w:line="360" w:lineRule="auto"/>
        <w:jc w:val="both"/>
        <w:rPr>
          <w:rFonts w:ascii="Arial" w:hAnsi="Arial" w:cs="Arial"/>
        </w:rPr>
      </w:pPr>
      <w:r>
        <w:rPr>
          <w:rFonts w:ascii="Arial" w:hAnsi="Arial" w:cs="Arial"/>
        </w:rPr>
        <w:t>Apple's sustainability plan includes a heavy focus on renewable energy, material recycling, and carbon neutrality. The company's 2024 Environmental Progress Report states that 95% of its global facilities now use renewable energy. Beyond facility operations, Apple has built a closed-loop recycling process that employs the "Daisy" robot to remove precious elements from used iPhones, minimising dependency on mined resources and supporting circular economy practices. Furthermore, Apple collaborates closely with suppliers to promote renewable energy utilisation, minimise greenhouse gas emissions, and implement environmentally responsible production methods. These efforts show Apple's proactive commitment to integrating sustainability throughout its supply chain, balancing operational efficiency with environmental responsibility, and responding to growing stakeholder and regulatory challenges for corporate social responsibility (Apple Inc., 2024)</w:t>
      </w:r>
    </w:p>
    <w:p w14:paraId="1BE30DA5" w14:textId="77777777" w:rsidR="009B01BA" w:rsidRDefault="009E3CBF">
      <w:pPr>
        <w:pStyle w:val="Heading3"/>
        <w:rPr>
          <w:rFonts w:ascii="Arial" w:hAnsi="Arial" w:cs="Arial"/>
        </w:rPr>
      </w:pPr>
      <w:bookmarkStart w:id="23" w:name="_Toc212767980"/>
      <w:r>
        <w:rPr>
          <w:rFonts w:ascii="Arial" w:hAnsi="Arial" w:cs="Arial"/>
        </w:rPr>
        <w:t>2.5.3 Technological Innovation and Digital Integration</w:t>
      </w:r>
      <w:bookmarkEnd w:id="23"/>
    </w:p>
    <w:p w14:paraId="708F2E0F" w14:textId="77777777" w:rsidR="009B01BA" w:rsidRDefault="009B01BA"/>
    <w:p w14:paraId="3FE6DB5A" w14:textId="77777777" w:rsidR="009B01BA" w:rsidRDefault="009E3CBF">
      <w:pPr>
        <w:spacing w:line="360" w:lineRule="auto"/>
        <w:jc w:val="both"/>
        <w:rPr>
          <w:rFonts w:ascii="Arial" w:hAnsi="Arial" w:cs="Arial"/>
        </w:rPr>
      </w:pPr>
      <w:r>
        <w:rPr>
          <w:rFonts w:ascii="Arial" w:hAnsi="Arial" w:cs="Arial"/>
        </w:rPr>
        <w:t xml:space="preserve">Apple uses innovative technologies like artificial intelligence (AI), machine learning, and data analytics to estimate demand, optimise inventory, and manage logistics. Predictive analytics enables Apple to anticipate potential interruptions, identify bottlenecks, and proactively change operations across its worldwide supply network. Additionally, Apple uses digital twin technology and real-time monitoring systems to mimic supply chain situations and improve decision-making under </w:t>
      </w:r>
      <w:r>
        <w:rPr>
          <w:rFonts w:ascii="Arial" w:hAnsi="Arial" w:cs="Arial"/>
        </w:rPr>
        <w:lastRenderedPageBreak/>
        <w:t>uncertainty. These technology solutions allow for greater supplier coordination, improved inventory accuracy, and waste reduction, as well as faster reactions to customer demand variations. By using modern digital technology, Apple improves supply chain agility, resilience, and overall operational efficiency, allowing it to overcome both short-term interruptions and long-term strategic problems (Tozanli &amp; Saénz, 2024).</w:t>
      </w:r>
    </w:p>
    <w:p w14:paraId="1679E6BC" w14:textId="77777777" w:rsidR="009B01BA" w:rsidRDefault="009E3CBF">
      <w:pPr>
        <w:pStyle w:val="Heading3"/>
        <w:rPr>
          <w:rFonts w:ascii="Arial" w:hAnsi="Arial" w:cs="Arial"/>
        </w:rPr>
      </w:pPr>
      <w:bookmarkStart w:id="24" w:name="_Toc212767981"/>
      <w:r>
        <w:rPr>
          <w:rFonts w:ascii="Arial" w:hAnsi="Arial" w:cs="Arial"/>
        </w:rPr>
        <w:t>2.5.4 Strategic Partnerships and Vertical Integration</w:t>
      </w:r>
      <w:bookmarkEnd w:id="24"/>
    </w:p>
    <w:p w14:paraId="5D95885F" w14:textId="77777777" w:rsidR="009B01BA" w:rsidRDefault="009B01BA"/>
    <w:p w14:paraId="4C9D88B1" w14:textId="77777777" w:rsidR="009B01BA" w:rsidRDefault="009E3CBF">
      <w:pPr>
        <w:spacing w:line="360" w:lineRule="auto"/>
        <w:jc w:val="both"/>
        <w:rPr>
          <w:rFonts w:ascii="Arial" w:hAnsi="Arial" w:cs="Arial"/>
        </w:rPr>
      </w:pPr>
      <w:r>
        <w:rPr>
          <w:rFonts w:ascii="Arial" w:hAnsi="Arial" w:cs="Arial"/>
        </w:rPr>
        <w:t>Apple collaborates with major suppliers through long-term contracts, co-investments, and strategic collaborations, which improves mutual stability, stimulates innovation, and maintains supply chain continuity. Maintaining tight connections allows Apple to influence production quality, stimulate technical updates, and align supplier practices with its environmental and ethical goals. Furthermore, Apple has pushed vertical integration in important areas such as chip manufacture via its Apple Silicon project, minimising reliance on external vendors and boosting control over design, quality, and production timelines. This strategy enables Apple to expedite innovation, protect intellectual property, and adapt more quickly to market changes, all while limiting risks associated with supplier interruptions, a lack of specialist components, and global competition for innovative technology (Ishida &amp; Kim, 2023).</w:t>
      </w:r>
    </w:p>
    <w:tbl>
      <w:tblPr>
        <w:tblW w:w="9350" w:type="dxa"/>
        <w:tblCellMar>
          <w:left w:w="10" w:type="dxa"/>
          <w:right w:w="10" w:type="dxa"/>
        </w:tblCellMar>
        <w:tblLook w:val="0000" w:firstRow="0" w:lastRow="0" w:firstColumn="0" w:lastColumn="0" w:noHBand="0" w:noVBand="0"/>
      </w:tblPr>
      <w:tblGrid>
        <w:gridCol w:w="9350"/>
      </w:tblGrid>
      <w:tr w:rsidR="009B01BA" w14:paraId="3CE04873" w14:textId="77777777">
        <w:tc>
          <w:tcPr>
            <w:tcW w:w="9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91C285" w14:textId="77777777" w:rsidR="009B01BA" w:rsidRDefault="009E3CBF">
            <w:pPr>
              <w:spacing w:after="0"/>
              <w:jc w:val="center"/>
            </w:pPr>
            <w:r>
              <w:rPr>
                <w:b/>
                <w:bCs/>
              </w:rPr>
              <w:t>Table 3: Summary of Apple’s Strategic Responses</w:t>
            </w:r>
          </w:p>
        </w:tc>
      </w:tr>
      <w:tr w:rsidR="009B01BA" w14:paraId="589755D5" w14:textId="77777777">
        <w:tc>
          <w:tcPr>
            <w:tcW w:w="9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bl>
            <w:tblPr>
              <w:tblW w:w="9134" w:type="dxa"/>
              <w:tblCellMar>
                <w:left w:w="10" w:type="dxa"/>
                <w:right w:w="10" w:type="dxa"/>
              </w:tblCellMar>
              <w:tblLook w:val="0000" w:firstRow="0" w:lastRow="0" w:firstColumn="0" w:lastColumn="0" w:noHBand="0" w:noVBand="0"/>
            </w:tblPr>
            <w:tblGrid>
              <w:gridCol w:w="1868"/>
              <w:gridCol w:w="3665"/>
              <w:gridCol w:w="3601"/>
            </w:tblGrid>
            <w:tr w:rsidR="009B01BA" w14:paraId="53CF2B58" w14:textId="77777777">
              <w:trPr>
                <w:tblHeader/>
              </w:trPr>
              <w:tc>
                <w:tcPr>
                  <w:tcW w:w="1868" w:type="dxa"/>
                  <w:tcBorders>
                    <w:bottom w:val="single" w:sz="4" w:space="0" w:color="000000"/>
                    <w:right w:val="single" w:sz="4" w:space="0" w:color="000000"/>
                  </w:tcBorders>
                  <w:tcMar>
                    <w:top w:w="15" w:type="dxa"/>
                    <w:left w:w="15" w:type="dxa"/>
                    <w:bottom w:w="15" w:type="dxa"/>
                    <w:right w:w="15" w:type="dxa"/>
                  </w:tcMar>
                  <w:vAlign w:val="center"/>
                </w:tcPr>
                <w:p w14:paraId="03483F58" w14:textId="77777777" w:rsidR="009B01BA" w:rsidRDefault="009E3CBF">
                  <w:pPr>
                    <w:jc w:val="center"/>
                    <w:rPr>
                      <w:b/>
                      <w:bCs/>
                    </w:rPr>
                  </w:pPr>
                  <w:r>
                    <w:rPr>
                      <w:b/>
                      <w:bCs/>
                    </w:rPr>
                    <w:t>Strategy</w:t>
                  </w:r>
                </w:p>
              </w:tc>
              <w:tc>
                <w:tcPr>
                  <w:tcW w:w="3665" w:type="dxa"/>
                  <w:tcBorders>
                    <w:bottom w:val="single" w:sz="4" w:space="0" w:color="000000"/>
                  </w:tcBorders>
                  <w:tcMar>
                    <w:top w:w="15" w:type="dxa"/>
                    <w:left w:w="15" w:type="dxa"/>
                    <w:bottom w:w="15" w:type="dxa"/>
                    <w:right w:w="15" w:type="dxa"/>
                  </w:tcMar>
                  <w:vAlign w:val="center"/>
                </w:tcPr>
                <w:p w14:paraId="05B2C51A" w14:textId="77777777" w:rsidR="009B01BA" w:rsidRDefault="009E3CBF">
                  <w:pPr>
                    <w:jc w:val="center"/>
                    <w:rPr>
                      <w:b/>
                      <w:bCs/>
                    </w:rPr>
                  </w:pPr>
                  <w:r>
                    <w:rPr>
                      <w:b/>
                      <w:bCs/>
                    </w:rPr>
                    <w:t>Description</w:t>
                  </w:r>
                </w:p>
              </w:tc>
              <w:tc>
                <w:tcPr>
                  <w:tcW w:w="3601" w:type="dxa"/>
                  <w:tcBorders>
                    <w:left w:val="single" w:sz="4" w:space="0" w:color="000000"/>
                    <w:bottom w:val="single" w:sz="4" w:space="0" w:color="000000"/>
                  </w:tcBorders>
                  <w:tcMar>
                    <w:top w:w="15" w:type="dxa"/>
                    <w:left w:w="15" w:type="dxa"/>
                    <w:bottom w:w="15" w:type="dxa"/>
                    <w:right w:w="15" w:type="dxa"/>
                  </w:tcMar>
                  <w:vAlign w:val="center"/>
                </w:tcPr>
                <w:p w14:paraId="3640176B" w14:textId="77777777" w:rsidR="009B01BA" w:rsidRDefault="009E3CBF">
                  <w:pPr>
                    <w:jc w:val="center"/>
                    <w:rPr>
                      <w:b/>
                      <w:bCs/>
                    </w:rPr>
                  </w:pPr>
                  <w:r>
                    <w:rPr>
                      <w:b/>
                      <w:bCs/>
                    </w:rPr>
                    <w:t>Outcome</w:t>
                  </w:r>
                </w:p>
              </w:tc>
            </w:tr>
            <w:tr w:rsidR="009B01BA" w14:paraId="661B13E1" w14:textId="77777777">
              <w:tc>
                <w:tcPr>
                  <w:tcW w:w="1868" w:type="dxa"/>
                  <w:tcBorders>
                    <w:right w:val="single" w:sz="4" w:space="0" w:color="000000"/>
                  </w:tcBorders>
                  <w:tcMar>
                    <w:top w:w="15" w:type="dxa"/>
                    <w:left w:w="15" w:type="dxa"/>
                    <w:bottom w:w="15" w:type="dxa"/>
                    <w:right w:w="15" w:type="dxa"/>
                  </w:tcMar>
                  <w:vAlign w:val="center"/>
                </w:tcPr>
                <w:p w14:paraId="4DBEA476" w14:textId="77777777" w:rsidR="009B01BA" w:rsidRDefault="009E3CBF">
                  <w:pPr>
                    <w:jc w:val="center"/>
                  </w:pPr>
                  <w:r>
                    <w:t>Supplier Diversification</w:t>
                  </w:r>
                </w:p>
              </w:tc>
              <w:tc>
                <w:tcPr>
                  <w:tcW w:w="3665" w:type="dxa"/>
                  <w:tcMar>
                    <w:top w:w="15" w:type="dxa"/>
                    <w:left w:w="15" w:type="dxa"/>
                    <w:bottom w:w="15" w:type="dxa"/>
                    <w:right w:w="15" w:type="dxa"/>
                  </w:tcMar>
                  <w:vAlign w:val="center"/>
                </w:tcPr>
                <w:p w14:paraId="25B82660" w14:textId="77777777" w:rsidR="009B01BA" w:rsidRDefault="009E3CBF">
                  <w:pPr>
                    <w:jc w:val="center"/>
                  </w:pPr>
                  <w:r>
                    <w:t>Expanding production into India and Vietnam</w:t>
                  </w:r>
                </w:p>
              </w:tc>
              <w:tc>
                <w:tcPr>
                  <w:tcW w:w="3601" w:type="dxa"/>
                  <w:tcBorders>
                    <w:left w:val="single" w:sz="4" w:space="0" w:color="000000"/>
                  </w:tcBorders>
                  <w:tcMar>
                    <w:top w:w="15" w:type="dxa"/>
                    <w:left w:w="15" w:type="dxa"/>
                    <w:bottom w:w="15" w:type="dxa"/>
                    <w:right w:w="15" w:type="dxa"/>
                  </w:tcMar>
                  <w:vAlign w:val="center"/>
                </w:tcPr>
                <w:p w14:paraId="24A4ECBF" w14:textId="77777777" w:rsidR="009B01BA" w:rsidRDefault="009E3CBF">
                  <w:pPr>
                    <w:jc w:val="center"/>
                  </w:pPr>
                  <w:r>
                    <w:t>Reduced dependence on Chinese manufacturing</w:t>
                  </w:r>
                </w:p>
              </w:tc>
            </w:tr>
            <w:tr w:rsidR="009B01BA" w14:paraId="1D9EB9D9" w14:textId="77777777">
              <w:tc>
                <w:tcPr>
                  <w:tcW w:w="1868" w:type="dxa"/>
                  <w:tcBorders>
                    <w:top w:val="single" w:sz="4" w:space="0" w:color="000000"/>
                    <w:right w:val="single" w:sz="4" w:space="0" w:color="000000"/>
                  </w:tcBorders>
                  <w:tcMar>
                    <w:top w:w="15" w:type="dxa"/>
                    <w:left w:w="15" w:type="dxa"/>
                    <w:bottom w:w="15" w:type="dxa"/>
                    <w:right w:w="15" w:type="dxa"/>
                  </w:tcMar>
                  <w:vAlign w:val="center"/>
                </w:tcPr>
                <w:p w14:paraId="37D69D4B" w14:textId="77777777" w:rsidR="009B01BA" w:rsidRDefault="009E3CBF">
                  <w:pPr>
                    <w:jc w:val="center"/>
                  </w:pPr>
                  <w:r>
                    <w:t>Sustainability Investment</w:t>
                  </w:r>
                </w:p>
              </w:tc>
              <w:tc>
                <w:tcPr>
                  <w:tcW w:w="3665" w:type="dxa"/>
                  <w:tcBorders>
                    <w:top w:val="single" w:sz="4" w:space="0" w:color="000000"/>
                  </w:tcBorders>
                  <w:tcMar>
                    <w:top w:w="15" w:type="dxa"/>
                    <w:left w:w="15" w:type="dxa"/>
                    <w:bottom w:w="15" w:type="dxa"/>
                    <w:right w:w="15" w:type="dxa"/>
                  </w:tcMar>
                  <w:vAlign w:val="center"/>
                </w:tcPr>
                <w:p w14:paraId="3F5D1811" w14:textId="77777777" w:rsidR="009B01BA" w:rsidRDefault="009E3CBF">
                  <w:pPr>
                    <w:jc w:val="center"/>
                  </w:pPr>
                  <w:r>
                    <w:t>Renewable energy and material recycling</w:t>
                  </w:r>
                </w:p>
              </w:tc>
              <w:tc>
                <w:tcPr>
                  <w:tcW w:w="3601" w:type="dxa"/>
                  <w:tcBorders>
                    <w:top w:val="single" w:sz="4" w:space="0" w:color="000000"/>
                    <w:left w:val="single" w:sz="4" w:space="0" w:color="000000"/>
                  </w:tcBorders>
                  <w:tcMar>
                    <w:top w:w="15" w:type="dxa"/>
                    <w:left w:w="15" w:type="dxa"/>
                    <w:bottom w:w="15" w:type="dxa"/>
                    <w:right w:w="15" w:type="dxa"/>
                  </w:tcMar>
                  <w:vAlign w:val="center"/>
                </w:tcPr>
                <w:p w14:paraId="71712B80" w14:textId="77777777" w:rsidR="009B01BA" w:rsidRDefault="009E3CBF">
                  <w:pPr>
                    <w:jc w:val="center"/>
                  </w:pPr>
                  <w:r>
                    <w:t>Improved environmental reputation and compliance</w:t>
                  </w:r>
                </w:p>
              </w:tc>
            </w:tr>
            <w:tr w:rsidR="009B01BA" w14:paraId="4E5D1A03" w14:textId="77777777">
              <w:tc>
                <w:tcPr>
                  <w:tcW w:w="1868" w:type="dxa"/>
                  <w:tcBorders>
                    <w:top w:val="single" w:sz="4" w:space="0" w:color="000000"/>
                    <w:right w:val="single" w:sz="4" w:space="0" w:color="000000"/>
                  </w:tcBorders>
                  <w:tcMar>
                    <w:top w:w="15" w:type="dxa"/>
                    <w:left w:w="15" w:type="dxa"/>
                    <w:bottom w:w="15" w:type="dxa"/>
                    <w:right w:w="15" w:type="dxa"/>
                  </w:tcMar>
                  <w:vAlign w:val="center"/>
                </w:tcPr>
                <w:p w14:paraId="6D4C867B" w14:textId="77777777" w:rsidR="009B01BA" w:rsidRDefault="009E3CBF">
                  <w:pPr>
                    <w:jc w:val="center"/>
                  </w:pPr>
                  <w:r>
                    <w:t>Technological Innovation</w:t>
                  </w:r>
                </w:p>
              </w:tc>
              <w:tc>
                <w:tcPr>
                  <w:tcW w:w="3665" w:type="dxa"/>
                  <w:tcBorders>
                    <w:top w:val="single" w:sz="4" w:space="0" w:color="000000"/>
                  </w:tcBorders>
                  <w:tcMar>
                    <w:top w:w="15" w:type="dxa"/>
                    <w:left w:w="15" w:type="dxa"/>
                    <w:bottom w:w="15" w:type="dxa"/>
                    <w:right w:w="15" w:type="dxa"/>
                  </w:tcMar>
                  <w:vAlign w:val="center"/>
                </w:tcPr>
                <w:p w14:paraId="2BD015EB" w14:textId="77777777" w:rsidR="009B01BA" w:rsidRDefault="009E3CBF">
                  <w:pPr>
                    <w:jc w:val="center"/>
                  </w:pPr>
                  <w:r>
                    <w:t>Use of AI and data analytics</w:t>
                  </w:r>
                </w:p>
              </w:tc>
              <w:tc>
                <w:tcPr>
                  <w:tcW w:w="3601" w:type="dxa"/>
                  <w:tcBorders>
                    <w:top w:val="single" w:sz="4" w:space="0" w:color="000000"/>
                    <w:left w:val="single" w:sz="4" w:space="0" w:color="000000"/>
                  </w:tcBorders>
                  <w:tcMar>
                    <w:top w:w="15" w:type="dxa"/>
                    <w:left w:w="15" w:type="dxa"/>
                    <w:bottom w:w="15" w:type="dxa"/>
                    <w:right w:w="15" w:type="dxa"/>
                  </w:tcMar>
                  <w:vAlign w:val="center"/>
                </w:tcPr>
                <w:p w14:paraId="68E5AE50" w14:textId="77777777" w:rsidR="009B01BA" w:rsidRDefault="009E3CBF">
                  <w:pPr>
                    <w:jc w:val="center"/>
                  </w:pPr>
                  <w:r>
                    <w:t>Enhanced forecasting and operational agility</w:t>
                  </w:r>
                </w:p>
              </w:tc>
            </w:tr>
            <w:tr w:rsidR="009B01BA" w14:paraId="4AD001DD" w14:textId="77777777">
              <w:tc>
                <w:tcPr>
                  <w:tcW w:w="1868" w:type="dxa"/>
                  <w:tcBorders>
                    <w:top w:val="single" w:sz="4" w:space="0" w:color="000000"/>
                    <w:right w:val="single" w:sz="4" w:space="0" w:color="000000"/>
                  </w:tcBorders>
                  <w:tcMar>
                    <w:top w:w="15" w:type="dxa"/>
                    <w:left w:w="15" w:type="dxa"/>
                    <w:bottom w:w="15" w:type="dxa"/>
                    <w:right w:w="15" w:type="dxa"/>
                  </w:tcMar>
                  <w:vAlign w:val="center"/>
                </w:tcPr>
                <w:p w14:paraId="64BBD4F5" w14:textId="77777777" w:rsidR="009B01BA" w:rsidRDefault="009E3CBF">
                  <w:pPr>
                    <w:jc w:val="center"/>
                  </w:pPr>
                  <w:r>
                    <w:t>Vertical Integration</w:t>
                  </w:r>
                </w:p>
              </w:tc>
              <w:tc>
                <w:tcPr>
                  <w:tcW w:w="3665" w:type="dxa"/>
                  <w:tcBorders>
                    <w:top w:val="single" w:sz="4" w:space="0" w:color="000000"/>
                  </w:tcBorders>
                  <w:tcMar>
                    <w:top w:w="15" w:type="dxa"/>
                    <w:left w:w="15" w:type="dxa"/>
                    <w:bottom w:w="15" w:type="dxa"/>
                    <w:right w:w="15" w:type="dxa"/>
                  </w:tcMar>
                  <w:vAlign w:val="center"/>
                </w:tcPr>
                <w:p w14:paraId="14E59C1D" w14:textId="77777777" w:rsidR="009B01BA" w:rsidRDefault="009E3CBF">
                  <w:pPr>
                    <w:jc w:val="center"/>
                  </w:pPr>
                  <w:r>
                    <w:t>Development of Apple Silicon and internal capabilities</w:t>
                  </w:r>
                </w:p>
              </w:tc>
              <w:tc>
                <w:tcPr>
                  <w:tcW w:w="3601" w:type="dxa"/>
                  <w:tcBorders>
                    <w:top w:val="single" w:sz="4" w:space="0" w:color="000000"/>
                    <w:left w:val="single" w:sz="4" w:space="0" w:color="000000"/>
                  </w:tcBorders>
                  <w:tcMar>
                    <w:top w:w="15" w:type="dxa"/>
                    <w:left w:w="15" w:type="dxa"/>
                    <w:bottom w:w="15" w:type="dxa"/>
                    <w:right w:w="15" w:type="dxa"/>
                  </w:tcMar>
                  <w:vAlign w:val="center"/>
                </w:tcPr>
                <w:p w14:paraId="47A2C799" w14:textId="77777777" w:rsidR="009B01BA" w:rsidRDefault="009E3CBF">
                  <w:pPr>
                    <w:jc w:val="center"/>
                  </w:pPr>
                  <w:r>
                    <w:t>Greater control and reduced supplier risk</w:t>
                  </w:r>
                </w:p>
              </w:tc>
            </w:tr>
          </w:tbl>
          <w:p w14:paraId="28E4477D" w14:textId="77777777" w:rsidR="009B01BA" w:rsidRDefault="009B01BA">
            <w:pPr>
              <w:spacing w:after="0"/>
              <w:jc w:val="center"/>
            </w:pPr>
          </w:p>
        </w:tc>
      </w:tr>
    </w:tbl>
    <w:p w14:paraId="40C4BAE6" w14:textId="77777777" w:rsidR="009B01BA" w:rsidRDefault="009E3CBF">
      <w:r>
        <w:t>Figure 3. Author Stefan Alexandru Popescu</w:t>
      </w:r>
    </w:p>
    <w:p w14:paraId="5642E052" w14:textId="77777777" w:rsidR="009B01BA" w:rsidRDefault="009B01BA"/>
    <w:p w14:paraId="5EA490AA" w14:textId="77777777" w:rsidR="009B01BA" w:rsidRDefault="009B01BA"/>
    <w:p w14:paraId="6A4EB2A8" w14:textId="77777777" w:rsidR="009B01BA" w:rsidRDefault="009B01BA"/>
    <w:p w14:paraId="6828BC42" w14:textId="77777777" w:rsidR="009B01BA" w:rsidRDefault="009B01BA"/>
    <w:p w14:paraId="7DCB1906" w14:textId="77777777" w:rsidR="009B01BA" w:rsidRDefault="009E3CBF">
      <w:pPr>
        <w:pStyle w:val="Heading3"/>
        <w:rPr>
          <w:rFonts w:ascii="Arial" w:hAnsi="Arial" w:cs="Arial"/>
        </w:rPr>
      </w:pPr>
      <w:bookmarkStart w:id="25" w:name="_Toc212767982"/>
      <w:r>
        <w:rPr>
          <w:rFonts w:ascii="Arial" w:hAnsi="Arial" w:cs="Arial"/>
        </w:rPr>
        <w:lastRenderedPageBreak/>
        <w:t>2.6 Conceptual Framework</w:t>
      </w:r>
      <w:bookmarkEnd w:id="25"/>
    </w:p>
    <w:p w14:paraId="738BEE57" w14:textId="77777777" w:rsidR="009B01BA" w:rsidRDefault="009B01BA"/>
    <w:p w14:paraId="5A4386DA" w14:textId="77777777" w:rsidR="009B01BA" w:rsidRDefault="009E3CBF">
      <w:pPr>
        <w:spacing w:line="360" w:lineRule="auto"/>
        <w:jc w:val="both"/>
        <w:rPr>
          <w:rFonts w:ascii="Arial" w:hAnsi="Arial" w:cs="Arial"/>
        </w:rPr>
      </w:pPr>
      <w:r>
        <w:rPr>
          <w:rFonts w:ascii="Arial" w:hAnsi="Arial" w:cs="Arial"/>
        </w:rPr>
        <w:t>Based on the studied literature, a conceptual framework may be developed that connects the primary supply chain concerns to Apple's strategic actions. The framework emphasises that Apple's resilience is based on diversification, sustainability, technology integration, and innovation, all of which address distinct weaknesses in its worldwide supply network. Diversification lowers reliance on a single location or supplier, while sustainability programs address environmental and ethical concerns, technological integration improves predictive and real-time decision-making, and innovation assures ongoing adaptability to market and product complexity. Together, these tactics improve Apple's adaptability, risk management, operational agility, and long-term competitiveness (Ivanov and Dolgui, 2020).</w:t>
      </w:r>
    </w:p>
    <w:p w14:paraId="6B992DC9" w14:textId="77777777" w:rsidR="009B01BA" w:rsidRDefault="009E3CBF">
      <w:pPr>
        <w:spacing w:line="360" w:lineRule="auto"/>
        <w:jc w:val="both"/>
        <w:rPr>
          <w:rFonts w:ascii="Arial" w:hAnsi="Arial" w:cs="Arial"/>
        </w:rPr>
      </w:pPr>
      <w:r>
        <w:rPr>
          <w:rFonts w:ascii="Arial" w:hAnsi="Arial" w:cs="Arial"/>
        </w:rPr>
        <w:t>According to the literature, Apple's approach strongly matches with both the resilient and sustainable supply chain paradigms. By combining flexibility, proactive risk mitigation, and environmental stewardship, Apple demonstrates how multinational firms may manage disruptions while retaining profitability, brand recognition, and stakeholder confidence. This approach lays the groundwork for understanding the relationship between strategy actions and supply chain results, providing insights that can be applied to other multinational technology organisations looking to balance efficiency, innovation, and sustainability in a volatile global landscape (Brandon-Jones et al., 2014).</w:t>
      </w:r>
    </w:p>
    <w:p w14:paraId="6E7E7AFE" w14:textId="77777777" w:rsidR="009B01BA" w:rsidRDefault="009E3CBF">
      <w:pPr>
        <w:pStyle w:val="Heading2"/>
        <w:rPr>
          <w:rFonts w:ascii="Arial" w:hAnsi="Arial" w:cs="Arial"/>
        </w:rPr>
      </w:pPr>
      <w:bookmarkStart w:id="26" w:name="_Toc212767983"/>
      <w:r>
        <w:rPr>
          <w:rFonts w:ascii="Arial" w:hAnsi="Arial" w:cs="Arial"/>
        </w:rPr>
        <w:t>CHAPTER 3: METHODOLOGY</w:t>
      </w:r>
      <w:bookmarkEnd w:id="26"/>
    </w:p>
    <w:p w14:paraId="05414F99" w14:textId="77777777" w:rsidR="009B01BA" w:rsidRDefault="009E3CBF">
      <w:pPr>
        <w:pStyle w:val="Heading3"/>
        <w:rPr>
          <w:rFonts w:ascii="Arial" w:hAnsi="Arial" w:cs="Arial"/>
        </w:rPr>
      </w:pPr>
      <w:bookmarkStart w:id="27" w:name="_Toc212767984"/>
      <w:r>
        <w:rPr>
          <w:rFonts w:ascii="Arial" w:hAnsi="Arial" w:cs="Arial"/>
        </w:rPr>
        <w:t>3.1 Systematic Literature Review (SLR)</w:t>
      </w:r>
      <w:bookmarkEnd w:id="27"/>
    </w:p>
    <w:p w14:paraId="359754A8" w14:textId="77777777" w:rsidR="009B01BA" w:rsidRDefault="009B01BA"/>
    <w:p w14:paraId="09979417" w14:textId="77777777" w:rsidR="009B01BA" w:rsidRDefault="009E3CBF">
      <w:pPr>
        <w:spacing w:line="360" w:lineRule="auto"/>
        <w:jc w:val="both"/>
      </w:pPr>
      <w:r>
        <w:rPr>
          <w:rFonts w:ascii="Arial" w:hAnsi="Arial" w:cs="Arial"/>
        </w:rPr>
        <w:t xml:space="preserve">This study uses the Systematic Literature Review (SLR) technique to critically examine existing secondary data on Apple Inc.'s supply chain difficulties and strategic actions. The SLR technique is suited for this study because it enables an organized, transparent, and repeatable process of discovering, analyzing, and synthesizing relevant </w:t>
      </w:r>
      <w:r>
        <w:rPr>
          <w:rFonts w:ascii="Arial" w:hAnsi="Arial" w:cs="Arial"/>
          <w:color w:val="000000"/>
        </w:rPr>
        <w:t xml:space="preserve">material (Snyder, 2019). </w:t>
      </w:r>
      <w:r>
        <w:rPr>
          <w:rFonts w:ascii="Arial" w:hAnsi="Arial" w:cs="Arial"/>
        </w:rPr>
        <w:t>It guarantees that the findings are based on existing scholarly and industry knowledge, which is consistent with the research goal of evaluating Apple's supply chain concerns and assessing strategic options for resilience and sustainability.</w:t>
      </w:r>
    </w:p>
    <w:p w14:paraId="1718EEC8" w14:textId="77777777" w:rsidR="009B01BA" w:rsidRDefault="009E3CBF">
      <w:pPr>
        <w:spacing w:line="360" w:lineRule="auto"/>
        <w:jc w:val="both"/>
        <w:rPr>
          <w:rFonts w:ascii="Arial" w:hAnsi="Arial" w:cs="Arial"/>
        </w:rPr>
      </w:pPr>
      <w:r>
        <w:rPr>
          <w:rFonts w:ascii="Arial" w:hAnsi="Arial" w:cs="Arial"/>
        </w:rPr>
        <w:t xml:space="preserve">A systematic review is especially appropriate considering the plethora of secondary materials on global supply chain disruptions, digital transformation, and corporate sustainability. This strategy gives a balanced and evidence-based knowledge of Apple's strategic management methods while avoiding bias by carefully selecting and critically evaluating sources. Furthermore, the SLR </w:t>
      </w:r>
      <w:r>
        <w:rPr>
          <w:rFonts w:ascii="Arial" w:hAnsi="Arial" w:cs="Arial"/>
        </w:rPr>
        <w:lastRenderedPageBreak/>
        <w:t>allows for the integration of multiple perspectives from both academic and industry sources, providing a full knowledge of how Apple navigates operational complexity in a volatile global environment. It also ensures methodological rigour, which improves the validity, transparency, and trustworthiness of the research results (Tranfield, Denyer and Smart, 2003).</w:t>
      </w:r>
    </w:p>
    <w:p w14:paraId="328D1984" w14:textId="77777777" w:rsidR="009B01BA" w:rsidRDefault="009B01BA">
      <w:pPr>
        <w:spacing w:line="360" w:lineRule="auto"/>
        <w:jc w:val="both"/>
        <w:rPr>
          <w:rFonts w:ascii="Arial" w:hAnsi="Arial" w:cs="Arial"/>
        </w:rPr>
      </w:pPr>
    </w:p>
    <w:p w14:paraId="6A18B2E5" w14:textId="77777777" w:rsidR="009B01BA" w:rsidRDefault="009E3CBF">
      <w:pPr>
        <w:pStyle w:val="Heading3"/>
        <w:rPr>
          <w:rFonts w:ascii="Arial" w:hAnsi="Arial" w:cs="Arial"/>
        </w:rPr>
      </w:pPr>
      <w:bookmarkStart w:id="28" w:name="_Toc212767985"/>
      <w:r>
        <w:rPr>
          <w:rFonts w:ascii="Arial" w:hAnsi="Arial" w:cs="Arial"/>
        </w:rPr>
        <w:t>3.2 Search Strategy</w:t>
      </w:r>
      <w:bookmarkEnd w:id="28"/>
    </w:p>
    <w:p w14:paraId="5093E224" w14:textId="77777777" w:rsidR="009B01BA" w:rsidRDefault="009B01BA"/>
    <w:p w14:paraId="54576EF2" w14:textId="77777777" w:rsidR="009B01BA" w:rsidRDefault="009E3CBF">
      <w:pPr>
        <w:spacing w:line="360" w:lineRule="auto"/>
        <w:rPr>
          <w:rFonts w:ascii="Arial" w:hAnsi="Arial" w:cs="Arial"/>
        </w:rPr>
      </w:pPr>
      <w:r>
        <w:rPr>
          <w:rFonts w:ascii="Arial" w:hAnsi="Arial" w:cs="Arial"/>
        </w:rPr>
        <w:t>The search strategy was created to provide complete coverage of academic and industry literature on Apple's supply chain management, operational hazards, and strategic actions. The review covered peer-reviewed academic articles, business case studies, industry reports, and official company publications from 2015 to 2025.</w:t>
      </w:r>
      <w:r>
        <w:rPr>
          <w:rFonts w:ascii="Arial" w:hAnsi="Arial" w:cs="Arial"/>
        </w:rPr>
        <w:br/>
      </w:r>
      <w:r>
        <w:rPr>
          <w:rFonts w:ascii="Arial" w:hAnsi="Arial" w:cs="Arial"/>
        </w:rPr>
        <w:br/>
        <w:t>The following databases were searched: Google Scholar, ScienceDirect, Emerald Insight, JSTOR, and Business Source Premier. These were picked because they have large collections of business and management research materials. Industry-specific sources such as Apple's Annual Reports, Apple Environmental Progress Reports, Statista, McKinsey, and Gartner were also used to gather current and practical information.</w:t>
      </w:r>
    </w:p>
    <w:p w14:paraId="39481B06" w14:textId="77777777" w:rsidR="009B01BA" w:rsidRDefault="009E3CBF">
      <w:pPr>
        <w:pStyle w:val="Heading3"/>
        <w:rPr>
          <w:rFonts w:ascii="Arial" w:hAnsi="Arial" w:cs="Arial"/>
        </w:rPr>
      </w:pPr>
      <w:bookmarkStart w:id="29" w:name="_Toc212767986"/>
      <w:r>
        <w:rPr>
          <w:rFonts w:ascii="Arial" w:hAnsi="Arial" w:cs="Arial"/>
        </w:rPr>
        <w:t>3.3 Search Terms</w:t>
      </w:r>
      <w:bookmarkEnd w:id="29"/>
    </w:p>
    <w:p w14:paraId="1E41783E" w14:textId="77777777" w:rsidR="009B01BA" w:rsidRDefault="009B01BA"/>
    <w:p w14:paraId="50AEABCD" w14:textId="77777777" w:rsidR="009B01BA" w:rsidRDefault="009E3CBF">
      <w:pPr>
        <w:rPr>
          <w:rFonts w:ascii="Arial" w:hAnsi="Arial" w:cs="Arial"/>
        </w:rPr>
      </w:pPr>
      <w:r>
        <w:rPr>
          <w:rFonts w:ascii="Arial" w:hAnsi="Arial" w:cs="Arial"/>
        </w:rPr>
        <w:t>To ensure the search was both comprehensive and relevant, Boolean operators (AND, OR) were used to connect key terms and variations. Examples of search strings include:</w:t>
      </w:r>
    </w:p>
    <w:p w14:paraId="5801CA09" w14:textId="77777777" w:rsidR="009B01BA" w:rsidRDefault="009E3CBF">
      <w:pPr>
        <w:numPr>
          <w:ilvl w:val="0"/>
          <w:numId w:val="6"/>
        </w:numPr>
        <w:rPr>
          <w:rFonts w:ascii="Arial" w:hAnsi="Arial" w:cs="Arial"/>
        </w:rPr>
      </w:pPr>
      <w:r>
        <w:rPr>
          <w:rFonts w:ascii="Arial" w:hAnsi="Arial" w:cs="Arial"/>
        </w:rPr>
        <w:t>“Apple Inc.” AND “supply chain challenges”</w:t>
      </w:r>
    </w:p>
    <w:p w14:paraId="57B0B10E" w14:textId="77777777" w:rsidR="009B01BA" w:rsidRDefault="009E3CBF">
      <w:pPr>
        <w:numPr>
          <w:ilvl w:val="0"/>
          <w:numId w:val="6"/>
        </w:numPr>
        <w:rPr>
          <w:rFonts w:ascii="Arial" w:hAnsi="Arial" w:cs="Arial"/>
        </w:rPr>
      </w:pPr>
      <w:r>
        <w:rPr>
          <w:rFonts w:ascii="Arial" w:hAnsi="Arial" w:cs="Arial"/>
        </w:rPr>
        <w:t>“Apple Inc.” AND “supply chain resilience”</w:t>
      </w:r>
    </w:p>
    <w:p w14:paraId="3085549B" w14:textId="77777777" w:rsidR="009B01BA" w:rsidRDefault="009E3CBF">
      <w:pPr>
        <w:numPr>
          <w:ilvl w:val="0"/>
          <w:numId w:val="6"/>
        </w:numPr>
        <w:rPr>
          <w:rFonts w:ascii="Arial" w:hAnsi="Arial" w:cs="Arial"/>
        </w:rPr>
      </w:pPr>
      <w:r>
        <w:rPr>
          <w:rFonts w:ascii="Arial" w:hAnsi="Arial" w:cs="Arial"/>
        </w:rPr>
        <w:t>“Apple” AND “COVID-19 impact”</w:t>
      </w:r>
    </w:p>
    <w:p w14:paraId="060B9514" w14:textId="77777777" w:rsidR="009B01BA" w:rsidRDefault="009E3CBF">
      <w:pPr>
        <w:numPr>
          <w:ilvl w:val="0"/>
          <w:numId w:val="6"/>
        </w:numPr>
        <w:rPr>
          <w:rFonts w:ascii="Arial" w:hAnsi="Arial" w:cs="Arial"/>
        </w:rPr>
      </w:pPr>
      <w:r>
        <w:rPr>
          <w:rFonts w:ascii="Arial" w:hAnsi="Arial" w:cs="Arial"/>
        </w:rPr>
        <w:t>“global supply chain” AND “technology industry” AND “risk management”</w:t>
      </w:r>
    </w:p>
    <w:p w14:paraId="0562E0C8" w14:textId="77777777" w:rsidR="009B01BA" w:rsidRDefault="009E3CBF">
      <w:pPr>
        <w:numPr>
          <w:ilvl w:val="0"/>
          <w:numId w:val="6"/>
        </w:numPr>
        <w:rPr>
          <w:rFonts w:ascii="Arial" w:hAnsi="Arial" w:cs="Arial"/>
        </w:rPr>
      </w:pPr>
      <w:r>
        <w:rPr>
          <w:rFonts w:ascii="Arial" w:hAnsi="Arial" w:cs="Arial"/>
        </w:rPr>
        <w:t>“Apple” AND “sustainability” AND “operations strategy”</w:t>
      </w:r>
    </w:p>
    <w:p w14:paraId="3D561B31" w14:textId="77777777" w:rsidR="009B01BA" w:rsidRDefault="009E3CBF">
      <w:pPr>
        <w:spacing w:after="0" w:line="360" w:lineRule="auto"/>
        <w:jc w:val="both"/>
        <w:rPr>
          <w:rFonts w:ascii="Arial" w:hAnsi="Arial" w:cs="Arial"/>
        </w:rPr>
      </w:pPr>
      <w:r>
        <w:rPr>
          <w:rFonts w:ascii="Arial" w:hAnsi="Arial" w:cs="Arial"/>
        </w:rPr>
        <w:t xml:space="preserve">These search strings assisted in locating relevant publications across academic and professional resources. Additional search refinements were made using quote marks and truncation symbols () to collect variations of terms like "resilien" or "sustainab*". This method ensured the inclusion of research on resilience, sustainability, and related topics. Furthermore, search parameters like publication year, subject area, and peer-reviewed status were used to improve accuracy and relevancy. Combining these tactics resulted in the discovery of literature that was both theoretically </w:t>
      </w:r>
      <w:r>
        <w:rPr>
          <w:rFonts w:ascii="Arial" w:hAnsi="Arial" w:cs="Arial"/>
        </w:rPr>
        <w:lastRenderedPageBreak/>
        <w:t>rich and practically useful for assessing Apple's worldwide supply chain difficulties and answers (Gough, Oliver and Thomas, 2017).</w:t>
      </w:r>
    </w:p>
    <w:p w14:paraId="2B5E0C08" w14:textId="77777777" w:rsidR="009B01BA" w:rsidRDefault="009B01BA">
      <w:pPr>
        <w:spacing w:after="0" w:line="360" w:lineRule="auto"/>
        <w:jc w:val="both"/>
        <w:rPr>
          <w:rFonts w:ascii="Arial" w:hAnsi="Arial" w:cs="Arial"/>
        </w:rPr>
      </w:pPr>
    </w:p>
    <w:p w14:paraId="52005197" w14:textId="77777777" w:rsidR="009B01BA" w:rsidRDefault="009E3CBF">
      <w:pPr>
        <w:pStyle w:val="Heading3"/>
        <w:rPr>
          <w:rFonts w:ascii="Arial" w:hAnsi="Arial" w:cs="Arial"/>
        </w:rPr>
      </w:pPr>
      <w:bookmarkStart w:id="30" w:name="_Toc212767987"/>
      <w:r>
        <w:rPr>
          <w:rFonts w:ascii="Arial" w:hAnsi="Arial" w:cs="Arial"/>
        </w:rPr>
        <w:t>3.4 Keywords</w:t>
      </w:r>
      <w:bookmarkEnd w:id="30"/>
    </w:p>
    <w:p w14:paraId="71470104" w14:textId="77777777" w:rsidR="009B01BA" w:rsidRDefault="009B01BA"/>
    <w:p w14:paraId="4BFEFDA0" w14:textId="77777777" w:rsidR="009B01BA" w:rsidRDefault="009E3CBF">
      <w:pPr>
        <w:spacing w:after="0" w:line="360" w:lineRule="auto"/>
        <w:jc w:val="both"/>
        <w:rPr>
          <w:rFonts w:ascii="Arial" w:hAnsi="Arial" w:cs="Arial"/>
        </w:rPr>
      </w:pPr>
      <w:r>
        <w:rPr>
          <w:rFonts w:ascii="Arial" w:hAnsi="Arial" w:cs="Arial"/>
        </w:rPr>
        <w:t>The key terms and phrases used throughout the literature search included:</w:t>
      </w:r>
    </w:p>
    <w:tbl>
      <w:tblPr>
        <w:tblW w:w="5060" w:type="dxa"/>
        <w:tblCellMar>
          <w:left w:w="10" w:type="dxa"/>
          <w:right w:w="10" w:type="dxa"/>
        </w:tblCellMar>
        <w:tblLook w:val="0000" w:firstRow="0" w:lastRow="0" w:firstColumn="0" w:lastColumn="0" w:noHBand="0" w:noVBand="0"/>
      </w:tblPr>
      <w:tblGrid>
        <w:gridCol w:w="2700"/>
        <w:gridCol w:w="2360"/>
      </w:tblGrid>
      <w:tr w:rsidR="009B01BA" w14:paraId="620C6FBD" w14:textId="77777777">
        <w:trPr>
          <w:tblHeader/>
        </w:trPr>
        <w:tc>
          <w:tcPr>
            <w:tcW w:w="2700" w:type="dxa"/>
            <w:tcBorders>
              <w:top w:val="single" w:sz="4" w:space="0" w:color="000000"/>
              <w:left w:val="single" w:sz="4" w:space="0" w:color="000000"/>
              <w:right w:val="single" w:sz="4" w:space="0" w:color="000000"/>
            </w:tcBorders>
            <w:tcMar>
              <w:top w:w="15" w:type="dxa"/>
              <w:left w:w="15" w:type="dxa"/>
              <w:bottom w:w="15" w:type="dxa"/>
              <w:right w:w="15" w:type="dxa"/>
            </w:tcMar>
            <w:vAlign w:val="center"/>
          </w:tcPr>
          <w:p w14:paraId="1054B0AE" w14:textId="77777777" w:rsidR="009B01BA" w:rsidRDefault="009E3CBF">
            <w:pPr>
              <w:spacing w:after="0" w:line="360" w:lineRule="auto"/>
              <w:jc w:val="center"/>
              <w:rPr>
                <w:rFonts w:ascii="Arial" w:hAnsi="Arial" w:cs="Arial"/>
                <w:b/>
                <w:bCs/>
              </w:rPr>
            </w:pPr>
            <w:r>
              <w:rPr>
                <w:rFonts w:ascii="Arial" w:hAnsi="Arial" w:cs="Arial"/>
                <w:b/>
                <w:bCs/>
              </w:rPr>
              <w:t>Primary Keywords</w:t>
            </w:r>
          </w:p>
        </w:tc>
        <w:tc>
          <w:tcPr>
            <w:tcW w:w="2360" w:type="dxa"/>
            <w:tcBorders>
              <w:top w:val="single" w:sz="4" w:space="0" w:color="000000"/>
              <w:right w:val="single" w:sz="4" w:space="0" w:color="000000"/>
            </w:tcBorders>
            <w:tcMar>
              <w:top w:w="15" w:type="dxa"/>
              <w:left w:w="15" w:type="dxa"/>
              <w:bottom w:w="15" w:type="dxa"/>
              <w:right w:w="15" w:type="dxa"/>
            </w:tcMar>
            <w:vAlign w:val="center"/>
          </w:tcPr>
          <w:p w14:paraId="1C0AB69D" w14:textId="77777777" w:rsidR="009B01BA" w:rsidRDefault="009E3CBF">
            <w:pPr>
              <w:spacing w:after="0" w:line="360" w:lineRule="auto"/>
              <w:jc w:val="center"/>
              <w:rPr>
                <w:rFonts w:ascii="Arial" w:hAnsi="Arial" w:cs="Arial"/>
                <w:b/>
                <w:bCs/>
              </w:rPr>
            </w:pPr>
            <w:r>
              <w:rPr>
                <w:rFonts w:ascii="Arial" w:hAnsi="Arial" w:cs="Arial"/>
                <w:b/>
                <w:bCs/>
              </w:rPr>
              <w:t>Secondary Keywords</w:t>
            </w:r>
          </w:p>
        </w:tc>
      </w:tr>
      <w:tr w:rsidR="009B01BA" w14:paraId="7BF36D03" w14:textId="77777777">
        <w:tc>
          <w:tcPr>
            <w:tcW w:w="2700" w:type="dxa"/>
            <w:tcBorders>
              <w:top w:val="single" w:sz="4" w:space="0" w:color="000000"/>
              <w:left w:val="single" w:sz="4" w:space="0" w:color="000000"/>
              <w:right w:val="single" w:sz="4" w:space="0" w:color="000000"/>
            </w:tcBorders>
            <w:tcMar>
              <w:top w:w="15" w:type="dxa"/>
              <w:left w:w="15" w:type="dxa"/>
              <w:bottom w:w="15" w:type="dxa"/>
              <w:right w:w="15" w:type="dxa"/>
            </w:tcMar>
            <w:vAlign w:val="center"/>
          </w:tcPr>
          <w:p w14:paraId="1227832C" w14:textId="77777777" w:rsidR="009B01BA" w:rsidRDefault="009E3CBF">
            <w:pPr>
              <w:spacing w:after="0" w:line="360" w:lineRule="auto"/>
              <w:jc w:val="center"/>
              <w:rPr>
                <w:rFonts w:ascii="Arial" w:hAnsi="Arial" w:cs="Arial"/>
              </w:rPr>
            </w:pPr>
            <w:r>
              <w:rPr>
                <w:rFonts w:ascii="Arial" w:hAnsi="Arial" w:cs="Arial"/>
              </w:rPr>
              <w:t>Apple Inc.</w:t>
            </w:r>
          </w:p>
        </w:tc>
        <w:tc>
          <w:tcPr>
            <w:tcW w:w="2360" w:type="dxa"/>
            <w:tcBorders>
              <w:top w:val="single" w:sz="4" w:space="0" w:color="000000"/>
              <w:right w:val="single" w:sz="4" w:space="0" w:color="000000"/>
            </w:tcBorders>
            <w:tcMar>
              <w:top w:w="15" w:type="dxa"/>
              <w:left w:w="15" w:type="dxa"/>
              <w:bottom w:w="15" w:type="dxa"/>
              <w:right w:w="15" w:type="dxa"/>
            </w:tcMar>
            <w:vAlign w:val="center"/>
          </w:tcPr>
          <w:p w14:paraId="10DFFCD7" w14:textId="77777777" w:rsidR="009B01BA" w:rsidRDefault="009E3CBF">
            <w:pPr>
              <w:spacing w:after="0" w:line="360" w:lineRule="auto"/>
              <w:jc w:val="center"/>
              <w:rPr>
                <w:rFonts w:ascii="Arial" w:hAnsi="Arial" w:cs="Arial"/>
              </w:rPr>
            </w:pPr>
            <w:r>
              <w:rPr>
                <w:rFonts w:ascii="Arial" w:hAnsi="Arial" w:cs="Arial"/>
              </w:rPr>
              <w:t>Supply chain disruption</w:t>
            </w:r>
          </w:p>
        </w:tc>
      </w:tr>
      <w:tr w:rsidR="009B01BA" w14:paraId="3224ACCB" w14:textId="77777777">
        <w:tc>
          <w:tcPr>
            <w:tcW w:w="2700" w:type="dxa"/>
            <w:tcBorders>
              <w:left w:val="single" w:sz="4" w:space="0" w:color="000000"/>
              <w:bottom w:val="single" w:sz="4" w:space="0" w:color="000000"/>
              <w:right w:val="single" w:sz="4" w:space="0" w:color="000000"/>
            </w:tcBorders>
            <w:tcMar>
              <w:top w:w="15" w:type="dxa"/>
              <w:left w:w="15" w:type="dxa"/>
              <w:bottom w:w="15" w:type="dxa"/>
              <w:right w:w="15" w:type="dxa"/>
            </w:tcMar>
            <w:vAlign w:val="center"/>
          </w:tcPr>
          <w:p w14:paraId="44AA1309" w14:textId="77777777" w:rsidR="009B01BA" w:rsidRDefault="009E3CBF">
            <w:pPr>
              <w:spacing w:after="0" w:line="360" w:lineRule="auto"/>
              <w:jc w:val="center"/>
              <w:rPr>
                <w:rFonts w:ascii="Arial" w:hAnsi="Arial" w:cs="Arial"/>
              </w:rPr>
            </w:pPr>
            <w:r>
              <w:rPr>
                <w:rFonts w:ascii="Arial" w:hAnsi="Arial" w:cs="Arial"/>
              </w:rPr>
              <w:t>Supply chain management</w:t>
            </w:r>
          </w:p>
        </w:tc>
        <w:tc>
          <w:tcPr>
            <w:tcW w:w="2360" w:type="dxa"/>
            <w:tcBorders>
              <w:bottom w:val="single" w:sz="4" w:space="0" w:color="000000"/>
              <w:right w:val="single" w:sz="4" w:space="0" w:color="000000"/>
            </w:tcBorders>
            <w:tcMar>
              <w:top w:w="15" w:type="dxa"/>
              <w:left w:w="15" w:type="dxa"/>
              <w:bottom w:w="15" w:type="dxa"/>
              <w:right w:w="15" w:type="dxa"/>
            </w:tcMar>
            <w:vAlign w:val="center"/>
          </w:tcPr>
          <w:p w14:paraId="4BA91F5A" w14:textId="77777777" w:rsidR="009B01BA" w:rsidRDefault="009E3CBF">
            <w:pPr>
              <w:spacing w:after="0" w:line="360" w:lineRule="auto"/>
              <w:jc w:val="center"/>
              <w:rPr>
                <w:rFonts w:ascii="Arial" w:hAnsi="Arial" w:cs="Arial"/>
              </w:rPr>
            </w:pPr>
            <w:r>
              <w:rPr>
                <w:rFonts w:ascii="Arial" w:hAnsi="Arial" w:cs="Arial"/>
              </w:rPr>
              <w:t>Risk management</w:t>
            </w:r>
          </w:p>
        </w:tc>
      </w:tr>
      <w:tr w:rsidR="009B01BA" w14:paraId="305EC763" w14:textId="77777777">
        <w:tc>
          <w:tcPr>
            <w:tcW w:w="2700" w:type="dxa"/>
            <w:tcBorders>
              <w:left w:val="single" w:sz="4" w:space="0" w:color="000000"/>
              <w:right w:val="single" w:sz="4" w:space="0" w:color="000000"/>
            </w:tcBorders>
            <w:tcMar>
              <w:top w:w="15" w:type="dxa"/>
              <w:left w:w="15" w:type="dxa"/>
              <w:bottom w:w="15" w:type="dxa"/>
              <w:right w:w="15" w:type="dxa"/>
            </w:tcMar>
            <w:vAlign w:val="center"/>
          </w:tcPr>
          <w:p w14:paraId="4405AD34" w14:textId="77777777" w:rsidR="009B01BA" w:rsidRDefault="009E3CBF">
            <w:pPr>
              <w:spacing w:after="0" w:line="360" w:lineRule="auto"/>
              <w:jc w:val="center"/>
              <w:rPr>
                <w:rFonts w:ascii="Arial" w:hAnsi="Arial" w:cs="Arial"/>
              </w:rPr>
            </w:pPr>
            <w:r>
              <w:rPr>
                <w:rFonts w:ascii="Arial" w:hAnsi="Arial" w:cs="Arial"/>
              </w:rPr>
              <w:t>Supply chain resilience</w:t>
            </w:r>
          </w:p>
        </w:tc>
        <w:tc>
          <w:tcPr>
            <w:tcW w:w="2360" w:type="dxa"/>
            <w:tcBorders>
              <w:right w:val="single" w:sz="4" w:space="0" w:color="000000"/>
            </w:tcBorders>
            <w:tcMar>
              <w:top w:w="15" w:type="dxa"/>
              <w:left w:w="15" w:type="dxa"/>
              <w:bottom w:w="15" w:type="dxa"/>
              <w:right w:w="15" w:type="dxa"/>
            </w:tcMar>
            <w:vAlign w:val="center"/>
          </w:tcPr>
          <w:p w14:paraId="28D28C58" w14:textId="77777777" w:rsidR="009B01BA" w:rsidRDefault="009E3CBF">
            <w:pPr>
              <w:spacing w:after="0" w:line="360" w:lineRule="auto"/>
              <w:jc w:val="center"/>
              <w:rPr>
                <w:rFonts w:ascii="Arial" w:hAnsi="Arial" w:cs="Arial"/>
              </w:rPr>
            </w:pPr>
            <w:r>
              <w:rPr>
                <w:rFonts w:ascii="Arial" w:hAnsi="Arial" w:cs="Arial"/>
              </w:rPr>
              <w:t>Sustainability</w:t>
            </w:r>
          </w:p>
        </w:tc>
      </w:tr>
      <w:tr w:rsidR="009B01BA" w14:paraId="4E273E52" w14:textId="77777777">
        <w:tc>
          <w:tcPr>
            <w:tcW w:w="27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3F13FC61" w14:textId="77777777" w:rsidR="009B01BA" w:rsidRDefault="009E3CBF">
            <w:pPr>
              <w:spacing w:after="0" w:line="360" w:lineRule="auto"/>
              <w:jc w:val="center"/>
              <w:rPr>
                <w:rFonts w:ascii="Arial" w:hAnsi="Arial" w:cs="Arial"/>
              </w:rPr>
            </w:pPr>
            <w:r>
              <w:rPr>
                <w:rFonts w:ascii="Arial" w:hAnsi="Arial" w:cs="Arial"/>
              </w:rPr>
              <w:t>Just-in-time</w:t>
            </w:r>
          </w:p>
        </w:tc>
        <w:tc>
          <w:tcPr>
            <w:tcW w:w="2360" w:type="dxa"/>
            <w:tcBorders>
              <w:top w:val="single" w:sz="4" w:space="0" w:color="000000"/>
              <w:bottom w:val="single" w:sz="4" w:space="0" w:color="000000"/>
              <w:right w:val="single" w:sz="4" w:space="0" w:color="000000"/>
            </w:tcBorders>
            <w:tcMar>
              <w:top w:w="15" w:type="dxa"/>
              <w:left w:w="15" w:type="dxa"/>
              <w:bottom w:w="15" w:type="dxa"/>
              <w:right w:w="15" w:type="dxa"/>
            </w:tcMar>
            <w:vAlign w:val="center"/>
          </w:tcPr>
          <w:p w14:paraId="7CC5DFCA" w14:textId="77777777" w:rsidR="009B01BA" w:rsidRDefault="009E3CBF">
            <w:pPr>
              <w:spacing w:after="0" w:line="360" w:lineRule="auto"/>
              <w:jc w:val="center"/>
              <w:rPr>
                <w:rFonts w:ascii="Arial" w:hAnsi="Arial" w:cs="Arial"/>
              </w:rPr>
            </w:pPr>
            <w:r>
              <w:rPr>
                <w:rFonts w:ascii="Arial" w:hAnsi="Arial" w:cs="Arial"/>
              </w:rPr>
              <w:t>Geopolitical risk</w:t>
            </w:r>
          </w:p>
        </w:tc>
      </w:tr>
      <w:tr w:rsidR="009B01BA" w14:paraId="01FEBE89" w14:textId="77777777">
        <w:tc>
          <w:tcPr>
            <w:tcW w:w="2700" w:type="dxa"/>
            <w:tcBorders>
              <w:left w:val="single" w:sz="4" w:space="0" w:color="000000"/>
              <w:bottom w:val="single" w:sz="4" w:space="0" w:color="000000"/>
              <w:right w:val="single" w:sz="4" w:space="0" w:color="000000"/>
            </w:tcBorders>
            <w:tcMar>
              <w:top w:w="15" w:type="dxa"/>
              <w:left w:w="15" w:type="dxa"/>
              <w:bottom w:w="15" w:type="dxa"/>
              <w:right w:w="15" w:type="dxa"/>
            </w:tcMar>
            <w:vAlign w:val="center"/>
          </w:tcPr>
          <w:p w14:paraId="528EA608" w14:textId="77777777" w:rsidR="009B01BA" w:rsidRDefault="009E3CBF">
            <w:pPr>
              <w:spacing w:after="0" w:line="360" w:lineRule="auto"/>
              <w:jc w:val="center"/>
              <w:rPr>
                <w:rFonts w:ascii="Arial" w:hAnsi="Arial" w:cs="Arial"/>
              </w:rPr>
            </w:pPr>
            <w:r>
              <w:rPr>
                <w:rFonts w:ascii="Arial" w:hAnsi="Arial" w:cs="Arial"/>
              </w:rPr>
              <w:t>Supplier diversification</w:t>
            </w:r>
          </w:p>
        </w:tc>
        <w:tc>
          <w:tcPr>
            <w:tcW w:w="2360" w:type="dxa"/>
            <w:tcBorders>
              <w:bottom w:val="single" w:sz="4" w:space="0" w:color="000000"/>
              <w:right w:val="single" w:sz="4" w:space="0" w:color="000000"/>
            </w:tcBorders>
            <w:tcMar>
              <w:top w:w="15" w:type="dxa"/>
              <w:left w:w="15" w:type="dxa"/>
              <w:bottom w:w="15" w:type="dxa"/>
              <w:right w:w="15" w:type="dxa"/>
            </w:tcMar>
            <w:vAlign w:val="center"/>
          </w:tcPr>
          <w:p w14:paraId="45845D5E" w14:textId="77777777" w:rsidR="009B01BA" w:rsidRDefault="009E3CBF">
            <w:pPr>
              <w:spacing w:after="0" w:line="360" w:lineRule="auto"/>
              <w:jc w:val="center"/>
              <w:rPr>
                <w:rFonts w:ascii="Arial" w:hAnsi="Arial" w:cs="Arial"/>
              </w:rPr>
            </w:pPr>
            <w:r>
              <w:rPr>
                <w:rFonts w:ascii="Arial" w:hAnsi="Arial" w:cs="Arial"/>
              </w:rPr>
              <w:t>Digital transformation</w:t>
            </w:r>
          </w:p>
        </w:tc>
      </w:tr>
    </w:tbl>
    <w:p w14:paraId="24E04A04" w14:textId="77777777" w:rsidR="009B01BA" w:rsidRDefault="009B01BA">
      <w:pPr>
        <w:spacing w:after="0" w:line="360" w:lineRule="auto"/>
        <w:jc w:val="both"/>
        <w:rPr>
          <w:rFonts w:ascii="Arial" w:hAnsi="Arial" w:cs="Arial"/>
        </w:rPr>
      </w:pPr>
    </w:p>
    <w:p w14:paraId="4B84306E" w14:textId="77777777" w:rsidR="009B01BA" w:rsidRDefault="009E3CBF">
      <w:pPr>
        <w:pStyle w:val="Heading3"/>
        <w:rPr>
          <w:rFonts w:ascii="Arial" w:hAnsi="Arial" w:cs="Arial"/>
        </w:rPr>
      </w:pPr>
      <w:bookmarkStart w:id="31" w:name="_Toc212767988"/>
      <w:r>
        <w:rPr>
          <w:rFonts w:ascii="Arial" w:hAnsi="Arial" w:cs="Arial"/>
        </w:rPr>
        <w:t>3.5 Databases</w:t>
      </w:r>
      <w:bookmarkEnd w:id="31"/>
    </w:p>
    <w:p w14:paraId="2942C68D" w14:textId="77777777" w:rsidR="009B01BA" w:rsidRDefault="009E3CBF">
      <w:pPr>
        <w:spacing w:after="0" w:line="360" w:lineRule="auto"/>
        <w:jc w:val="both"/>
        <w:rPr>
          <w:rFonts w:ascii="Arial" w:hAnsi="Arial" w:cs="Arial"/>
        </w:rPr>
      </w:pPr>
      <w:r>
        <w:rPr>
          <w:rFonts w:ascii="Arial" w:hAnsi="Arial" w:cs="Arial"/>
        </w:rPr>
        <w:t>The databases used for data collection were selected for their relevance to business, management, and logistics research. These included:</w:t>
      </w:r>
    </w:p>
    <w:tbl>
      <w:tblPr>
        <w:tblW w:w="8912" w:type="dxa"/>
        <w:tblCellMar>
          <w:left w:w="10" w:type="dxa"/>
          <w:right w:w="10" w:type="dxa"/>
        </w:tblCellMar>
        <w:tblLook w:val="0000" w:firstRow="0" w:lastRow="0" w:firstColumn="0" w:lastColumn="0" w:noHBand="0" w:noVBand="0"/>
      </w:tblPr>
      <w:tblGrid>
        <w:gridCol w:w="2568"/>
        <w:gridCol w:w="6344"/>
      </w:tblGrid>
      <w:tr w:rsidR="009B01BA" w14:paraId="13F562A3" w14:textId="77777777">
        <w:trPr>
          <w:tblHeader/>
        </w:trPr>
        <w:tc>
          <w:tcPr>
            <w:tcW w:w="2568" w:type="dxa"/>
            <w:tcBorders>
              <w:top w:val="single" w:sz="4" w:space="0" w:color="000000"/>
              <w:left w:val="single" w:sz="4" w:space="0" w:color="000000"/>
            </w:tcBorders>
            <w:tcMar>
              <w:top w:w="15" w:type="dxa"/>
              <w:left w:w="15" w:type="dxa"/>
              <w:bottom w:w="15" w:type="dxa"/>
              <w:right w:w="15" w:type="dxa"/>
            </w:tcMar>
            <w:vAlign w:val="center"/>
          </w:tcPr>
          <w:p w14:paraId="01C7D9DB" w14:textId="77777777" w:rsidR="009B01BA" w:rsidRDefault="009E3CBF">
            <w:pPr>
              <w:spacing w:after="0" w:line="360" w:lineRule="auto"/>
              <w:jc w:val="center"/>
              <w:rPr>
                <w:rFonts w:ascii="Arial" w:hAnsi="Arial" w:cs="Arial"/>
                <w:b/>
                <w:bCs/>
              </w:rPr>
            </w:pPr>
            <w:r>
              <w:rPr>
                <w:rFonts w:ascii="Arial" w:hAnsi="Arial" w:cs="Arial"/>
                <w:b/>
                <w:bCs/>
              </w:rPr>
              <w:t>Database</w:t>
            </w:r>
          </w:p>
        </w:tc>
        <w:tc>
          <w:tcPr>
            <w:tcW w:w="6344" w:type="dxa"/>
            <w:tcBorders>
              <w:top w:val="single" w:sz="4" w:space="0" w:color="000000"/>
              <w:left w:val="single" w:sz="4" w:space="0" w:color="000000"/>
              <w:right w:val="single" w:sz="4" w:space="0" w:color="000000"/>
            </w:tcBorders>
            <w:tcMar>
              <w:top w:w="15" w:type="dxa"/>
              <w:left w:w="15" w:type="dxa"/>
              <w:bottom w:w="15" w:type="dxa"/>
              <w:right w:w="15" w:type="dxa"/>
            </w:tcMar>
            <w:vAlign w:val="center"/>
          </w:tcPr>
          <w:p w14:paraId="6AFD56BC" w14:textId="77777777" w:rsidR="009B01BA" w:rsidRDefault="009E3CBF">
            <w:pPr>
              <w:spacing w:after="0" w:line="360" w:lineRule="auto"/>
              <w:jc w:val="center"/>
              <w:rPr>
                <w:rFonts w:ascii="Arial" w:hAnsi="Arial" w:cs="Arial"/>
                <w:b/>
                <w:bCs/>
              </w:rPr>
            </w:pPr>
            <w:r>
              <w:rPr>
                <w:rFonts w:ascii="Arial" w:hAnsi="Arial" w:cs="Arial"/>
                <w:b/>
                <w:bCs/>
              </w:rPr>
              <w:t>Reason for Inclusion</w:t>
            </w:r>
          </w:p>
        </w:tc>
      </w:tr>
      <w:tr w:rsidR="009B01BA" w14:paraId="0F16D123" w14:textId="77777777">
        <w:tc>
          <w:tcPr>
            <w:tcW w:w="2568" w:type="dxa"/>
            <w:tcBorders>
              <w:top w:val="single" w:sz="4" w:space="0" w:color="000000"/>
              <w:left w:val="single" w:sz="4" w:space="0" w:color="000000"/>
              <w:bottom w:val="single" w:sz="4" w:space="0" w:color="000000"/>
            </w:tcBorders>
            <w:tcMar>
              <w:top w:w="15" w:type="dxa"/>
              <w:left w:w="15" w:type="dxa"/>
              <w:bottom w:w="15" w:type="dxa"/>
              <w:right w:w="15" w:type="dxa"/>
            </w:tcMar>
            <w:vAlign w:val="center"/>
          </w:tcPr>
          <w:p w14:paraId="47D5C6D4" w14:textId="77777777" w:rsidR="009B01BA" w:rsidRDefault="009E3CBF">
            <w:pPr>
              <w:spacing w:after="0" w:line="360" w:lineRule="auto"/>
              <w:jc w:val="center"/>
              <w:rPr>
                <w:rFonts w:ascii="Arial" w:hAnsi="Arial" w:cs="Arial"/>
              </w:rPr>
            </w:pPr>
            <w:r>
              <w:rPr>
                <w:rFonts w:ascii="Arial" w:hAnsi="Arial" w:cs="Arial"/>
              </w:rPr>
              <w:t>Google Scholar</w:t>
            </w:r>
          </w:p>
        </w:tc>
        <w:tc>
          <w:tcPr>
            <w:tcW w:w="634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6F399505" w14:textId="77777777" w:rsidR="009B01BA" w:rsidRDefault="009E3CBF">
            <w:pPr>
              <w:spacing w:after="0" w:line="360" w:lineRule="auto"/>
              <w:jc w:val="center"/>
              <w:rPr>
                <w:rFonts w:ascii="Arial" w:hAnsi="Arial" w:cs="Arial"/>
              </w:rPr>
            </w:pPr>
            <w:r>
              <w:rPr>
                <w:rFonts w:ascii="Arial" w:hAnsi="Arial" w:cs="Arial"/>
              </w:rPr>
              <w:t>Broad coverage of academic and professional sources</w:t>
            </w:r>
          </w:p>
        </w:tc>
      </w:tr>
      <w:tr w:rsidR="009B01BA" w14:paraId="679E87C0" w14:textId="77777777">
        <w:tc>
          <w:tcPr>
            <w:tcW w:w="2568" w:type="dxa"/>
            <w:tcBorders>
              <w:left w:val="single" w:sz="4" w:space="0" w:color="000000"/>
            </w:tcBorders>
            <w:tcMar>
              <w:top w:w="15" w:type="dxa"/>
              <w:left w:w="15" w:type="dxa"/>
              <w:bottom w:w="15" w:type="dxa"/>
              <w:right w:w="15" w:type="dxa"/>
            </w:tcMar>
            <w:vAlign w:val="center"/>
          </w:tcPr>
          <w:p w14:paraId="7961E9FA" w14:textId="77777777" w:rsidR="009B01BA" w:rsidRDefault="009E3CBF">
            <w:pPr>
              <w:spacing w:after="0" w:line="360" w:lineRule="auto"/>
              <w:jc w:val="center"/>
              <w:rPr>
                <w:rFonts w:ascii="Arial" w:hAnsi="Arial" w:cs="Arial"/>
              </w:rPr>
            </w:pPr>
            <w:r>
              <w:rPr>
                <w:rFonts w:ascii="Arial" w:hAnsi="Arial" w:cs="Arial"/>
              </w:rPr>
              <w:t>ScienceDirect</w:t>
            </w:r>
          </w:p>
        </w:tc>
        <w:tc>
          <w:tcPr>
            <w:tcW w:w="6344" w:type="dxa"/>
            <w:tcBorders>
              <w:left w:val="single" w:sz="4" w:space="0" w:color="000000"/>
              <w:right w:val="single" w:sz="4" w:space="0" w:color="000000"/>
            </w:tcBorders>
            <w:tcMar>
              <w:top w:w="15" w:type="dxa"/>
              <w:left w:w="15" w:type="dxa"/>
              <w:bottom w:w="15" w:type="dxa"/>
              <w:right w:w="15" w:type="dxa"/>
            </w:tcMar>
            <w:vAlign w:val="center"/>
          </w:tcPr>
          <w:p w14:paraId="3C5A19DA" w14:textId="77777777" w:rsidR="009B01BA" w:rsidRDefault="009E3CBF">
            <w:pPr>
              <w:spacing w:after="0" w:line="360" w:lineRule="auto"/>
              <w:jc w:val="center"/>
              <w:rPr>
                <w:rFonts w:ascii="Arial" w:hAnsi="Arial" w:cs="Arial"/>
              </w:rPr>
            </w:pPr>
            <w:r>
              <w:rPr>
                <w:rFonts w:ascii="Arial" w:hAnsi="Arial" w:cs="Arial"/>
              </w:rPr>
              <w:t>Access to peer-reviewed research on logistics and management</w:t>
            </w:r>
          </w:p>
        </w:tc>
      </w:tr>
      <w:tr w:rsidR="009B01BA" w14:paraId="014BD44E" w14:textId="77777777">
        <w:tc>
          <w:tcPr>
            <w:tcW w:w="2568" w:type="dxa"/>
            <w:tcBorders>
              <w:top w:val="single" w:sz="4" w:space="0" w:color="000000"/>
              <w:left w:val="single" w:sz="4" w:space="0" w:color="000000"/>
            </w:tcBorders>
            <w:tcMar>
              <w:top w:w="15" w:type="dxa"/>
              <w:left w:w="15" w:type="dxa"/>
              <w:bottom w:w="15" w:type="dxa"/>
              <w:right w:w="15" w:type="dxa"/>
            </w:tcMar>
            <w:vAlign w:val="center"/>
          </w:tcPr>
          <w:p w14:paraId="47CABC7F" w14:textId="77777777" w:rsidR="009B01BA" w:rsidRDefault="009E3CBF">
            <w:pPr>
              <w:spacing w:after="0" w:line="360" w:lineRule="auto"/>
              <w:jc w:val="center"/>
              <w:rPr>
                <w:rFonts w:ascii="Arial" w:hAnsi="Arial" w:cs="Arial"/>
              </w:rPr>
            </w:pPr>
            <w:r>
              <w:rPr>
                <w:rFonts w:ascii="Arial" w:hAnsi="Arial" w:cs="Arial"/>
              </w:rPr>
              <w:t>Emerald Insight</w:t>
            </w:r>
          </w:p>
        </w:tc>
        <w:tc>
          <w:tcPr>
            <w:tcW w:w="6344" w:type="dxa"/>
            <w:tcBorders>
              <w:top w:val="single" w:sz="4" w:space="0" w:color="000000"/>
              <w:left w:val="single" w:sz="4" w:space="0" w:color="000000"/>
              <w:right w:val="single" w:sz="4" w:space="0" w:color="000000"/>
            </w:tcBorders>
            <w:tcMar>
              <w:top w:w="15" w:type="dxa"/>
              <w:left w:w="15" w:type="dxa"/>
              <w:bottom w:w="15" w:type="dxa"/>
              <w:right w:w="15" w:type="dxa"/>
            </w:tcMar>
            <w:vAlign w:val="center"/>
          </w:tcPr>
          <w:p w14:paraId="47AE359E" w14:textId="77777777" w:rsidR="009B01BA" w:rsidRDefault="009E3CBF">
            <w:pPr>
              <w:spacing w:after="0" w:line="360" w:lineRule="auto"/>
              <w:jc w:val="center"/>
              <w:rPr>
                <w:rFonts w:ascii="Arial" w:hAnsi="Arial" w:cs="Arial"/>
              </w:rPr>
            </w:pPr>
            <w:r>
              <w:rPr>
                <w:rFonts w:ascii="Arial" w:hAnsi="Arial" w:cs="Arial"/>
              </w:rPr>
              <w:t>Focus on contemporary business and supply chain studies</w:t>
            </w:r>
          </w:p>
        </w:tc>
      </w:tr>
      <w:tr w:rsidR="009B01BA" w14:paraId="0A5D48E8" w14:textId="77777777">
        <w:tc>
          <w:tcPr>
            <w:tcW w:w="2568" w:type="dxa"/>
            <w:tcBorders>
              <w:top w:val="single" w:sz="4" w:space="0" w:color="000000"/>
              <w:left w:val="single" w:sz="4" w:space="0" w:color="000000"/>
            </w:tcBorders>
            <w:tcMar>
              <w:top w:w="15" w:type="dxa"/>
              <w:left w:w="15" w:type="dxa"/>
              <w:bottom w:w="15" w:type="dxa"/>
              <w:right w:w="15" w:type="dxa"/>
            </w:tcMar>
            <w:vAlign w:val="center"/>
          </w:tcPr>
          <w:p w14:paraId="551C6902" w14:textId="77777777" w:rsidR="009B01BA" w:rsidRDefault="009E3CBF">
            <w:pPr>
              <w:spacing w:after="0" w:line="360" w:lineRule="auto"/>
              <w:jc w:val="center"/>
              <w:rPr>
                <w:rFonts w:ascii="Arial" w:hAnsi="Arial" w:cs="Arial"/>
              </w:rPr>
            </w:pPr>
            <w:r>
              <w:rPr>
                <w:rFonts w:ascii="Arial" w:hAnsi="Arial" w:cs="Arial"/>
              </w:rPr>
              <w:t>JSTOR</w:t>
            </w:r>
          </w:p>
        </w:tc>
        <w:tc>
          <w:tcPr>
            <w:tcW w:w="6344" w:type="dxa"/>
            <w:tcBorders>
              <w:top w:val="single" w:sz="4" w:space="0" w:color="000000"/>
              <w:left w:val="single" w:sz="4" w:space="0" w:color="000000"/>
              <w:right w:val="single" w:sz="4" w:space="0" w:color="000000"/>
            </w:tcBorders>
            <w:tcMar>
              <w:top w:w="15" w:type="dxa"/>
              <w:left w:w="15" w:type="dxa"/>
              <w:bottom w:w="15" w:type="dxa"/>
              <w:right w:w="15" w:type="dxa"/>
            </w:tcMar>
            <w:vAlign w:val="center"/>
          </w:tcPr>
          <w:p w14:paraId="3DF5662B" w14:textId="77777777" w:rsidR="009B01BA" w:rsidRDefault="009E3CBF">
            <w:pPr>
              <w:spacing w:after="0" w:line="360" w:lineRule="auto"/>
              <w:jc w:val="center"/>
              <w:rPr>
                <w:rFonts w:ascii="Arial" w:hAnsi="Arial" w:cs="Arial"/>
              </w:rPr>
            </w:pPr>
            <w:r>
              <w:rPr>
                <w:rFonts w:ascii="Arial" w:hAnsi="Arial" w:cs="Arial"/>
              </w:rPr>
              <w:t>Reliable access to academic journals and case studies</w:t>
            </w:r>
          </w:p>
        </w:tc>
      </w:tr>
      <w:tr w:rsidR="009B01BA" w14:paraId="6344EE17" w14:textId="77777777">
        <w:tc>
          <w:tcPr>
            <w:tcW w:w="2568" w:type="dxa"/>
            <w:tcBorders>
              <w:top w:val="single" w:sz="4" w:space="0" w:color="000000"/>
              <w:left w:val="single" w:sz="4" w:space="0" w:color="000000"/>
              <w:bottom w:val="single" w:sz="4" w:space="0" w:color="000000"/>
            </w:tcBorders>
            <w:tcMar>
              <w:top w:w="15" w:type="dxa"/>
              <w:left w:w="15" w:type="dxa"/>
              <w:bottom w:w="15" w:type="dxa"/>
              <w:right w:w="15" w:type="dxa"/>
            </w:tcMar>
            <w:vAlign w:val="center"/>
          </w:tcPr>
          <w:p w14:paraId="37C2921F" w14:textId="77777777" w:rsidR="009B01BA" w:rsidRDefault="009E3CBF">
            <w:pPr>
              <w:spacing w:after="0" w:line="360" w:lineRule="auto"/>
              <w:jc w:val="center"/>
              <w:rPr>
                <w:rFonts w:ascii="Arial" w:hAnsi="Arial" w:cs="Arial"/>
              </w:rPr>
            </w:pPr>
            <w:r>
              <w:rPr>
                <w:rFonts w:ascii="Arial" w:hAnsi="Arial" w:cs="Arial"/>
              </w:rPr>
              <w:t>Business Source Premier</w:t>
            </w:r>
          </w:p>
        </w:tc>
        <w:tc>
          <w:tcPr>
            <w:tcW w:w="634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3E6C7EB0" w14:textId="77777777" w:rsidR="009B01BA" w:rsidRDefault="009E3CBF">
            <w:pPr>
              <w:spacing w:after="0" w:line="360" w:lineRule="auto"/>
              <w:jc w:val="center"/>
              <w:rPr>
                <w:rFonts w:ascii="Arial" w:hAnsi="Arial" w:cs="Arial"/>
              </w:rPr>
            </w:pPr>
            <w:r>
              <w:rPr>
                <w:rFonts w:ascii="Arial" w:hAnsi="Arial" w:cs="Arial"/>
              </w:rPr>
              <w:t>Access to company profiles and business strategy reports</w:t>
            </w:r>
          </w:p>
        </w:tc>
      </w:tr>
    </w:tbl>
    <w:p w14:paraId="666EE57C" w14:textId="77777777" w:rsidR="009B01BA" w:rsidRDefault="009B01BA">
      <w:pPr>
        <w:spacing w:after="0" w:line="360" w:lineRule="auto"/>
        <w:jc w:val="both"/>
        <w:rPr>
          <w:rFonts w:ascii="Arial" w:hAnsi="Arial" w:cs="Arial"/>
        </w:rPr>
      </w:pPr>
    </w:p>
    <w:p w14:paraId="4766ACEC" w14:textId="77777777" w:rsidR="009B01BA" w:rsidRDefault="009E3CBF">
      <w:pPr>
        <w:pStyle w:val="Heading3"/>
        <w:rPr>
          <w:rFonts w:ascii="Arial" w:hAnsi="Arial" w:cs="Arial"/>
        </w:rPr>
      </w:pPr>
      <w:bookmarkStart w:id="32" w:name="_Toc212767989"/>
      <w:r>
        <w:rPr>
          <w:rFonts w:ascii="Arial" w:hAnsi="Arial" w:cs="Arial"/>
        </w:rPr>
        <w:t>3.6 Inclusion and Exclusion Criteria</w:t>
      </w:r>
      <w:bookmarkEnd w:id="32"/>
    </w:p>
    <w:p w14:paraId="4904C2A2" w14:textId="77777777" w:rsidR="009B01BA" w:rsidRDefault="009B01BA"/>
    <w:p w14:paraId="56ABA614" w14:textId="77777777" w:rsidR="009B01BA" w:rsidRDefault="009E3CBF">
      <w:pPr>
        <w:spacing w:line="360" w:lineRule="auto"/>
        <w:jc w:val="both"/>
        <w:rPr>
          <w:rFonts w:ascii="Arial" w:hAnsi="Arial" w:cs="Arial"/>
        </w:rPr>
      </w:pPr>
      <w:r>
        <w:rPr>
          <w:rFonts w:ascii="Arial" w:hAnsi="Arial" w:cs="Arial"/>
        </w:rPr>
        <w:t xml:space="preserve">To guarantee that only relevant, high-quality, and reputable resources were examined, certain inclusion and exclusion criteria were used. The use of well-defined criteria was critical for ensuring the research's reliability, validity, and academic integrity. These criteria provide a uniform framework for screening sources and reducing bias in the literature selection process. Applying these limitations also guaranteed that the study remained focused on Apple Inc. and did not include irrelevant or out of date material. The inclusion and exclusion procedure was iterative, with an </w:t>
      </w:r>
      <w:r>
        <w:rPr>
          <w:rFonts w:ascii="Arial" w:hAnsi="Arial" w:cs="Arial"/>
        </w:rPr>
        <w:lastRenderedPageBreak/>
        <w:t>initial screening followed by a more thorough assessment of methodological quality, source reliability, and subject relevance. This organised method improved the review's accuracy and transparency while increasing replicability for future scholars.</w:t>
      </w:r>
    </w:p>
    <w:p w14:paraId="120F3651" w14:textId="77777777" w:rsidR="009B01BA" w:rsidRDefault="009E3CBF">
      <w:pPr>
        <w:pStyle w:val="Heading3"/>
        <w:rPr>
          <w:rFonts w:ascii="Arial" w:hAnsi="Arial" w:cs="Arial"/>
        </w:rPr>
      </w:pPr>
      <w:bookmarkStart w:id="33" w:name="_Toc212767990"/>
      <w:r>
        <w:rPr>
          <w:rFonts w:ascii="Arial" w:hAnsi="Arial" w:cs="Arial"/>
        </w:rPr>
        <w:t>3.6.1 Inclusion Criteria</w:t>
      </w:r>
      <w:bookmarkEnd w:id="33"/>
    </w:p>
    <w:p w14:paraId="6CA38E3A" w14:textId="77777777" w:rsidR="009B01BA" w:rsidRDefault="009B01BA"/>
    <w:p w14:paraId="599427E0" w14:textId="77777777" w:rsidR="009B01BA" w:rsidRDefault="009E3CBF">
      <w:pPr>
        <w:numPr>
          <w:ilvl w:val="0"/>
          <w:numId w:val="7"/>
        </w:numPr>
        <w:spacing w:line="360" w:lineRule="auto"/>
        <w:jc w:val="both"/>
      </w:pPr>
      <w:r>
        <w:rPr>
          <w:rFonts w:ascii="Arial" w:hAnsi="Arial" w:cs="Arial"/>
        </w:rPr>
        <w:t xml:space="preserve">Publications from </w:t>
      </w:r>
      <w:r>
        <w:rPr>
          <w:rFonts w:ascii="Arial" w:hAnsi="Arial" w:cs="Arial"/>
          <w:b/>
          <w:bCs/>
        </w:rPr>
        <w:t>2015–2025</w:t>
      </w:r>
      <w:r>
        <w:rPr>
          <w:rFonts w:ascii="Arial" w:hAnsi="Arial" w:cs="Arial"/>
        </w:rPr>
        <w:t xml:space="preserve"> to ensure recent relevance.</w:t>
      </w:r>
    </w:p>
    <w:p w14:paraId="23CAB04B" w14:textId="77777777" w:rsidR="009B01BA" w:rsidRDefault="009E3CBF">
      <w:pPr>
        <w:numPr>
          <w:ilvl w:val="0"/>
          <w:numId w:val="7"/>
        </w:numPr>
        <w:spacing w:line="360" w:lineRule="auto"/>
        <w:jc w:val="both"/>
        <w:rPr>
          <w:rFonts w:ascii="Arial" w:hAnsi="Arial" w:cs="Arial"/>
        </w:rPr>
      </w:pPr>
      <w:r>
        <w:rPr>
          <w:rFonts w:ascii="Arial" w:hAnsi="Arial" w:cs="Arial"/>
        </w:rPr>
        <w:t>Peer-reviewed journals, books, credible news sources, and official reports.</w:t>
      </w:r>
    </w:p>
    <w:p w14:paraId="31D9E0A6" w14:textId="77777777" w:rsidR="009B01BA" w:rsidRDefault="009E3CBF">
      <w:pPr>
        <w:numPr>
          <w:ilvl w:val="0"/>
          <w:numId w:val="7"/>
        </w:numPr>
        <w:spacing w:line="360" w:lineRule="auto"/>
        <w:jc w:val="both"/>
      </w:pPr>
      <w:r>
        <w:rPr>
          <w:rFonts w:ascii="Arial" w:hAnsi="Arial" w:cs="Arial"/>
        </w:rPr>
        <w:t xml:space="preserve">Studies focusing on </w:t>
      </w:r>
      <w:r>
        <w:rPr>
          <w:rFonts w:ascii="Arial" w:hAnsi="Arial" w:cs="Arial"/>
          <w:b/>
          <w:bCs/>
        </w:rPr>
        <w:t>Apple Inc.</w:t>
      </w:r>
      <w:r>
        <w:rPr>
          <w:rFonts w:ascii="Arial" w:hAnsi="Arial" w:cs="Arial"/>
        </w:rPr>
        <w:t xml:space="preserve"> or comparable global technology firms.</w:t>
      </w:r>
    </w:p>
    <w:p w14:paraId="0E8C0B03" w14:textId="77777777" w:rsidR="009B01BA" w:rsidRDefault="009E3CBF">
      <w:pPr>
        <w:numPr>
          <w:ilvl w:val="0"/>
          <w:numId w:val="7"/>
        </w:numPr>
        <w:spacing w:line="360" w:lineRule="auto"/>
        <w:jc w:val="both"/>
      </w:pPr>
      <w:r>
        <w:rPr>
          <w:rFonts w:ascii="Arial" w:hAnsi="Arial" w:cs="Arial"/>
        </w:rPr>
        <w:t xml:space="preserve">Sources discussing </w:t>
      </w:r>
      <w:r>
        <w:rPr>
          <w:rFonts w:ascii="Arial" w:hAnsi="Arial" w:cs="Arial"/>
          <w:b/>
          <w:bCs/>
        </w:rPr>
        <w:t>supply chain challenges, risk management, resilience, or sustainability</w:t>
      </w:r>
      <w:r>
        <w:rPr>
          <w:rFonts w:ascii="Arial" w:hAnsi="Arial" w:cs="Arial"/>
        </w:rPr>
        <w:t>.</w:t>
      </w:r>
    </w:p>
    <w:p w14:paraId="2D8F293D" w14:textId="77777777" w:rsidR="009B01BA" w:rsidRDefault="009E3CBF">
      <w:pPr>
        <w:numPr>
          <w:ilvl w:val="0"/>
          <w:numId w:val="7"/>
        </w:numPr>
        <w:spacing w:line="360" w:lineRule="auto"/>
        <w:jc w:val="both"/>
      </w:pPr>
      <w:r>
        <w:rPr>
          <w:rFonts w:ascii="Arial" w:hAnsi="Arial" w:cs="Arial"/>
        </w:rPr>
        <w:t xml:space="preserve">Materials published in </w:t>
      </w:r>
      <w:r>
        <w:rPr>
          <w:rFonts w:ascii="Arial" w:hAnsi="Arial" w:cs="Arial"/>
          <w:b/>
          <w:bCs/>
        </w:rPr>
        <w:t>English</w:t>
      </w:r>
      <w:r>
        <w:rPr>
          <w:rFonts w:ascii="Arial" w:hAnsi="Arial" w:cs="Arial"/>
        </w:rPr>
        <w:t>.</w:t>
      </w:r>
    </w:p>
    <w:p w14:paraId="682DD702" w14:textId="77777777" w:rsidR="009B01BA" w:rsidRDefault="009E3CBF">
      <w:pPr>
        <w:pStyle w:val="Heading3"/>
        <w:rPr>
          <w:rFonts w:ascii="Arial" w:hAnsi="Arial" w:cs="Arial"/>
        </w:rPr>
      </w:pPr>
      <w:bookmarkStart w:id="34" w:name="_Toc212767991"/>
      <w:r>
        <w:rPr>
          <w:rFonts w:ascii="Arial" w:hAnsi="Arial" w:cs="Arial"/>
        </w:rPr>
        <w:t>3.6.2 Exclusion Criteria</w:t>
      </w:r>
      <w:bookmarkEnd w:id="34"/>
    </w:p>
    <w:p w14:paraId="419E5D5D" w14:textId="77777777" w:rsidR="009B01BA" w:rsidRDefault="009B01BA"/>
    <w:p w14:paraId="7370995D" w14:textId="77777777" w:rsidR="009B01BA" w:rsidRDefault="009E3CBF">
      <w:pPr>
        <w:numPr>
          <w:ilvl w:val="0"/>
          <w:numId w:val="8"/>
        </w:numPr>
        <w:spacing w:line="360" w:lineRule="auto"/>
        <w:jc w:val="both"/>
        <w:rPr>
          <w:rFonts w:ascii="Arial" w:hAnsi="Arial" w:cs="Arial"/>
        </w:rPr>
      </w:pPr>
      <w:r>
        <w:rPr>
          <w:rFonts w:ascii="Arial" w:hAnsi="Arial" w:cs="Arial"/>
        </w:rPr>
        <w:t>Articles not directly related to Apple’s supply chain.</w:t>
      </w:r>
    </w:p>
    <w:p w14:paraId="41B88A28" w14:textId="77777777" w:rsidR="009B01BA" w:rsidRDefault="009E3CBF">
      <w:pPr>
        <w:numPr>
          <w:ilvl w:val="0"/>
          <w:numId w:val="8"/>
        </w:numPr>
        <w:spacing w:line="360" w:lineRule="auto"/>
        <w:jc w:val="both"/>
        <w:rPr>
          <w:rFonts w:ascii="Arial" w:hAnsi="Arial" w:cs="Arial"/>
        </w:rPr>
      </w:pPr>
      <w:r>
        <w:rPr>
          <w:rFonts w:ascii="Arial" w:hAnsi="Arial" w:cs="Arial"/>
        </w:rPr>
        <w:t>Non-English publications.</w:t>
      </w:r>
    </w:p>
    <w:p w14:paraId="5F9906A8" w14:textId="77777777" w:rsidR="009B01BA" w:rsidRDefault="009E3CBF">
      <w:pPr>
        <w:numPr>
          <w:ilvl w:val="0"/>
          <w:numId w:val="8"/>
        </w:numPr>
        <w:spacing w:line="360" w:lineRule="auto"/>
        <w:jc w:val="both"/>
        <w:rPr>
          <w:rFonts w:ascii="Arial" w:hAnsi="Arial" w:cs="Arial"/>
        </w:rPr>
      </w:pPr>
      <w:r>
        <w:rPr>
          <w:rFonts w:ascii="Arial" w:hAnsi="Arial" w:cs="Arial"/>
        </w:rPr>
        <w:t>Blogs, opinion pieces, or unverified web content.</w:t>
      </w:r>
    </w:p>
    <w:p w14:paraId="0CA14AFA" w14:textId="77777777" w:rsidR="009B01BA" w:rsidRDefault="009E3CBF">
      <w:pPr>
        <w:numPr>
          <w:ilvl w:val="0"/>
          <w:numId w:val="8"/>
        </w:numPr>
        <w:spacing w:line="360" w:lineRule="auto"/>
        <w:jc w:val="both"/>
      </w:pPr>
      <w:r>
        <w:rPr>
          <w:rFonts w:ascii="Arial" w:hAnsi="Arial" w:cs="Arial"/>
        </w:rPr>
        <w:t xml:space="preserve">Publications before </w:t>
      </w:r>
      <w:r>
        <w:rPr>
          <w:rFonts w:ascii="Arial" w:hAnsi="Arial" w:cs="Arial"/>
          <w:b/>
          <w:bCs/>
        </w:rPr>
        <w:t>2015</w:t>
      </w:r>
      <w:r>
        <w:rPr>
          <w:rFonts w:ascii="Arial" w:hAnsi="Arial" w:cs="Arial"/>
        </w:rPr>
        <w:t>, unless of significant theoretical relevance.</w:t>
      </w:r>
    </w:p>
    <w:p w14:paraId="22C61A89" w14:textId="77777777" w:rsidR="009B01BA" w:rsidRDefault="009B01BA">
      <w:pPr>
        <w:spacing w:line="360" w:lineRule="auto"/>
        <w:jc w:val="both"/>
        <w:rPr>
          <w:rFonts w:ascii="Arial" w:hAnsi="Arial" w:cs="Arial"/>
        </w:rPr>
      </w:pPr>
    </w:p>
    <w:p w14:paraId="24F4B8B6" w14:textId="77777777" w:rsidR="009B01BA" w:rsidRDefault="009E3CBF">
      <w:pPr>
        <w:pStyle w:val="Heading3"/>
        <w:rPr>
          <w:rFonts w:ascii="Arial" w:hAnsi="Arial" w:cs="Arial"/>
        </w:rPr>
      </w:pPr>
      <w:bookmarkStart w:id="35" w:name="_Toc212767992"/>
      <w:r>
        <w:rPr>
          <w:rFonts w:ascii="Arial" w:hAnsi="Arial" w:cs="Arial"/>
        </w:rPr>
        <w:t>3.7 Search Results</w:t>
      </w:r>
      <w:bookmarkEnd w:id="35"/>
    </w:p>
    <w:p w14:paraId="5B5EE7C5" w14:textId="77777777" w:rsidR="009B01BA" w:rsidRDefault="009B01BA"/>
    <w:p w14:paraId="62EE5F9C" w14:textId="77777777" w:rsidR="009B01BA" w:rsidRDefault="009E3CBF">
      <w:pPr>
        <w:spacing w:line="360" w:lineRule="auto"/>
        <w:jc w:val="both"/>
      </w:pPr>
      <w:r>
        <w:rPr>
          <w:rFonts w:ascii="Arial" w:hAnsi="Arial" w:cs="Arial"/>
        </w:rPr>
        <w:t xml:space="preserve">After applying inclusion and exclusion criteria, the initial search produced approximately </w:t>
      </w:r>
      <w:r>
        <w:rPr>
          <w:rFonts w:ascii="Arial" w:hAnsi="Arial" w:cs="Arial"/>
          <w:b/>
          <w:bCs/>
        </w:rPr>
        <w:t>180 sources</w:t>
      </w:r>
      <w:r>
        <w:rPr>
          <w:rFonts w:ascii="Arial" w:hAnsi="Arial" w:cs="Arial"/>
        </w:rPr>
        <w:t xml:space="preserve">. Following title and abstract screening, </w:t>
      </w:r>
      <w:r>
        <w:rPr>
          <w:rFonts w:ascii="Arial" w:hAnsi="Arial" w:cs="Arial"/>
          <w:b/>
          <w:bCs/>
        </w:rPr>
        <w:t>85 sources</w:t>
      </w:r>
      <w:r>
        <w:rPr>
          <w:rFonts w:ascii="Arial" w:hAnsi="Arial" w:cs="Arial"/>
        </w:rPr>
        <w:t xml:space="preserve"> were identified as potentially relevant. After full-text review and quality assessment, </w:t>
      </w:r>
      <w:r>
        <w:rPr>
          <w:rFonts w:ascii="Arial" w:hAnsi="Arial" w:cs="Arial"/>
          <w:b/>
          <w:bCs/>
        </w:rPr>
        <w:t>40 sources</w:t>
      </w:r>
      <w:r>
        <w:rPr>
          <w:rFonts w:ascii="Arial" w:hAnsi="Arial" w:cs="Arial"/>
        </w:rPr>
        <w:t xml:space="preserve"> were deemed most relevant and were included in the final synthesis.</w:t>
      </w:r>
    </w:p>
    <w:p w14:paraId="6DD6C4DA" w14:textId="77777777" w:rsidR="009B01BA" w:rsidRDefault="009E3CBF">
      <w:pPr>
        <w:spacing w:line="360" w:lineRule="auto"/>
        <w:jc w:val="both"/>
      </w:pPr>
      <w:r>
        <w:rPr>
          <w:rFonts w:ascii="Arial" w:hAnsi="Arial" w:cs="Arial"/>
        </w:rPr>
        <w:t xml:space="preserve">A simplified summary of the SLR process is presented in </w:t>
      </w:r>
      <w:r>
        <w:rPr>
          <w:rFonts w:ascii="Arial" w:hAnsi="Arial" w:cs="Arial"/>
          <w:b/>
          <w:bCs/>
        </w:rPr>
        <w:t>Table 3.1</w:t>
      </w:r>
      <w:r>
        <w:rPr>
          <w:rFonts w:ascii="Arial" w:hAnsi="Arial" w:cs="Arial"/>
        </w:rPr>
        <w:t>.</w:t>
      </w:r>
    </w:p>
    <w:p w14:paraId="634ACF96" w14:textId="77777777" w:rsidR="009B01BA" w:rsidRDefault="009E3CBF">
      <w:pPr>
        <w:spacing w:line="360" w:lineRule="auto"/>
        <w:jc w:val="both"/>
      </w:pPr>
      <w:r>
        <w:rPr>
          <w:rFonts w:ascii="Arial" w:hAnsi="Arial" w:cs="Arial"/>
          <w:b/>
          <w:bCs/>
        </w:rPr>
        <w:t>Table 3.1: Summary of the SLR Process</w:t>
      </w:r>
    </w:p>
    <w:tbl>
      <w:tblPr>
        <w:tblW w:w="9276" w:type="dxa"/>
        <w:tblCellMar>
          <w:left w:w="10" w:type="dxa"/>
          <w:right w:w="10" w:type="dxa"/>
        </w:tblCellMar>
        <w:tblLook w:val="0000" w:firstRow="0" w:lastRow="0" w:firstColumn="0" w:lastColumn="0" w:noHBand="0" w:noVBand="0"/>
      </w:tblPr>
      <w:tblGrid>
        <w:gridCol w:w="2798"/>
        <w:gridCol w:w="4353"/>
        <w:gridCol w:w="2125"/>
      </w:tblGrid>
      <w:tr w:rsidR="009B01BA" w14:paraId="0985381E" w14:textId="77777777">
        <w:trPr>
          <w:tblHeader/>
        </w:trPr>
        <w:tc>
          <w:tcPr>
            <w:tcW w:w="2798" w:type="dxa"/>
            <w:tcBorders>
              <w:top w:val="single" w:sz="4" w:space="0" w:color="000000"/>
              <w:left w:val="single" w:sz="4" w:space="0" w:color="000000"/>
              <w:right w:val="single" w:sz="4" w:space="0" w:color="000000"/>
            </w:tcBorders>
            <w:tcMar>
              <w:top w:w="15" w:type="dxa"/>
              <w:left w:w="15" w:type="dxa"/>
              <w:bottom w:w="15" w:type="dxa"/>
              <w:right w:w="15" w:type="dxa"/>
            </w:tcMar>
            <w:vAlign w:val="center"/>
          </w:tcPr>
          <w:p w14:paraId="480A9904" w14:textId="77777777" w:rsidR="009B01BA" w:rsidRDefault="009E3CBF">
            <w:pPr>
              <w:spacing w:line="360" w:lineRule="auto"/>
              <w:jc w:val="center"/>
              <w:rPr>
                <w:rFonts w:ascii="Arial" w:hAnsi="Arial" w:cs="Arial"/>
                <w:b/>
                <w:bCs/>
              </w:rPr>
            </w:pPr>
            <w:r>
              <w:rPr>
                <w:rFonts w:ascii="Arial" w:hAnsi="Arial" w:cs="Arial"/>
                <w:b/>
                <w:bCs/>
              </w:rPr>
              <w:lastRenderedPageBreak/>
              <w:t>Stage</w:t>
            </w:r>
          </w:p>
        </w:tc>
        <w:tc>
          <w:tcPr>
            <w:tcW w:w="4353" w:type="dxa"/>
            <w:tcBorders>
              <w:top w:val="single" w:sz="4" w:space="0" w:color="000000"/>
            </w:tcBorders>
            <w:tcMar>
              <w:top w:w="15" w:type="dxa"/>
              <w:left w:w="15" w:type="dxa"/>
              <w:bottom w:w="15" w:type="dxa"/>
              <w:right w:w="15" w:type="dxa"/>
            </w:tcMar>
            <w:vAlign w:val="center"/>
          </w:tcPr>
          <w:p w14:paraId="599CFB07" w14:textId="77777777" w:rsidR="009B01BA" w:rsidRDefault="009E3CBF">
            <w:pPr>
              <w:spacing w:line="360" w:lineRule="auto"/>
              <w:jc w:val="center"/>
              <w:rPr>
                <w:rFonts w:ascii="Arial" w:hAnsi="Arial" w:cs="Arial"/>
                <w:b/>
                <w:bCs/>
              </w:rPr>
            </w:pPr>
            <w:r>
              <w:rPr>
                <w:rFonts w:ascii="Arial" w:hAnsi="Arial" w:cs="Arial"/>
                <w:b/>
                <w:bCs/>
              </w:rPr>
              <w:t>Description</w:t>
            </w:r>
          </w:p>
        </w:tc>
        <w:tc>
          <w:tcPr>
            <w:tcW w:w="2125" w:type="dxa"/>
            <w:tcBorders>
              <w:top w:val="single" w:sz="4" w:space="0" w:color="000000"/>
              <w:left w:val="single" w:sz="4" w:space="0" w:color="000000"/>
              <w:right w:val="single" w:sz="4" w:space="0" w:color="000000"/>
            </w:tcBorders>
            <w:tcMar>
              <w:top w:w="15" w:type="dxa"/>
              <w:left w:w="15" w:type="dxa"/>
              <w:bottom w:w="15" w:type="dxa"/>
              <w:right w:w="15" w:type="dxa"/>
            </w:tcMar>
            <w:vAlign w:val="center"/>
          </w:tcPr>
          <w:p w14:paraId="76572DCE" w14:textId="77777777" w:rsidR="009B01BA" w:rsidRDefault="009E3CBF">
            <w:pPr>
              <w:spacing w:line="360" w:lineRule="auto"/>
              <w:jc w:val="center"/>
              <w:rPr>
                <w:rFonts w:ascii="Arial" w:hAnsi="Arial" w:cs="Arial"/>
                <w:b/>
                <w:bCs/>
              </w:rPr>
            </w:pPr>
            <w:r>
              <w:rPr>
                <w:rFonts w:ascii="Arial" w:hAnsi="Arial" w:cs="Arial"/>
                <w:b/>
                <w:bCs/>
              </w:rPr>
              <w:t>Number of Sources</w:t>
            </w:r>
          </w:p>
        </w:tc>
      </w:tr>
      <w:tr w:rsidR="009B01BA" w14:paraId="7C83EC3A" w14:textId="77777777">
        <w:tc>
          <w:tcPr>
            <w:tcW w:w="2798" w:type="dxa"/>
            <w:tcBorders>
              <w:top w:val="single" w:sz="4" w:space="0" w:color="000000"/>
              <w:left w:val="single" w:sz="4" w:space="0" w:color="000000"/>
              <w:right w:val="single" w:sz="4" w:space="0" w:color="000000"/>
            </w:tcBorders>
            <w:tcMar>
              <w:top w:w="15" w:type="dxa"/>
              <w:left w:w="15" w:type="dxa"/>
              <w:bottom w:w="15" w:type="dxa"/>
              <w:right w:w="15" w:type="dxa"/>
            </w:tcMar>
            <w:vAlign w:val="center"/>
          </w:tcPr>
          <w:p w14:paraId="56C6892D" w14:textId="77777777" w:rsidR="009B01BA" w:rsidRDefault="009E3CBF">
            <w:pPr>
              <w:spacing w:line="360" w:lineRule="auto"/>
              <w:jc w:val="center"/>
              <w:rPr>
                <w:rFonts w:ascii="Arial" w:hAnsi="Arial" w:cs="Arial"/>
              </w:rPr>
            </w:pPr>
            <w:r>
              <w:rPr>
                <w:rFonts w:ascii="Arial" w:hAnsi="Arial" w:cs="Arial"/>
              </w:rPr>
              <w:t>Initial search</w:t>
            </w:r>
          </w:p>
        </w:tc>
        <w:tc>
          <w:tcPr>
            <w:tcW w:w="4353" w:type="dxa"/>
            <w:tcBorders>
              <w:top w:val="single" w:sz="4" w:space="0" w:color="000000"/>
            </w:tcBorders>
            <w:tcMar>
              <w:top w:w="15" w:type="dxa"/>
              <w:left w:w="15" w:type="dxa"/>
              <w:bottom w:w="15" w:type="dxa"/>
              <w:right w:w="15" w:type="dxa"/>
            </w:tcMar>
            <w:vAlign w:val="center"/>
          </w:tcPr>
          <w:p w14:paraId="1989589E" w14:textId="77777777" w:rsidR="009B01BA" w:rsidRDefault="009E3CBF">
            <w:pPr>
              <w:spacing w:line="360" w:lineRule="auto"/>
              <w:jc w:val="center"/>
              <w:rPr>
                <w:rFonts w:ascii="Arial" w:hAnsi="Arial" w:cs="Arial"/>
              </w:rPr>
            </w:pPr>
            <w:r>
              <w:rPr>
                <w:rFonts w:ascii="Arial" w:hAnsi="Arial" w:cs="Arial"/>
              </w:rPr>
              <w:t>All results from databases</w:t>
            </w:r>
          </w:p>
        </w:tc>
        <w:tc>
          <w:tcPr>
            <w:tcW w:w="2125" w:type="dxa"/>
            <w:tcBorders>
              <w:top w:val="single" w:sz="4" w:space="0" w:color="000000"/>
              <w:left w:val="single" w:sz="4" w:space="0" w:color="000000"/>
              <w:right w:val="single" w:sz="4" w:space="0" w:color="000000"/>
            </w:tcBorders>
            <w:tcMar>
              <w:top w:w="15" w:type="dxa"/>
              <w:left w:w="15" w:type="dxa"/>
              <w:bottom w:w="15" w:type="dxa"/>
              <w:right w:w="15" w:type="dxa"/>
            </w:tcMar>
            <w:vAlign w:val="center"/>
          </w:tcPr>
          <w:p w14:paraId="45197400" w14:textId="77777777" w:rsidR="009B01BA" w:rsidRDefault="009E3CBF">
            <w:pPr>
              <w:spacing w:line="360" w:lineRule="auto"/>
              <w:jc w:val="center"/>
              <w:rPr>
                <w:rFonts w:ascii="Arial" w:hAnsi="Arial" w:cs="Arial"/>
              </w:rPr>
            </w:pPr>
            <w:r>
              <w:rPr>
                <w:rFonts w:ascii="Arial" w:hAnsi="Arial" w:cs="Arial"/>
              </w:rPr>
              <w:t>180</w:t>
            </w:r>
          </w:p>
        </w:tc>
      </w:tr>
      <w:tr w:rsidR="009B01BA" w14:paraId="0A3BA247" w14:textId="77777777">
        <w:tc>
          <w:tcPr>
            <w:tcW w:w="2798" w:type="dxa"/>
            <w:tcBorders>
              <w:top w:val="single" w:sz="4" w:space="0" w:color="000000"/>
              <w:left w:val="single" w:sz="4" w:space="0" w:color="000000"/>
              <w:right w:val="single" w:sz="4" w:space="0" w:color="000000"/>
            </w:tcBorders>
            <w:tcMar>
              <w:top w:w="15" w:type="dxa"/>
              <w:left w:w="15" w:type="dxa"/>
              <w:bottom w:w="15" w:type="dxa"/>
              <w:right w:w="15" w:type="dxa"/>
            </w:tcMar>
            <w:vAlign w:val="center"/>
          </w:tcPr>
          <w:p w14:paraId="6C0A712B" w14:textId="77777777" w:rsidR="009B01BA" w:rsidRDefault="009E3CBF">
            <w:pPr>
              <w:spacing w:line="360" w:lineRule="auto"/>
              <w:jc w:val="center"/>
              <w:rPr>
                <w:rFonts w:ascii="Arial" w:hAnsi="Arial" w:cs="Arial"/>
              </w:rPr>
            </w:pPr>
            <w:r>
              <w:rPr>
                <w:rFonts w:ascii="Arial" w:hAnsi="Arial" w:cs="Arial"/>
              </w:rPr>
              <w:t>Title and abstract screening</w:t>
            </w:r>
          </w:p>
        </w:tc>
        <w:tc>
          <w:tcPr>
            <w:tcW w:w="4353" w:type="dxa"/>
            <w:tcBorders>
              <w:top w:val="single" w:sz="4" w:space="0" w:color="000000"/>
            </w:tcBorders>
            <w:tcMar>
              <w:top w:w="15" w:type="dxa"/>
              <w:left w:w="15" w:type="dxa"/>
              <w:bottom w:w="15" w:type="dxa"/>
              <w:right w:w="15" w:type="dxa"/>
            </w:tcMar>
            <w:vAlign w:val="center"/>
          </w:tcPr>
          <w:p w14:paraId="67A46173" w14:textId="77777777" w:rsidR="009B01BA" w:rsidRDefault="009E3CBF">
            <w:pPr>
              <w:spacing w:line="360" w:lineRule="auto"/>
              <w:jc w:val="center"/>
              <w:rPr>
                <w:rFonts w:ascii="Arial" w:hAnsi="Arial" w:cs="Arial"/>
              </w:rPr>
            </w:pPr>
            <w:r>
              <w:rPr>
                <w:rFonts w:ascii="Arial" w:hAnsi="Arial" w:cs="Arial"/>
              </w:rPr>
              <w:t>Removal of duplicates and irrelevant papers</w:t>
            </w:r>
          </w:p>
        </w:tc>
        <w:tc>
          <w:tcPr>
            <w:tcW w:w="2125" w:type="dxa"/>
            <w:tcBorders>
              <w:top w:val="single" w:sz="4" w:space="0" w:color="000000"/>
              <w:left w:val="single" w:sz="4" w:space="0" w:color="000000"/>
              <w:right w:val="single" w:sz="4" w:space="0" w:color="000000"/>
            </w:tcBorders>
            <w:tcMar>
              <w:top w:w="15" w:type="dxa"/>
              <w:left w:w="15" w:type="dxa"/>
              <w:bottom w:w="15" w:type="dxa"/>
              <w:right w:w="15" w:type="dxa"/>
            </w:tcMar>
            <w:vAlign w:val="center"/>
          </w:tcPr>
          <w:p w14:paraId="283B6919" w14:textId="77777777" w:rsidR="009B01BA" w:rsidRDefault="009E3CBF">
            <w:pPr>
              <w:spacing w:line="360" w:lineRule="auto"/>
              <w:jc w:val="center"/>
              <w:rPr>
                <w:rFonts w:ascii="Arial" w:hAnsi="Arial" w:cs="Arial"/>
              </w:rPr>
            </w:pPr>
            <w:r>
              <w:rPr>
                <w:rFonts w:ascii="Arial" w:hAnsi="Arial" w:cs="Arial"/>
              </w:rPr>
              <w:t>85</w:t>
            </w:r>
          </w:p>
        </w:tc>
      </w:tr>
      <w:tr w:rsidR="009B01BA" w14:paraId="4A2DE136" w14:textId="77777777">
        <w:tc>
          <w:tcPr>
            <w:tcW w:w="2798" w:type="dxa"/>
            <w:tcBorders>
              <w:top w:val="single" w:sz="4" w:space="0" w:color="000000"/>
              <w:left w:val="single" w:sz="4" w:space="0" w:color="000000"/>
              <w:right w:val="single" w:sz="4" w:space="0" w:color="000000"/>
            </w:tcBorders>
            <w:tcMar>
              <w:top w:w="15" w:type="dxa"/>
              <w:left w:w="15" w:type="dxa"/>
              <w:bottom w:w="15" w:type="dxa"/>
              <w:right w:w="15" w:type="dxa"/>
            </w:tcMar>
            <w:vAlign w:val="center"/>
          </w:tcPr>
          <w:p w14:paraId="2CCD2821" w14:textId="77777777" w:rsidR="009B01BA" w:rsidRDefault="009E3CBF">
            <w:pPr>
              <w:spacing w:line="360" w:lineRule="auto"/>
              <w:jc w:val="center"/>
              <w:rPr>
                <w:rFonts w:ascii="Arial" w:hAnsi="Arial" w:cs="Arial"/>
              </w:rPr>
            </w:pPr>
            <w:r>
              <w:rPr>
                <w:rFonts w:ascii="Arial" w:hAnsi="Arial" w:cs="Arial"/>
              </w:rPr>
              <w:t>Full-text review</w:t>
            </w:r>
          </w:p>
        </w:tc>
        <w:tc>
          <w:tcPr>
            <w:tcW w:w="4353" w:type="dxa"/>
            <w:tcBorders>
              <w:top w:val="single" w:sz="4" w:space="0" w:color="000000"/>
            </w:tcBorders>
            <w:tcMar>
              <w:top w:w="15" w:type="dxa"/>
              <w:left w:w="15" w:type="dxa"/>
              <w:bottom w:w="15" w:type="dxa"/>
              <w:right w:w="15" w:type="dxa"/>
            </w:tcMar>
            <w:vAlign w:val="center"/>
          </w:tcPr>
          <w:p w14:paraId="55894584" w14:textId="77777777" w:rsidR="009B01BA" w:rsidRDefault="009E3CBF">
            <w:pPr>
              <w:spacing w:line="360" w:lineRule="auto"/>
              <w:jc w:val="center"/>
              <w:rPr>
                <w:rFonts w:ascii="Arial" w:hAnsi="Arial" w:cs="Arial"/>
              </w:rPr>
            </w:pPr>
            <w:r>
              <w:rPr>
                <w:rFonts w:ascii="Arial" w:hAnsi="Arial" w:cs="Arial"/>
              </w:rPr>
              <w:t>Quality and relevance assessment</w:t>
            </w:r>
          </w:p>
        </w:tc>
        <w:tc>
          <w:tcPr>
            <w:tcW w:w="2125" w:type="dxa"/>
            <w:tcBorders>
              <w:top w:val="single" w:sz="4" w:space="0" w:color="000000"/>
              <w:left w:val="single" w:sz="4" w:space="0" w:color="000000"/>
              <w:right w:val="single" w:sz="4" w:space="0" w:color="000000"/>
            </w:tcBorders>
            <w:tcMar>
              <w:top w:w="15" w:type="dxa"/>
              <w:left w:w="15" w:type="dxa"/>
              <w:bottom w:w="15" w:type="dxa"/>
              <w:right w:w="15" w:type="dxa"/>
            </w:tcMar>
            <w:vAlign w:val="center"/>
          </w:tcPr>
          <w:p w14:paraId="0E3CB664" w14:textId="77777777" w:rsidR="009B01BA" w:rsidRDefault="009E3CBF">
            <w:pPr>
              <w:spacing w:line="360" w:lineRule="auto"/>
              <w:jc w:val="center"/>
              <w:rPr>
                <w:rFonts w:ascii="Arial" w:hAnsi="Arial" w:cs="Arial"/>
              </w:rPr>
            </w:pPr>
            <w:r>
              <w:rPr>
                <w:rFonts w:ascii="Arial" w:hAnsi="Arial" w:cs="Arial"/>
              </w:rPr>
              <w:t>50</w:t>
            </w:r>
          </w:p>
        </w:tc>
      </w:tr>
      <w:tr w:rsidR="009B01BA" w14:paraId="43011A73" w14:textId="77777777">
        <w:tc>
          <w:tcPr>
            <w:tcW w:w="279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5D25A803" w14:textId="77777777" w:rsidR="009B01BA" w:rsidRDefault="009E3CBF">
            <w:pPr>
              <w:spacing w:line="360" w:lineRule="auto"/>
              <w:jc w:val="center"/>
              <w:rPr>
                <w:rFonts w:ascii="Arial" w:hAnsi="Arial" w:cs="Arial"/>
              </w:rPr>
            </w:pPr>
            <w:r>
              <w:rPr>
                <w:rFonts w:ascii="Arial" w:hAnsi="Arial" w:cs="Arial"/>
              </w:rPr>
              <w:t>Final inclusion</w:t>
            </w:r>
          </w:p>
        </w:tc>
        <w:tc>
          <w:tcPr>
            <w:tcW w:w="4353" w:type="dxa"/>
            <w:tcBorders>
              <w:top w:val="single" w:sz="4" w:space="0" w:color="000000"/>
              <w:bottom w:val="single" w:sz="4" w:space="0" w:color="000000"/>
            </w:tcBorders>
            <w:tcMar>
              <w:top w:w="15" w:type="dxa"/>
              <w:left w:w="15" w:type="dxa"/>
              <w:bottom w:w="15" w:type="dxa"/>
              <w:right w:w="15" w:type="dxa"/>
            </w:tcMar>
            <w:vAlign w:val="center"/>
          </w:tcPr>
          <w:p w14:paraId="08AB5B4D" w14:textId="77777777" w:rsidR="009B01BA" w:rsidRDefault="009E3CBF">
            <w:pPr>
              <w:spacing w:line="360" w:lineRule="auto"/>
              <w:jc w:val="center"/>
              <w:rPr>
                <w:rFonts w:ascii="Arial" w:hAnsi="Arial" w:cs="Arial"/>
              </w:rPr>
            </w:pPr>
            <w:r>
              <w:rPr>
                <w:rFonts w:ascii="Arial" w:hAnsi="Arial" w:cs="Arial"/>
              </w:rPr>
              <w:t>Sources included in synthesis</w:t>
            </w:r>
          </w:p>
        </w:tc>
        <w:tc>
          <w:tcPr>
            <w:tcW w:w="212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30DA5524" w14:textId="77777777" w:rsidR="009B01BA" w:rsidRDefault="009E3CBF">
            <w:pPr>
              <w:spacing w:line="360" w:lineRule="auto"/>
              <w:jc w:val="center"/>
              <w:rPr>
                <w:rFonts w:ascii="Arial" w:hAnsi="Arial" w:cs="Arial"/>
              </w:rPr>
            </w:pPr>
            <w:r>
              <w:rPr>
                <w:rFonts w:ascii="Arial" w:hAnsi="Arial" w:cs="Arial"/>
              </w:rPr>
              <w:t>40</w:t>
            </w:r>
          </w:p>
        </w:tc>
      </w:tr>
    </w:tbl>
    <w:p w14:paraId="1C60757C" w14:textId="77777777" w:rsidR="009B01BA" w:rsidRDefault="009B01BA">
      <w:pPr>
        <w:spacing w:line="360" w:lineRule="auto"/>
        <w:jc w:val="both"/>
        <w:rPr>
          <w:rFonts w:ascii="Arial" w:hAnsi="Arial" w:cs="Arial"/>
        </w:rPr>
      </w:pPr>
    </w:p>
    <w:p w14:paraId="3B87E95E" w14:textId="77777777" w:rsidR="009B01BA" w:rsidRDefault="009E3CBF">
      <w:pPr>
        <w:spacing w:line="360" w:lineRule="auto"/>
        <w:jc w:val="both"/>
        <w:rPr>
          <w:rFonts w:ascii="Arial" w:hAnsi="Arial" w:cs="Arial"/>
        </w:rPr>
      </w:pPr>
      <w:r>
        <w:rPr>
          <w:rFonts w:ascii="Arial" w:hAnsi="Arial" w:cs="Arial"/>
        </w:rPr>
        <w:t>The final literature set included academic papers, Apple’s corporate documents, and industry analyses that provided comprehensive insights into the company’s supply chain structure, challenges, and mitigation strategies.</w:t>
      </w:r>
    </w:p>
    <w:p w14:paraId="68109463" w14:textId="77777777" w:rsidR="009B01BA" w:rsidRDefault="009E3CBF">
      <w:pPr>
        <w:pStyle w:val="Heading3"/>
        <w:rPr>
          <w:rFonts w:ascii="Arial" w:hAnsi="Arial" w:cs="Arial"/>
        </w:rPr>
      </w:pPr>
      <w:bookmarkStart w:id="36" w:name="_Toc212767993"/>
      <w:r>
        <w:rPr>
          <w:rFonts w:ascii="Arial" w:hAnsi="Arial" w:cs="Arial"/>
        </w:rPr>
        <w:t>3.8 Ethical Considerations</w:t>
      </w:r>
      <w:bookmarkEnd w:id="36"/>
    </w:p>
    <w:p w14:paraId="5F19809D" w14:textId="77777777" w:rsidR="009B01BA" w:rsidRDefault="009B01BA">
      <w:pPr>
        <w:spacing w:line="360" w:lineRule="auto"/>
        <w:jc w:val="both"/>
        <w:rPr>
          <w:rFonts w:ascii="Arial" w:hAnsi="Arial" w:cs="Arial"/>
        </w:rPr>
      </w:pPr>
    </w:p>
    <w:p w14:paraId="70680164" w14:textId="77777777" w:rsidR="009B01BA" w:rsidRDefault="009E3CBF">
      <w:pPr>
        <w:spacing w:line="360" w:lineRule="auto"/>
        <w:jc w:val="both"/>
        <w:rPr>
          <w:rFonts w:ascii="Arial" w:hAnsi="Arial" w:cs="Arial"/>
        </w:rPr>
      </w:pPr>
      <w:r>
        <w:rPr>
          <w:rFonts w:ascii="Arial" w:hAnsi="Arial" w:cs="Arial"/>
        </w:rPr>
        <w:t>This study relied solely on secondary data, which reduces the ethical hazards connected with original data collecting. All data were gathered from publicly available and trusted databases or official publications. Proper reference and citation methods were used to acknowledge all intellectual contributions while avoiding plagiarism.</w:t>
      </w:r>
      <w:r>
        <w:rPr>
          <w:rFonts w:ascii="Arial" w:hAnsi="Arial" w:cs="Arial"/>
        </w:rPr>
        <w:br/>
      </w:r>
      <w:r>
        <w:rPr>
          <w:rFonts w:ascii="Arial" w:hAnsi="Arial" w:cs="Arial"/>
        </w:rPr>
        <w:br/>
        <w:t>Furthermore, effort was made to appropriately describe sources, preventing misinterpretation or prejudice in presenting findings. The study follows institutional ethical guidelines for undertaking literature-based initiatives, assuring transparency, neutrality, and respect for intellectual property.</w:t>
      </w:r>
    </w:p>
    <w:p w14:paraId="610A4AEB" w14:textId="77777777" w:rsidR="009B01BA" w:rsidRDefault="009E3CBF">
      <w:pPr>
        <w:pStyle w:val="Heading2"/>
        <w:rPr>
          <w:rFonts w:ascii="Arial" w:hAnsi="Arial" w:cs="Arial"/>
        </w:rPr>
      </w:pPr>
      <w:bookmarkStart w:id="37" w:name="_Toc212767994"/>
      <w:r>
        <w:rPr>
          <w:rFonts w:ascii="Arial" w:hAnsi="Arial" w:cs="Arial"/>
        </w:rPr>
        <w:t>CHAPTER 4: FINDINGS AND DISCUSSION</w:t>
      </w:r>
      <w:bookmarkEnd w:id="37"/>
    </w:p>
    <w:p w14:paraId="62E9014B" w14:textId="77777777" w:rsidR="009B01BA" w:rsidRDefault="009E3CBF">
      <w:pPr>
        <w:pStyle w:val="Heading3"/>
        <w:rPr>
          <w:rFonts w:ascii="Arial" w:hAnsi="Arial" w:cs="Arial"/>
        </w:rPr>
      </w:pPr>
      <w:bookmarkStart w:id="38" w:name="_Toc212767995"/>
      <w:r>
        <w:rPr>
          <w:rFonts w:ascii="Arial" w:hAnsi="Arial" w:cs="Arial"/>
        </w:rPr>
        <w:t>4.1 Introduction</w:t>
      </w:r>
      <w:bookmarkEnd w:id="38"/>
    </w:p>
    <w:p w14:paraId="1FE397FA" w14:textId="77777777" w:rsidR="009B01BA" w:rsidRDefault="009B01BA"/>
    <w:p w14:paraId="794A23B7" w14:textId="77777777" w:rsidR="009B01BA" w:rsidRDefault="009E3CBF">
      <w:pPr>
        <w:spacing w:line="360" w:lineRule="auto"/>
        <w:jc w:val="both"/>
        <w:rPr>
          <w:rFonts w:ascii="Arial" w:hAnsi="Arial" w:cs="Arial"/>
        </w:rPr>
      </w:pPr>
      <w:r>
        <w:rPr>
          <w:rFonts w:ascii="Arial" w:hAnsi="Arial" w:cs="Arial"/>
        </w:rPr>
        <w:t>This chapter discusses and critically evaluates the primary findings from a systematic literature review (SLR) of Apple Inc.'s supply chain management. It brings together evidence from academic literature, industry reports, business case studies, and Apple's official publications to investigate the company's major supply chain challenges, strategic responses, and implications for business continuity, operational efficiency, and long-term viability. This chapter examines both historical and contemporary trends in Apple's supply chain to gain insight into how global disruptions, technical innovation, and strategic governance have influenced the company's operational and management decisions.</w:t>
      </w:r>
    </w:p>
    <w:p w14:paraId="2C4911C7" w14:textId="77777777" w:rsidR="009B01BA" w:rsidRDefault="009E3CBF">
      <w:pPr>
        <w:spacing w:line="360" w:lineRule="auto"/>
        <w:jc w:val="both"/>
        <w:rPr>
          <w:rFonts w:ascii="Arial" w:hAnsi="Arial" w:cs="Arial"/>
        </w:rPr>
      </w:pPr>
      <w:r>
        <w:rPr>
          <w:rFonts w:ascii="Arial" w:hAnsi="Arial" w:cs="Arial"/>
        </w:rPr>
        <w:lastRenderedPageBreak/>
        <w:t>The discussion is organised around five core themes identified in the review:</w:t>
      </w:r>
    </w:p>
    <w:p w14:paraId="0A3BC129" w14:textId="77777777" w:rsidR="009B01BA" w:rsidRDefault="009E3CBF">
      <w:pPr>
        <w:numPr>
          <w:ilvl w:val="0"/>
          <w:numId w:val="9"/>
        </w:numPr>
        <w:spacing w:line="360" w:lineRule="auto"/>
        <w:jc w:val="both"/>
      </w:pPr>
      <w:r>
        <w:rPr>
          <w:rFonts w:ascii="Arial" w:hAnsi="Arial" w:cs="Arial"/>
          <w:b/>
          <w:bCs/>
        </w:rPr>
        <w:t>Global supply chain disruptions, concentration, and vulnerability</w:t>
      </w:r>
      <w:r>
        <w:rPr>
          <w:rFonts w:ascii="Arial" w:hAnsi="Arial" w:cs="Arial"/>
        </w:rPr>
        <w:t xml:space="preserve"> – examining the impact of geopolitical tensions, pandemics, and other systemic shocks on Apple’s operations.</w:t>
      </w:r>
    </w:p>
    <w:p w14:paraId="316DE869" w14:textId="77777777" w:rsidR="009B01BA" w:rsidRDefault="009E3CBF">
      <w:pPr>
        <w:numPr>
          <w:ilvl w:val="0"/>
          <w:numId w:val="9"/>
        </w:numPr>
        <w:spacing w:line="360" w:lineRule="auto"/>
        <w:jc w:val="both"/>
      </w:pPr>
      <w:r>
        <w:rPr>
          <w:rFonts w:ascii="Arial" w:hAnsi="Arial" w:cs="Arial"/>
          <w:b/>
          <w:bCs/>
        </w:rPr>
        <w:t>Supplier diversification, regionalisation, and governance</w:t>
      </w:r>
      <w:r>
        <w:rPr>
          <w:rFonts w:ascii="Arial" w:hAnsi="Arial" w:cs="Arial"/>
        </w:rPr>
        <w:t xml:space="preserve"> – analysing how Apple mitigates risks through geographical diversification, supplier development, and robust compliance mechanisms.</w:t>
      </w:r>
    </w:p>
    <w:p w14:paraId="6079C58E" w14:textId="77777777" w:rsidR="009B01BA" w:rsidRDefault="009E3CBF">
      <w:pPr>
        <w:numPr>
          <w:ilvl w:val="0"/>
          <w:numId w:val="9"/>
        </w:numPr>
        <w:spacing w:line="360" w:lineRule="auto"/>
        <w:jc w:val="both"/>
      </w:pPr>
      <w:r>
        <w:rPr>
          <w:rFonts w:ascii="Arial" w:hAnsi="Arial" w:cs="Arial"/>
          <w:b/>
          <w:bCs/>
        </w:rPr>
        <w:t>Sustainability, ethical sourcing, and circular supply chains</w:t>
      </w:r>
      <w:r>
        <w:rPr>
          <w:rFonts w:ascii="Arial" w:hAnsi="Arial" w:cs="Arial"/>
        </w:rPr>
        <w:t xml:space="preserve"> – evaluating Apple’s efforts in renewable energy, ethical labour practices, and resource circularity, highlighting both achievements and ongoing challenges.</w:t>
      </w:r>
    </w:p>
    <w:p w14:paraId="3A9CC861" w14:textId="77777777" w:rsidR="009B01BA" w:rsidRDefault="009E3CBF">
      <w:pPr>
        <w:numPr>
          <w:ilvl w:val="0"/>
          <w:numId w:val="9"/>
        </w:numPr>
        <w:spacing w:line="360" w:lineRule="auto"/>
        <w:jc w:val="both"/>
      </w:pPr>
      <w:r>
        <w:rPr>
          <w:rFonts w:ascii="Arial" w:hAnsi="Arial" w:cs="Arial"/>
          <w:b/>
          <w:bCs/>
        </w:rPr>
        <w:t>Technological innovation, visibility, and digital resilience</w:t>
      </w:r>
      <w:r>
        <w:rPr>
          <w:rFonts w:ascii="Arial" w:hAnsi="Arial" w:cs="Arial"/>
        </w:rPr>
        <w:t xml:space="preserve"> – assessing the role of advanced analytics, AI, and predictive tools in enhancing supply chain responsiveness and strategic agility.</w:t>
      </w:r>
    </w:p>
    <w:p w14:paraId="2BC00B61" w14:textId="77777777" w:rsidR="009B01BA" w:rsidRDefault="009E3CBF">
      <w:pPr>
        <w:numPr>
          <w:ilvl w:val="0"/>
          <w:numId w:val="9"/>
        </w:numPr>
        <w:spacing w:line="360" w:lineRule="auto"/>
        <w:jc w:val="both"/>
      </w:pPr>
      <w:r>
        <w:rPr>
          <w:rFonts w:ascii="Arial" w:hAnsi="Arial" w:cs="Arial"/>
          <w:b/>
          <w:bCs/>
        </w:rPr>
        <w:t>Strategic lessons and implications for future resilience</w:t>
      </w:r>
      <w:r>
        <w:rPr>
          <w:rFonts w:ascii="Arial" w:hAnsi="Arial" w:cs="Arial"/>
        </w:rPr>
        <w:t xml:space="preserve"> – synthesising the findings to identify broader managerial insights and theoretical contributions applicable to global business management.</w:t>
      </w:r>
    </w:p>
    <w:p w14:paraId="01814F6D" w14:textId="77777777" w:rsidR="009B01BA" w:rsidRDefault="009E3CBF">
      <w:pPr>
        <w:spacing w:after="0" w:line="360" w:lineRule="auto"/>
        <w:jc w:val="both"/>
        <w:rPr>
          <w:rFonts w:ascii="Arial" w:hAnsi="Arial" w:cs="Arial"/>
          <w:sz w:val="24"/>
          <w:szCs w:val="24"/>
        </w:rPr>
      </w:pPr>
      <w:r>
        <w:rPr>
          <w:rFonts w:ascii="Arial" w:hAnsi="Arial" w:cs="Arial"/>
          <w:sz w:val="24"/>
          <w:szCs w:val="24"/>
        </w:rPr>
        <w:t>The chapter also contextualizes Apple's activities using appropriate theoretical frameworks such as lean, agile, resilient, and sustainable supply chain models. It assesses the success of these models in reducing supply chain risks and boosting organisational adaptability, as well as offering lessons that can be used to educate decision-making by other multinational firms experiencing comparable operational issues. This chapter also examines the connection between efficiency, resilience, and sustainability, emphasizing the trade-offs and strategic concerns inherent in managing a complex, internationally linked supply chain.</w:t>
      </w:r>
    </w:p>
    <w:p w14:paraId="58D0AB23" w14:textId="77777777" w:rsidR="009B01BA" w:rsidRDefault="009B01BA">
      <w:pPr>
        <w:spacing w:after="0" w:line="360" w:lineRule="auto"/>
        <w:jc w:val="both"/>
        <w:rPr>
          <w:rFonts w:ascii="Arial" w:hAnsi="Arial" w:cs="Arial"/>
          <w:sz w:val="24"/>
          <w:szCs w:val="24"/>
        </w:rPr>
      </w:pPr>
    </w:p>
    <w:p w14:paraId="584253CD" w14:textId="77777777" w:rsidR="009B01BA" w:rsidRDefault="009E3CBF">
      <w:pPr>
        <w:pStyle w:val="Heading2"/>
        <w:rPr>
          <w:rFonts w:ascii="Arial" w:hAnsi="Arial" w:cs="Arial"/>
        </w:rPr>
      </w:pPr>
      <w:bookmarkStart w:id="39" w:name="_Toc212767996"/>
      <w:r>
        <w:rPr>
          <w:rFonts w:ascii="Arial" w:hAnsi="Arial" w:cs="Arial"/>
        </w:rPr>
        <w:t>4.2 Global Supply Chain Disruptions, Concentration, and Vulnerability</w:t>
      </w:r>
      <w:bookmarkEnd w:id="39"/>
    </w:p>
    <w:p w14:paraId="0395CEF8" w14:textId="77777777" w:rsidR="009B01BA" w:rsidRDefault="009E3CBF">
      <w:pPr>
        <w:pStyle w:val="Heading3"/>
        <w:rPr>
          <w:rFonts w:ascii="Arial" w:hAnsi="Arial" w:cs="Arial"/>
        </w:rPr>
      </w:pPr>
      <w:bookmarkStart w:id="40" w:name="_Toc212767997"/>
      <w:r>
        <w:rPr>
          <w:rFonts w:ascii="Arial" w:hAnsi="Arial" w:cs="Arial"/>
        </w:rPr>
        <w:t>4.2.1 Dependency on Concentrated Regions and Suppliers</w:t>
      </w:r>
      <w:bookmarkEnd w:id="40"/>
    </w:p>
    <w:p w14:paraId="2531BE5C" w14:textId="77777777" w:rsidR="009B01BA" w:rsidRDefault="009B01BA">
      <w:pPr>
        <w:spacing w:after="0" w:line="360" w:lineRule="auto"/>
        <w:jc w:val="both"/>
        <w:rPr>
          <w:rFonts w:ascii="Arial" w:hAnsi="Arial" w:cs="Arial"/>
          <w:sz w:val="24"/>
          <w:szCs w:val="24"/>
        </w:rPr>
      </w:pPr>
    </w:p>
    <w:p w14:paraId="0060A718" w14:textId="77777777" w:rsidR="009B01BA" w:rsidRDefault="009E3CBF">
      <w:pPr>
        <w:spacing w:line="360" w:lineRule="auto"/>
        <w:jc w:val="both"/>
        <w:rPr>
          <w:rFonts w:ascii="Arial" w:hAnsi="Arial" w:cs="Arial"/>
        </w:rPr>
      </w:pPr>
      <w:r>
        <w:rPr>
          <w:rFonts w:ascii="Arial" w:hAnsi="Arial" w:cs="Arial"/>
        </w:rPr>
        <w:lastRenderedPageBreak/>
        <w:t>One significant difficulty mentioned in the literature is Apple's long-standing reliance on a concentrated supply base, particularly in China, for both assembly and component manufacture. According to Apple's 2023 Supplier List, over 95% of its final assembly and direct material spending took place in China and East Asia (Apple, 2023). While this concentration allows for economies of scale, constant quality control, and streamlined logistics, it also exposes the firm to systemic risks caused by geopolitical conflicts, trade disputes, natural disasters, or health crises (Ivanov and Dolgui, 2020). Such reliance on a single place makes manufacturing vulnerable not just to physical disruptions but also to regulatory changes, rising tariffs, and labor unrest, all of which can have direct and cascading repercussions throughout the supply chain.</w:t>
      </w:r>
    </w:p>
    <w:p w14:paraId="16F6E4C4" w14:textId="77777777" w:rsidR="009B01BA" w:rsidRDefault="009E3CBF">
      <w:pPr>
        <w:spacing w:line="360" w:lineRule="auto"/>
        <w:jc w:val="both"/>
        <w:rPr>
          <w:rFonts w:ascii="Arial" w:hAnsi="Arial" w:cs="Arial"/>
        </w:rPr>
      </w:pPr>
      <w:r>
        <w:rPr>
          <w:rFonts w:ascii="Arial" w:hAnsi="Arial" w:cs="Arial"/>
        </w:rPr>
        <w:t>This vulnerability is exacerbated by Apple's reliance on a small number of suppliers for essential parts, such as screens from Samsung and transistors from TSMC (Evenett, 2021). Focussing procurement on a small number of important suppliers increases negotiating power and guarantees product quality, but it exposes the business to supplier-specific risks including technical malfunctions, production delays, and capacity shortages. According to the literature, this arrangement is consistent with lean supply chain theory, which emphasises cost reduction, efficiency, and waste reduction while inevitably reducing flexibility and redundancy (Christopher, 2016).</w:t>
      </w:r>
    </w:p>
    <w:p w14:paraId="18B2EAA7" w14:textId="77777777" w:rsidR="009B01BA" w:rsidRDefault="009E3CBF">
      <w:pPr>
        <w:spacing w:line="360" w:lineRule="auto"/>
        <w:jc w:val="both"/>
        <w:rPr>
          <w:rFonts w:ascii="Arial" w:hAnsi="Arial" w:cs="Arial"/>
        </w:rPr>
      </w:pPr>
      <w:r>
        <w:rPr>
          <w:rFonts w:ascii="Arial" w:hAnsi="Arial" w:cs="Arial"/>
        </w:rPr>
        <w:t>Consequently, while Apple’s pre-pandemic supply chain model demonstrated operational excellence and impressive profit margins, it lacked sufficient resilience to withstand global shocks. The COVID-19 pandemic, for example, highlighted the potential consequences of this dependence, revealing that efficiency-oriented strategies must be balanced with adaptive measures such as supplier diversification, geographic decentralisation, and real-time risk monitoring. These findings underscore the necessity for multinational corporations to evaluate the trade-offs between lean efficiency and resilience in designing supply chain strategies capable of sustaining business continuity in volatile global markets.</w:t>
      </w:r>
    </w:p>
    <w:p w14:paraId="22E0DA66" w14:textId="77777777" w:rsidR="009B01BA" w:rsidRDefault="009E3CBF">
      <w:pPr>
        <w:pStyle w:val="Heading3"/>
        <w:rPr>
          <w:rFonts w:ascii="Arial" w:hAnsi="Arial" w:cs="Arial"/>
        </w:rPr>
      </w:pPr>
      <w:bookmarkStart w:id="41" w:name="_Toc212767998"/>
      <w:r>
        <w:rPr>
          <w:rFonts w:ascii="Arial" w:hAnsi="Arial" w:cs="Arial"/>
        </w:rPr>
        <w:t>4.2.2 COVID-19 and Shock Propagation</w:t>
      </w:r>
      <w:bookmarkEnd w:id="41"/>
    </w:p>
    <w:p w14:paraId="27273CE6" w14:textId="77777777" w:rsidR="009B01BA" w:rsidRDefault="009B01BA">
      <w:pPr>
        <w:spacing w:line="360" w:lineRule="auto"/>
        <w:jc w:val="both"/>
        <w:rPr>
          <w:rFonts w:ascii="Arial" w:hAnsi="Arial" w:cs="Arial"/>
        </w:rPr>
      </w:pPr>
    </w:p>
    <w:p w14:paraId="2758184D" w14:textId="77777777" w:rsidR="009B01BA" w:rsidRDefault="009E3CBF">
      <w:pPr>
        <w:spacing w:line="360" w:lineRule="auto"/>
        <w:jc w:val="both"/>
        <w:rPr>
          <w:rFonts w:ascii="Arial" w:hAnsi="Arial" w:cs="Arial"/>
        </w:rPr>
      </w:pPr>
      <w:r>
        <w:rPr>
          <w:rFonts w:ascii="Arial" w:hAnsi="Arial" w:cs="Arial"/>
        </w:rPr>
        <w:t xml:space="preserve">The COVID-19 outbreak demonstrated the vulnerability of Apple's worldwide supply network and exposed the flaws inherent in highly concentrated, efficiency-driven supply networks. Factory shutdowns in China, transportation difficulties, and lockdown measures hampered both component production and final assembly, leading in significant product shortages and delayed product launches, including key releases like the iPhone 12 series (Shih, 2020). Apple's reliance on the just-in-time (JIT) inventory system exacerbated the problems, since low buffer supplies provided </w:t>
      </w:r>
      <w:r>
        <w:rPr>
          <w:rFonts w:ascii="Arial" w:hAnsi="Arial" w:cs="Arial"/>
        </w:rPr>
        <w:lastRenderedPageBreak/>
        <w:t>little tolerance for unanticipated shocks or delays. As a result, the company encountered short-term operational bottlenecks and decreased product availability in global marketplaces, highlighting the important hazards of efficiency-centric supply chain designs during times of crisis (Christopher, 2016).</w:t>
      </w:r>
    </w:p>
    <w:p w14:paraId="79A90627" w14:textId="77777777" w:rsidR="009B01BA" w:rsidRDefault="009E3CBF">
      <w:pPr>
        <w:spacing w:line="360" w:lineRule="auto"/>
        <w:jc w:val="both"/>
        <w:rPr>
          <w:rFonts w:ascii="Arial" w:hAnsi="Arial" w:cs="Arial"/>
        </w:rPr>
      </w:pPr>
      <w:r>
        <w:rPr>
          <w:rFonts w:ascii="Arial" w:hAnsi="Arial" w:cs="Arial"/>
        </w:rPr>
        <w:t>In response, Apple adopted a series of strategic measures to improve resilience and operational continuity. The corporation evaluated its sourcing tactics, diversified its supplier base, and began transferring production to locations outside of China. By 2024, around 14% of iPhones would be produced in India, with additional production capacity developed in Vietnam, indicating a determined attempt to decrease over-reliance on a single location (Reuters, 2024). Apple also improved its supply chain monitoring systems, using predictive analytics and real-time visibility capabilities to evaluate risks, anticipate potential bottlenecks, and manage inventory and logistics more proactively (McKinsey, 2024).</w:t>
      </w:r>
    </w:p>
    <w:p w14:paraId="645E119C" w14:textId="77777777" w:rsidR="009B01BA" w:rsidRDefault="009E3CBF">
      <w:pPr>
        <w:spacing w:line="360" w:lineRule="auto"/>
        <w:jc w:val="both"/>
        <w:rPr>
          <w:rFonts w:ascii="Arial" w:hAnsi="Arial" w:cs="Arial"/>
        </w:rPr>
      </w:pPr>
      <w:r>
        <w:rPr>
          <w:rFonts w:ascii="Arial" w:hAnsi="Arial" w:cs="Arial"/>
        </w:rPr>
        <w:t>These metrics demonstrate a move from simply lean efficiency to a hybrid supply chain model that balances cost-effectiveness with flexibility, redundancy, and risk reduction. The pandemic highlighted the need for resilience planning, multi-sourcing techniques, and agile reaction mechanisms as key components of Apple's long-term operations strategy. Lessons from this period highlight the importance for multinational corporations to anticipate disruptions, incorporate contingency planning into supply chain design, and leverage digital technologies to improve adaptive capacity in an increasingly volatile global environment (Ivanov and Dolgui, 2020).</w:t>
      </w:r>
    </w:p>
    <w:p w14:paraId="07D668DD" w14:textId="77777777" w:rsidR="009B01BA" w:rsidRDefault="009E3CBF">
      <w:pPr>
        <w:pStyle w:val="Heading3"/>
        <w:rPr>
          <w:rFonts w:ascii="Arial" w:hAnsi="Arial" w:cs="Arial"/>
        </w:rPr>
      </w:pPr>
      <w:bookmarkStart w:id="42" w:name="_Toc212767999"/>
      <w:r>
        <w:rPr>
          <w:rFonts w:ascii="Arial" w:hAnsi="Arial" w:cs="Arial"/>
        </w:rPr>
        <w:t>4.2.3 Geopolitical Risks, Tariffs, and Trade Volatility</w:t>
      </w:r>
      <w:bookmarkEnd w:id="42"/>
    </w:p>
    <w:p w14:paraId="47819BEF" w14:textId="77777777" w:rsidR="009B01BA" w:rsidRDefault="009B01BA">
      <w:pPr>
        <w:spacing w:line="360" w:lineRule="auto"/>
        <w:jc w:val="both"/>
        <w:rPr>
          <w:rFonts w:ascii="Arial" w:hAnsi="Arial" w:cs="Arial"/>
        </w:rPr>
      </w:pPr>
    </w:p>
    <w:p w14:paraId="5247FBC3" w14:textId="77777777" w:rsidR="009B01BA" w:rsidRDefault="009E3CBF">
      <w:pPr>
        <w:spacing w:line="360" w:lineRule="auto"/>
        <w:jc w:val="both"/>
        <w:rPr>
          <w:rFonts w:ascii="Arial" w:hAnsi="Arial" w:cs="Arial"/>
        </w:rPr>
      </w:pPr>
      <w:r>
        <w:rPr>
          <w:rFonts w:ascii="Arial" w:hAnsi="Arial" w:cs="Arial"/>
        </w:rPr>
        <w:t>In addition to pandemic-related interruptions, Apple's supply chain has been severely impacted by geopolitical tensions, particularly the continuing trade war between the United States and China. Tariffs on electronic goods, export limitations, and regulatory uncertainty have driven up production costs and hindered global distribution plans (Evenett, 2021). For example, US tariffs on specific Chinese imports forced Apple to reconsider its sourcing and production sites, weighing financial consequences against operational continuity. These problems demonstrate the vulnerability of increasingly globalised supply chains to macroeconomic and political shocks, emphasising the importance of strategic flexibility and proactive risk management (Gereffi, 2020).</w:t>
      </w:r>
    </w:p>
    <w:p w14:paraId="2E923CCF" w14:textId="77777777" w:rsidR="009B01BA" w:rsidRDefault="009E3CBF">
      <w:pPr>
        <w:spacing w:line="360" w:lineRule="auto"/>
        <w:jc w:val="both"/>
        <w:rPr>
          <w:rFonts w:ascii="Arial" w:hAnsi="Arial" w:cs="Arial"/>
        </w:rPr>
      </w:pPr>
      <w:r>
        <w:rPr>
          <w:rFonts w:ascii="Arial" w:hAnsi="Arial" w:cs="Arial"/>
        </w:rPr>
        <w:t xml:space="preserve">Apple's answer was varied. To reduce susceptibility to tariffs and trade obstacles, the corporation has advanced its diversification strategy by moving a portion of iPhone and iPad assembly to India and Vietnam (The Guardian, 2025). By building alternate production hubs, Apple lessens its </w:t>
      </w:r>
      <w:r>
        <w:rPr>
          <w:rFonts w:ascii="Arial" w:hAnsi="Arial" w:cs="Arial"/>
        </w:rPr>
        <w:lastRenderedPageBreak/>
        <w:t>reliance on a single geopolitical setting while still meeting global demand. Furthermore, the organisation has increased contractual flexibility with major suppliers to meet unexpected regulatory or logistical changes, thus linking operational strategy with agile supply chain management principles (Christopher, 2016).</w:t>
      </w:r>
    </w:p>
    <w:p w14:paraId="3B33AA4A" w14:textId="77777777" w:rsidR="009B01BA" w:rsidRDefault="009E3CBF">
      <w:pPr>
        <w:spacing w:line="360" w:lineRule="auto"/>
        <w:jc w:val="both"/>
        <w:rPr>
          <w:rFonts w:ascii="Arial" w:hAnsi="Arial" w:cs="Arial"/>
        </w:rPr>
      </w:pPr>
      <w:r>
        <w:rPr>
          <w:rFonts w:ascii="Arial" w:hAnsi="Arial" w:cs="Arial"/>
        </w:rPr>
        <w:t>The literature also indicates that trade volatility has an impact not just on cost structures, but also on supply chain decision-making and prediction accuracy. Apple's investment in predictive analytics and scenario planning enables the corporation to model the impact of anticipated tariffs, shipping delays, and export restrictions, resulting in more informed and timely decisions (McKinsey, 2024). This integration of digital tools improves resilience by offering awareness into possible threats and allowing for quick adaptation.</w:t>
      </w:r>
    </w:p>
    <w:p w14:paraId="4818B199" w14:textId="77777777" w:rsidR="009B01BA" w:rsidRDefault="009E3CBF">
      <w:pPr>
        <w:spacing w:line="360" w:lineRule="auto"/>
        <w:jc w:val="both"/>
        <w:rPr>
          <w:rFonts w:ascii="Arial" w:hAnsi="Arial" w:cs="Arial"/>
        </w:rPr>
      </w:pPr>
      <w:r>
        <w:rPr>
          <w:rFonts w:ascii="Arial" w:hAnsi="Arial" w:cs="Arial"/>
        </w:rPr>
        <w:t>Overall, Apple's experiences demonstrate the vital need of combining efficiency with risk avoidance. While global supply chains provide cost savings and access to talent and resources, they also expose businesses to political and regulatory risks. Apple displays adaptability in addressing geopolitical and trade concerns by strategically spreading production locations, investing in technology, and maintaining flexible supplier agreements. These techniques represent an increasing realisation in academia and industry that resilience, agility, and strategic foresight are required to navigate the complexities of today's global supply networks (Pettit, Fiksel, and Croxton, 2019).</w:t>
      </w:r>
    </w:p>
    <w:p w14:paraId="766216D1" w14:textId="77777777" w:rsidR="009B01BA" w:rsidRDefault="009E3CBF">
      <w:pPr>
        <w:pStyle w:val="Heading3"/>
        <w:rPr>
          <w:rFonts w:ascii="Arial" w:hAnsi="Arial" w:cs="Arial"/>
        </w:rPr>
      </w:pPr>
      <w:bookmarkStart w:id="43" w:name="_Toc212768000"/>
      <w:r>
        <w:rPr>
          <w:rFonts w:ascii="Arial" w:hAnsi="Arial" w:cs="Arial"/>
        </w:rPr>
        <w:t>4.2.4 The Efficiency–Resilience Trade-Off</w:t>
      </w:r>
      <w:bookmarkEnd w:id="43"/>
    </w:p>
    <w:p w14:paraId="2C1240C5" w14:textId="77777777" w:rsidR="009B01BA" w:rsidRDefault="009B01BA"/>
    <w:p w14:paraId="534B8E52" w14:textId="77777777" w:rsidR="009B01BA" w:rsidRDefault="009E3CBF">
      <w:pPr>
        <w:spacing w:line="360" w:lineRule="auto"/>
        <w:jc w:val="both"/>
        <w:rPr>
          <w:rFonts w:ascii="Arial" w:hAnsi="Arial" w:cs="Arial"/>
        </w:rPr>
      </w:pPr>
      <w:r>
        <w:rPr>
          <w:rFonts w:ascii="Arial" w:hAnsi="Arial" w:cs="Arial"/>
        </w:rPr>
        <w:t>The findings indicate an important tradeoff between operational efficiency and resilience. Apple's dependence on lean production and tight cost control resulted in increased efficiency but limited flexibility amid emergencies. As Christopher and Peck (2004) indicate, a robust supply chain must have redundancy, flexibility, and visibility. Apple's steady adoption of multi-sourcing, regionalisation, and advanced data analytics marks a strategic shift towards this hybrid approach.</w:t>
      </w:r>
    </w:p>
    <w:p w14:paraId="149FC7F1" w14:textId="77777777" w:rsidR="009B01BA" w:rsidRDefault="009E3CBF">
      <w:pPr>
        <w:spacing w:line="360" w:lineRule="auto"/>
        <w:jc w:val="both"/>
        <w:rPr>
          <w:rFonts w:ascii="Arial" w:hAnsi="Arial" w:cs="Arial"/>
        </w:rPr>
      </w:pPr>
      <w:r>
        <w:rPr>
          <w:rFonts w:ascii="Arial" w:hAnsi="Arial" w:cs="Arial"/>
        </w:rPr>
        <w:t>Before the COVID-19 pandemic, Apple's supply chain exemplified the lean manufacturing philosophy by minimising waste, lowering inventory, and attaining economies of scale (Womack and Jones, 2003). This strategy enabled Apple to retain significant profits and competitive pricing while producing high-quality goods. This efficiency-oriented approach, however, limited the company's ability to absorb unexpected shocks because it relied largely on just-in-time logistics and single-region manufacturing (Ivanov, 2021). When confronted with unanticipated disruptions such as manufacturing shutdowns or material shortages, Apple's operational rigidity highlighted the inherent disadvantages of choosing efficiency above adaptation.</w:t>
      </w:r>
    </w:p>
    <w:p w14:paraId="50C62E75" w14:textId="77777777" w:rsidR="009B01BA" w:rsidRDefault="009E3CBF">
      <w:pPr>
        <w:spacing w:line="360" w:lineRule="auto"/>
        <w:jc w:val="both"/>
        <w:rPr>
          <w:rFonts w:ascii="Arial" w:hAnsi="Arial" w:cs="Arial"/>
        </w:rPr>
      </w:pPr>
      <w:r>
        <w:rPr>
          <w:rFonts w:ascii="Arial" w:hAnsi="Arial" w:cs="Arial"/>
        </w:rPr>
        <w:lastRenderedPageBreak/>
        <w:t>Following these events, Apple aimed to strike a balance between efficiency and resilience by incorporating strategic redundancy into its supply chain design. This entails establishing secondary suppliers, raising safety stock for crucial components, and strengthening regional production capabilities. Such approaches adhere to the concepts of agile and resilient supply chain management, which emphasise adaptability, rapid response, and proactive risk reduction (Pettit, Fiksel, &amp; Croxton, 2019). Furthermore, Apple's use of digital twin technologies and predictive analytics has enabled scenario modelling, allowing managers to more accurately anticipate probable disruptions and prepare contingency plans (McKinsey, 2024).</w:t>
      </w:r>
    </w:p>
    <w:p w14:paraId="5DF12A66" w14:textId="77777777" w:rsidR="009B01BA" w:rsidRDefault="009E3CBF">
      <w:pPr>
        <w:spacing w:line="360" w:lineRule="auto"/>
        <w:jc w:val="both"/>
        <w:rPr>
          <w:rFonts w:ascii="Arial" w:hAnsi="Arial" w:cs="Arial"/>
        </w:rPr>
      </w:pPr>
      <w:r>
        <w:rPr>
          <w:rFonts w:ascii="Arial" w:hAnsi="Arial" w:cs="Arial"/>
        </w:rPr>
        <w:t>One of Apple's most difficult strategic issues is maintaining a balance between efficiency and robustness. Building resilience unavoidably involves higher expenses and possibly redundancies, which can have an impact on short-term profitability. Nonetheless, research indicates that long-term economic sustainability is dependent on the ability to foresee and recover from shocks while maintaining operational continuity (Sheffi, 2007). For Apple, including resilience into its operational structure has become not merely a risk management requirement, but also a competitive differentiator that strengthens the company's capacity to provide consistent value to stakeholders in the face of turbulent global conditions.</w:t>
      </w:r>
    </w:p>
    <w:p w14:paraId="07F47A7A" w14:textId="77777777" w:rsidR="009B01BA" w:rsidRDefault="009E3CBF">
      <w:pPr>
        <w:pStyle w:val="Heading3"/>
        <w:rPr>
          <w:rFonts w:ascii="Arial" w:hAnsi="Arial" w:cs="Arial"/>
        </w:rPr>
      </w:pPr>
      <w:bookmarkStart w:id="44" w:name="_Toc212768001"/>
      <w:r>
        <w:rPr>
          <w:rFonts w:ascii="Arial" w:hAnsi="Arial" w:cs="Arial"/>
        </w:rPr>
        <w:t>4.3 Supplier Diversification, Regionalisation, and Governance</w:t>
      </w:r>
      <w:bookmarkEnd w:id="44"/>
    </w:p>
    <w:p w14:paraId="490B519E" w14:textId="77777777" w:rsidR="009B01BA" w:rsidRDefault="009E3CBF">
      <w:pPr>
        <w:pStyle w:val="Heading3"/>
        <w:rPr>
          <w:rFonts w:ascii="Arial" w:hAnsi="Arial" w:cs="Arial"/>
        </w:rPr>
      </w:pPr>
      <w:bookmarkStart w:id="45" w:name="_Toc212768002"/>
      <w:r>
        <w:rPr>
          <w:rFonts w:ascii="Arial" w:hAnsi="Arial" w:cs="Arial"/>
        </w:rPr>
        <w:t>4.3.1 Geographic Diversification and the “China+1” Strategy</w:t>
      </w:r>
      <w:bookmarkEnd w:id="45"/>
    </w:p>
    <w:p w14:paraId="5246F62F" w14:textId="77777777" w:rsidR="009B01BA" w:rsidRDefault="009B01BA">
      <w:pPr>
        <w:spacing w:line="360" w:lineRule="auto"/>
        <w:jc w:val="both"/>
        <w:rPr>
          <w:rFonts w:ascii="Arial" w:hAnsi="Arial" w:cs="Arial"/>
        </w:rPr>
      </w:pPr>
    </w:p>
    <w:p w14:paraId="075F5679" w14:textId="77777777" w:rsidR="009B01BA" w:rsidRDefault="009E3CBF">
      <w:pPr>
        <w:spacing w:line="360" w:lineRule="auto"/>
        <w:jc w:val="both"/>
        <w:rPr>
          <w:rFonts w:ascii="Arial" w:hAnsi="Arial" w:cs="Arial"/>
        </w:rPr>
      </w:pPr>
      <w:r>
        <w:rPr>
          <w:rFonts w:ascii="Arial" w:hAnsi="Arial" w:cs="Arial"/>
        </w:rPr>
        <w:t>To lessen geographic dependence, Apple has adopted a "China+1" diversification strategy. By 2024, Apple's manufacturing expansion into India and Vietnam had become essential to its production planning. Over 320 suppliers have also committed to using 100% renewable energy in Apple production, emphasising geographic and environmental diversification (Apple, 2024).</w:t>
      </w:r>
    </w:p>
    <w:p w14:paraId="6F851AEC" w14:textId="77777777" w:rsidR="009B01BA" w:rsidRDefault="009E3CBF">
      <w:pPr>
        <w:spacing w:line="360" w:lineRule="auto"/>
        <w:jc w:val="both"/>
        <w:rPr>
          <w:rFonts w:ascii="Arial" w:hAnsi="Arial" w:cs="Arial"/>
        </w:rPr>
      </w:pPr>
      <w:r>
        <w:rPr>
          <w:rFonts w:ascii="Arial" w:hAnsi="Arial" w:cs="Arial"/>
        </w:rPr>
        <w:t xml:space="preserve">However, academic and industrial evaluations agree that diversification is difficult. Emerging markets' infrastructure inadequacies, skill shortages, and regulatory hurdles create additional operational risks (Gereffi, 2020). Apple's success in adopting a balanced and efficient diversification plan is dependent on its ability to maintain consistency in quality, ethics, and compliance across borders. Furthermore, diversification activities may incur greater short-term expenses due to investments in new buildings, local labour training, and logistical realignments. Despite these hurdles, regionalisation activities give long-term strategic benefits such as reduced exposure to geopolitical unpredictability, increased supply chain resilience, and improved sustainability credentials. Apple's approach exemplifies the difficult balance between global efficiency and regional </w:t>
      </w:r>
      <w:r>
        <w:rPr>
          <w:rFonts w:ascii="Arial" w:hAnsi="Arial" w:cs="Arial"/>
        </w:rPr>
        <w:lastRenderedPageBreak/>
        <w:t>flexibility, demonstrating how multinational corporations may use diversification as both a risk mitigation strategy and a catalyst of innovation and environmental development (McKinsey, 2023).</w:t>
      </w:r>
    </w:p>
    <w:p w14:paraId="6066CE10" w14:textId="77777777" w:rsidR="009B01BA" w:rsidRDefault="009E3CBF">
      <w:pPr>
        <w:pStyle w:val="Heading3"/>
      </w:pPr>
      <w:bookmarkStart w:id="46" w:name="_Toc212768003"/>
      <w:r>
        <w:t>4.3.2 Supplier Governance, Auditing, and Ethical Compliance</w:t>
      </w:r>
      <w:bookmarkEnd w:id="46"/>
    </w:p>
    <w:p w14:paraId="62FC1F3E" w14:textId="77777777" w:rsidR="009B01BA" w:rsidRDefault="009B01BA">
      <w:pPr>
        <w:spacing w:line="360" w:lineRule="auto"/>
        <w:jc w:val="both"/>
        <w:rPr>
          <w:rFonts w:ascii="Arial" w:hAnsi="Arial" w:cs="Arial"/>
        </w:rPr>
      </w:pPr>
    </w:p>
    <w:p w14:paraId="7D4768C8" w14:textId="77777777" w:rsidR="009B01BA" w:rsidRDefault="009E3CBF">
      <w:pPr>
        <w:spacing w:line="360" w:lineRule="auto"/>
        <w:jc w:val="both"/>
        <w:rPr>
          <w:rFonts w:ascii="Arial" w:hAnsi="Arial" w:cs="Arial"/>
        </w:rPr>
      </w:pPr>
      <w:r>
        <w:rPr>
          <w:rFonts w:ascii="Arial" w:hAnsi="Arial" w:cs="Arial"/>
        </w:rPr>
        <w:t>Governance is key to preserving Apple's global supply network. Apple's Supplier Code of Conduct establishes strict labour, environmental, and ethical standards, which are supported by frequent third-party audits (Apple, 2025). Since 2009, the corporation has publicly announced the departure of 231 suppliers for labour, health and safety, or conflict minerals infractions (Supply Chain Dive, 2024). Apple's annual Supplier Responsibility Report describes how the company enforces compliance and works with suppliers to improve governance standards and corrective measures (Apple, 2025).</w:t>
      </w:r>
    </w:p>
    <w:p w14:paraId="378BCA00" w14:textId="77777777" w:rsidR="009B01BA" w:rsidRDefault="009E3CBF">
      <w:pPr>
        <w:spacing w:line="360" w:lineRule="auto"/>
        <w:jc w:val="both"/>
        <w:rPr>
          <w:rFonts w:ascii="Arial" w:hAnsi="Arial" w:cs="Arial"/>
        </w:rPr>
      </w:pPr>
      <w:r>
        <w:rPr>
          <w:rFonts w:ascii="Arial" w:hAnsi="Arial" w:cs="Arial"/>
        </w:rPr>
        <w:t>These initiatives align with the ideas of responsible supply chain management and stakeholder theory, which emphasise accountability, transparency, and value creation for all stakeholders (Freeman, 2010). Apple strengthens its brand integrity and reduces the reputational risks associated with unethical acts by implementing ethical oversight and ongoing monitoring measures. Furthermore, Apple has expanded supplier training programmes to include worker rights, environmental sustainability, and occupational health, assuring compliance beyond audits and documentation.</w:t>
      </w:r>
    </w:p>
    <w:p w14:paraId="08D139E5" w14:textId="77777777" w:rsidR="009B01BA" w:rsidRDefault="009E3CBF">
      <w:pPr>
        <w:spacing w:line="360" w:lineRule="auto"/>
        <w:jc w:val="both"/>
        <w:rPr>
          <w:rFonts w:ascii="Arial" w:hAnsi="Arial" w:cs="Arial"/>
        </w:rPr>
      </w:pPr>
      <w:r>
        <w:rPr>
          <w:rFonts w:ascii="Arial" w:hAnsi="Arial" w:cs="Arial"/>
        </w:rPr>
        <w:t>However, maintaining effective governance across thousands of vendors in many regulatory regimes remains difficult. There are ongoing reports of excessive overtime, wage disparities, and subcontracting abuses among lower-tier vendors (Amnesty International, 2023). Addressing such concerns necessitates a proactive approach that includes stricter verification procedures, more supply chain transparency, and partnership with local governments and NGOs. Apple's increased usage of blockchain-based traceability tools and digital auditing platforms represents a significant step towards real-time monitoring and accountability (PwC, 2023). Overall, Apple's governance plan indicates a shift away from compliance-driven monitoring and towards a more sustainable, collaborative, and technologically enabled paradigm with the goal of achieving ethical resilience throughout its supply chain.</w:t>
      </w:r>
    </w:p>
    <w:p w14:paraId="5DA6BC23" w14:textId="77777777" w:rsidR="009B01BA" w:rsidRDefault="009B01BA">
      <w:pPr>
        <w:spacing w:line="360" w:lineRule="auto"/>
        <w:jc w:val="both"/>
        <w:rPr>
          <w:rFonts w:ascii="Arial" w:hAnsi="Arial" w:cs="Arial"/>
        </w:rPr>
      </w:pPr>
    </w:p>
    <w:p w14:paraId="608C8286" w14:textId="77777777" w:rsidR="009B01BA" w:rsidRDefault="009B01BA"/>
    <w:p w14:paraId="09783988" w14:textId="77777777" w:rsidR="009B01BA" w:rsidRDefault="009E3CBF">
      <w:pPr>
        <w:pStyle w:val="Heading3"/>
        <w:rPr>
          <w:rFonts w:ascii="Arial" w:hAnsi="Arial" w:cs="Arial"/>
        </w:rPr>
      </w:pPr>
      <w:bookmarkStart w:id="47" w:name="_Toc212768004"/>
      <w:r>
        <w:rPr>
          <w:rFonts w:ascii="Arial" w:hAnsi="Arial" w:cs="Arial"/>
        </w:rPr>
        <w:lastRenderedPageBreak/>
        <w:t>4.3.3 Collaboration and Supplier Development</w:t>
      </w:r>
      <w:bookmarkEnd w:id="47"/>
    </w:p>
    <w:p w14:paraId="6443CAA1" w14:textId="77777777" w:rsidR="009B01BA" w:rsidRDefault="009B01BA">
      <w:pPr>
        <w:spacing w:line="360" w:lineRule="auto"/>
        <w:jc w:val="both"/>
        <w:rPr>
          <w:rFonts w:ascii="Arial" w:hAnsi="Arial" w:cs="Arial"/>
        </w:rPr>
      </w:pPr>
    </w:p>
    <w:p w14:paraId="17C1737C" w14:textId="77777777" w:rsidR="009B01BA" w:rsidRDefault="009E3CBF">
      <w:pPr>
        <w:spacing w:line="360" w:lineRule="auto"/>
        <w:jc w:val="both"/>
        <w:rPr>
          <w:rFonts w:ascii="Arial" w:hAnsi="Arial" w:cs="Arial"/>
        </w:rPr>
      </w:pPr>
      <w:r>
        <w:rPr>
          <w:rFonts w:ascii="Arial" w:hAnsi="Arial" w:cs="Arial"/>
        </w:rPr>
        <w:t>Beyond compliance, Apple has long-term agreements with key suppliers like as TSMC, Pegatron, and Foxconn to promote co-innovation and strategic alignment. Co-investment programs and early-stage collaboration in product design improve operational integration and technological innovation (Linton, 2023). Apple's Supplier Employee Development Fund, founded in 2024, provided training and assessment programs to over 70,000 supplier personnel, strengthening skill development and knowledge transfer throughout the company's global supply network (Apple, 2025).</w:t>
      </w:r>
    </w:p>
    <w:p w14:paraId="73780C39" w14:textId="77777777" w:rsidR="009B01BA" w:rsidRDefault="009E3CBF">
      <w:pPr>
        <w:spacing w:line="360" w:lineRule="auto"/>
        <w:jc w:val="both"/>
        <w:rPr>
          <w:rFonts w:ascii="Arial" w:hAnsi="Arial" w:cs="Arial"/>
        </w:rPr>
      </w:pPr>
      <w:r>
        <w:rPr>
          <w:rFonts w:ascii="Arial" w:hAnsi="Arial" w:cs="Arial"/>
        </w:rPr>
        <w:t>This collaborative paradigm marks a dramatic shift from traditional, transactional supplier relationships to a more strategic, interdependent structure. Suppliers, according to the Resource-Based View (RBV), are extensions of the firm's competitive advantage, with shared competencies and innovation capacity contributing directly to organisational performance (Barney, 1991). By investing in supplier training, Apple guarantees that its sustainability and quality criteria are met, while also improving production reliability and response to market changes.</w:t>
      </w:r>
    </w:p>
    <w:p w14:paraId="5F79DF0A" w14:textId="77777777" w:rsidR="009B01BA" w:rsidRDefault="009E3CBF">
      <w:pPr>
        <w:spacing w:line="360" w:lineRule="auto"/>
        <w:jc w:val="both"/>
        <w:rPr>
          <w:rFonts w:ascii="Arial" w:hAnsi="Arial" w:cs="Arial"/>
        </w:rPr>
      </w:pPr>
      <w:r>
        <w:rPr>
          <w:rFonts w:ascii="Arial" w:hAnsi="Arial" w:cs="Arial"/>
        </w:rPr>
        <w:t>Furthermore, Apple's involvement includes R&amp;D partnerships that foster innovation in materials science, chip design, and factory automation (Bloomberg, 2024). These projects increase productivity and reduce environmental impact by implementing energy-efficient industrial technologies. By building deep and long-term connections with essential partners, Apple boosts mutual trust, technological synergy, and adaptability—all of which are important aspects in risk mitigation and maintaining a robust, innovation-driven supply ecosystem. Finally, Apple's strategy highlights how supplier development and collaboration can act as both an operational safeguard and a strategic enabler of continual improvement in an increasingly complicated global market.</w:t>
      </w:r>
    </w:p>
    <w:p w14:paraId="616E780B" w14:textId="77777777" w:rsidR="009B01BA" w:rsidRDefault="009E3CBF">
      <w:pPr>
        <w:pStyle w:val="Heading3"/>
        <w:rPr>
          <w:rFonts w:ascii="Arial" w:hAnsi="Arial" w:cs="Arial"/>
        </w:rPr>
      </w:pPr>
      <w:bookmarkStart w:id="48" w:name="_Toc212768005"/>
      <w:r>
        <w:rPr>
          <w:rFonts w:ascii="Arial" w:hAnsi="Arial" w:cs="Arial"/>
        </w:rPr>
        <w:t>4.4 Sustainability, Ethical Sourcing, and Circular Supply Chains</w:t>
      </w:r>
      <w:bookmarkEnd w:id="48"/>
    </w:p>
    <w:p w14:paraId="66003009" w14:textId="77777777" w:rsidR="009B01BA" w:rsidRDefault="009E3CBF">
      <w:pPr>
        <w:pStyle w:val="Heading3"/>
        <w:rPr>
          <w:rFonts w:ascii="Arial" w:hAnsi="Arial" w:cs="Arial"/>
        </w:rPr>
      </w:pPr>
      <w:bookmarkStart w:id="49" w:name="_Toc212768006"/>
      <w:r>
        <w:rPr>
          <w:rFonts w:ascii="Arial" w:hAnsi="Arial" w:cs="Arial"/>
        </w:rPr>
        <w:t>4.4.1 Carbon Neutrality and Environmental Performance</w:t>
      </w:r>
      <w:bookmarkEnd w:id="49"/>
    </w:p>
    <w:p w14:paraId="303FB4A5" w14:textId="77777777" w:rsidR="009B01BA" w:rsidRDefault="009B01BA"/>
    <w:p w14:paraId="1701DC96" w14:textId="77777777" w:rsidR="009B01BA" w:rsidRDefault="009E3CBF">
      <w:pPr>
        <w:spacing w:line="360" w:lineRule="auto"/>
        <w:jc w:val="both"/>
        <w:rPr>
          <w:rFonts w:ascii="Arial" w:hAnsi="Arial" w:cs="Arial"/>
        </w:rPr>
      </w:pPr>
      <w:r>
        <w:rPr>
          <w:rFonts w:ascii="Arial" w:hAnsi="Arial" w:cs="Arial"/>
        </w:rPr>
        <w:t>Apple's supply chain strategy has become increasingly focused on sustainability. The company's 2024 Supply Chain Progress Report details its ambition to becoming carbon neutral across its entire value chain by 2030 (Apple, 2024). As of 2025, more than 320 suppliers have switched to renewable energy, resulting in considerable reductions in emissions, water use, and waste generation. This demonstrates Apple's understanding that environmental sustainability is more than just a compliance concern; it is a critical pillar of competitive advantage and long-term value development.</w:t>
      </w:r>
    </w:p>
    <w:p w14:paraId="3D781446" w14:textId="77777777" w:rsidR="009B01BA" w:rsidRDefault="009E3CBF">
      <w:pPr>
        <w:spacing w:line="360" w:lineRule="auto"/>
        <w:jc w:val="both"/>
        <w:rPr>
          <w:rFonts w:ascii="Arial" w:hAnsi="Arial" w:cs="Arial"/>
        </w:rPr>
      </w:pPr>
      <w:r>
        <w:rPr>
          <w:rFonts w:ascii="Arial" w:hAnsi="Arial" w:cs="Arial"/>
        </w:rPr>
        <w:lastRenderedPageBreak/>
        <w:t>Apple's circular supply chain activities, such as the usage of recovered aluminium, the Daisy and Dave recycling robots, and its Material Recovery Lab in Texas, serve as actual examples of sustainable supply chain theory (Carter and Rogers, 2008). By recovering valuable resources such as gold, cobalt, and rare earth elements from used devices, Apple minimises reliance on raw material extraction and reduces exposure to volatile commodity prices. This closed-loop strategy not only reduces environmental effect but also adheres to global frameworks such as the United Nations Sustainable Development Goals and the European Union Circular Economy Action Plan (García-Navarro and Poltronieri, 2024).</w:t>
      </w:r>
    </w:p>
    <w:p w14:paraId="42AE9A98" w14:textId="77777777" w:rsidR="009B01BA" w:rsidRDefault="009E3CBF">
      <w:pPr>
        <w:spacing w:line="360" w:lineRule="auto"/>
        <w:jc w:val="both"/>
        <w:rPr>
          <w:rFonts w:ascii="Arial" w:hAnsi="Arial" w:cs="Arial"/>
        </w:rPr>
      </w:pPr>
      <w:r>
        <w:rPr>
          <w:rFonts w:ascii="Arial" w:hAnsi="Arial" w:cs="Arial"/>
        </w:rPr>
        <w:t>Furthermore, Apple's focus on supplier decarbonisation and energy transparency matches rising investor and regulatory expectations of Scope 3 emissions accountability (Shee Weng, 2024). Apple's integration of renewable energy projects, such as solar and wind power installations in China, Japan, and the United States, has established the company as a leader in corporate environmental stewardship. Despite these accomplishments, researchers warn that the carbon neutrality target is still ambitious, as complicated supplier networks and product life cycles make emissions tracking and verification difficult (Sarkis and Zhu, 2018). Continuous innovation, openness, and cross-sector collaboration will be required for Apple to reach its 2030 carbon-neutral target and preserve its position as an industry leader in sustainable operations.</w:t>
      </w:r>
    </w:p>
    <w:p w14:paraId="3F6D98E7" w14:textId="77777777" w:rsidR="009B01BA" w:rsidRDefault="009E3CBF">
      <w:pPr>
        <w:pStyle w:val="Heading3"/>
        <w:rPr>
          <w:rFonts w:ascii="Arial" w:hAnsi="Arial" w:cs="Arial"/>
        </w:rPr>
      </w:pPr>
      <w:bookmarkStart w:id="50" w:name="_Toc212768007"/>
      <w:r>
        <w:rPr>
          <w:rFonts w:ascii="Arial" w:hAnsi="Arial" w:cs="Arial"/>
        </w:rPr>
        <w:t>4.4.2 Ethical Labour Practices and Human Rights</w:t>
      </w:r>
      <w:bookmarkEnd w:id="50"/>
    </w:p>
    <w:p w14:paraId="6A8FAE08" w14:textId="77777777" w:rsidR="009B01BA" w:rsidRDefault="009B01BA"/>
    <w:p w14:paraId="25145A20" w14:textId="77777777" w:rsidR="009B01BA" w:rsidRDefault="009E3CBF">
      <w:pPr>
        <w:spacing w:line="360" w:lineRule="auto"/>
        <w:jc w:val="both"/>
        <w:rPr>
          <w:rFonts w:ascii="Arial" w:hAnsi="Arial" w:cs="Arial"/>
        </w:rPr>
      </w:pPr>
      <w:r>
        <w:rPr>
          <w:rFonts w:ascii="Arial" w:hAnsi="Arial" w:cs="Arial"/>
        </w:rPr>
        <w:t>The management of ethical employment standards and human rights has emerged as a strategic priority for global supply chains, notably for multinational corporations (MNCs) such as Apple. Ethical compliance goes beyond simply adhering to local labour laws; it includes principles of fairness, safety, and human dignity as outlined by international frameworks such as the United Nations Guiding Principles on Business and Human Rights (UNGPs) and the core conventions of the International Labour Organisation (ILO) (Ruggie, 2013; ILO, 2017). These frameworks are crucial for Apple because of the enormous global network of suppliers, subcontractors, and contract manufacturers that support its manufacturing processes.</w:t>
      </w:r>
    </w:p>
    <w:p w14:paraId="18D242B6" w14:textId="77777777" w:rsidR="009B01BA" w:rsidRDefault="009E3CBF">
      <w:pPr>
        <w:spacing w:line="360" w:lineRule="auto"/>
        <w:jc w:val="both"/>
        <w:rPr>
          <w:rFonts w:ascii="Arial" w:hAnsi="Arial" w:cs="Arial"/>
        </w:rPr>
      </w:pPr>
      <w:r>
        <w:rPr>
          <w:rFonts w:ascii="Arial" w:hAnsi="Arial" w:cs="Arial"/>
        </w:rPr>
        <w:t xml:space="preserve">Academic literature continually emphasises the difficulties associated with monitoring and implementing ethical practices in complicated global supply networks. Because of multi-tiered supplier networks, accountability frequently reduces beyond the first-tier suppliers, allowing exploitative practices to continue (LeBaron, 2018). According to empirical studies, enterprises that rely significantly on subcontracting in countries with inadequate labour enforcement are more likely to engage in forced labour, underage employment, excessive working hours, and occupational safety </w:t>
      </w:r>
      <w:r>
        <w:rPr>
          <w:rFonts w:ascii="Arial" w:hAnsi="Arial" w:cs="Arial"/>
        </w:rPr>
        <w:lastRenderedPageBreak/>
        <w:t>violations. These difficulties are especially acute in electronics supply chains, where quick development cycles and pricing constraints can encourage labour standard shortcuts (Gereffi, 2018).</w:t>
      </w:r>
    </w:p>
    <w:p w14:paraId="555605B9" w14:textId="77777777" w:rsidR="009B01BA" w:rsidRDefault="009E3CBF">
      <w:pPr>
        <w:spacing w:line="360" w:lineRule="auto"/>
        <w:jc w:val="both"/>
        <w:rPr>
          <w:rFonts w:ascii="Arial" w:hAnsi="Arial" w:cs="Arial"/>
        </w:rPr>
      </w:pPr>
      <w:r>
        <w:rPr>
          <w:rFonts w:ascii="Arial" w:hAnsi="Arial" w:cs="Arial"/>
        </w:rPr>
        <w:t>MNCs handle these risks through a combination of auditing, supplier development, and capacity building programs. Auditing is a tool for finding noncompliance and conducting corrective action, however experts argue that audits alone are insufficient for systemic change (Locke, 2013). Auditing must be supplemented by supplier training programs, long-term collaborations, and ethical practice incentives to have a real impact (Krause, Handfield, &amp; Scannell, 1998). Apple, for example, invests in supplier training in occupational health, safety, and labour rights, demonstrating a proactive commitment to integrating ethical standards into operational culture. From an academic standpoint, this is consistent with stakeholder theory, which holds that corporate duties extend to all entities affected by organisational actions, including employees, local communities, and governments.</w:t>
      </w:r>
    </w:p>
    <w:p w14:paraId="60268098" w14:textId="77777777" w:rsidR="009B01BA" w:rsidRDefault="009E3CBF">
      <w:pPr>
        <w:spacing w:line="360" w:lineRule="auto"/>
        <w:jc w:val="both"/>
        <w:rPr>
          <w:rFonts w:ascii="Arial" w:hAnsi="Arial" w:cs="Arial"/>
        </w:rPr>
      </w:pPr>
      <w:r>
        <w:rPr>
          <w:rFonts w:ascii="Arial" w:hAnsi="Arial" w:cs="Arial"/>
        </w:rPr>
        <w:t>Institutional guidance emphasises the need of due diligence and risk-based methods. The OECD Due Diligence Guidance for Responsible Business perform (2021) proposes that multinational corporations perform risk assessments, implement monitoring processes, and engage in repair when human rights breaches occur. According to empirical research, incorporating such due diligence frameworks into supply chain management enhances compliance and resilience, resulting in long-term operational stability (Sodhi and Tang, 2021). Apple's approach demonstrates these ideals through a multi-tiered compliance strategy that includes risk mapping, ethical training, and collaborative interaction with suppliers to ensure compliance with international human rights standards.</w:t>
      </w:r>
    </w:p>
    <w:p w14:paraId="402020C2" w14:textId="77777777" w:rsidR="009B01BA" w:rsidRDefault="009E3CBF">
      <w:pPr>
        <w:spacing w:line="360" w:lineRule="auto"/>
        <w:jc w:val="both"/>
        <w:rPr>
          <w:rFonts w:ascii="Arial" w:hAnsi="Arial" w:cs="Arial"/>
        </w:rPr>
      </w:pPr>
      <w:r>
        <w:rPr>
          <w:rFonts w:ascii="Arial" w:hAnsi="Arial" w:cs="Arial"/>
        </w:rPr>
        <w:t>The literature emphasises the importance of technology in improving supply chain transparency and ethical compliance. Digital traceability tools, such as blockchain and enterprise resource planning platforms, allow for real-time monitoring of labour practices and manufacturing circumstances, minimising information asymmetry across worldwide networks. Firms that use such technologies can better recognise possible infractions, analyse the success of solutions, and alter strategies proactively, rather than reacting to reported difficulties. For Apple, these technologies provide a vital tool for managing complicated supplier networks across various jurisdictions, reducing the risks associated with operational and reputational loss.</w:t>
      </w:r>
    </w:p>
    <w:p w14:paraId="2B958EA4" w14:textId="77777777" w:rsidR="009B01BA" w:rsidRDefault="009E3CBF">
      <w:pPr>
        <w:spacing w:line="360" w:lineRule="auto"/>
        <w:jc w:val="both"/>
        <w:rPr>
          <w:rFonts w:ascii="Arial" w:hAnsi="Arial" w:cs="Arial"/>
        </w:rPr>
      </w:pPr>
      <w:r>
        <w:rPr>
          <w:rFonts w:ascii="Arial" w:hAnsi="Arial" w:cs="Arial"/>
        </w:rPr>
        <w:t xml:space="preserve">Finally, ethical employment practices overlap with sustainability and corporate social responsibility, as businesses increasingly understand that human rights compliance is critical to long-term value development. According to research, organisations that invest in ethical and human rights </w:t>
      </w:r>
      <w:r>
        <w:rPr>
          <w:rFonts w:ascii="Arial" w:hAnsi="Arial" w:cs="Arial"/>
        </w:rPr>
        <w:lastRenderedPageBreak/>
        <w:t>activities benefit from increased reputational capital, employee morale, and stakeholder confidence, all of which improve market performance and supply chain resilience. For Apple, implementing ethical labour standards throughout the supply chain not only helps with legislative and moral compliance, but it also reinforces larger strategic goals such as sustainability, innovation, and competitive differentiation. To summarise, Apple's ethical governance demonstrates a proactive, multifaceted, and institutionally aligned approach to human rights and labour management in a complicated global supply chain.</w:t>
      </w:r>
    </w:p>
    <w:p w14:paraId="238DED17" w14:textId="77777777" w:rsidR="009B01BA" w:rsidRDefault="009E3CBF">
      <w:pPr>
        <w:pStyle w:val="Heading3"/>
      </w:pPr>
      <w:bookmarkStart w:id="51" w:name="_Toc212768008"/>
      <w:r>
        <w:t>4.4.3 Circular Economy and Innovation</w:t>
      </w:r>
      <w:bookmarkEnd w:id="51"/>
    </w:p>
    <w:p w14:paraId="16CD5816" w14:textId="77777777" w:rsidR="009B01BA" w:rsidRDefault="009B01BA"/>
    <w:p w14:paraId="5EB8F777" w14:textId="77777777" w:rsidR="009B01BA" w:rsidRDefault="009E3CBF">
      <w:pPr>
        <w:spacing w:line="360" w:lineRule="auto"/>
        <w:jc w:val="both"/>
        <w:rPr>
          <w:rFonts w:ascii="Arial" w:hAnsi="Arial" w:cs="Arial"/>
        </w:rPr>
      </w:pPr>
      <w:r>
        <w:rPr>
          <w:rFonts w:ascii="Arial" w:hAnsi="Arial" w:cs="Arial"/>
        </w:rPr>
        <w:t>Apple's efforts in circular economy initiatives highlight its commitment to sustainability-driven innovation. Partnerships with McKinsey &amp; Company to promote recycled materials and closed-loop manufacturing demonstrate a systemic movement away from linear "take-make-dispose" approaches and towards regenerative practices (Milhem et al., 2024). Programs like gadget disassembly, component refurbishment, and material recovery demonstrate practical uses of circular economy ideas, lowering reliance on virgin resources while minimising environmental effect.</w:t>
      </w:r>
    </w:p>
    <w:p w14:paraId="78FA8843" w14:textId="77777777" w:rsidR="009B01BA" w:rsidRDefault="009E3CBF">
      <w:pPr>
        <w:spacing w:line="360" w:lineRule="auto"/>
        <w:jc w:val="both"/>
        <w:rPr>
          <w:rFonts w:ascii="Arial" w:hAnsi="Arial" w:cs="Arial"/>
        </w:rPr>
      </w:pPr>
      <w:r>
        <w:rPr>
          <w:rFonts w:ascii="Arial" w:hAnsi="Arial" w:cs="Arial"/>
        </w:rPr>
        <w:t>From a theoretical standpoint, this progression symbolises the convergence of resilience and sustainability, resulting in adaptive, resource-efficient systems that reduce both environmental and operational risks. According to scholars, circularity not only reduces environmental footprints but also improves supply chain resilience by shielding enterprises from resource volatility and regulatory constraints (Bocken et al., 2016). However, achieving full circularity necessitates closer collaboration with suppliers, industry-wide standards, and the incorporation of advanced technologies like material tracking and predictive maintenance (Geissdoerfer et al., 2017). Apple's strategy demonstrates how multinational corporations may incorporate circular economy thinking into strategic decision-making, connecting environmental performance to operational efficiency and long-term competitiveness.</w:t>
      </w:r>
    </w:p>
    <w:p w14:paraId="3E4A7218" w14:textId="77777777" w:rsidR="009B01BA" w:rsidRDefault="009E3CBF">
      <w:pPr>
        <w:pStyle w:val="Heading3"/>
        <w:rPr>
          <w:rFonts w:ascii="Arial" w:hAnsi="Arial" w:cs="Arial"/>
        </w:rPr>
      </w:pPr>
      <w:bookmarkStart w:id="52" w:name="_Toc212768009"/>
      <w:r>
        <w:rPr>
          <w:rFonts w:ascii="Arial" w:hAnsi="Arial" w:cs="Arial"/>
        </w:rPr>
        <w:t>4.5 Technological Innovation, Visibility, and Digital Resilience</w:t>
      </w:r>
      <w:bookmarkEnd w:id="52"/>
    </w:p>
    <w:p w14:paraId="4907D105" w14:textId="77777777" w:rsidR="009B01BA" w:rsidRDefault="009E3CBF">
      <w:pPr>
        <w:pStyle w:val="Heading3"/>
        <w:rPr>
          <w:rFonts w:ascii="Arial" w:hAnsi="Arial" w:cs="Arial"/>
        </w:rPr>
      </w:pPr>
      <w:bookmarkStart w:id="53" w:name="_Toc212768010"/>
      <w:r>
        <w:rPr>
          <w:rFonts w:ascii="Arial" w:hAnsi="Arial" w:cs="Arial"/>
        </w:rPr>
        <w:t>4.5.1 Digital Visibility and Predictive Analytics</w:t>
      </w:r>
      <w:bookmarkEnd w:id="53"/>
    </w:p>
    <w:p w14:paraId="4BEA7F89" w14:textId="77777777" w:rsidR="009B01BA" w:rsidRDefault="009B01BA">
      <w:pPr>
        <w:rPr>
          <w:rFonts w:ascii="Arial" w:hAnsi="Arial" w:cs="Arial"/>
        </w:rPr>
      </w:pPr>
    </w:p>
    <w:p w14:paraId="7E2B98FC" w14:textId="77777777" w:rsidR="009B01BA" w:rsidRDefault="009E3CBF">
      <w:pPr>
        <w:spacing w:line="360" w:lineRule="auto"/>
        <w:jc w:val="both"/>
        <w:rPr>
          <w:rFonts w:ascii="Arial" w:hAnsi="Arial" w:cs="Arial"/>
        </w:rPr>
      </w:pPr>
      <w:r>
        <w:rPr>
          <w:rFonts w:ascii="Arial" w:hAnsi="Arial" w:cs="Arial"/>
        </w:rPr>
        <w:t xml:space="preserve">Technological integration is an important driver of supply chain resilience. According to academic literature, companies such as Apple are increasingly using advanced analytics, artificial intelligence (AI), and machine learning (ML) to estimate demand, identify bottlenecks, and improve end-to-end visibility across global networks (Ivanov, 2021; Linton, 2023). These technologies promote proactive decision-making by allowing for the early detection of possible disruptions and </w:t>
      </w:r>
      <w:r>
        <w:rPr>
          <w:rFonts w:ascii="Arial" w:hAnsi="Arial" w:cs="Arial"/>
        </w:rPr>
        <w:lastRenderedPageBreak/>
        <w:t>permitting quick responses, which is consistent with the ideas of agile and resilient supply chain models (Christopher, 2016).</w:t>
      </w:r>
    </w:p>
    <w:p w14:paraId="6999032A" w14:textId="77777777" w:rsidR="009B01BA" w:rsidRDefault="009E3CBF">
      <w:pPr>
        <w:spacing w:line="360" w:lineRule="auto"/>
        <w:jc w:val="both"/>
        <w:rPr>
          <w:rFonts w:ascii="Arial" w:hAnsi="Arial" w:cs="Arial"/>
        </w:rPr>
      </w:pPr>
      <w:r>
        <w:rPr>
          <w:rFonts w:ascii="Arial" w:hAnsi="Arial" w:cs="Arial"/>
        </w:rPr>
        <w:t>Furthermore, predictive analytics and digital monitoring systems enable businesses to model numerous disruption scenarios, ranging from natural disasters to geopolitical tensions, and develop contingency plans ahead of time (Choi, Wallace, and Wang, 2019). Real-time insight also helps with sustainable supervision by tracking resource use, emissions, and compliance across several supplier tiers (Sarkis, 2020). Studies suggest that incorporating digital technologies into supply chains can dramatically reduce lead times, improve resource allocation, and improve operational adaptability in dynamic contexts (Tukamuhabwa et al., 2015).</w:t>
      </w:r>
    </w:p>
    <w:p w14:paraId="2E1B59C5" w14:textId="77777777" w:rsidR="009B01BA" w:rsidRDefault="009E3CBF">
      <w:pPr>
        <w:spacing w:line="360" w:lineRule="auto"/>
        <w:jc w:val="both"/>
        <w:rPr>
          <w:rFonts w:ascii="Arial" w:hAnsi="Arial" w:cs="Arial"/>
        </w:rPr>
      </w:pPr>
      <w:r>
        <w:rPr>
          <w:rFonts w:ascii="Arial" w:hAnsi="Arial" w:cs="Arial"/>
        </w:rPr>
        <w:t>For Apple, these technologies serve as a means of reducing reliance on manual monitoring, strengthening supply chain resilience, and ensuring operational continuity in the face of global instability. By incorporating digital innovation into its operational structure, Apple demonstrates how predictive analytics and end-to-end visibility contribute not just to efficiency, but also to long-term performance and risk avoidance.</w:t>
      </w:r>
    </w:p>
    <w:p w14:paraId="6A4FA98A" w14:textId="77777777" w:rsidR="009B01BA" w:rsidRDefault="009E3CBF">
      <w:pPr>
        <w:pStyle w:val="Heading3"/>
        <w:rPr>
          <w:rFonts w:ascii="Arial" w:hAnsi="Arial" w:cs="Arial"/>
        </w:rPr>
      </w:pPr>
      <w:bookmarkStart w:id="54" w:name="_Toc212768011"/>
      <w:r>
        <w:rPr>
          <w:rFonts w:ascii="Arial" w:hAnsi="Arial" w:cs="Arial"/>
        </w:rPr>
        <w:t>4.5.2 Vertical Integration and Strategic Control</w:t>
      </w:r>
      <w:bookmarkEnd w:id="54"/>
    </w:p>
    <w:p w14:paraId="0D27FE35" w14:textId="77777777" w:rsidR="009B01BA" w:rsidRDefault="009B01BA"/>
    <w:p w14:paraId="52500062" w14:textId="77777777" w:rsidR="009B01BA" w:rsidRDefault="009E3CBF">
      <w:pPr>
        <w:spacing w:line="360" w:lineRule="auto"/>
        <w:jc w:val="both"/>
      </w:pPr>
      <w:r>
        <w:t>Apple's development of the Apple Silicon chip marks a strategy shift towards vertical integration, indicating a purposeful effort to control essential competencies inside its supply chain (Linton, 2023). By designing and controlling a vital component internally, Apple lowers reliance on third-party suppliers, reduces the risks associated with supply disruptions, and improves control over product quality, production timetables, and proprietary technologies. Vertical integration also enables Apple to increase margins by internalising processes that would otherwise be outsourced, demonstrating how operational strategy can directly contribute to both efficiency and resilience in complex global supply chains (Gereffi, 2018; Williamson, 1979).</w:t>
      </w:r>
    </w:p>
    <w:p w14:paraId="622B943A" w14:textId="77777777" w:rsidR="009B01BA" w:rsidRDefault="009E3CBF">
      <w:pPr>
        <w:spacing w:line="360" w:lineRule="auto"/>
        <w:jc w:val="both"/>
      </w:pPr>
      <w:r>
        <w:t>This program is theoretically consistent with the Resource-Based View (RBV), which highlights the importance of distinctive internal capabilities as a source of long-term competitive advantage (Barney, 1991). By internalising semiconductor design, fabrication, and optimisation, Apple converts knowledge, skill, and technological know-how into rare and inimitable resources that competitors cannot readily duplicate. Furthermore, vertical integration improves coordination across the production process, allowing for shorter innovation cycles and seamless application of technological advancements (Fine, 1998).</w:t>
      </w:r>
    </w:p>
    <w:p w14:paraId="3CE2731A" w14:textId="77777777" w:rsidR="009B01BA" w:rsidRDefault="009E3CBF">
      <w:pPr>
        <w:spacing w:line="360" w:lineRule="auto"/>
        <w:jc w:val="both"/>
      </w:pPr>
      <w:r>
        <w:lastRenderedPageBreak/>
        <w:t>Vertical integration also contributes to risk management objectives. Reliance on external suppliers in high-tech sectors can expose enterprises to shortages, geopolitical disruptions, and quality variations, affecting product launches and brand reputation (Choi, Dooley, &amp; Rungtusanatham, 2001). Apple's approach addresses these risks while also providing chances for differentiation. By tightly integrating critical production steps, Apple guarantees that product design, manufacturing methods, and performance standards are all in sync, supporting the company's strategic position as a hardware and software ecosystem innovator.</w:t>
      </w:r>
    </w:p>
    <w:p w14:paraId="566673DA" w14:textId="77777777" w:rsidR="009B01BA" w:rsidRDefault="009E3CBF">
      <w:pPr>
        <w:pStyle w:val="Heading3"/>
        <w:rPr>
          <w:rFonts w:ascii="Arial" w:hAnsi="Arial" w:cs="Arial"/>
        </w:rPr>
      </w:pPr>
      <w:bookmarkStart w:id="55" w:name="_Toc212768012"/>
      <w:r>
        <w:rPr>
          <w:rFonts w:ascii="Arial" w:hAnsi="Arial" w:cs="Arial"/>
        </w:rPr>
        <w:t>4.5.3 Collaboration Platforms and Supplier Engagement</w:t>
      </w:r>
      <w:bookmarkEnd w:id="55"/>
    </w:p>
    <w:p w14:paraId="33775002" w14:textId="77777777" w:rsidR="009B01BA" w:rsidRDefault="009B01BA"/>
    <w:p w14:paraId="03452017" w14:textId="77777777" w:rsidR="009B01BA" w:rsidRDefault="009E3CBF">
      <w:pPr>
        <w:spacing w:line="360" w:lineRule="auto"/>
        <w:jc w:val="both"/>
        <w:rPr>
          <w:rFonts w:ascii="Arial" w:hAnsi="Arial" w:cs="Arial"/>
        </w:rPr>
      </w:pPr>
      <w:r>
        <w:rPr>
          <w:rFonts w:ascii="Arial" w:hAnsi="Arial" w:cs="Arial"/>
        </w:rPr>
        <w:t>Apple's approach to supplier interaction exemplifies the strategic value of collaborative platforms in improving supply chain resilience. Suppliers can use digital collaboration platforms to communicate real-time data on production, quality measurements, and resource utilisation, allowing for more transparency and accountability across the supply chain (Choi, Wallace, &amp; Wang, 2019). Firms can improve compliance monitoring by integrating technological platforms with process management and human capital development, as well as promote coordinated responses to operational interruption.</w:t>
      </w:r>
    </w:p>
    <w:p w14:paraId="0DECD126" w14:textId="77777777" w:rsidR="009B01BA" w:rsidRDefault="009E3CBF">
      <w:pPr>
        <w:spacing w:line="360" w:lineRule="auto"/>
        <w:jc w:val="both"/>
        <w:rPr>
          <w:rFonts w:ascii="Arial" w:hAnsi="Arial" w:cs="Arial"/>
        </w:rPr>
      </w:pPr>
      <w:r>
        <w:rPr>
          <w:rFonts w:ascii="Arial" w:hAnsi="Arial" w:cs="Arial"/>
        </w:rPr>
        <w:t>Academic research indicates that digital supplier involvement improves both efficiency and risk reduction in complicated networks. Information sharing and collaborative problem-solving increase decision-making speed and accuracy, lower the risk of errors, and allow for proactive management of any bottlenecks or delays (Cao and Zhang, 2011). Furthermore, the combination of training programs and digital platforms results in a scalable approach for knowledge transfer, guaranteeing that supplier staff adhere to uniform ethical, environmental, and operational standards (Krause, Handfield, and Scannell, 1998). This is consistent with the Resource-Based View (RBV), which holds that developing relationship capabilities with suppliers is a distinct and difficult-to-replicate source of competitive advantage (Barney, 1991).</w:t>
      </w:r>
    </w:p>
    <w:p w14:paraId="51205A86" w14:textId="77777777" w:rsidR="009B01BA" w:rsidRDefault="009E3CBF">
      <w:pPr>
        <w:spacing w:line="360" w:lineRule="auto"/>
        <w:jc w:val="both"/>
        <w:rPr>
          <w:rFonts w:ascii="Arial" w:hAnsi="Arial" w:cs="Arial"/>
        </w:rPr>
      </w:pPr>
      <w:r>
        <w:rPr>
          <w:rFonts w:ascii="Arial" w:hAnsi="Arial" w:cs="Arial"/>
        </w:rPr>
        <w:t xml:space="preserve">Furthermore, collaboration platforms enable multi-tier interaction, allowing businesses to manage not only first-tier suppliers but also lower-tier subcontractors, who are typically more prone to compliance issues (LeBaron, 2018). These systems build trust and long-term collaborations by allowing for ongoing feedback loops and shared performance monitoring, all of which are crucial for maintaining innovation, ethical standards, and operational continuity. As a result, Apple's methodology showcases a comprehensive integration of technology, people, and processes to </w:t>
      </w:r>
      <w:r>
        <w:rPr>
          <w:rFonts w:ascii="Arial" w:hAnsi="Arial" w:cs="Arial"/>
        </w:rPr>
        <w:lastRenderedPageBreak/>
        <w:t>improve supply chain resilience while instilling ethical and sustainable principles throughout its worldwide supplier network.</w:t>
      </w:r>
    </w:p>
    <w:p w14:paraId="613DAE9B" w14:textId="77777777" w:rsidR="009B01BA" w:rsidRDefault="009E3CBF">
      <w:pPr>
        <w:pStyle w:val="Heading3"/>
        <w:rPr>
          <w:rFonts w:ascii="Arial" w:hAnsi="Arial" w:cs="Arial"/>
        </w:rPr>
      </w:pPr>
      <w:bookmarkStart w:id="56" w:name="_Toc212768013"/>
      <w:r>
        <w:rPr>
          <w:rFonts w:ascii="Arial" w:hAnsi="Arial" w:cs="Arial"/>
        </w:rPr>
        <w:t>4.6 Lessons, Trade-Offs, and Strategic Implications</w:t>
      </w:r>
      <w:bookmarkEnd w:id="56"/>
    </w:p>
    <w:p w14:paraId="166047AE" w14:textId="77777777" w:rsidR="009B01BA" w:rsidRDefault="009E3CBF">
      <w:pPr>
        <w:pStyle w:val="Heading3"/>
        <w:spacing w:line="360" w:lineRule="auto"/>
        <w:jc w:val="both"/>
        <w:rPr>
          <w:rFonts w:ascii="Arial" w:hAnsi="Arial" w:cs="Arial"/>
        </w:rPr>
      </w:pPr>
      <w:bookmarkStart w:id="57" w:name="_Toc212768014"/>
      <w:r>
        <w:rPr>
          <w:rFonts w:ascii="Arial" w:hAnsi="Arial" w:cs="Arial"/>
        </w:rPr>
        <w:t>4.6.1 Designing Resilience into the Supply Chain</w:t>
      </w:r>
      <w:bookmarkEnd w:id="57"/>
    </w:p>
    <w:p w14:paraId="06AA89C0" w14:textId="77777777" w:rsidR="009B01BA" w:rsidRDefault="009B01BA"/>
    <w:p w14:paraId="57732C51" w14:textId="77777777" w:rsidR="009B01BA" w:rsidRDefault="009E3CBF">
      <w:pPr>
        <w:spacing w:line="360" w:lineRule="auto"/>
        <w:jc w:val="both"/>
        <w:rPr>
          <w:rFonts w:ascii="Arial" w:hAnsi="Arial" w:cs="Arial"/>
        </w:rPr>
      </w:pPr>
      <w:r>
        <w:rPr>
          <w:rFonts w:ascii="Arial" w:hAnsi="Arial" w:cs="Arial"/>
        </w:rPr>
        <w:t>An important takeaway from the research is that resilience must be built into supply chain architecture rather than applied reactively. Apple's experience demonstrates that resilience is complex, including structural, technological, and relational components (Christopher and Peck, 2004). Structurally, the company has diversified its supplier base and expanded manufacturing into numerous areas, minimising reliance on a single location and increasing operating flexibility (Ivanov, 2021). Apple can anticipate disturbances and respond proactively thanks to technological integration such as predictive analytics, digital monitoring, and AI-driven scenario modelling (Choi, Wallace, &amp; Wang, 2019). Relationally, collaborative partnerships with major suppliers promote trust, knowledge sharing, and coordinated risk management, all of which are essential for maintaining performance under stress (Krause, Handfield, and Scannell, 1998).</w:t>
      </w:r>
    </w:p>
    <w:p w14:paraId="787807A6" w14:textId="77777777" w:rsidR="009B01BA" w:rsidRDefault="009E3CBF">
      <w:pPr>
        <w:spacing w:line="360" w:lineRule="auto"/>
        <w:jc w:val="both"/>
        <w:rPr>
          <w:rFonts w:ascii="Arial" w:hAnsi="Arial" w:cs="Arial"/>
        </w:rPr>
      </w:pPr>
      <w:r>
        <w:rPr>
          <w:rFonts w:ascii="Arial" w:hAnsi="Arial" w:cs="Arial"/>
        </w:rPr>
        <w:t>Apple's transition from a largely lean model to a hybrid system that includes resilience and sustainability highlights how redundancy and efficiency may coexist. Maintaining strategic inventory buffers, dual sourcing of important components, and flexible production capacity, for example, provides operational slack without significantly reducing cost efficiency (Pettit, Fiksel, &amp; Croxton, 2019). Furthermore, including environmental sustainability, ethical labour practices, and circular economy concepts into supply chain design improves long-term resilience by lowering exposure to regulatory, social, and environmental risks (Sarkis, 2020).</w:t>
      </w:r>
    </w:p>
    <w:p w14:paraId="2FCA5E8C" w14:textId="77777777" w:rsidR="009B01BA" w:rsidRDefault="009E3CBF">
      <w:pPr>
        <w:spacing w:line="360" w:lineRule="auto"/>
        <w:jc w:val="both"/>
        <w:rPr>
          <w:rFonts w:ascii="Arial" w:hAnsi="Arial" w:cs="Arial"/>
        </w:rPr>
      </w:pPr>
      <w:r>
        <w:rPr>
          <w:rFonts w:ascii="Arial" w:hAnsi="Arial" w:cs="Arial"/>
        </w:rPr>
        <w:t>According to the literature, creating resilience proactively provides a competitive advantage since firms may sustain continuity amid unforeseen interruptions while reacting to changing market needs (Tukamuhabwa et al., 2015). Apple's integrated approach demonstrates how strategic planning, technology adoption, and supplier collaboration work together to increase supply chain robustness, assuring both operational continuity and long-term value development.</w:t>
      </w:r>
    </w:p>
    <w:p w14:paraId="0199E26D" w14:textId="77777777" w:rsidR="009B01BA" w:rsidRDefault="009B01BA">
      <w:pPr>
        <w:pStyle w:val="Heading3"/>
        <w:rPr>
          <w:rFonts w:ascii="Arial" w:hAnsi="Arial" w:cs="Arial"/>
        </w:rPr>
      </w:pPr>
    </w:p>
    <w:p w14:paraId="0790209B" w14:textId="77777777" w:rsidR="009B01BA" w:rsidRDefault="009E3CBF">
      <w:pPr>
        <w:pStyle w:val="Heading3"/>
        <w:rPr>
          <w:rFonts w:ascii="Arial" w:hAnsi="Arial" w:cs="Arial"/>
        </w:rPr>
      </w:pPr>
      <w:bookmarkStart w:id="58" w:name="_Toc212768015"/>
      <w:r>
        <w:rPr>
          <w:rFonts w:ascii="Arial" w:hAnsi="Arial" w:cs="Arial"/>
        </w:rPr>
        <w:t>4.6.2 Stakeholder Expectations and Reputation Management</w:t>
      </w:r>
      <w:bookmarkEnd w:id="58"/>
    </w:p>
    <w:p w14:paraId="3F3F85D8" w14:textId="77777777" w:rsidR="009B01BA" w:rsidRDefault="009B01BA"/>
    <w:p w14:paraId="02FE82E8" w14:textId="77777777" w:rsidR="009B01BA" w:rsidRDefault="009E3CBF">
      <w:pPr>
        <w:spacing w:line="360" w:lineRule="auto"/>
        <w:jc w:val="both"/>
        <w:rPr>
          <w:rFonts w:ascii="Arial" w:hAnsi="Arial" w:cs="Arial"/>
        </w:rPr>
      </w:pPr>
      <w:r>
        <w:rPr>
          <w:rFonts w:ascii="Arial" w:hAnsi="Arial" w:cs="Arial"/>
        </w:rPr>
        <w:t xml:space="preserve">Sustainability and ethical governance are now embedded in stakeholder expectations. Apple's excellent reputation for innovation and environmental leadership boosts its brand value, but it also </w:t>
      </w:r>
      <w:r>
        <w:rPr>
          <w:rFonts w:ascii="Arial" w:hAnsi="Arial" w:cs="Arial"/>
        </w:rPr>
        <w:lastRenderedPageBreak/>
        <w:t>increases public scrutiny (Freeman 2010). Stakeholders, including consumers, investors, regulators, and non-governmental organisations, expect transparency and responsible practices throughout the supply chain, and failure to meet these expectations can result in reputational damage, financial losses, or regulatory sanctions (Donaldson and Preston, 1995).</w:t>
      </w:r>
    </w:p>
    <w:p w14:paraId="78F0A863" w14:textId="77777777" w:rsidR="009B01BA" w:rsidRDefault="009E3CBF">
      <w:pPr>
        <w:spacing w:line="360" w:lineRule="auto"/>
        <w:jc w:val="both"/>
        <w:rPr>
          <w:rFonts w:ascii="Arial" w:hAnsi="Arial" w:cs="Arial"/>
        </w:rPr>
      </w:pPr>
      <w:r>
        <w:rPr>
          <w:rFonts w:ascii="Arial" w:hAnsi="Arial" w:cs="Arial"/>
        </w:rPr>
        <w:t>Academic research demonstrates that reputation is inextricably related to ethical behaviour and social responsibility. Firms that demonstrate true dedication to labour standards, environmental sustainability, and human rights earn stakeholder trust and long-term loyalty (Fombrun, 1996). Effective communication, reporting, and engagement systems enable businesses to communicate their strategies, accomplishments, and corrective measures, thereby increasing legitimacy and credibility in the eyes of stakeholders (Suchman, 1995). For Apple, aligning operational procedures with stakeholder expectations is critical not only for risk reduction, but also for maintaining a competitive advantage in a market where ethical and sustainable practices are becoming increasingly important.</w:t>
      </w:r>
    </w:p>
    <w:p w14:paraId="4378E151" w14:textId="77777777" w:rsidR="009B01BA" w:rsidRDefault="009E3CBF">
      <w:pPr>
        <w:pStyle w:val="Heading3"/>
        <w:rPr>
          <w:rFonts w:ascii="Arial" w:hAnsi="Arial" w:cs="Arial"/>
        </w:rPr>
      </w:pPr>
      <w:bookmarkStart w:id="59" w:name="_Toc212768016"/>
      <w:r>
        <w:rPr>
          <w:rFonts w:ascii="Arial" w:hAnsi="Arial" w:cs="Arial"/>
        </w:rPr>
        <w:t>4.6.3 The Limits and Complexities of Diversification</w:t>
      </w:r>
      <w:bookmarkEnd w:id="59"/>
    </w:p>
    <w:p w14:paraId="0F68BADE" w14:textId="77777777" w:rsidR="009B01BA" w:rsidRDefault="009B01BA"/>
    <w:p w14:paraId="3FD59357" w14:textId="77777777" w:rsidR="009B01BA" w:rsidRDefault="009E3CBF">
      <w:pPr>
        <w:spacing w:line="360" w:lineRule="auto"/>
        <w:jc w:val="both"/>
        <w:rPr>
          <w:rFonts w:ascii="Arial" w:hAnsi="Arial" w:cs="Arial"/>
        </w:rPr>
      </w:pPr>
      <w:r>
        <w:rPr>
          <w:rFonts w:ascii="Arial" w:hAnsi="Arial" w:cs="Arial"/>
        </w:rPr>
        <w:t>While diversification improves supply chain resilience, it adds significant management and logistical complexity. Expanding production networks into nations like India and Vietnam necessitates significant investments in infrastructure, worker training, and compliance monitoring systems (Gereffi, 2020). Firms must manage diverse regulatory contexts, cultural values, and local labour standards, complicating process standardisation and quality control across several countries (Barrientos, 2013). Furthermore, managing geographically distributed suppliers raises coordination costs, information asymmetry, and the possibility of misalignment between corporate goals and local operational execution (Choi, Dooley, and Rungtusanatham, 2001).</w:t>
      </w:r>
    </w:p>
    <w:p w14:paraId="7F824F63" w14:textId="77777777" w:rsidR="009B01BA" w:rsidRDefault="009E3CBF">
      <w:pPr>
        <w:spacing w:line="360" w:lineRule="auto"/>
        <w:jc w:val="both"/>
        <w:rPr>
          <w:rFonts w:ascii="Arial" w:hAnsi="Arial" w:cs="Arial"/>
        </w:rPr>
      </w:pPr>
      <w:r>
        <w:rPr>
          <w:rFonts w:ascii="Arial" w:hAnsi="Arial" w:cs="Arial"/>
        </w:rPr>
        <w:t>Diversification also involves strategic tradeoffs. While multi-region sourcing reduces the risk of interruption in one location, it can lower economies of scale and increase lead times if not properly integrated (Ivanov, 2021). To balance flexibility and efficiency, firms must incorporate complex risk management frameworks such as scenario planning, buffer capacities, and contingency protocols (Tukamuhabwa et al., 2015). According to research, success in geographically diverse supply chains depends on combining structural resilience with relational and technological capabilities like strong supplier partnerships, digital monitoring systems, and cross-border knowledge transfer (Christopher and Peck, 2004; Krause, Handfield, and Scannell, 1998).</w:t>
      </w:r>
    </w:p>
    <w:p w14:paraId="452C808D" w14:textId="77777777" w:rsidR="009B01BA" w:rsidRDefault="009E3CBF">
      <w:pPr>
        <w:spacing w:line="360" w:lineRule="auto"/>
        <w:jc w:val="both"/>
        <w:rPr>
          <w:rFonts w:ascii="Arial" w:hAnsi="Arial" w:cs="Arial"/>
        </w:rPr>
      </w:pPr>
      <w:r>
        <w:rPr>
          <w:rFonts w:ascii="Arial" w:hAnsi="Arial" w:cs="Arial"/>
        </w:rPr>
        <w:lastRenderedPageBreak/>
        <w:t>In Apple's instance, diversity is a resilience strategy that necessitates careful coordination of operational, cultural, and strategic factors. Long-term success is contingent on the company's ability to integrate new suppliers and manufacturing sites into its global ecosystem while upholding quality, ethical standards, and sustainability goals. This demonstrates that, while diversification is advantageous for risk management, it is fundamentally complicated and necessitates ongoing investment in managerial experience, technical capabilities, and collaborative governance frameworks.</w:t>
      </w:r>
    </w:p>
    <w:p w14:paraId="574C772A" w14:textId="77777777" w:rsidR="009B01BA" w:rsidRDefault="009E3CBF">
      <w:pPr>
        <w:pStyle w:val="Heading3"/>
        <w:rPr>
          <w:rFonts w:ascii="Arial" w:hAnsi="Arial" w:cs="Arial"/>
        </w:rPr>
      </w:pPr>
      <w:bookmarkStart w:id="60" w:name="_Toc212768017"/>
      <w:r>
        <w:rPr>
          <w:rFonts w:ascii="Arial" w:hAnsi="Arial" w:cs="Arial"/>
        </w:rPr>
        <w:t>4.6.4 Digital Transformation as a Strategic Enabler</w:t>
      </w:r>
      <w:bookmarkEnd w:id="60"/>
    </w:p>
    <w:p w14:paraId="2B846D36" w14:textId="77777777" w:rsidR="009B01BA" w:rsidRDefault="009B01BA"/>
    <w:p w14:paraId="125E7A20" w14:textId="77777777" w:rsidR="009B01BA" w:rsidRDefault="009E3CBF">
      <w:pPr>
        <w:spacing w:line="360" w:lineRule="auto"/>
        <w:jc w:val="both"/>
        <w:rPr>
          <w:rFonts w:ascii="Arial" w:hAnsi="Arial" w:cs="Arial"/>
        </w:rPr>
      </w:pPr>
      <w:r>
        <w:rPr>
          <w:rFonts w:ascii="Arial" w:hAnsi="Arial" w:cs="Arial"/>
        </w:rPr>
        <w:t>Digitalisation is critical to Apple's continuous supply chain evolution. AI-driven forecasting, real-time data, and supplier collaboration platforms all improve operational agility. These advancements demonstrate the integration of Industry 4.0 technology into strategic supply chain management, allowing for adaptive and data-driven decision-making (Ivanov, 2021).</w:t>
      </w:r>
    </w:p>
    <w:p w14:paraId="4D7FD85E" w14:textId="77777777" w:rsidR="009B01BA" w:rsidRDefault="009E3CBF">
      <w:pPr>
        <w:spacing w:line="360" w:lineRule="auto"/>
        <w:jc w:val="both"/>
        <w:rPr>
          <w:rFonts w:ascii="Arial" w:hAnsi="Arial" w:cs="Arial"/>
        </w:rPr>
      </w:pPr>
      <w:r>
        <w:rPr>
          <w:rFonts w:ascii="Arial" w:hAnsi="Arial" w:cs="Arial"/>
        </w:rPr>
        <w:t>Beyond predictive analytics, digital transformation enables increased visibility throughout the supply chain. Real-time monitoring enables businesses to analyse supplier performance, logistical flows, and inventory levels, facilitating proactive risk management and quick response to interruptions (Choi, Wallace, &amp; Wang, 2019). According to the literature, digital integration improves supply chain coordination and decreases information asymmetry, especially in complex multi-tier networks where communication gaps can worsen vulnerabilities (Sodhi and Tang, 2021).</w:t>
      </w:r>
    </w:p>
    <w:p w14:paraId="3C9C7793" w14:textId="77777777" w:rsidR="009B01BA" w:rsidRDefault="009E3CBF">
      <w:pPr>
        <w:spacing w:line="360" w:lineRule="auto"/>
        <w:jc w:val="both"/>
        <w:rPr>
          <w:rFonts w:ascii="Arial" w:hAnsi="Arial" w:cs="Arial"/>
        </w:rPr>
      </w:pPr>
      <w:r>
        <w:rPr>
          <w:rFonts w:ascii="Arial" w:hAnsi="Arial" w:cs="Arial"/>
        </w:rPr>
        <w:t>Furthermore, digital tools promote sustainability and ethical governance. Advanced analytics can track resource utilisation, pollution, and labour standard compliance across worldwide suppliers, allowing managers to uncover inefficiencies and enforce regulatory and ethical requirements (Sarkis, 2020). These systems also promote continuous learning by extracting actionable insights from historical and real-time data, allowing businesses to fine-tune processes, improve operations, and anticipate possible disruptions.</w:t>
      </w:r>
    </w:p>
    <w:p w14:paraId="59A40BAE" w14:textId="77777777" w:rsidR="009B01BA" w:rsidRDefault="009E3CBF">
      <w:pPr>
        <w:spacing w:line="360" w:lineRule="auto"/>
        <w:jc w:val="both"/>
        <w:rPr>
          <w:rFonts w:ascii="Arial" w:hAnsi="Arial" w:cs="Arial"/>
        </w:rPr>
      </w:pPr>
      <w:r>
        <w:rPr>
          <w:rFonts w:ascii="Arial" w:hAnsi="Arial" w:cs="Arial"/>
        </w:rPr>
        <w:t>Academically, digital transformation is consistent with dynamic capacities theory, in which organisations develop, integrate, and reconfigure resources to respond to dynamically changing surroundings (Teece, 2018). Apple's integration of digital technology into supply chain planning not only improves operational efficiency and resilience, but also expands its capability for innovation, sustainability, and long-term competitiveness in a volatile and complicated global market.</w:t>
      </w:r>
    </w:p>
    <w:p w14:paraId="056104C8" w14:textId="77777777" w:rsidR="009B01BA" w:rsidRDefault="009E3CBF">
      <w:pPr>
        <w:pStyle w:val="Heading3"/>
        <w:rPr>
          <w:rFonts w:ascii="Arial" w:hAnsi="Arial" w:cs="Arial"/>
        </w:rPr>
      </w:pPr>
      <w:bookmarkStart w:id="61" w:name="_Toc212768018"/>
      <w:r>
        <w:rPr>
          <w:rFonts w:ascii="Arial" w:hAnsi="Arial" w:cs="Arial"/>
        </w:rPr>
        <w:t>4.6.5 Governance, Ethics, and Long-Term Trust</w:t>
      </w:r>
      <w:bookmarkEnd w:id="61"/>
    </w:p>
    <w:p w14:paraId="760115B7" w14:textId="77777777" w:rsidR="009B01BA" w:rsidRDefault="009B01BA"/>
    <w:p w14:paraId="22AAFC00" w14:textId="77777777" w:rsidR="009B01BA" w:rsidRDefault="009E3CBF">
      <w:pPr>
        <w:spacing w:line="360" w:lineRule="auto"/>
        <w:jc w:val="both"/>
        <w:rPr>
          <w:rFonts w:ascii="Arial" w:hAnsi="Arial" w:cs="Arial"/>
        </w:rPr>
      </w:pPr>
      <w:r>
        <w:rPr>
          <w:rFonts w:ascii="Arial" w:hAnsi="Arial" w:cs="Arial"/>
        </w:rPr>
        <w:lastRenderedPageBreak/>
        <w:t>Apple's emphasis on supplier audits, ethical norms, and openness strengthens the governance component of supply chain resilience. However, academic literature emphasises that auditing alone cannot guarantee compliance; long-term cultural alignment, ongoing training, and independent third-party verification are required to establish ethical standards across the supply chain (Crane et al., 2019; LeBaron, 2018). Strengthening ethical governance is thus a continuous, iterative process rather than a one accomplishment. Integrating ethics into operational strategy not only reduces reputational and regulatory concerns, but also builds stakeholder trust, resulting in a sustained competitive advantage in complicated global supply chains (Freeman, 2010).</w:t>
      </w:r>
    </w:p>
    <w:p w14:paraId="149262D8" w14:textId="77777777" w:rsidR="009B01BA" w:rsidRDefault="009E3CBF">
      <w:pPr>
        <w:pStyle w:val="Heading3"/>
      </w:pPr>
      <w:bookmarkStart w:id="62" w:name="_Toc212768019"/>
      <w:r>
        <w:t>4.6.6 Strategic Balance and Adaptive Posture</w:t>
      </w:r>
      <w:bookmarkEnd w:id="62"/>
    </w:p>
    <w:p w14:paraId="4EE6BFF3" w14:textId="77777777" w:rsidR="009B01BA" w:rsidRDefault="009B01BA"/>
    <w:p w14:paraId="055EB20F" w14:textId="77777777" w:rsidR="009B01BA" w:rsidRDefault="009E3CBF">
      <w:pPr>
        <w:spacing w:line="360" w:lineRule="auto"/>
        <w:jc w:val="both"/>
        <w:rPr>
          <w:rFonts w:ascii="Arial" w:hAnsi="Arial" w:cs="Arial"/>
        </w:rPr>
      </w:pPr>
      <w:r>
        <w:rPr>
          <w:rFonts w:ascii="Arial" w:hAnsi="Arial" w:cs="Arial"/>
        </w:rPr>
        <w:t>Finally, Apple's experience highlights the value of strategic balance. Efficiency, sustainability, and resilience must coexist dynamically rather than as mutually exclusive goals. To achieve this equilibrium, operational processes must be continuously evaluated, investments in technological and human capacities made, and risks managed proactively (Tukamuhabwa et al., 2015; Ivanov, 2021). A fully flexible stance helps Apple to manage uncertainty, protect brand integrity, maintain stakeholder trust, and maintain a competitive advantage in an increasingly turbulent and complex global environment. This strategic equilibrium demonstrates the importance of incorporating innovation, ethics, and operational agility into long-term supply chain planning.</w:t>
      </w:r>
    </w:p>
    <w:p w14:paraId="1CE1A8B1" w14:textId="77777777" w:rsidR="009B01BA" w:rsidRDefault="009E3CBF">
      <w:pPr>
        <w:pStyle w:val="Heading3"/>
        <w:rPr>
          <w:rFonts w:ascii="Arial" w:hAnsi="Arial" w:cs="Arial"/>
        </w:rPr>
      </w:pPr>
      <w:bookmarkStart w:id="63" w:name="_Toc212768020"/>
      <w:r>
        <w:rPr>
          <w:rFonts w:ascii="Arial" w:hAnsi="Arial" w:cs="Arial"/>
        </w:rPr>
        <w:t>4.7 Summary of Key Findings and Theoretical Synthesis</w:t>
      </w:r>
      <w:bookmarkEnd w:id="63"/>
    </w:p>
    <w:tbl>
      <w:tblPr>
        <w:tblW w:w="9350" w:type="dxa"/>
        <w:tblCellMar>
          <w:left w:w="10" w:type="dxa"/>
          <w:right w:w="10" w:type="dxa"/>
        </w:tblCellMar>
        <w:tblLook w:val="0000" w:firstRow="0" w:lastRow="0" w:firstColumn="0" w:lastColumn="0" w:noHBand="0" w:noVBand="0"/>
      </w:tblPr>
      <w:tblGrid>
        <w:gridCol w:w="1795"/>
        <w:gridCol w:w="4301"/>
        <w:gridCol w:w="3254"/>
      </w:tblGrid>
      <w:tr w:rsidR="009B01BA" w14:paraId="576CDC31" w14:textId="77777777">
        <w:trPr>
          <w:tblHeader/>
        </w:trPr>
        <w:tc>
          <w:tcPr>
            <w:tcW w:w="1795" w:type="dxa"/>
            <w:tcBorders>
              <w:top w:val="single" w:sz="4" w:space="0" w:color="000000"/>
              <w:left w:val="single" w:sz="4" w:space="0" w:color="000000"/>
            </w:tcBorders>
            <w:tcMar>
              <w:top w:w="15" w:type="dxa"/>
              <w:left w:w="15" w:type="dxa"/>
              <w:bottom w:w="15" w:type="dxa"/>
              <w:right w:w="15" w:type="dxa"/>
            </w:tcMar>
            <w:vAlign w:val="center"/>
          </w:tcPr>
          <w:p w14:paraId="18114D78" w14:textId="77777777" w:rsidR="009B01BA" w:rsidRDefault="009E3CBF">
            <w:pPr>
              <w:jc w:val="center"/>
              <w:rPr>
                <w:rFonts w:ascii="Arial" w:hAnsi="Arial" w:cs="Arial"/>
                <w:b/>
                <w:bCs/>
              </w:rPr>
            </w:pPr>
            <w:r>
              <w:rPr>
                <w:rFonts w:ascii="Arial" w:hAnsi="Arial" w:cs="Arial"/>
                <w:b/>
                <w:bCs/>
              </w:rPr>
              <w:t>Theme</w:t>
            </w:r>
          </w:p>
        </w:tc>
        <w:tc>
          <w:tcPr>
            <w:tcW w:w="4301" w:type="dxa"/>
            <w:tcBorders>
              <w:top w:val="single" w:sz="4" w:space="0" w:color="000000"/>
              <w:left w:val="single" w:sz="4" w:space="0" w:color="000000"/>
            </w:tcBorders>
            <w:tcMar>
              <w:top w:w="15" w:type="dxa"/>
              <w:left w:w="15" w:type="dxa"/>
              <w:bottom w:w="15" w:type="dxa"/>
              <w:right w:w="15" w:type="dxa"/>
            </w:tcMar>
            <w:vAlign w:val="center"/>
          </w:tcPr>
          <w:p w14:paraId="6AD5ACCA" w14:textId="77777777" w:rsidR="009B01BA" w:rsidRDefault="009E3CBF">
            <w:pPr>
              <w:jc w:val="center"/>
              <w:rPr>
                <w:rFonts w:ascii="Arial" w:hAnsi="Arial" w:cs="Arial"/>
                <w:b/>
                <w:bCs/>
              </w:rPr>
            </w:pPr>
            <w:r>
              <w:rPr>
                <w:rFonts w:ascii="Arial" w:hAnsi="Arial" w:cs="Arial"/>
                <w:b/>
                <w:bCs/>
              </w:rPr>
              <w:t>Key Findings</w:t>
            </w:r>
          </w:p>
        </w:tc>
        <w:tc>
          <w:tcPr>
            <w:tcW w:w="3254" w:type="dxa"/>
            <w:tcBorders>
              <w:top w:val="single" w:sz="4" w:space="0" w:color="000000"/>
              <w:left w:val="single" w:sz="4" w:space="0" w:color="000000"/>
              <w:right w:val="single" w:sz="4" w:space="0" w:color="000000"/>
            </w:tcBorders>
            <w:tcMar>
              <w:top w:w="15" w:type="dxa"/>
              <w:left w:w="15" w:type="dxa"/>
              <w:bottom w:w="15" w:type="dxa"/>
              <w:right w:w="15" w:type="dxa"/>
            </w:tcMar>
            <w:vAlign w:val="center"/>
          </w:tcPr>
          <w:p w14:paraId="2252A411" w14:textId="77777777" w:rsidR="009B01BA" w:rsidRDefault="009E3CBF">
            <w:pPr>
              <w:jc w:val="center"/>
              <w:rPr>
                <w:rFonts w:ascii="Arial" w:hAnsi="Arial" w:cs="Arial"/>
                <w:b/>
                <w:bCs/>
              </w:rPr>
            </w:pPr>
            <w:r>
              <w:rPr>
                <w:rFonts w:ascii="Arial" w:hAnsi="Arial" w:cs="Arial"/>
                <w:b/>
                <w:bCs/>
              </w:rPr>
              <w:t>Theoretical Implications</w:t>
            </w:r>
          </w:p>
        </w:tc>
      </w:tr>
      <w:tr w:rsidR="009B01BA" w14:paraId="2D55331B" w14:textId="77777777">
        <w:tc>
          <w:tcPr>
            <w:tcW w:w="1795" w:type="dxa"/>
            <w:tcBorders>
              <w:top w:val="single" w:sz="4" w:space="0" w:color="000000"/>
              <w:left w:val="single" w:sz="4" w:space="0" w:color="000000"/>
              <w:bottom w:val="single" w:sz="4" w:space="0" w:color="000000"/>
            </w:tcBorders>
            <w:tcMar>
              <w:top w:w="15" w:type="dxa"/>
              <w:left w:w="15" w:type="dxa"/>
              <w:bottom w:w="15" w:type="dxa"/>
              <w:right w:w="15" w:type="dxa"/>
            </w:tcMar>
            <w:vAlign w:val="center"/>
          </w:tcPr>
          <w:p w14:paraId="0648309A" w14:textId="77777777" w:rsidR="009B01BA" w:rsidRDefault="009E3CBF">
            <w:pPr>
              <w:jc w:val="center"/>
              <w:rPr>
                <w:rFonts w:ascii="Arial" w:hAnsi="Arial" w:cs="Arial"/>
              </w:rPr>
            </w:pPr>
            <w:r>
              <w:rPr>
                <w:rFonts w:ascii="Arial" w:hAnsi="Arial" w:cs="Arial"/>
              </w:rPr>
              <w:t>Concentration and vulnerability</w:t>
            </w:r>
          </w:p>
        </w:tc>
        <w:tc>
          <w:tcPr>
            <w:tcW w:w="4301" w:type="dxa"/>
            <w:tcBorders>
              <w:top w:val="single" w:sz="4" w:space="0" w:color="000000"/>
              <w:left w:val="single" w:sz="4" w:space="0" w:color="000000"/>
              <w:bottom w:val="single" w:sz="4" w:space="0" w:color="000000"/>
            </w:tcBorders>
            <w:tcMar>
              <w:top w:w="15" w:type="dxa"/>
              <w:left w:w="15" w:type="dxa"/>
              <w:bottom w:w="15" w:type="dxa"/>
              <w:right w:w="15" w:type="dxa"/>
            </w:tcMar>
            <w:vAlign w:val="center"/>
          </w:tcPr>
          <w:p w14:paraId="1A7D2D88" w14:textId="77777777" w:rsidR="009B01BA" w:rsidRDefault="009E3CBF">
            <w:pPr>
              <w:jc w:val="center"/>
              <w:rPr>
                <w:rFonts w:ascii="Arial" w:hAnsi="Arial" w:cs="Arial"/>
              </w:rPr>
            </w:pPr>
            <w:r>
              <w:rPr>
                <w:rFonts w:ascii="Arial" w:hAnsi="Arial" w:cs="Arial"/>
              </w:rPr>
              <w:t>Apple’s dependence on China exposed systemic risk during COVID-19 and trade tensions</w:t>
            </w:r>
          </w:p>
        </w:tc>
        <w:tc>
          <w:tcPr>
            <w:tcW w:w="325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4F488CFA" w14:textId="77777777" w:rsidR="009B01BA" w:rsidRDefault="009E3CBF">
            <w:pPr>
              <w:jc w:val="center"/>
              <w:rPr>
                <w:rFonts w:ascii="Arial" w:hAnsi="Arial" w:cs="Arial"/>
              </w:rPr>
            </w:pPr>
            <w:r>
              <w:rPr>
                <w:rFonts w:ascii="Arial" w:hAnsi="Arial" w:cs="Arial"/>
              </w:rPr>
              <w:t>Supports resilience theory—need for redundancy and flexibility</w:t>
            </w:r>
          </w:p>
        </w:tc>
      </w:tr>
      <w:tr w:rsidR="009B01BA" w14:paraId="637E1D8D" w14:textId="77777777">
        <w:tc>
          <w:tcPr>
            <w:tcW w:w="1795" w:type="dxa"/>
            <w:tcBorders>
              <w:left w:val="single" w:sz="4" w:space="0" w:color="000000"/>
              <w:bottom w:val="single" w:sz="4" w:space="0" w:color="000000"/>
            </w:tcBorders>
            <w:tcMar>
              <w:top w:w="15" w:type="dxa"/>
              <w:left w:w="15" w:type="dxa"/>
              <w:bottom w:w="15" w:type="dxa"/>
              <w:right w:w="15" w:type="dxa"/>
            </w:tcMar>
            <w:vAlign w:val="center"/>
          </w:tcPr>
          <w:p w14:paraId="389655F2" w14:textId="77777777" w:rsidR="009B01BA" w:rsidRDefault="009E3CBF">
            <w:pPr>
              <w:jc w:val="center"/>
              <w:rPr>
                <w:rFonts w:ascii="Arial" w:hAnsi="Arial" w:cs="Arial"/>
              </w:rPr>
            </w:pPr>
            <w:r>
              <w:rPr>
                <w:rFonts w:ascii="Arial" w:hAnsi="Arial" w:cs="Arial"/>
              </w:rPr>
              <w:t>Diversification and governance</w:t>
            </w:r>
          </w:p>
        </w:tc>
        <w:tc>
          <w:tcPr>
            <w:tcW w:w="4301" w:type="dxa"/>
            <w:tcBorders>
              <w:left w:val="single" w:sz="4" w:space="0" w:color="000000"/>
              <w:bottom w:val="single" w:sz="4" w:space="0" w:color="000000"/>
            </w:tcBorders>
            <w:tcMar>
              <w:top w:w="15" w:type="dxa"/>
              <w:left w:w="15" w:type="dxa"/>
              <w:bottom w:w="15" w:type="dxa"/>
              <w:right w:w="15" w:type="dxa"/>
            </w:tcMar>
            <w:vAlign w:val="center"/>
          </w:tcPr>
          <w:p w14:paraId="7A6BF529" w14:textId="77777777" w:rsidR="009B01BA" w:rsidRDefault="009E3CBF">
            <w:pPr>
              <w:jc w:val="center"/>
              <w:rPr>
                <w:rFonts w:ascii="Arial" w:hAnsi="Arial" w:cs="Arial"/>
              </w:rPr>
            </w:pPr>
            <w:r>
              <w:rPr>
                <w:rFonts w:ascii="Arial" w:hAnsi="Arial" w:cs="Arial"/>
              </w:rPr>
              <w:t>Shift to India/Vietnam, strong audit systems, supplier capability building</w:t>
            </w:r>
          </w:p>
        </w:tc>
        <w:tc>
          <w:tcPr>
            <w:tcW w:w="3254" w:type="dxa"/>
            <w:tcBorders>
              <w:left w:val="single" w:sz="4" w:space="0" w:color="000000"/>
              <w:bottom w:val="single" w:sz="4" w:space="0" w:color="000000"/>
              <w:right w:val="single" w:sz="4" w:space="0" w:color="000000"/>
            </w:tcBorders>
            <w:tcMar>
              <w:top w:w="15" w:type="dxa"/>
              <w:left w:w="15" w:type="dxa"/>
              <w:bottom w:w="15" w:type="dxa"/>
              <w:right w:w="15" w:type="dxa"/>
            </w:tcMar>
            <w:vAlign w:val="center"/>
          </w:tcPr>
          <w:p w14:paraId="1AA91457" w14:textId="77777777" w:rsidR="009B01BA" w:rsidRDefault="009E3CBF">
            <w:pPr>
              <w:jc w:val="center"/>
              <w:rPr>
                <w:rFonts w:ascii="Arial" w:hAnsi="Arial" w:cs="Arial"/>
              </w:rPr>
            </w:pPr>
            <w:r>
              <w:rPr>
                <w:rFonts w:ascii="Arial" w:hAnsi="Arial" w:cs="Arial"/>
              </w:rPr>
              <w:t>Aligns with agile and resource-based perspectives</w:t>
            </w:r>
          </w:p>
        </w:tc>
      </w:tr>
      <w:tr w:rsidR="009B01BA" w14:paraId="088533EF" w14:textId="77777777">
        <w:tc>
          <w:tcPr>
            <w:tcW w:w="1795" w:type="dxa"/>
            <w:tcBorders>
              <w:left w:val="single" w:sz="4" w:space="0" w:color="000000"/>
              <w:bottom w:val="single" w:sz="4" w:space="0" w:color="000000"/>
            </w:tcBorders>
            <w:tcMar>
              <w:top w:w="15" w:type="dxa"/>
              <w:left w:w="15" w:type="dxa"/>
              <w:bottom w:w="15" w:type="dxa"/>
              <w:right w:w="15" w:type="dxa"/>
            </w:tcMar>
            <w:vAlign w:val="center"/>
          </w:tcPr>
          <w:p w14:paraId="7840A327" w14:textId="77777777" w:rsidR="009B01BA" w:rsidRDefault="009E3CBF">
            <w:pPr>
              <w:jc w:val="center"/>
              <w:rPr>
                <w:rFonts w:ascii="Arial" w:hAnsi="Arial" w:cs="Arial"/>
              </w:rPr>
            </w:pPr>
            <w:r>
              <w:rPr>
                <w:rFonts w:ascii="Arial" w:hAnsi="Arial" w:cs="Arial"/>
              </w:rPr>
              <w:t>Sustainability and ethics</w:t>
            </w:r>
          </w:p>
        </w:tc>
        <w:tc>
          <w:tcPr>
            <w:tcW w:w="4301" w:type="dxa"/>
            <w:tcBorders>
              <w:left w:val="single" w:sz="4" w:space="0" w:color="000000"/>
              <w:bottom w:val="single" w:sz="4" w:space="0" w:color="000000"/>
            </w:tcBorders>
            <w:tcMar>
              <w:top w:w="15" w:type="dxa"/>
              <w:left w:w="15" w:type="dxa"/>
              <w:bottom w:w="15" w:type="dxa"/>
              <w:right w:w="15" w:type="dxa"/>
            </w:tcMar>
            <w:vAlign w:val="center"/>
          </w:tcPr>
          <w:p w14:paraId="62C015D0" w14:textId="77777777" w:rsidR="009B01BA" w:rsidRDefault="009E3CBF">
            <w:pPr>
              <w:jc w:val="center"/>
              <w:rPr>
                <w:rFonts w:ascii="Arial" w:hAnsi="Arial" w:cs="Arial"/>
              </w:rPr>
            </w:pPr>
            <w:r>
              <w:rPr>
                <w:rFonts w:ascii="Arial" w:hAnsi="Arial" w:cs="Arial"/>
              </w:rPr>
              <w:t>Circular economy, renewable energy, ethical sourcing, human rights audits</w:t>
            </w:r>
          </w:p>
        </w:tc>
        <w:tc>
          <w:tcPr>
            <w:tcW w:w="3254" w:type="dxa"/>
            <w:tcBorders>
              <w:left w:val="single" w:sz="4" w:space="0" w:color="000000"/>
              <w:bottom w:val="single" w:sz="4" w:space="0" w:color="000000"/>
              <w:right w:val="single" w:sz="4" w:space="0" w:color="000000"/>
            </w:tcBorders>
            <w:tcMar>
              <w:top w:w="15" w:type="dxa"/>
              <w:left w:w="15" w:type="dxa"/>
              <w:bottom w:w="15" w:type="dxa"/>
              <w:right w:w="15" w:type="dxa"/>
            </w:tcMar>
            <w:vAlign w:val="center"/>
          </w:tcPr>
          <w:p w14:paraId="7E11B622" w14:textId="77777777" w:rsidR="009B01BA" w:rsidRDefault="009E3CBF">
            <w:pPr>
              <w:jc w:val="center"/>
              <w:rPr>
                <w:rFonts w:ascii="Arial" w:hAnsi="Arial" w:cs="Arial"/>
              </w:rPr>
            </w:pPr>
            <w:r>
              <w:rPr>
                <w:rFonts w:ascii="Arial" w:hAnsi="Arial" w:cs="Arial"/>
              </w:rPr>
              <w:t>Validates sustainable supply chain and stakeholder theories</w:t>
            </w:r>
          </w:p>
        </w:tc>
      </w:tr>
      <w:tr w:rsidR="009B01BA" w14:paraId="2ED14875" w14:textId="77777777">
        <w:tc>
          <w:tcPr>
            <w:tcW w:w="1795" w:type="dxa"/>
            <w:tcBorders>
              <w:left w:val="single" w:sz="4" w:space="0" w:color="000000"/>
            </w:tcBorders>
            <w:tcMar>
              <w:top w:w="15" w:type="dxa"/>
              <w:left w:w="15" w:type="dxa"/>
              <w:bottom w:w="15" w:type="dxa"/>
              <w:right w:w="15" w:type="dxa"/>
            </w:tcMar>
            <w:vAlign w:val="center"/>
          </w:tcPr>
          <w:p w14:paraId="79261BC8" w14:textId="77777777" w:rsidR="009B01BA" w:rsidRDefault="009E3CBF">
            <w:pPr>
              <w:jc w:val="center"/>
              <w:rPr>
                <w:rFonts w:ascii="Arial" w:hAnsi="Arial" w:cs="Arial"/>
              </w:rPr>
            </w:pPr>
            <w:r>
              <w:rPr>
                <w:rFonts w:ascii="Arial" w:hAnsi="Arial" w:cs="Arial"/>
              </w:rPr>
              <w:t>Technological innovation</w:t>
            </w:r>
          </w:p>
        </w:tc>
        <w:tc>
          <w:tcPr>
            <w:tcW w:w="4301" w:type="dxa"/>
            <w:tcBorders>
              <w:left w:val="single" w:sz="4" w:space="0" w:color="000000"/>
            </w:tcBorders>
            <w:tcMar>
              <w:top w:w="15" w:type="dxa"/>
              <w:left w:w="15" w:type="dxa"/>
              <w:bottom w:w="15" w:type="dxa"/>
              <w:right w:w="15" w:type="dxa"/>
            </w:tcMar>
            <w:vAlign w:val="center"/>
          </w:tcPr>
          <w:p w14:paraId="4604BE31" w14:textId="77777777" w:rsidR="009B01BA" w:rsidRDefault="009E3CBF">
            <w:pPr>
              <w:jc w:val="center"/>
              <w:rPr>
                <w:rFonts w:ascii="Arial" w:hAnsi="Arial" w:cs="Arial"/>
              </w:rPr>
            </w:pPr>
            <w:r>
              <w:rPr>
                <w:rFonts w:ascii="Arial" w:hAnsi="Arial" w:cs="Arial"/>
              </w:rPr>
              <w:t>AI, predictive analytics, vertical integration (Apple Silicon)</w:t>
            </w:r>
          </w:p>
        </w:tc>
        <w:tc>
          <w:tcPr>
            <w:tcW w:w="3254" w:type="dxa"/>
            <w:tcBorders>
              <w:left w:val="single" w:sz="4" w:space="0" w:color="000000"/>
              <w:right w:val="single" w:sz="4" w:space="0" w:color="000000"/>
            </w:tcBorders>
            <w:tcMar>
              <w:top w:w="15" w:type="dxa"/>
              <w:left w:w="15" w:type="dxa"/>
              <w:bottom w:w="15" w:type="dxa"/>
              <w:right w:w="15" w:type="dxa"/>
            </w:tcMar>
            <w:vAlign w:val="center"/>
          </w:tcPr>
          <w:p w14:paraId="3F01456D" w14:textId="77777777" w:rsidR="009B01BA" w:rsidRDefault="009E3CBF">
            <w:pPr>
              <w:jc w:val="center"/>
              <w:rPr>
                <w:rFonts w:ascii="Arial" w:hAnsi="Arial" w:cs="Arial"/>
              </w:rPr>
            </w:pPr>
            <w:r>
              <w:rPr>
                <w:rFonts w:ascii="Arial" w:hAnsi="Arial" w:cs="Arial"/>
              </w:rPr>
              <w:t>Demonstrates digital resilience and internal capability advantage</w:t>
            </w:r>
          </w:p>
        </w:tc>
      </w:tr>
      <w:tr w:rsidR="009B01BA" w14:paraId="1550FEB2" w14:textId="77777777">
        <w:tc>
          <w:tcPr>
            <w:tcW w:w="1795" w:type="dxa"/>
            <w:tcBorders>
              <w:top w:val="single" w:sz="4" w:space="0" w:color="000000"/>
              <w:left w:val="single" w:sz="4" w:space="0" w:color="000000"/>
              <w:bottom w:val="single" w:sz="4" w:space="0" w:color="000000"/>
            </w:tcBorders>
            <w:tcMar>
              <w:top w:w="15" w:type="dxa"/>
              <w:left w:w="15" w:type="dxa"/>
              <w:bottom w:w="15" w:type="dxa"/>
              <w:right w:w="15" w:type="dxa"/>
            </w:tcMar>
            <w:vAlign w:val="center"/>
          </w:tcPr>
          <w:p w14:paraId="2DD56C86" w14:textId="77777777" w:rsidR="009B01BA" w:rsidRDefault="009E3CBF">
            <w:pPr>
              <w:jc w:val="center"/>
              <w:rPr>
                <w:rFonts w:ascii="Arial" w:hAnsi="Arial" w:cs="Arial"/>
              </w:rPr>
            </w:pPr>
            <w:r>
              <w:rPr>
                <w:rFonts w:ascii="Arial" w:hAnsi="Arial" w:cs="Arial"/>
              </w:rPr>
              <w:t>Strategic lessons</w:t>
            </w:r>
          </w:p>
        </w:tc>
        <w:tc>
          <w:tcPr>
            <w:tcW w:w="4301" w:type="dxa"/>
            <w:tcBorders>
              <w:top w:val="single" w:sz="4" w:space="0" w:color="000000"/>
              <w:left w:val="single" w:sz="4" w:space="0" w:color="000000"/>
              <w:bottom w:val="single" w:sz="4" w:space="0" w:color="000000"/>
            </w:tcBorders>
            <w:tcMar>
              <w:top w:w="15" w:type="dxa"/>
              <w:left w:w="15" w:type="dxa"/>
              <w:bottom w:w="15" w:type="dxa"/>
              <w:right w:w="15" w:type="dxa"/>
            </w:tcMar>
            <w:vAlign w:val="center"/>
          </w:tcPr>
          <w:p w14:paraId="6FB1171C" w14:textId="77777777" w:rsidR="009B01BA" w:rsidRDefault="009E3CBF">
            <w:pPr>
              <w:jc w:val="center"/>
              <w:rPr>
                <w:rFonts w:ascii="Arial" w:hAnsi="Arial" w:cs="Arial"/>
              </w:rPr>
            </w:pPr>
            <w:r>
              <w:rPr>
                <w:rFonts w:ascii="Arial" w:hAnsi="Arial" w:cs="Arial"/>
              </w:rPr>
              <w:t>Balancing efficiency, ethics, and adaptability</w:t>
            </w:r>
          </w:p>
        </w:tc>
        <w:tc>
          <w:tcPr>
            <w:tcW w:w="325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77D0837B" w14:textId="77777777" w:rsidR="009B01BA" w:rsidRDefault="009E3CBF">
            <w:pPr>
              <w:jc w:val="center"/>
              <w:rPr>
                <w:rFonts w:ascii="Arial" w:hAnsi="Arial" w:cs="Arial"/>
              </w:rPr>
            </w:pPr>
            <w:r>
              <w:rPr>
                <w:rFonts w:ascii="Arial" w:hAnsi="Arial" w:cs="Arial"/>
              </w:rPr>
              <w:t>Emphasises hybrid lean–resilient models and strategic agility</w:t>
            </w:r>
          </w:p>
        </w:tc>
      </w:tr>
    </w:tbl>
    <w:p w14:paraId="5F47B3A0" w14:textId="77777777" w:rsidR="009B01BA" w:rsidRDefault="009B01BA"/>
    <w:p w14:paraId="5CC2ED78" w14:textId="77777777" w:rsidR="009B01BA" w:rsidRDefault="009B01BA"/>
    <w:p w14:paraId="3D1D0776" w14:textId="77777777" w:rsidR="009B01BA" w:rsidRDefault="009E3CBF">
      <w:pPr>
        <w:pStyle w:val="Heading2"/>
        <w:rPr>
          <w:rFonts w:ascii="Arial" w:hAnsi="Arial" w:cs="Arial"/>
        </w:rPr>
      </w:pPr>
      <w:bookmarkStart w:id="64" w:name="_Toc212768021"/>
      <w:r>
        <w:rPr>
          <w:rFonts w:ascii="Arial" w:hAnsi="Arial" w:cs="Arial"/>
        </w:rPr>
        <w:lastRenderedPageBreak/>
        <w:t>Chapter 5: Recommendations, Conclusion and Limitations of the Research</w:t>
      </w:r>
      <w:bookmarkEnd w:id="64"/>
    </w:p>
    <w:p w14:paraId="1DB3FECE" w14:textId="77777777" w:rsidR="009B01BA" w:rsidRDefault="009E3CBF">
      <w:pPr>
        <w:pStyle w:val="Heading3"/>
        <w:rPr>
          <w:rFonts w:ascii="Arial" w:hAnsi="Arial" w:cs="Arial"/>
        </w:rPr>
      </w:pPr>
      <w:bookmarkStart w:id="65" w:name="_Toc212768022"/>
      <w:r>
        <w:rPr>
          <w:rFonts w:ascii="Arial" w:hAnsi="Arial" w:cs="Arial"/>
        </w:rPr>
        <w:t>5.1 Conclusion</w:t>
      </w:r>
      <w:bookmarkEnd w:id="65"/>
    </w:p>
    <w:p w14:paraId="1D42DC83" w14:textId="77777777" w:rsidR="009B01BA" w:rsidRDefault="009B01BA"/>
    <w:p w14:paraId="29123F7E" w14:textId="77777777" w:rsidR="009B01BA" w:rsidRDefault="009E3CBF">
      <w:pPr>
        <w:spacing w:line="360" w:lineRule="auto"/>
        <w:jc w:val="both"/>
        <w:rPr>
          <w:rFonts w:ascii="Arial" w:hAnsi="Arial" w:cs="Arial"/>
        </w:rPr>
      </w:pPr>
      <w:r>
        <w:rPr>
          <w:rFonts w:ascii="Arial" w:hAnsi="Arial" w:cs="Arial"/>
        </w:rPr>
        <w:t>This study critically studied Apple Inc.'s supply chain difficulties and evaluated the efficiency of its strategic measures to ensure company continuity, resilience, and long-term sustainability. The study used a secondary research strategy, drawing on a wide range of credible academic literature to create an integrated picture of the operational, technological, and ethical aspects of Apple's global supply chain. The findings show that Apple operates in a very complex, dynamic, and globalised environment, where disruptions like pandemics, geopolitical conflicts, natural disasters, and sustainability constraints can have serious operational and reputational effects.</w:t>
      </w:r>
    </w:p>
    <w:p w14:paraId="3C1A9D90" w14:textId="77777777" w:rsidR="009B01BA" w:rsidRDefault="009E3CBF">
      <w:pPr>
        <w:spacing w:line="360" w:lineRule="auto"/>
        <w:jc w:val="both"/>
        <w:rPr>
          <w:rFonts w:ascii="Arial" w:hAnsi="Arial" w:cs="Arial"/>
        </w:rPr>
      </w:pPr>
      <w:r>
        <w:rPr>
          <w:rFonts w:ascii="Arial" w:hAnsi="Arial" w:cs="Arial"/>
        </w:rPr>
        <w:t>Apple's supply chain is distinguished by its worldwide scope, high technological complexity, and deliberate selection of suppliers. According to the report, the company's reliance on centralised production facilities and just-in-time inventory systems made it vulnerable during large disruptions like as the COVID-19 pandemic. These events highlighted the value of structural flexibility, supplier diversification, and improved risk management measures. In response, Apple has diversified its manufacturing base by expanding production into numerous countries, implementing in-house production capabilities for crucial components, and strengthening supply chain governance and supervision.</w:t>
      </w:r>
    </w:p>
    <w:p w14:paraId="641B8084" w14:textId="77777777" w:rsidR="009B01BA" w:rsidRDefault="009E3CBF">
      <w:pPr>
        <w:spacing w:line="360" w:lineRule="auto"/>
        <w:jc w:val="both"/>
        <w:rPr>
          <w:rFonts w:ascii="Arial" w:hAnsi="Arial" w:cs="Arial"/>
        </w:rPr>
      </w:pPr>
      <w:r>
        <w:rPr>
          <w:rFonts w:ascii="Arial" w:hAnsi="Arial" w:cs="Arial"/>
        </w:rPr>
        <w:t>According to the report, vertical integration has been an effective technique for risk mitigation, improving operational control, and sustaining high quality and innovation standards. By internalising fundamental processes, Apple is able to manage proprietary knowledge, reduce reliance on external suppliers, and ensure alignment between design, production, and technical innovation. However, the study acknowledges that vertical integration and global diversification provide major managerial and logistical challenges. These initiatives include careful coordination, investment in personnel development, and ongoing management to assure quality, compliance, and operational efficiency across various areas.</w:t>
      </w:r>
    </w:p>
    <w:p w14:paraId="0E1E34AD" w14:textId="77777777" w:rsidR="009B01BA" w:rsidRDefault="009E3CBF">
      <w:pPr>
        <w:spacing w:line="360" w:lineRule="auto"/>
        <w:jc w:val="both"/>
        <w:rPr>
          <w:rFonts w:ascii="Arial" w:hAnsi="Arial" w:cs="Arial"/>
        </w:rPr>
      </w:pPr>
      <w:r>
        <w:rPr>
          <w:rFonts w:ascii="Arial" w:hAnsi="Arial" w:cs="Arial"/>
        </w:rPr>
        <w:t>Digital transformation has emerged as an important enabler of Apple's supply chain resilience. Advanced analytics, predictive modelling, and real-time monitoring enable proactive risk management, scenario planning, and optimisation of production and logistics processes. Digital tools also help with sustainability monitoring and ethical compliance, allowing the organisation to manage resource usage, emissions, and labour practices across worldwide suppliers. These systems pro</w:t>
      </w:r>
      <w:r>
        <w:rPr>
          <w:rFonts w:ascii="Arial" w:hAnsi="Arial" w:cs="Arial"/>
        </w:rPr>
        <w:lastRenderedPageBreak/>
        <w:t>vide continuous learning, delivering actionable information for refining operations, anticipating future disruptions, and adapting strategies to changing conditions. The incorporation of digital technology improves both operational efficiency and long-term resilience.</w:t>
      </w:r>
    </w:p>
    <w:p w14:paraId="37D799D4" w14:textId="77777777" w:rsidR="009B01BA" w:rsidRDefault="009E3CBF">
      <w:pPr>
        <w:spacing w:line="360" w:lineRule="auto"/>
        <w:jc w:val="both"/>
        <w:rPr>
          <w:rFonts w:ascii="Arial" w:hAnsi="Arial" w:cs="Arial"/>
        </w:rPr>
      </w:pPr>
      <w:r>
        <w:rPr>
          <w:rFonts w:ascii="Arial" w:hAnsi="Arial" w:cs="Arial"/>
        </w:rPr>
        <w:t>Apple's supply chain strategy also includes ethical governance and stakeholder engagement. Auditing, training, and supplier partnership help to ensure compliance with labour norms, environmental rules, and social responsibility obligations. The study emphasises that ethical governance is a continuous, iterative process that fosters stakeholder trust, reduces reputational and regulatory concerns, and contributes to long-term sustainability. Apple's incorporation of environmental and social factors into operational decisions displays a dedication to combining economic performance with broader societal objectives.</w:t>
      </w:r>
    </w:p>
    <w:p w14:paraId="653530B5" w14:textId="77777777" w:rsidR="009B01BA" w:rsidRDefault="009E3CBF">
      <w:pPr>
        <w:spacing w:line="360" w:lineRule="auto"/>
        <w:jc w:val="both"/>
        <w:rPr>
          <w:rFonts w:ascii="Arial" w:hAnsi="Arial" w:cs="Arial"/>
        </w:rPr>
      </w:pPr>
      <w:r>
        <w:rPr>
          <w:rFonts w:ascii="Arial" w:hAnsi="Arial" w:cs="Arial"/>
        </w:rPr>
        <w:t>Collaboration with suppliers is also important to Apple's resiliency strategy. Apple promotes supplier alignment at several tiers by fostering long-term partnerships, encouraging knowledge sharing, and utilising digital collaboration platforms. This strategy increases transparency, improves cooperation, and allows for the early identification and resolution of operational and ethical issues. It emphasises the relevance of relational qualities, as well as technological and structural approaches, in developing a strong and adaptable supply chain network.</w:t>
      </w:r>
    </w:p>
    <w:p w14:paraId="449A6FAA" w14:textId="77777777" w:rsidR="009B01BA" w:rsidRDefault="009E3CBF">
      <w:pPr>
        <w:spacing w:line="360" w:lineRule="auto"/>
        <w:jc w:val="both"/>
        <w:rPr>
          <w:rFonts w:ascii="Arial" w:hAnsi="Arial" w:cs="Arial"/>
        </w:rPr>
      </w:pPr>
      <w:r>
        <w:rPr>
          <w:rFonts w:ascii="Arial" w:hAnsi="Arial" w:cs="Arial"/>
        </w:rPr>
        <w:t>The study identifies the strategic trade-offs associated with balancing efficiency, resilience, and sustainability. Apple demonstrates how operational slack, buffer inventories, and redundancy can coexist with lean and efficient processes if carefully integrated. Continuous examination of operational procedures, scenario planning, and the creation of dynamic skills enable Apple to respond effectively to uncertainty, maintain operational continuity, and maintain a competitive edge. Achieving this balance necessitates a comprehensive approach that includes structural diversification, technical innovation, ethical governance, supplier engagement, and ongoing learning.</w:t>
      </w:r>
    </w:p>
    <w:p w14:paraId="73BA936A" w14:textId="77777777" w:rsidR="009B01BA" w:rsidRDefault="009E3CBF">
      <w:pPr>
        <w:spacing w:line="360" w:lineRule="auto"/>
        <w:jc w:val="both"/>
        <w:rPr>
          <w:rFonts w:ascii="Arial" w:hAnsi="Arial" w:cs="Arial"/>
        </w:rPr>
      </w:pPr>
      <w:r>
        <w:rPr>
          <w:rFonts w:ascii="Arial" w:hAnsi="Arial" w:cs="Arial"/>
        </w:rPr>
        <w:t>Apple's long-term plan includes activities promoting sustainability and the circular economy. Material recovery, refurbishing, and resource-efficient manufacturing methods all decrease environmental impact, manage raw material risk, and meet stakeholder expectations for corporate social responsibility. Integrating sustainability into supply chain design indicates that resilience is more than just operational continuity; it is also about producing long-term value and minimising exposure to regulatory, social, and environmental threats.</w:t>
      </w:r>
    </w:p>
    <w:p w14:paraId="57B62E5C" w14:textId="77777777" w:rsidR="009B01BA" w:rsidRDefault="009E3CBF">
      <w:pPr>
        <w:spacing w:line="360" w:lineRule="auto"/>
        <w:jc w:val="both"/>
        <w:rPr>
          <w:rFonts w:ascii="Arial" w:hAnsi="Arial" w:cs="Arial"/>
        </w:rPr>
      </w:pPr>
      <w:r>
        <w:rPr>
          <w:rFonts w:ascii="Arial" w:hAnsi="Arial" w:cs="Arial"/>
        </w:rPr>
        <w:t xml:space="preserve">In conclusion, Apple's supply chain methods demonstrate a sophisticated and multifaceted approach to solving global operational difficulties. Apple's supply chain is flexible, adaptable, and </w:t>
      </w:r>
      <w:r>
        <w:rPr>
          <w:rFonts w:ascii="Arial" w:hAnsi="Arial" w:cs="Arial"/>
        </w:rPr>
        <w:lastRenderedPageBreak/>
        <w:t>globally competitive because to vertical integration, technology innovation, geographic diversification, ethical governance, supplier engagement, and sustainable practices. The findings underline that resilience is created not through separate interventions, but through the systematic integration of structural, technical, relational, and ethical capacities. By incorporating continuous learning, proactive risk management, and innovation into its operations, Apple ensures its ability to weather disruptions, maintain stakeholder trust, and deliver long-term growth.</w:t>
      </w:r>
    </w:p>
    <w:p w14:paraId="031D6C26" w14:textId="77777777" w:rsidR="009B01BA" w:rsidRDefault="009E3CBF">
      <w:pPr>
        <w:spacing w:line="360" w:lineRule="auto"/>
        <w:jc w:val="both"/>
        <w:rPr>
          <w:rFonts w:ascii="Arial" w:hAnsi="Arial" w:cs="Arial"/>
        </w:rPr>
      </w:pPr>
      <w:r>
        <w:rPr>
          <w:rFonts w:ascii="Arial" w:hAnsi="Arial" w:cs="Arial"/>
        </w:rPr>
        <w:t>Overall, the findings confirm that establishing supply chain resilience necessitates striking a compromise between efficiency, flexibility, sustainability, and social responsibility. Apple's experience is an important case study for businesses operating in complex and uncertain global markets, demonstrating that long-term competitiveness is dependent on integrating operational excellence, technological capability, ethical governance, and stakeholder engagement into a cohesive, adaptive supply chain strategy.</w:t>
      </w:r>
    </w:p>
    <w:p w14:paraId="1ACA906D" w14:textId="77777777" w:rsidR="009B01BA" w:rsidRDefault="009B01BA"/>
    <w:p w14:paraId="681355ED" w14:textId="77777777" w:rsidR="009B01BA" w:rsidRDefault="009B01BA"/>
    <w:p w14:paraId="48D45C02" w14:textId="77777777" w:rsidR="009B01BA" w:rsidRDefault="009B01BA"/>
    <w:p w14:paraId="15DA9CAF" w14:textId="77777777" w:rsidR="009B01BA" w:rsidRDefault="009B01BA"/>
    <w:p w14:paraId="7EB9A4E3" w14:textId="77777777" w:rsidR="009B01BA" w:rsidRDefault="009B01BA"/>
    <w:p w14:paraId="32F784F6" w14:textId="77777777" w:rsidR="009B01BA" w:rsidRDefault="009B01BA"/>
    <w:p w14:paraId="5CB4ABCE" w14:textId="77777777" w:rsidR="009B01BA" w:rsidRDefault="009B01BA"/>
    <w:p w14:paraId="1A2FE0E5" w14:textId="77777777" w:rsidR="009B01BA" w:rsidRDefault="009B01BA"/>
    <w:p w14:paraId="39D3699D" w14:textId="77777777" w:rsidR="009B01BA" w:rsidRDefault="009B01BA"/>
    <w:p w14:paraId="7E877D41" w14:textId="77777777" w:rsidR="009B01BA" w:rsidRDefault="009B01BA"/>
    <w:p w14:paraId="2EDD22EC" w14:textId="77777777" w:rsidR="009B01BA" w:rsidRDefault="009B01BA"/>
    <w:p w14:paraId="74917865" w14:textId="77777777" w:rsidR="009B01BA" w:rsidRDefault="009B01BA"/>
    <w:p w14:paraId="0BC4B188" w14:textId="77777777" w:rsidR="009B01BA" w:rsidRDefault="009B01BA"/>
    <w:p w14:paraId="13DB652F" w14:textId="77777777" w:rsidR="009B01BA" w:rsidRDefault="009B01BA"/>
    <w:p w14:paraId="62C56715" w14:textId="77777777" w:rsidR="009B01BA" w:rsidRDefault="009B01BA"/>
    <w:p w14:paraId="4A107482" w14:textId="77777777" w:rsidR="009B01BA" w:rsidRDefault="009B01BA"/>
    <w:p w14:paraId="74527DEF" w14:textId="77777777" w:rsidR="009B01BA" w:rsidRDefault="009B01BA"/>
    <w:p w14:paraId="1BB62A72" w14:textId="77777777" w:rsidR="009B01BA" w:rsidRDefault="009B01BA"/>
    <w:p w14:paraId="36870B31" w14:textId="77777777" w:rsidR="009B01BA" w:rsidRDefault="009B01BA"/>
    <w:p w14:paraId="75C51DFB" w14:textId="77777777" w:rsidR="009B01BA" w:rsidRDefault="009E3CBF">
      <w:pPr>
        <w:pStyle w:val="Heading3"/>
        <w:rPr>
          <w:rFonts w:ascii="Arial" w:hAnsi="Arial" w:cs="Arial"/>
        </w:rPr>
      </w:pPr>
      <w:bookmarkStart w:id="66" w:name="_Toc212768023"/>
      <w:r>
        <w:rPr>
          <w:rFonts w:ascii="Arial" w:hAnsi="Arial" w:cs="Arial"/>
        </w:rPr>
        <w:lastRenderedPageBreak/>
        <w:t>References</w:t>
      </w:r>
      <w:bookmarkEnd w:id="66"/>
    </w:p>
    <w:p w14:paraId="261C1574" w14:textId="77777777" w:rsidR="009B01BA" w:rsidRDefault="009B01BA"/>
    <w:p w14:paraId="1E6FD2F1" w14:textId="77777777" w:rsidR="009B01BA" w:rsidRDefault="009E3CBF">
      <w:pPr>
        <w:pStyle w:val="NormalWeb"/>
        <w:numPr>
          <w:ilvl w:val="0"/>
          <w:numId w:val="10"/>
        </w:numPr>
        <w:suppressAutoHyphens w:val="0"/>
      </w:pPr>
      <w:r>
        <w:t xml:space="preserve">Amnesty International, 2023. </w:t>
      </w:r>
      <w:r>
        <w:rPr>
          <w:rStyle w:val="Emphasis"/>
          <w:bCs/>
        </w:rPr>
        <w:t>Labour Practices in the Electronics Supply Chain: A Focus on Asia</w:t>
      </w:r>
      <w:r>
        <w:rPr>
          <w:bCs/>
        </w:rPr>
        <w:t xml:space="preserve">. Available at: [ </w:t>
      </w:r>
      <w:hyperlink r:id="rId9" w:history="1">
        <w:r>
          <w:rPr>
            <w:rStyle w:val="Hyperlink"/>
            <w:bCs/>
          </w:rPr>
          <w:t>https://www.amnesty.org/en/wp-content/uploads/2023/03/WEBPOL1056702023ENGLISH.pdf</w:t>
        </w:r>
      </w:hyperlink>
      <w:r>
        <w:rPr>
          <w:bCs/>
        </w:rPr>
        <w:t xml:space="preserve"> ] (Accessed [18/10/ 2025]).</w:t>
      </w:r>
    </w:p>
    <w:p w14:paraId="42FC2C2F" w14:textId="77777777" w:rsidR="009B01BA" w:rsidRDefault="009E3CBF">
      <w:pPr>
        <w:pStyle w:val="NormalWeb"/>
        <w:numPr>
          <w:ilvl w:val="0"/>
          <w:numId w:val="10"/>
        </w:numPr>
        <w:suppressAutoHyphens w:val="0"/>
      </w:pPr>
      <w:r>
        <w:t xml:space="preserve">Apple, 2023. </w:t>
      </w:r>
      <w:r>
        <w:rPr>
          <w:rStyle w:val="Emphasis"/>
          <w:bCs/>
        </w:rPr>
        <w:t>Apple Supplier List 2023</w:t>
      </w:r>
      <w:r>
        <w:rPr>
          <w:bCs/>
        </w:rPr>
        <w:t xml:space="preserve">. Available at: [ </w:t>
      </w:r>
      <w:hyperlink r:id="rId10" w:history="1">
        <w:r>
          <w:rPr>
            <w:rStyle w:val="Hyperlink"/>
            <w:bCs/>
          </w:rPr>
          <w:t>https://s203.q4cdn.com/367071867/f</w:t>
        </w:r>
        <w:bookmarkStart w:id="67" w:name="_Hlt212748558"/>
        <w:bookmarkStart w:id="68" w:name="_Hlt212748559"/>
        <w:r>
          <w:rPr>
            <w:rStyle w:val="Hyperlink"/>
            <w:bCs/>
          </w:rPr>
          <w:t>i</w:t>
        </w:r>
        <w:bookmarkEnd w:id="67"/>
        <w:bookmarkEnd w:id="68"/>
        <w:r>
          <w:rPr>
            <w:rStyle w:val="Hyperlink"/>
            <w:bCs/>
          </w:rPr>
          <w:t>les/doc_downloads/2024/04/Apple-Supplier-List.pdf</w:t>
        </w:r>
      </w:hyperlink>
      <w:r>
        <w:rPr>
          <w:rFonts w:eastAsia="PMingLiU"/>
          <w:bCs/>
        </w:rPr>
        <w:t xml:space="preserve"> </w:t>
      </w:r>
      <w:r>
        <w:rPr>
          <w:bCs/>
        </w:rPr>
        <w:t>]  (Accessed: [10/10/2025]).</w:t>
      </w:r>
    </w:p>
    <w:p w14:paraId="5F37EF99" w14:textId="77777777" w:rsidR="009B01BA" w:rsidRDefault="009E3CBF">
      <w:pPr>
        <w:pStyle w:val="ListParagraph"/>
        <w:numPr>
          <w:ilvl w:val="0"/>
          <w:numId w:val="10"/>
        </w:numPr>
        <w:spacing w:line="256" w:lineRule="auto"/>
      </w:pPr>
      <w:r>
        <w:t xml:space="preserve">Apple, 2024. </w:t>
      </w:r>
      <w:r>
        <w:rPr>
          <w:i/>
          <w:iCs/>
        </w:rPr>
        <w:t>Environmental Progress Report 2024</w:t>
      </w:r>
      <w:r>
        <w:t xml:space="preserve">. Available at: [ </w:t>
      </w:r>
      <w:hyperlink r:id="rId11" w:history="1">
        <w:r>
          <w:rPr>
            <w:rStyle w:val="Hyperlink"/>
          </w:rPr>
          <w:t>htt</w:t>
        </w:r>
        <w:bookmarkStart w:id="69" w:name="_Hlt212762649"/>
        <w:bookmarkStart w:id="70" w:name="_Hlt212762650"/>
        <w:r>
          <w:rPr>
            <w:rStyle w:val="Hyperlink"/>
          </w:rPr>
          <w:t>p</w:t>
        </w:r>
        <w:bookmarkEnd w:id="69"/>
        <w:bookmarkEnd w:id="70"/>
        <w:r>
          <w:rPr>
            <w:rStyle w:val="Hyperlink"/>
          </w:rPr>
          <w:t>s://www.apple.co</w:t>
        </w:r>
        <w:bookmarkStart w:id="71" w:name="_Hlt212767342"/>
        <w:bookmarkStart w:id="72" w:name="_Hlt212767343"/>
        <w:r>
          <w:rPr>
            <w:rStyle w:val="Hyperlink"/>
          </w:rPr>
          <w:t>m</w:t>
        </w:r>
        <w:bookmarkEnd w:id="71"/>
        <w:bookmarkEnd w:id="72"/>
        <w:r>
          <w:rPr>
            <w:rStyle w:val="Hyperlink"/>
          </w:rPr>
          <w:t>/environment</w:t>
        </w:r>
      </w:hyperlink>
      <w:r>
        <w:t xml:space="preserve"> ] (Accessed [29/10/2025]).</w:t>
      </w:r>
    </w:p>
    <w:p w14:paraId="7FEFA954" w14:textId="77777777" w:rsidR="009B01BA" w:rsidRDefault="009E3CBF">
      <w:pPr>
        <w:pStyle w:val="NormalWeb"/>
        <w:numPr>
          <w:ilvl w:val="0"/>
          <w:numId w:val="10"/>
        </w:numPr>
        <w:suppressAutoHyphens w:val="0"/>
      </w:pPr>
      <w:r>
        <w:rPr>
          <w:bCs/>
        </w:rPr>
        <w:t xml:space="preserve">Apple, 2025. </w:t>
      </w:r>
      <w:r>
        <w:rPr>
          <w:rStyle w:val="Emphasis"/>
          <w:bCs/>
        </w:rPr>
        <w:t>Supplier Responsibility Progress Report 2025</w:t>
      </w:r>
      <w:r>
        <w:t xml:space="preserve">. Available at: [ </w:t>
      </w:r>
      <w:hyperlink r:id="rId12" w:history="1">
        <w:r>
          <w:rPr>
            <w:rStyle w:val="Hyperlink"/>
          </w:rPr>
          <w:t>htt</w:t>
        </w:r>
        <w:bookmarkStart w:id="73" w:name="_Hlt212759396"/>
        <w:bookmarkStart w:id="74" w:name="_Hlt212759397"/>
        <w:r>
          <w:rPr>
            <w:rStyle w:val="Hyperlink"/>
          </w:rPr>
          <w:t>p</w:t>
        </w:r>
        <w:bookmarkEnd w:id="73"/>
        <w:bookmarkEnd w:id="74"/>
        <w:r>
          <w:rPr>
            <w:rStyle w:val="Hyperlink"/>
          </w:rPr>
          <w:t>s://www.apple.com/suppli</w:t>
        </w:r>
        <w:bookmarkStart w:id="75" w:name="_Hlt212763089"/>
        <w:bookmarkStart w:id="76" w:name="_Hlt212763090"/>
        <w:r>
          <w:rPr>
            <w:rStyle w:val="Hyperlink"/>
          </w:rPr>
          <w:t>e</w:t>
        </w:r>
        <w:bookmarkEnd w:id="75"/>
        <w:bookmarkEnd w:id="76"/>
        <w:r>
          <w:rPr>
            <w:rStyle w:val="Hyperlink"/>
          </w:rPr>
          <w:t>r-responsibility</w:t>
        </w:r>
      </w:hyperlink>
      <w:r>
        <w:t xml:space="preserve"> ] (Accessed [20/10/2025]).</w:t>
      </w:r>
    </w:p>
    <w:p w14:paraId="283FF92C" w14:textId="77777777" w:rsidR="009B01BA" w:rsidRDefault="009E3CBF">
      <w:pPr>
        <w:pStyle w:val="ListParagraph"/>
        <w:numPr>
          <w:ilvl w:val="0"/>
          <w:numId w:val="10"/>
        </w:numPr>
        <w:spacing w:before="100" w:after="100"/>
      </w:pPr>
      <w:r>
        <w:rPr>
          <w:rFonts w:ascii="Times New Roman" w:hAnsi="Times New Roman"/>
          <w:sz w:val="24"/>
          <w:szCs w:val="24"/>
        </w:rPr>
        <w:t xml:space="preserve">Barney, J., 1991. </w:t>
      </w:r>
      <w:r>
        <w:rPr>
          <w:rFonts w:ascii="Times New Roman" w:hAnsi="Times New Roman"/>
          <w:i/>
          <w:iCs/>
          <w:sz w:val="24"/>
          <w:szCs w:val="24"/>
        </w:rPr>
        <w:t>Firm Resources and Sustained Competitive Advantage</w:t>
      </w:r>
      <w:r>
        <w:rPr>
          <w:rFonts w:ascii="Times New Roman" w:hAnsi="Times New Roman"/>
          <w:sz w:val="24"/>
          <w:szCs w:val="24"/>
        </w:rPr>
        <w:t>. Journal of Management, 17(1), pp.99–120.</w:t>
      </w:r>
    </w:p>
    <w:p w14:paraId="3946D7FD" w14:textId="77777777" w:rsidR="009B01BA" w:rsidRDefault="009E3CBF">
      <w:pPr>
        <w:pStyle w:val="ListParagraph"/>
        <w:numPr>
          <w:ilvl w:val="0"/>
          <w:numId w:val="10"/>
        </w:numPr>
        <w:spacing w:before="100" w:after="100"/>
      </w:pPr>
      <w:r>
        <w:rPr>
          <w:rFonts w:ascii="Times New Roman" w:hAnsi="Times New Roman"/>
          <w:sz w:val="24"/>
          <w:szCs w:val="24"/>
        </w:rPr>
        <w:t xml:space="preserve">Barrientos, S., 2013. </w:t>
      </w:r>
      <w:r>
        <w:rPr>
          <w:rFonts w:ascii="Times New Roman" w:hAnsi="Times New Roman"/>
          <w:i/>
          <w:iCs/>
          <w:sz w:val="24"/>
          <w:szCs w:val="24"/>
        </w:rPr>
        <w:t>Corporate Purchasing Practices in Global Production Networks: A Socially Contested Terrain</w:t>
      </w:r>
      <w:r>
        <w:rPr>
          <w:rFonts w:ascii="Times New Roman" w:hAnsi="Times New Roman"/>
          <w:sz w:val="24"/>
          <w:szCs w:val="24"/>
        </w:rPr>
        <w:t>. Journal of Supply Chain Management, 49(2), pp.3–23.</w:t>
      </w:r>
    </w:p>
    <w:p w14:paraId="6DD8D7EE" w14:textId="77777777" w:rsidR="009B01BA" w:rsidRDefault="009E3CBF">
      <w:pPr>
        <w:pStyle w:val="ListParagraph"/>
        <w:numPr>
          <w:ilvl w:val="0"/>
          <w:numId w:val="10"/>
        </w:numPr>
        <w:spacing w:before="100" w:after="100"/>
      </w:pPr>
      <w:r>
        <w:rPr>
          <w:rFonts w:ascii="Times New Roman" w:hAnsi="Times New Roman"/>
          <w:sz w:val="24"/>
          <w:szCs w:val="24"/>
        </w:rPr>
        <w:t xml:space="preserve">Bloomberg, 2024. </w:t>
      </w:r>
      <w:r>
        <w:rPr>
          <w:rFonts w:ascii="Times New Roman" w:hAnsi="Times New Roman"/>
          <w:i/>
          <w:iCs/>
          <w:sz w:val="24"/>
          <w:szCs w:val="24"/>
        </w:rPr>
        <w:t>Apple Expands R&amp;D Partnerships to Boost Chip Innovation</w:t>
      </w:r>
      <w:r>
        <w:rPr>
          <w:rFonts w:ascii="Times New Roman" w:hAnsi="Times New Roman"/>
          <w:sz w:val="24"/>
          <w:szCs w:val="24"/>
        </w:rPr>
        <w:t xml:space="preserve">.  Available at: [ </w:t>
      </w:r>
      <w:hyperlink r:id="rId13" w:history="1">
        <w:r>
          <w:rPr>
            <w:rStyle w:val="Hyperlink"/>
            <w:rFonts w:ascii="Times New Roman" w:hAnsi="Times New Roman"/>
            <w:sz w:val="24"/>
            <w:szCs w:val="24"/>
          </w:rPr>
          <w:t>https://www.scirp.org/reference/referencespapers?referenceid=3876822</w:t>
        </w:r>
      </w:hyperlink>
      <w:r>
        <w:rPr>
          <w:rFonts w:ascii="Times New Roman" w:hAnsi="Times New Roman"/>
          <w:sz w:val="24"/>
          <w:szCs w:val="24"/>
        </w:rPr>
        <w:t xml:space="preserve"> ] (Accessed [26/10/2025]).</w:t>
      </w:r>
    </w:p>
    <w:p w14:paraId="32E0A931" w14:textId="77777777" w:rsidR="009B01BA" w:rsidRDefault="009E3CBF">
      <w:pPr>
        <w:pStyle w:val="ListParagraph"/>
        <w:numPr>
          <w:ilvl w:val="0"/>
          <w:numId w:val="10"/>
        </w:numPr>
        <w:spacing w:before="100" w:after="100"/>
      </w:pPr>
      <w:r>
        <w:rPr>
          <w:rFonts w:ascii="Times New Roman" w:hAnsi="Times New Roman"/>
          <w:sz w:val="24"/>
          <w:szCs w:val="24"/>
        </w:rPr>
        <w:t xml:space="preserve">Bocken, N.M.P., de Pauw, I., Bakker, C. and van der Grinten, B., 2016. </w:t>
      </w:r>
      <w:r>
        <w:rPr>
          <w:rFonts w:ascii="Times New Roman" w:hAnsi="Times New Roman"/>
          <w:i/>
          <w:iCs/>
          <w:sz w:val="24"/>
          <w:szCs w:val="24"/>
        </w:rPr>
        <w:t>Product Design and Business Model Strategies for a Circular Economy</w:t>
      </w:r>
      <w:r>
        <w:rPr>
          <w:rFonts w:ascii="Times New Roman" w:hAnsi="Times New Roman"/>
          <w:sz w:val="24"/>
          <w:szCs w:val="24"/>
        </w:rPr>
        <w:t>. Journal of Industrial and Production Engineering, 33(5), pp.308–320.</w:t>
      </w:r>
    </w:p>
    <w:p w14:paraId="6FC78DA5" w14:textId="77777777" w:rsidR="009B01BA" w:rsidRDefault="009E3CBF">
      <w:pPr>
        <w:pStyle w:val="ListParagraph"/>
        <w:numPr>
          <w:ilvl w:val="0"/>
          <w:numId w:val="10"/>
        </w:numPr>
        <w:spacing w:line="256" w:lineRule="auto"/>
      </w:pPr>
      <w:r>
        <w:t xml:space="preserve">Brandon-Jones, E., Squire, B., Autry, C.W. and Petersen, K.J. (2014) ‘A contingent resource-based perspective of supply chain resilience and robustness’, </w:t>
      </w:r>
      <w:r>
        <w:rPr>
          <w:i/>
          <w:iCs/>
        </w:rPr>
        <w:t>Journal of Supply Chain Management</w:t>
      </w:r>
      <w:r>
        <w:t>, 50(3), pp. 55–73.</w:t>
      </w:r>
    </w:p>
    <w:p w14:paraId="5591F2C5" w14:textId="77777777" w:rsidR="009B01BA" w:rsidRDefault="009E3CBF">
      <w:pPr>
        <w:pStyle w:val="ListParagraph"/>
        <w:numPr>
          <w:ilvl w:val="0"/>
          <w:numId w:val="10"/>
        </w:numPr>
        <w:spacing w:before="100" w:after="100"/>
      </w:pPr>
      <w:r>
        <w:rPr>
          <w:rFonts w:ascii="Times New Roman" w:hAnsi="Times New Roman"/>
          <w:sz w:val="24"/>
          <w:szCs w:val="24"/>
        </w:rPr>
        <w:t xml:space="preserve">Cao, M. and Zhang, Q., 2011. </w:t>
      </w:r>
      <w:r>
        <w:rPr>
          <w:rFonts w:ascii="Times New Roman" w:hAnsi="Times New Roman"/>
          <w:i/>
          <w:iCs/>
          <w:sz w:val="24"/>
          <w:szCs w:val="24"/>
        </w:rPr>
        <w:t>Supply Chain Collaboration: Impact on Collaborative Advantage and Firm Performance</w:t>
      </w:r>
      <w:r>
        <w:rPr>
          <w:rFonts w:ascii="Times New Roman" w:hAnsi="Times New Roman"/>
          <w:sz w:val="24"/>
          <w:szCs w:val="24"/>
        </w:rPr>
        <w:t>. Journal of Operations Management, 29(3), pp.163–180.</w:t>
      </w:r>
    </w:p>
    <w:p w14:paraId="5B1B44E9" w14:textId="77777777" w:rsidR="009B01BA" w:rsidRDefault="009E3CBF">
      <w:pPr>
        <w:pStyle w:val="ListParagraph"/>
        <w:numPr>
          <w:ilvl w:val="0"/>
          <w:numId w:val="10"/>
        </w:numPr>
        <w:spacing w:before="100" w:after="100"/>
      </w:pPr>
      <w:r>
        <w:rPr>
          <w:rFonts w:ascii="Times New Roman" w:hAnsi="Times New Roman"/>
          <w:sz w:val="24"/>
          <w:szCs w:val="24"/>
        </w:rPr>
        <w:t xml:space="preserve">Carter, C.R. and Rogers, D.S., 2008. </w:t>
      </w:r>
      <w:r>
        <w:rPr>
          <w:rFonts w:ascii="Times New Roman" w:hAnsi="Times New Roman"/>
          <w:i/>
          <w:iCs/>
          <w:sz w:val="24"/>
          <w:szCs w:val="24"/>
        </w:rPr>
        <w:t>A Framework of Sustainable Supply Chain Management: Moving Toward New Theory</w:t>
      </w:r>
      <w:r>
        <w:rPr>
          <w:rFonts w:ascii="Times New Roman" w:hAnsi="Times New Roman"/>
          <w:sz w:val="24"/>
          <w:szCs w:val="24"/>
        </w:rPr>
        <w:t>. International Journal of Physical Distribution &amp; Logistics Management, 38(5), pp.360–387.</w:t>
      </w:r>
    </w:p>
    <w:p w14:paraId="402F7437" w14:textId="77777777" w:rsidR="009B01BA" w:rsidRDefault="009E3CBF">
      <w:pPr>
        <w:pStyle w:val="ListParagraph"/>
        <w:numPr>
          <w:ilvl w:val="0"/>
          <w:numId w:val="10"/>
        </w:numPr>
        <w:spacing w:before="100" w:after="100"/>
      </w:pPr>
      <w:r>
        <w:rPr>
          <w:rFonts w:ascii="Times New Roman" w:hAnsi="Times New Roman"/>
          <w:sz w:val="24"/>
          <w:szCs w:val="24"/>
        </w:rPr>
        <w:t xml:space="preserve">Choi, T.Y., Dooley, K.J. and Rungtusanatham, M., 2001. </w:t>
      </w:r>
      <w:r>
        <w:rPr>
          <w:rFonts w:ascii="Times New Roman" w:hAnsi="Times New Roman"/>
          <w:i/>
          <w:iCs/>
          <w:sz w:val="24"/>
          <w:szCs w:val="24"/>
        </w:rPr>
        <w:t>Supply Networks and Complex Adaptive Systems: Control Versus Emergence</w:t>
      </w:r>
      <w:r>
        <w:rPr>
          <w:rFonts w:ascii="Times New Roman" w:hAnsi="Times New Roman"/>
          <w:sz w:val="24"/>
          <w:szCs w:val="24"/>
        </w:rPr>
        <w:t>. Journal of Operations Management, 19(3), pp.351–366.</w:t>
      </w:r>
    </w:p>
    <w:p w14:paraId="778A2616" w14:textId="77777777" w:rsidR="009B01BA" w:rsidRDefault="009E3CBF">
      <w:pPr>
        <w:pStyle w:val="ListParagraph"/>
        <w:numPr>
          <w:ilvl w:val="0"/>
          <w:numId w:val="10"/>
        </w:numPr>
        <w:spacing w:line="256" w:lineRule="auto"/>
      </w:pPr>
      <w:r>
        <w:t xml:space="preserve">Choi, T.Y., Rogers, D. and Vakil, B. (2020) ‘Coronavirus is a wake-up call for supply chain management’, </w:t>
      </w:r>
      <w:r>
        <w:rPr>
          <w:i/>
          <w:iCs/>
        </w:rPr>
        <w:t>Harvard Business Review</w:t>
      </w:r>
      <w:r>
        <w:t xml:space="preserve">, 27 March. Available at: [ </w:t>
      </w:r>
      <w:hyperlink r:id="rId14" w:history="1">
        <w:r>
          <w:rPr>
            <w:rStyle w:val="Hyperlink"/>
          </w:rPr>
          <w:t>https://hbr.org/2020/03/coronavirus-is-a-wake-</w:t>
        </w:r>
        <w:bookmarkStart w:id="77" w:name="_Hlt212642890"/>
        <w:bookmarkStart w:id="78" w:name="_Hlt212642891"/>
        <w:r>
          <w:rPr>
            <w:rStyle w:val="Hyperlink"/>
          </w:rPr>
          <w:t>u</w:t>
        </w:r>
        <w:bookmarkEnd w:id="77"/>
        <w:bookmarkEnd w:id="78"/>
        <w:r>
          <w:rPr>
            <w:rStyle w:val="Hyperlink"/>
          </w:rPr>
          <w:t>p-call-for-supply-chain-management</w:t>
        </w:r>
      </w:hyperlink>
      <w:r>
        <w:t xml:space="preserve"> ] (Accessed: [01/10/2025]).</w:t>
      </w:r>
    </w:p>
    <w:p w14:paraId="09E41E78" w14:textId="77777777" w:rsidR="009B01BA" w:rsidRDefault="009E3CBF">
      <w:pPr>
        <w:pStyle w:val="ListParagraph"/>
        <w:numPr>
          <w:ilvl w:val="0"/>
          <w:numId w:val="10"/>
        </w:numPr>
        <w:spacing w:before="100" w:after="100"/>
      </w:pPr>
      <w:r>
        <w:rPr>
          <w:rFonts w:ascii="Times New Roman" w:hAnsi="Times New Roman"/>
          <w:sz w:val="24"/>
          <w:szCs w:val="24"/>
        </w:rPr>
        <w:t xml:space="preserve">Choi, T.Y., Wallace, S.W. and Wang, Y., 2019. </w:t>
      </w:r>
      <w:r>
        <w:rPr>
          <w:rFonts w:ascii="Times New Roman" w:hAnsi="Times New Roman"/>
          <w:i/>
          <w:iCs/>
          <w:sz w:val="24"/>
          <w:szCs w:val="24"/>
        </w:rPr>
        <w:t>The Dark Side of Supply Chain Traceability: Pitfalls and Challenges</w:t>
      </w:r>
      <w:r>
        <w:rPr>
          <w:rFonts w:ascii="Times New Roman" w:hAnsi="Times New Roman"/>
          <w:sz w:val="24"/>
          <w:szCs w:val="24"/>
        </w:rPr>
        <w:t>. International Journal of Production Economics, 211, pp.17–27.</w:t>
      </w:r>
    </w:p>
    <w:p w14:paraId="0F719A78" w14:textId="77777777" w:rsidR="009B01BA" w:rsidRDefault="009E3CBF">
      <w:pPr>
        <w:pStyle w:val="ListParagraph"/>
        <w:numPr>
          <w:ilvl w:val="0"/>
          <w:numId w:val="10"/>
        </w:numPr>
        <w:spacing w:line="256" w:lineRule="auto"/>
      </w:pPr>
      <w:r>
        <w:t xml:space="preserve">Choudhury, P. and Choudhury, S. (2022) ‘Global supply chain diversification: strategies of multinational corporations in Asia’, </w:t>
      </w:r>
      <w:r>
        <w:rPr>
          <w:i/>
          <w:iCs/>
        </w:rPr>
        <w:t>Journal of Business Research</w:t>
      </w:r>
      <w:r>
        <w:t>, 149, pp. 562–573.</w:t>
      </w:r>
    </w:p>
    <w:p w14:paraId="143F9BE7" w14:textId="77777777" w:rsidR="009B01BA" w:rsidRDefault="009E3CBF">
      <w:pPr>
        <w:pStyle w:val="ListParagraph"/>
        <w:numPr>
          <w:ilvl w:val="0"/>
          <w:numId w:val="10"/>
        </w:numPr>
        <w:spacing w:line="256" w:lineRule="auto"/>
      </w:pPr>
      <w:r>
        <w:lastRenderedPageBreak/>
        <w:t xml:space="preserve">Chowdhury, P., Paul, S.K., Kaisar, S. and Moktadir, M.A. (2021) ‘COVID-19 pandemic related supply chain studies: A systematic review’, </w:t>
      </w:r>
      <w:r>
        <w:rPr>
          <w:i/>
          <w:iCs/>
        </w:rPr>
        <w:t>Transportation Research Part E: Logistics and Transportation Review</w:t>
      </w:r>
      <w:r>
        <w:t xml:space="preserve">, 148, 102271. Available at:       [ </w:t>
      </w:r>
      <w:hyperlink r:id="rId15" w:history="1">
        <w:r>
          <w:rPr>
            <w:rStyle w:val="Hyperlink"/>
          </w:rPr>
          <w:t>https://doi.org/10.1016/j.t</w:t>
        </w:r>
        <w:bookmarkStart w:id="79" w:name="_Hlt212642164"/>
        <w:bookmarkStart w:id="80" w:name="_Hlt212642165"/>
        <w:r>
          <w:rPr>
            <w:rStyle w:val="Hyperlink"/>
          </w:rPr>
          <w:t>r</w:t>
        </w:r>
        <w:bookmarkEnd w:id="79"/>
        <w:bookmarkEnd w:id="80"/>
        <w:r>
          <w:rPr>
            <w:rStyle w:val="Hyperlink"/>
          </w:rPr>
          <w:t>e.2021.102271</w:t>
        </w:r>
      </w:hyperlink>
      <w:r>
        <w:t>] (Accessed: [29/09/2025]).</w:t>
      </w:r>
    </w:p>
    <w:p w14:paraId="674CAA22" w14:textId="77777777" w:rsidR="009B01BA" w:rsidRDefault="009E3CBF">
      <w:pPr>
        <w:pStyle w:val="ListParagraph"/>
        <w:numPr>
          <w:ilvl w:val="0"/>
          <w:numId w:val="10"/>
        </w:numPr>
        <w:spacing w:line="256" w:lineRule="auto"/>
      </w:pPr>
      <w:r>
        <w:t xml:space="preserve">Christopher, M. &amp; Towill, D.R., 2001. An integrated model for the design of agile supply chains. </w:t>
      </w:r>
      <w:r>
        <w:rPr>
          <w:i/>
          <w:iCs/>
        </w:rPr>
        <w:t>International Journal of Physical Distribution &amp; Logistics Management</w:t>
      </w:r>
      <w:r>
        <w:t>, 31(4), pp.235–246.</w:t>
      </w:r>
    </w:p>
    <w:p w14:paraId="0327C38E" w14:textId="77777777" w:rsidR="009B01BA" w:rsidRDefault="009E3CBF">
      <w:pPr>
        <w:pStyle w:val="ListParagraph"/>
        <w:numPr>
          <w:ilvl w:val="0"/>
          <w:numId w:val="10"/>
        </w:numPr>
        <w:spacing w:line="256" w:lineRule="auto"/>
      </w:pPr>
      <w:r>
        <w:t xml:space="preserve">Christopher, M. and Holweg, M. (2017) ‘Supply Chain 2.0: Managing supply chains in the era of turbulence’, </w:t>
      </w:r>
      <w:r>
        <w:rPr>
          <w:i/>
          <w:iCs/>
        </w:rPr>
        <w:t>International Journal of Physical Distribution &amp; Logistics Management</w:t>
      </w:r>
      <w:r>
        <w:t>, 47(1), pp. 2–17.</w:t>
      </w:r>
    </w:p>
    <w:p w14:paraId="2785D2F6" w14:textId="77777777" w:rsidR="009B01BA" w:rsidRDefault="009E3CBF">
      <w:pPr>
        <w:pStyle w:val="ListParagraph"/>
        <w:numPr>
          <w:ilvl w:val="0"/>
          <w:numId w:val="10"/>
        </w:numPr>
        <w:spacing w:line="256" w:lineRule="auto"/>
      </w:pPr>
      <w:r>
        <w:t xml:space="preserve">Christopher, M. and Peck, H. (2020) </w:t>
      </w:r>
      <w:r>
        <w:rPr>
          <w:i/>
          <w:iCs/>
        </w:rPr>
        <w:t>Building the Resilient Supply Chain</w:t>
      </w:r>
      <w:r>
        <w:t>. 2nd ed. London: Kogan Page.</w:t>
      </w:r>
    </w:p>
    <w:p w14:paraId="53FAFFEF" w14:textId="77777777" w:rsidR="009B01BA" w:rsidRDefault="009E3CBF">
      <w:pPr>
        <w:pStyle w:val="NormalWeb"/>
        <w:numPr>
          <w:ilvl w:val="0"/>
          <w:numId w:val="10"/>
        </w:numPr>
        <w:suppressAutoHyphens w:val="0"/>
      </w:pPr>
      <w:r>
        <w:t xml:space="preserve">Christopher, M. and Peck, H., 2004. </w:t>
      </w:r>
      <w:r>
        <w:rPr>
          <w:rStyle w:val="Emphasis"/>
          <w:b/>
          <w:bCs/>
        </w:rPr>
        <w:t>Building the Resilient Supply Chain</w:t>
      </w:r>
      <w:r>
        <w:rPr>
          <w:b/>
          <w:bCs/>
        </w:rPr>
        <w:t>.</w:t>
      </w:r>
      <w:r>
        <w:t xml:space="preserve"> International Journal of Logistics Management, 15(2), pp.1–14.</w:t>
      </w:r>
    </w:p>
    <w:p w14:paraId="5F395920" w14:textId="77777777" w:rsidR="009B01BA" w:rsidRDefault="009E3CBF">
      <w:pPr>
        <w:pStyle w:val="ListParagraph"/>
        <w:numPr>
          <w:ilvl w:val="0"/>
          <w:numId w:val="10"/>
        </w:numPr>
        <w:spacing w:before="100" w:after="100"/>
      </w:pPr>
      <w:r>
        <w:rPr>
          <w:rFonts w:ascii="Times New Roman" w:hAnsi="Times New Roman"/>
          <w:sz w:val="24"/>
          <w:szCs w:val="24"/>
        </w:rPr>
        <w:t xml:space="preserve">Christopher, M. and Peck, H., 2004. </w:t>
      </w:r>
      <w:r>
        <w:rPr>
          <w:rFonts w:ascii="Times New Roman" w:hAnsi="Times New Roman"/>
          <w:i/>
          <w:iCs/>
          <w:sz w:val="24"/>
          <w:szCs w:val="24"/>
        </w:rPr>
        <w:t>Building the Resilient Supply Chain</w:t>
      </w:r>
      <w:r>
        <w:rPr>
          <w:rFonts w:ascii="Times New Roman" w:hAnsi="Times New Roman"/>
          <w:sz w:val="24"/>
          <w:szCs w:val="24"/>
        </w:rPr>
        <w:t>. International Journal of Logistics Management, 15(2), pp.1–13.</w:t>
      </w:r>
    </w:p>
    <w:p w14:paraId="361D10A5" w14:textId="77777777" w:rsidR="009B01BA" w:rsidRDefault="009E3CBF">
      <w:pPr>
        <w:pStyle w:val="ListParagraph"/>
        <w:numPr>
          <w:ilvl w:val="0"/>
          <w:numId w:val="10"/>
        </w:numPr>
        <w:spacing w:before="100" w:after="100"/>
      </w:pPr>
      <w:r>
        <w:rPr>
          <w:rFonts w:ascii="Times New Roman" w:hAnsi="Times New Roman"/>
          <w:sz w:val="24"/>
          <w:szCs w:val="24"/>
        </w:rPr>
        <w:t xml:space="preserve">Christopher, M., 2016. </w:t>
      </w:r>
      <w:r>
        <w:rPr>
          <w:rFonts w:ascii="Times New Roman" w:hAnsi="Times New Roman"/>
          <w:i/>
          <w:iCs/>
          <w:sz w:val="24"/>
          <w:szCs w:val="24"/>
        </w:rPr>
        <w:t>Logistics &amp; Supply Chain Management</w:t>
      </w:r>
      <w:r>
        <w:rPr>
          <w:rFonts w:ascii="Times New Roman" w:hAnsi="Times New Roman"/>
          <w:sz w:val="24"/>
          <w:szCs w:val="24"/>
        </w:rPr>
        <w:t>, 5th ed. London: Pearson.</w:t>
      </w:r>
    </w:p>
    <w:p w14:paraId="141452A0" w14:textId="77777777" w:rsidR="009B01BA" w:rsidRDefault="009E3CBF">
      <w:pPr>
        <w:pStyle w:val="ListParagraph"/>
        <w:numPr>
          <w:ilvl w:val="0"/>
          <w:numId w:val="10"/>
        </w:numPr>
        <w:spacing w:before="100" w:after="100"/>
      </w:pPr>
      <w:r>
        <w:rPr>
          <w:rFonts w:ascii="Times New Roman" w:hAnsi="Times New Roman"/>
          <w:sz w:val="24"/>
          <w:szCs w:val="24"/>
        </w:rPr>
        <w:t xml:space="preserve">Crane, A., LeBaron, G., Allain, J. and Behbahani, L., 2019. </w:t>
      </w:r>
      <w:r>
        <w:rPr>
          <w:rFonts w:ascii="Times New Roman" w:hAnsi="Times New Roman"/>
          <w:i/>
          <w:iCs/>
          <w:sz w:val="24"/>
          <w:szCs w:val="24"/>
        </w:rPr>
        <w:t>Governance Gaps in Eradicating Forced Labour: Lessons from Global Supply Chains</w:t>
      </w:r>
      <w:r>
        <w:rPr>
          <w:rFonts w:ascii="Times New Roman" w:hAnsi="Times New Roman"/>
          <w:sz w:val="24"/>
          <w:szCs w:val="24"/>
        </w:rPr>
        <w:t>. Regulation &amp; Governance, 13(3), pp.335–351.</w:t>
      </w:r>
    </w:p>
    <w:p w14:paraId="6AB27EF1" w14:textId="77777777" w:rsidR="009B01BA" w:rsidRDefault="009E3CBF">
      <w:pPr>
        <w:pStyle w:val="ListParagraph"/>
        <w:numPr>
          <w:ilvl w:val="0"/>
          <w:numId w:val="10"/>
        </w:numPr>
        <w:spacing w:line="256" w:lineRule="auto"/>
      </w:pPr>
      <w:r>
        <w:t xml:space="preserve">Dedrick, J., Kraemer, K.L. and Linden, G. (2011) ‘The distribution of value in the mobile phone supply chain’, </w:t>
      </w:r>
      <w:r>
        <w:rPr>
          <w:i/>
          <w:iCs/>
        </w:rPr>
        <w:t>Telecommunications Policy</w:t>
      </w:r>
      <w:r>
        <w:t>, 35(6), pp. 505–521.</w:t>
      </w:r>
    </w:p>
    <w:p w14:paraId="5CBCD3F1" w14:textId="77777777" w:rsidR="009B01BA" w:rsidRDefault="009E3CBF">
      <w:pPr>
        <w:pStyle w:val="ListParagraph"/>
        <w:numPr>
          <w:ilvl w:val="0"/>
          <w:numId w:val="10"/>
        </w:numPr>
        <w:spacing w:before="100" w:after="100"/>
      </w:pPr>
      <w:r>
        <w:rPr>
          <w:rFonts w:ascii="Times New Roman" w:hAnsi="Times New Roman"/>
          <w:sz w:val="24"/>
          <w:szCs w:val="24"/>
        </w:rPr>
        <w:t xml:space="preserve">Donaldson, T. and Preston, L.E., 1995. </w:t>
      </w:r>
      <w:r>
        <w:rPr>
          <w:rFonts w:ascii="Times New Roman" w:hAnsi="Times New Roman"/>
          <w:i/>
          <w:iCs/>
          <w:sz w:val="24"/>
          <w:szCs w:val="24"/>
        </w:rPr>
        <w:t>The Stakeholder Theory of the Corporation: Concepts, Evidence, and Implications</w:t>
      </w:r>
      <w:r>
        <w:rPr>
          <w:rFonts w:ascii="Times New Roman" w:hAnsi="Times New Roman"/>
          <w:sz w:val="24"/>
          <w:szCs w:val="24"/>
        </w:rPr>
        <w:t>. Academy of Management Review, 20(1), pp.65–91.</w:t>
      </w:r>
    </w:p>
    <w:p w14:paraId="531BB012" w14:textId="77777777" w:rsidR="009B01BA" w:rsidRDefault="009E3CBF">
      <w:pPr>
        <w:pStyle w:val="ListParagraph"/>
        <w:numPr>
          <w:ilvl w:val="0"/>
          <w:numId w:val="10"/>
        </w:numPr>
        <w:spacing w:line="256" w:lineRule="auto"/>
      </w:pPr>
      <w:r>
        <w:t xml:space="preserve">Evenett, S., 2021. Global trade tensions and supply chain risks: implications for multinational corporations. </w:t>
      </w:r>
      <w:r>
        <w:rPr>
          <w:i/>
          <w:iCs/>
        </w:rPr>
        <w:t>Journal of International Business Policy</w:t>
      </w:r>
      <w:r>
        <w:t>, 4(2), pp.123–145.</w:t>
      </w:r>
    </w:p>
    <w:p w14:paraId="683E957A" w14:textId="77777777" w:rsidR="009B01BA" w:rsidRDefault="009E3CBF">
      <w:pPr>
        <w:pStyle w:val="NormalWeb"/>
        <w:numPr>
          <w:ilvl w:val="0"/>
          <w:numId w:val="10"/>
        </w:numPr>
        <w:suppressAutoHyphens w:val="0"/>
      </w:pPr>
      <w:r>
        <w:rPr>
          <w:bCs/>
        </w:rPr>
        <w:t xml:space="preserve">Evenett, S., 2021. </w:t>
      </w:r>
      <w:r>
        <w:rPr>
          <w:rStyle w:val="Emphasis"/>
          <w:bCs/>
        </w:rPr>
        <w:t>Trade Tensions and the Global Supply Chain: Implications for Multinational Corporations</w:t>
      </w:r>
      <w:r>
        <w:t>. Journal of International Business Policy, 4(2), pp.145–162.</w:t>
      </w:r>
    </w:p>
    <w:p w14:paraId="43F95B96" w14:textId="77777777" w:rsidR="009B01BA" w:rsidRDefault="009E3CBF">
      <w:pPr>
        <w:pStyle w:val="ListParagraph"/>
        <w:numPr>
          <w:ilvl w:val="0"/>
          <w:numId w:val="10"/>
        </w:numPr>
        <w:spacing w:before="100" w:after="100"/>
      </w:pPr>
      <w:r>
        <w:rPr>
          <w:rFonts w:ascii="Times New Roman" w:hAnsi="Times New Roman"/>
          <w:sz w:val="24"/>
          <w:szCs w:val="24"/>
        </w:rPr>
        <w:t xml:space="preserve">Fine, C.H., 1998. </w:t>
      </w:r>
      <w:r>
        <w:rPr>
          <w:rFonts w:ascii="Times New Roman" w:hAnsi="Times New Roman"/>
          <w:i/>
          <w:iCs/>
          <w:sz w:val="24"/>
          <w:szCs w:val="24"/>
        </w:rPr>
        <w:t>Clockspeed: Winning Industry Control in the Age of Temporary Advantage</w:t>
      </w:r>
      <w:r>
        <w:rPr>
          <w:rFonts w:ascii="Times New Roman" w:hAnsi="Times New Roman"/>
          <w:sz w:val="24"/>
          <w:szCs w:val="24"/>
        </w:rPr>
        <w:t>. Reading, MA: Perseus Books.</w:t>
      </w:r>
    </w:p>
    <w:p w14:paraId="503B6368" w14:textId="77777777" w:rsidR="009B01BA" w:rsidRDefault="009E3CBF">
      <w:pPr>
        <w:pStyle w:val="ListParagraph"/>
        <w:numPr>
          <w:ilvl w:val="0"/>
          <w:numId w:val="10"/>
        </w:numPr>
        <w:spacing w:before="100" w:after="100"/>
      </w:pPr>
      <w:r>
        <w:rPr>
          <w:rFonts w:ascii="Times New Roman" w:hAnsi="Times New Roman"/>
          <w:sz w:val="24"/>
          <w:szCs w:val="24"/>
        </w:rPr>
        <w:t xml:space="preserve">Fombrun, C.J., 1996. </w:t>
      </w:r>
      <w:r>
        <w:rPr>
          <w:rFonts w:ascii="Times New Roman" w:hAnsi="Times New Roman"/>
          <w:i/>
          <w:iCs/>
          <w:sz w:val="24"/>
          <w:szCs w:val="24"/>
        </w:rPr>
        <w:t>Reputation: Realizing Value from the Corporate Image</w:t>
      </w:r>
      <w:r>
        <w:rPr>
          <w:rFonts w:ascii="Times New Roman" w:hAnsi="Times New Roman"/>
          <w:sz w:val="24"/>
          <w:szCs w:val="24"/>
        </w:rPr>
        <w:t>. Boston: Harvard Business School Press.</w:t>
      </w:r>
    </w:p>
    <w:p w14:paraId="1161656D" w14:textId="77777777" w:rsidR="009B01BA" w:rsidRDefault="009E3CBF">
      <w:pPr>
        <w:pStyle w:val="NormalWeb"/>
        <w:numPr>
          <w:ilvl w:val="0"/>
          <w:numId w:val="10"/>
        </w:numPr>
        <w:suppressAutoHyphens w:val="0"/>
      </w:pPr>
      <w:r>
        <w:t xml:space="preserve">Freeman, R.E., 2010. </w:t>
      </w:r>
      <w:r>
        <w:rPr>
          <w:rStyle w:val="Emphasis"/>
          <w:bCs/>
        </w:rPr>
        <w:t>Strategic Management: A Stakeholder Approach</w:t>
      </w:r>
      <w:r>
        <w:rPr>
          <w:bCs/>
        </w:rPr>
        <w:t>. Cambridge: Cambridge University Press.</w:t>
      </w:r>
    </w:p>
    <w:p w14:paraId="607CB580" w14:textId="77777777" w:rsidR="009B01BA" w:rsidRDefault="009E3CBF">
      <w:pPr>
        <w:pStyle w:val="ListParagraph"/>
        <w:numPr>
          <w:ilvl w:val="0"/>
          <w:numId w:val="10"/>
        </w:numPr>
        <w:spacing w:line="256" w:lineRule="auto"/>
      </w:pPr>
      <w:r>
        <w:t>García-Navarro, J. and Poltronieri, O.C.C., 2024. Circular economy and GHG emissions, current situation. In </w:t>
      </w:r>
      <w:r>
        <w:rPr>
          <w:i/>
          <w:iCs/>
        </w:rPr>
        <w:t>Circular economy on energy and natural resources industries: new processes and applications to reduce, reuse and recycle materials and decrease greenhouse gases emissions</w:t>
      </w:r>
      <w:r>
        <w:t> (pp. 1-18). Cham: Springer International Publishing.</w:t>
      </w:r>
    </w:p>
    <w:p w14:paraId="2B4BE477" w14:textId="77777777" w:rsidR="009B01BA" w:rsidRDefault="009E3CBF">
      <w:pPr>
        <w:pStyle w:val="ListParagraph"/>
        <w:numPr>
          <w:ilvl w:val="0"/>
          <w:numId w:val="10"/>
        </w:numPr>
        <w:spacing w:before="100" w:after="100"/>
      </w:pPr>
      <w:r>
        <w:rPr>
          <w:rFonts w:ascii="Times New Roman" w:hAnsi="Times New Roman"/>
          <w:sz w:val="24"/>
          <w:szCs w:val="24"/>
        </w:rPr>
        <w:t xml:space="preserve">Garriga, E. and Melé, D., 2004. </w:t>
      </w:r>
      <w:r>
        <w:rPr>
          <w:rFonts w:ascii="Times New Roman" w:hAnsi="Times New Roman"/>
          <w:i/>
          <w:iCs/>
          <w:sz w:val="24"/>
          <w:szCs w:val="24"/>
        </w:rPr>
        <w:t>Corporate Social Responsibility Theories: Mapping the Territory</w:t>
      </w:r>
      <w:r>
        <w:rPr>
          <w:rFonts w:ascii="Times New Roman" w:hAnsi="Times New Roman"/>
          <w:sz w:val="24"/>
          <w:szCs w:val="24"/>
        </w:rPr>
        <w:t>. Journal of Business Ethics, 53(1–2), pp.51–71.</w:t>
      </w:r>
    </w:p>
    <w:p w14:paraId="19887177" w14:textId="77777777" w:rsidR="009B01BA" w:rsidRDefault="009E3CBF">
      <w:pPr>
        <w:pStyle w:val="ListParagraph"/>
        <w:numPr>
          <w:ilvl w:val="0"/>
          <w:numId w:val="10"/>
        </w:numPr>
        <w:spacing w:before="100" w:after="100"/>
      </w:pPr>
      <w:r>
        <w:rPr>
          <w:rFonts w:ascii="Times New Roman" w:hAnsi="Times New Roman"/>
          <w:sz w:val="24"/>
          <w:szCs w:val="24"/>
        </w:rPr>
        <w:t xml:space="preserve">Geissdoerfer, M., Savaget, P., Bocken, N.M.P. and Hultink, E.J., 2017. </w:t>
      </w:r>
      <w:r>
        <w:rPr>
          <w:rFonts w:ascii="Times New Roman" w:hAnsi="Times New Roman"/>
          <w:i/>
          <w:iCs/>
          <w:sz w:val="24"/>
          <w:szCs w:val="24"/>
        </w:rPr>
        <w:t>The Circular Economy – A New Sustainability Paradigm?</w:t>
      </w:r>
      <w:r>
        <w:rPr>
          <w:rFonts w:ascii="Times New Roman" w:hAnsi="Times New Roman"/>
          <w:sz w:val="24"/>
          <w:szCs w:val="24"/>
        </w:rPr>
        <w:t xml:space="preserve"> Journal of Cleaner Production, 143, pp.757–768.</w:t>
      </w:r>
    </w:p>
    <w:p w14:paraId="2275999B" w14:textId="77777777" w:rsidR="009B01BA" w:rsidRDefault="009E3CBF">
      <w:pPr>
        <w:pStyle w:val="ListParagraph"/>
        <w:numPr>
          <w:ilvl w:val="0"/>
          <w:numId w:val="10"/>
        </w:numPr>
        <w:spacing w:line="256" w:lineRule="auto"/>
      </w:pPr>
      <w:r>
        <w:lastRenderedPageBreak/>
        <w:t xml:space="preserve">Gereffi, G. (2020) ‘What does the COVID-19 pandemic teach us about global value chains? The case of medical supplies’, </w:t>
      </w:r>
      <w:r>
        <w:rPr>
          <w:i/>
          <w:iCs/>
        </w:rPr>
        <w:t>Journal of International Business Policy</w:t>
      </w:r>
      <w:r>
        <w:t>, 3(3), pp. 287–301.</w:t>
      </w:r>
    </w:p>
    <w:p w14:paraId="14928BB4" w14:textId="77777777" w:rsidR="009B01BA" w:rsidRDefault="009E3CBF">
      <w:pPr>
        <w:pStyle w:val="ListParagraph"/>
        <w:numPr>
          <w:ilvl w:val="0"/>
          <w:numId w:val="10"/>
        </w:numPr>
        <w:spacing w:before="100" w:after="100"/>
      </w:pPr>
      <w:r>
        <w:rPr>
          <w:rFonts w:ascii="Times New Roman" w:hAnsi="Times New Roman"/>
          <w:sz w:val="24"/>
          <w:szCs w:val="24"/>
        </w:rPr>
        <w:t xml:space="preserve">Gereffi, G., 2018. </w:t>
      </w:r>
      <w:r>
        <w:rPr>
          <w:rFonts w:ascii="Times New Roman" w:hAnsi="Times New Roman"/>
          <w:i/>
          <w:iCs/>
          <w:sz w:val="24"/>
          <w:szCs w:val="24"/>
        </w:rPr>
        <w:t>Global Value Chains, Development, and Emerging Economies</w:t>
      </w:r>
      <w:r>
        <w:rPr>
          <w:rFonts w:ascii="Times New Roman" w:hAnsi="Times New Roman"/>
          <w:sz w:val="24"/>
          <w:szCs w:val="24"/>
        </w:rPr>
        <w:t>. Cambridge: Cambridge University Press.</w:t>
      </w:r>
    </w:p>
    <w:p w14:paraId="55063B4D" w14:textId="77777777" w:rsidR="009B01BA" w:rsidRDefault="009E3CBF">
      <w:pPr>
        <w:pStyle w:val="NormalWeb"/>
        <w:numPr>
          <w:ilvl w:val="0"/>
          <w:numId w:val="10"/>
        </w:numPr>
        <w:suppressAutoHyphens w:val="0"/>
      </w:pPr>
      <w:r>
        <w:t xml:space="preserve">Gereffi, G., 2020. </w:t>
      </w:r>
      <w:r>
        <w:rPr>
          <w:rStyle w:val="Emphasis"/>
          <w:b/>
          <w:bCs/>
        </w:rPr>
        <w:t>Global Value Chains and International Trade: Lessons from COVID-19</w:t>
      </w:r>
      <w:r>
        <w:rPr>
          <w:b/>
          <w:bCs/>
        </w:rPr>
        <w:t xml:space="preserve">. </w:t>
      </w:r>
      <w:r>
        <w:t>World Economy, 43(11), pp.2785–2805.</w:t>
      </w:r>
    </w:p>
    <w:p w14:paraId="6B1DDAAD" w14:textId="77777777" w:rsidR="009B01BA" w:rsidRDefault="009E3CBF">
      <w:pPr>
        <w:pStyle w:val="ListParagraph"/>
        <w:numPr>
          <w:ilvl w:val="0"/>
          <w:numId w:val="10"/>
        </w:numPr>
        <w:spacing w:before="100" w:after="100"/>
      </w:pPr>
      <w:r>
        <w:rPr>
          <w:rFonts w:ascii="Times New Roman" w:hAnsi="Times New Roman"/>
          <w:sz w:val="24"/>
          <w:szCs w:val="24"/>
        </w:rPr>
        <w:t xml:space="preserve">Gereffi, G., 2020. </w:t>
      </w:r>
      <w:r>
        <w:rPr>
          <w:rFonts w:ascii="Times New Roman" w:hAnsi="Times New Roman"/>
          <w:i/>
          <w:iCs/>
          <w:sz w:val="24"/>
          <w:szCs w:val="24"/>
        </w:rPr>
        <w:t>Global Value Chains and the Changing Geography of Innovation Systems: Implications for Developing Countries</w:t>
      </w:r>
      <w:r>
        <w:rPr>
          <w:rFonts w:ascii="Times New Roman" w:hAnsi="Times New Roman"/>
          <w:sz w:val="24"/>
          <w:szCs w:val="24"/>
        </w:rPr>
        <w:t>. Cambridge Journal of Economics, 44(3), pp.609–628.</w:t>
      </w:r>
    </w:p>
    <w:p w14:paraId="735B19A7" w14:textId="77777777" w:rsidR="009B01BA" w:rsidRDefault="009E3CBF">
      <w:pPr>
        <w:pStyle w:val="ListParagraph"/>
        <w:numPr>
          <w:ilvl w:val="0"/>
          <w:numId w:val="10"/>
        </w:numPr>
        <w:spacing w:line="256" w:lineRule="auto"/>
      </w:pPr>
      <w:r>
        <w:t xml:space="preserve">Gough, D., Oliver, S. and Thomas, J. (2017) </w:t>
      </w:r>
      <w:r>
        <w:rPr>
          <w:i/>
          <w:iCs/>
        </w:rPr>
        <w:t>An introduction to systematic reviews</w:t>
      </w:r>
      <w:r>
        <w:t>. 2nd edn. London: SAGE Publications.</w:t>
      </w:r>
    </w:p>
    <w:p w14:paraId="08F410C9" w14:textId="77777777" w:rsidR="009B01BA" w:rsidRDefault="009E3CBF">
      <w:pPr>
        <w:pStyle w:val="ListParagraph"/>
        <w:numPr>
          <w:ilvl w:val="0"/>
          <w:numId w:val="10"/>
        </w:numPr>
        <w:spacing w:before="100" w:after="100"/>
      </w:pPr>
      <w:r>
        <w:rPr>
          <w:rFonts w:ascii="Times New Roman" w:hAnsi="Times New Roman"/>
          <w:sz w:val="24"/>
          <w:szCs w:val="24"/>
        </w:rPr>
        <w:t xml:space="preserve">International Labour Organization (ILO), 2017. </w:t>
      </w:r>
      <w:r>
        <w:rPr>
          <w:rFonts w:ascii="Times New Roman" w:hAnsi="Times New Roman"/>
          <w:i/>
          <w:iCs/>
          <w:sz w:val="24"/>
          <w:szCs w:val="24"/>
        </w:rPr>
        <w:t>ILO Declaration on Fundamental Principles and Rights at Work</w:t>
      </w:r>
      <w:r>
        <w:rPr>
          <w:rFonts w:ascii="Times New Roman" w:hAnsi="Times New Roman"/>
          <w:sz w:val="24"/>
          <w:szCs w:val="24"/>
        </w:rPr>
        <w:t>. Geneva: ILO.</w:t>
      </w:r>
    </w:p>
    <w:p w14:paraId="16349EE7" w14:textId="77777777" w:rsidR="009B01BA" w:rsidRDefault="009E3CBF">
      <w:pPr>
        <w:pStyle w:val="ListParagraph"/>
        <w:numPr>
          <w:ilvl w:val="0"/>
          <w:numId w:val="10"/>
        </w:numPr>
        <w:spacing w:line="256" w:lineRule="auto"/>
      </w:pPr>
      <w:r>
        <w:t xml:space="preserve">Ishida, K. and Kim, S. (2023) ‘Strategic supplier partnerships and vertical integration in global electronics supply chains: The case of Apple Inc.’, </w:t>
      </w:r>
      <w:r>
        <w:rPr>
          <w:i/>
          <w:iCs/>
        </w:rPr>
        <w:t>International Journal of Operations &amp; Production Management</w:t>
      </w:r>
      <w:r>
        <w:t>, 43(4), pp. 652</w:t>
      </w:r>
      <w:r>
        <w:noBreakHyphen/>
        <w:t>671.</w:t>
      </w:r>
    </w:p>
    <w:p w14:paraId="7BC0BA03" w14:textId="77777777" w:rsidR="009B01BA" w:rsidRDefault="009E3CBF">
      <w:pPr>
        <w:pStyle w:val="ListParagraph"/>
        <w:numPr>
          <w:ilvl w:val="0"/>
          <w:numId w:val="10"/>
        </w:numPr>
        <w:spacing w:line="256" w:lineRule="auto"/>
      </w:pPr>
      <w:r>
        <w:t xml:space="preserve">Ivanov, D. (2021) ‘Supply chain viability and the COVID-19 pandemic: a conceptual and formal generalisation of four major adaptation strategies’, </w:t>
      </w:r>
      <w:r>
        <w:rPr>
          <w:i/>
          <w:iCs/>
        </w:rPr>
        <w:t>International Journal of Production Research</w:t>
      </w:r>
      <w:r>
        <w:t>, 59(12), pp. 3535–3552.</w:t>
      </w:r>
    </w:p>
    <w:p w14:paraId="2BAD0AD7" w14:textId="77777777" w:rsidR="009B01BA" w:rsidRDefault="009E3CBF">
      <w:pPr>
        <w:pStyle w:val="ListParagraph"/>
        <w:numPr>
          <w:ilvl w:val="0"/>
          <w:numId w:val="10"/>
        </w:numPr>
        <w:spacing w:line="256" w:lineRule="auto"/>
      </w:pPr>
      <w:r>
        <w:t xml:space="preserve">Ivanov, D. and Dolgui, A. (2020) ‘Viability of intertwined supply networks: extending the supply chain resilience angles towards survivability. A position paper motivated by COVID-19 outbreak’, </w:t>
      </w:r>
      <w:r>
        <w:rPr>
          <w:i/>
          <w:iCs/>
        </w:rPr>
        <w:t>International Journal of Production Research</w:t>
      </w:r>
      <w:r>
        <w:t>, 58(10), pp. 2904–2915.</w:t>
      </w:r>
    </w:p>
    <w:p w14:paraId="2885966D" w14:textId="77777777" w:rsidR="009B01BA" w:rsidRDefault="009E3CBF">
      <w:pPr>
        <w:pStyle w:val="ListParagraph"/>
        <w:numPr>
          <w:ilvl w:val="0"/>
          <w:numId w:val="10"/>
        </w:numPr>
        <w:spacing w:before="100" w:after="100"/>
      </w:pPr>
      <w:r>
        <w:rPr>
          <w:rFonts w:ascii="Times New Roman" w:hAnsi="Times New Roman"/>
          <w:sz w:val="24"/>
          <w:szCs w:val="24"/>
        </w:rPr>
        <w:t xml:space="preserve">Ivanov, D., 2021. </w:t>
      </w:r>
      <w:r>
        <w:rPr>
          <w:rFonts w:ascii="Times New Roman" w:hAnsi="Times New Roman"/>
          <w:i/>
          <w:iCs/>
          <w:sz w:val="24"/>
          <w:szCs w:val="24"/>
        </w:rPr>
        <w:t>Supply Chain Viability and the COVID-19 Pandemic: Adaptive and Resilient Systems</w:t>
      </w:r>
      <w:r>
        <w:rPr>
          <w:rFonts w:ascii="Times New Roman" w:hAnsi="Times New Roman"/>
          <w:sz w:val="24"/>
          <w:szCs w:val="24"/>
        </w:rPr>
        <w:t>. International Journal of Production Research, 59(12), pp.3535–3552.</w:t>
      </w:r>
    </w:p>
    <w:p w14:paraId="27E88F8B" w14:textId="77777777" w:rsidR="009B01BA" w:rsidRDefault="009E3CBF">
      <w:pPr>
        <w:pStyle w:val="ListParagraph"/>
        <w:numPr>
          <w:ilvl w:val="0"/>
          <w:numId w:val="10"/>
        </w:numPr>
        <w:spacing w:line="256" w:lineRule="auto"/>
      </w:pPr>
      <w:r>
        <w:t xml:space="preserve">Kaur, P., Sharma, R. and Singh, S. (2022) ‘Supply chain resilience in the electronics industry: Managing technological dependencies and rare earth materials’, </w:t>
      </w:r>
      <w:r>
        <w:rPr>
          <w:i/>
          <w:iCs/>
        </w:rPr>
        <w:t>Journal of Cleaner Production</w:t>
      </w:r>
      <w:r>
        <w:t>, 345, 131111.</w:t>
      </w:r>
    </w:p>
    <w:p w14:paraId="1FD786F6" w14:textId="77777777" w:rsidR="009B01BA" w:rsidRDefault="009E3CBF">
      <w:pPr>
        <w:pStyle w:val="ListParagraph"/>
        <w:numPr>
          <w:ilvl w:val="0"/>
          <w:numId w:val="10"/>
        </w:numPr>
        <w:spacing w:line="256" w:lineRule="auto"/>
      </w:pPr>
      <w:r>
        <w:t xml:space="preserve">Kerr, W.R. and Xu, T. (2022) </w:t>
      </w:r>
      <w:r>
        <w:rPr>
          <w:i/>
          <w:iCs/>
        </w:rPr>
        <w:t>Apple Inc. in 2022: Managing a Global Supply Chain</w:t>
      </w:r>
      <w:r>
        <w:t>. Harvard Business School Case 9-722-444. Boston: Harvard Business School Publishing.</w:t>
      </w:r>
    </w:p>
    <w:p w14:paraId="2A615F70" w14:textId="77777777" w:rsidR="009B01BA" w:rsidRDefault="009E3CBF">
      <w:pPr>
        <w:pStyle w:val="ListParagraph"/>
        <w:numPr>
          <w:ilvl w:val="0"/>
          <w:numId w:val="10"/>
        </w:numPr>
        <w:spacing w:before="100" w:after="100"/>
      </w:pPr>
      <w:r>
        <w:rPr>
          <w:rFonts w:ascii="Times New Roman" w:hAnsi="Times New Roman"/>
          <w:sz w:val="24"/>
          <w:szCs w:val="24"/>
        </w:rPr>
        <w:t xml:space="preserve">Krause, D.R., Handfield, R.B. and Scannell, T.V., 1998. </w:t>
      </w:r>
      <w:r>
        <w:rPr>
          <w:rFonts w:ascii="Times New Roman" w:hAnsi="Times New Roman"/>
          <w:i/>
          <w:iCs/>
          <w:sz w:val="24"/>
          <w:szCs w:val="24"/>
        </w:rPr>
        <w:t>An Empirical Investigation of Supplier Development: Reactive and Strategic Processes</w:t>
      </w:r>
      <w:r>
        <w:rPr>
          <w:rFonts w:ascii="Times New Roman" w:hAnsi="Times New Roman"/>
          <w:sz w:val="24"/>
          <w:szCs w:val="24"/>
        </w:rPr>
        <w:t>. Journal of Operations Management, 17(1), pp.39–58.</w:t>
      </w:r>
    </w:p>
    <w:p w14:paraId="74971DE2" w14:textId="77777777" w:rsidR="009B01BA" w:rsidRDefault="009E3CBF">
      <w:pPr>
        <w:pStyle w:val="ListParagraph"/>
        <w:numPr>
          <w:ilvl w:val="0"/>
          <w:numId w:val="10"/>
        </w:numPr>
        <w:spacing w:line="256" w:lineRule="auto"/>
      </w:pPr>
      <w:r>
        <w:t xml:space="preserve">Lashinsky, A. (2012) </w:t>
      </w:r>
      <w:r>
        <w:rPr>
          <w:i/>
          <w:iCs/>
        </w:rPr>
        <w:t>Inside Apple: How America’s Most Admired—and Secretive—Company Really Works</w:t>
      </w:r>
      <w:r>
        <w:t>. New York: Hachette Book Group.</w:t>
      </w:r>
    </w:p>
    <w:p w14:paraId="64624AE7" w14:textId="77777777" w:rsidR="009B01BA" w:rsidRDefault="009E3CBF">
      <w:pPr>
        <w:pStyle w:val="ListParagraph"/>
        <w:numPr>
          <w:ilvl w:val="0"/>
          <w:numId w:val="10"/>
        </w:numPr>
        <w:spacing w:before="100" w:after="100"/>
      </w:pPr>
      <w:r>
        <w:rPr>
          <w:rFonts w:ascii="Times New Roman" w:hAnsi="Times New Roman"/>
          <w:sz w:val="24"/>
          <w:szCs w:val="24"/>
        </w:rPr>
        <w:t xml:space="preserve">LeBaron, G., 2018. </w:t>
      </w:r>
      <w:r>
        <w:rPr>
          <w:rFonts w:ascii="Times New Roman" w:hAnsi="Times New Roman"/>
          <w:i/>
          <w:iCs/>
          <w:sz w:val="24"/>
          <w:szCs w:val="24"/>
        </w:rPr>
        <w:t>Governing Global Supply Chain Labour Practices: From Audits to Transformation</w:t>
      </w:r>
      <w:r>
        <w:rPr>
          <w:rFonts w:ascii="Times New Roman" w:hAnsi="Times New Roman"/>
          <w:sz w:val="24"/>
          <w:szCs w:val="24"/>
        </w:rPr>
        <w:t>. Global Policy, 9(S1), pp.36–44.</w:t>
      </w:r>
    </w:p>
    <w:p w14:paraId="29E07E06" w14:textId="77777777" w:rsidR="009B01BA" w:rsidRDefault="009E3CBF">
      <w:pPr>
        <w:pStyle w:val="ListParagraph"/>
        <w:numPr>
          <w:ilvl w:val="0"/>
          <w:numId w:val="10"/>
        </w:numPr>
        <w:spacing w:before="100" w:after="100"/>
      </w:pPr>
      <w:r>
        <w:rPr>
          <w:rFonts w:ascii="Times New Roman" w:hAnsi="Times New Roman"/>
          <w:sz w:val="24"/>
          <w:szCs w:val="24"/>
        </w:rPr>
        <w:t xml:space="preserve">Linton, T., 2023. </w:t>
      </w:r>
      <w:r>
        <w:rPr>
          <w:rFonts w:ascii="Times New Roman" w:hAnsi="Times New Roman"/>
          <w:i/>
          <w:iCs/>
          <w:sz w:val="24"/>
          <w:szCs w:val="24"/>
        </w:rPr>
        <w:t>Collaborative Supply Networks: A New Paradigm for Resilience</w:t>
      </w:r>
      <w:r>
        <w:rPr>
          <w:rFonts w:ascii="Times New Roman" w:hAnsi="Times New Roman"/>
          <w:sz w:val="24"/>
          <w:szCs w:val="24"/>
        </w:rPr>
        <w:t>. Supply Chain Management Review, 27(3), pp.15–21.</w:t>
      </w:r>
    </w:p>
    <w:p w14:paraId="244F7A8F" w14:textId="77777777" w:rsidR="009B01BA" w:rsidRDefault="009E3CBF">
      <w:pPr>
        <w:pStyle w:val="ListParagraph"/>
        <w:numPr>
          <w:ilvl w:val="0"/>
          <w:numId w:val="10"/>
        </w:numPr>
        <w:spacing w:before="100" w:after="100"/>
      </w:pPr>
      <w:r>
        <w:rPr>
          <w:rFonts w:ascii="Times New Roman" w:hAnsi="Times New Roman"/>
          <w:sz w:val="24"/>
          <w:szCs w:val="24"/>
        </w:rPr>
        <w:t xml:space="preserve">Locke, R., 2013. </w:t>
      </w:r>
      <w:r>
        <w:rPr>
          <w:rFonts w:ascii="Times New Roman" w:hAnsi="Times New Roman"/>
          <w:i/>
          <w:iCs/>
          <w:sz w:val="24"/>
          <w:szCs w:val="24"/>
        </w:rPr>
        <w:t>The Promise and Limits of Private Power: Promoting Labor Standards in a Global Economy</w:t>
      </w:r>
      <w:r>
        <w:rPr>
          <w:rFonts w:ascii="Times New Roman" w:hAnsi="Times New Roman"/>
          <w:sz w:val="24"/>
          <w:szCs w:val="24"/>
        </w:rPr>
        <w:t>. Cambridge: Cambridge University Press.</w:t>
      </w:r>
    </w:p>
    <w:p w14:paraId="181D7347" w14:textId="77777777" w:rsidR="009B01BA" w:rsidRDefault="009E3CBF">
      <w:pPr>
        <w:pStyle w:val="NormalWeb"/>
        <w:numPr>
          <w:ilvl w:val="0"/>
          <w:numId w:val="10"/>
        </w:numPr>
        <w:suppressAutoHyphens w:val="0"/>
      </w:pPr>
      <w:r>
        <w:t xml:space="preserve">McKinsey, 2023. </w:t>
      </w:r>
      <w:r>
        <w:rPr>
          <w:rStyle w:val="Emphasis"/>
          <w:b/>
          <w:bCs/>
        </w:rPr>
        <w:t>The China+1 Strategy: Building Supply Chain Resilience through Regionalisation</w:t>
      </w:r>
      <w:r>
        <w:t xml:space="preserve">. Available at: [ </w:t>
      </w:r>
      <w:hyperlink r:id="rId16" w:history="1">
        <w:r>
          <w:rPr>
            <w:rStyle w:val="Hyperlink"/>
          </w:rPr>
          <w:t>https://www.mckinsey.com/capa</w:t>
        </w:r>
        <w:bookmarkStart w:id="81" w:name="_Hlt212757342"/>
        <w:bookmarkStart w:id="82" w:name="_Hlt212757343"/>
        <w:r>
          <w:rPr>
            <w:rStyle w:val="Hyperlink"/>
          </w:rPr>
          <w:t>b</w:t>
        </w:r>
        <w:bookmarkEnd w:id="81"/>
        <w:bookmarkEnd w:id="82"/>
        <w:r>
          <w:rPr>
            <w:rStyle w:val="Hyperlink"/>
          </w:rPr>
          <w:t>ilit</w:t>
        </w:r>
        <w:bookmarkStart w:id="83" w:name="_Hlt212758135"/>
        <w:bookmarkStart w:id="84" w:name="_Hlt212758136"/>
        <w:r>
          <w:rPr>
            <w:rStyle w:val="Hyperlink"/>
          </w:rPr>
          <w:t>i</w:t>
        </w:r>
        <w:bookmarkEnd w:id="83"/>
        <w:bookmarkEnd w:id="84"/>
        <w:r>
          <w:rPr>
            <w:rStyle w:val="Hyperlink"/>
          </w:rPr>
          <w:t>es/operations/our-insights/operations-blog/supply-chain-resilience-in-china-and-everywhere-else</w:t>
        </w:r>
      </w:hyperlink>
      <w:r>
        <w:t xml:space="preserve"> ] (Accessed [17/10/2025]).</w:t>
      </w:r>
    </w:p>
    <w:p w14:paraId="3CDC2E87" w14:textId="77777777" w:rsidR="009B01BA" w:rsidRDefault="009E3CBF">
      <w:pPr>
        <w:pStyle w:val="NormalWeb"/>
        <w:numPr>
          <w:ilvl w:val="0"/>
          <w:numId w:val="10"/>
        </w:numPr>
        <w:suppressAutoHyphens w:val="0"/>
      </w:pPr>
      <w:r>
        <w:rPr>
          <w:bCs/>
        </w:rPr>
        <w:lastRenderedPageBreak/>
        <w:t xml:space="preserve">McKinsey, 2024. </w:t>
      </w:r>
      <w:r>
        <w:rPr>
          <w:rStyle w:val="Emphasis"/>
          <w:bCs/>
        </w:rPr>
        <w:t>Supply Chain Risk Survey 2024: Managing Volatility through Resilience</w:t>
      </w:r>
      <w:r>
        <w:rPr>
          <w:bCs/>
        </w:rPr>
        <w:t>.</w:t>
      </w:r>
      <w:r>
        <w:t xml:space="preserve">  Available at: [ </w:t>
      </w:r>
      <w:hyperlink r:id="rId17" w:history="1">
        <w:r>
          <w:rPr>
            <w:rStyle w:val="Hyperlink"/>
          </w:rPr>
          <w:t>https://www.mckinsey.com/capa</w:t>
        </w:r>
        <w:bookmarkStart w:id="85" w:name="_Hlt212749840"/>
        <w:bookmarkStart w:id="86" w:name="_Hlt212749841"/>
        <w:r>
          <w:rPr>
            <w:rStyle w:val="Hyperlink"/>
          </w:rPr>
          <w:t>b</w:t>
        </w:r>
        <w:bookmarkEnd w:id="85"/>
        <w:bookmarkEnd w:id="86"/>
        <w:r>
          <w:rPr>
            <w:rStyle w:val="Hyperlink"/>
          </w:rPr>
          <w:t>ilities/operations/our-insights/supply-chain-risk-survey</w:t>
        </w:r>
      </w:hyperlink>
      <w:r>
        <w:t xml:space="preserve"> ] (Accessed [15/10/2025]).</w:t>
      </w:r>
    </w:p>
    <w:p w14:paraId="65F1D2AC" w14:textId="77777777" w:rsidR="009B01BA" w:rsidRDefault="009E3CBF">
      <w:pPr>
        <w:pStyle w:val="ListParagraph"/>
        <w:numPr>
          <w:ilvl w:val="0"/>
          <w:numId w:val="10"/>
        </w:numPr>
        <w:spacing w:before="100" w:after="100"/>
      </w:pPr>
      <w:r>
        <w:rPr>
          <w:rFonts w:ascii="Times New Roman" w:hAnsi="Times New Roman"/>
          <w:sz w:val="24"/>
          <w:szCs w:val="24"/>
        </w:rPr>
        <w:t xml:space="preserve">Mena, S., Humphries, A. and Choi, T.Y., 2013. </w:t>
      </w:r>
      <w:r>
        <w:rPr>
          <w:rFonts w:ascii="Times New Roman" w:hAnsi="Times New Roman"/>
          <w:i/>
          <w:iCs/>
          <w:sz w:val="24"/>
          <w:szCs w:val="24"/>
        </w:rPr>
        <w:t>Toward a Theory of Multi-Tier Supply Chain Management</w:t>
      </w:r>
      <w:r>
        <w:rPr>
          <w:rFonts w:ascii="Times New Roman" w:hAnsi="Times New Roman"/>
          <w:sz w:val="24"/>
          <w:szCs w:val="24"/>
        </w:rPr>
        <w:t>. Journal of Supply Chain Management, 49(2), pp.58–77.</w:t>
      </w:r>
    </w:p>
    <w:p w14:paraId="092C0454" w14:textId="77777777" w:rsidR="009B01BA" w:rsidRDefault="009E3CBF">
      <w:pPr>
        <w:pStyle w:val="ListParagraph"/>
        <w:numPr>
          <w:ilvl w:val="0"/>
          <w:numId w:val="10"/>
        </w:numPr>
        <w:spacing w:line="256" w:lineRule="auto"/>
      </w:pPr>
      <w:r>
        <w:rPr>
          <w:rFonts w:ascii="Times New Roman" w:hAnsi="Times New Roman"/>
          <w:sz w:val="24"/>
          <w:szCs w:val="24"/>
          <w:lang w:val="en-GB"/>
        </w:rPr>
        <w:t>Milhem, M., Ateeq, A., Al Astal, A., Alzoraiki, M., Ateeq, R.A., Shafie, D.I. and Santhanamery, T., 2024. Advancing sustainability: embracing the circular economy for environmental and economic resilience. In </w:t>
      </w:r>
      <w:r>
        <w:rPr>
          <w:rFonts w:ascii="Times New Roman" w:hAnsi="Times New Roman"/>
          <w:i/>
          <w:iCs/>
          <w:sz w:val="24"/>
          <w:szCs w:val="24"/>
          <w:lang w:val="en-GB"/>
        </w:rPr>
        <w:t>Business Sustainability with Artificial Intelligence (AI): Challenges and Opportunities: Volume 2</w:t>
      </w:r>
      <w:r>
        <w:rPr>
          <w:rFonts w:ascii="Times New Roman" w:hAnsi="Times New Roman"/>
          <w:sz w:val="24"/>
          <w:szCs w:val="24"/>
          <w:lang w:val="en-GB"/>
        </w:rPr>
        <w:t> (pp. 57-68). Cham: Springer Nature Switzerland.</w:t>
      </w:r>
    </w:p>
    <w:p w14:paraId="78AEB6F2" w14:textId="77777777" w:rsidR="009B01BA" w:rsidRDefault="009E3CBF">
      <w:pPr>
        <w:pStyle w:val="ListParagraph"/>
        <w:numPr>
          <w:ilvl w:val="0"/>
          <w:numId w:val="10"/>
        </w:numPr>
        <w:spacing w:before="100" w:after="100"/>
      </w:pPr>
      <w:r>
        <w:rPr>
          <w:rFonts w:ascii="Times New Roman" w:hAnsi="Times New Roman"/>
          <w:sz w:val="24"/>
          <w:szCs w:val="24"/>
        </w:rPr>
        <w:t xml:space="preserve">OECD, 2021. </w:t>
      </w:r>
      <w:r>
        <w:rPr>
          <w:rFonts w:ascii="Times New Roman" w:hAnsi="Times New Roman"/>
          <w:i/>
          <w:iCs/>
          <w:sz w:val="24"/>
          <w:szCs w:val="24"/>
        </w:rPr>
        <w:t>OECD Due Diligence Guidance for Responsible Business Conduct</w:t>
      </w:r>
      <w:r>
        <w:rPr>
          <w:rFonts w:ascii="Times New Roman" w:hAnsi="Times New Roman"/>
          <w:sz w:val="24"/>
          <w:szCs w:val="24"/>
        </w:rPr>
        <w:t>. Paris: OECD Publishing.</w:t>
      </w:r>
    </w:p>
    <w:p w14:paraId="61AD571A" w14:textId="77777777" w:rsidR="009B01BA" w:rsidRDefault="009E3CBF">
      <w:pPr>
        <w:pStyle w:val="NormalWeb"/>
        <w:numPr>
          <w:ilvl w:val="0"/>
          <w:numId w:val="10"/>
        </w:numPr>
        <w:suppressAutoHyphens w:val="0"/>
      </w:pPr>
      <w:r>
        <w:t xml:space="preserve">Pettit, T., Fiksel, J. and Croxton, K., 2019. </w:t>
      </w:r>
      <w:r>
        <w:rPr>
          <w:rStyle w:val="Emphasis"/>
          <w:bCs/>
        </w:rPr>
        <w:t>Ensuring Supply Chain Resilience: Development of a Conceptual Framework</w:t>
      </w:r>
      <w:r>
        <w:rPr>
          <w:bCs/>
        </w:rPr>
        <w:t>. Journal of Business Logistics, 40(1), pp.28–48.</w:t>
      </w:r>
    </w:p>
    <w:p w14:paraId="51F35D95" w14:textId="77777777" w:rsidR="009B01BA" w:rsidRDefault="009E3CBF">
      <w:pPr>
        <w:pStyle w:val="ListParagraph"/>
        <w:numPr>
          <w:ilvl w:val="0"/>
          <w:numId w:val="10"/>
        </w:numPr>
        <w:spacing w:before="100" w:after="100"/>
      </w:pPr>
      <w:r>
        <w:rPr>
          <w:rFonts w:ascii="Times New Roman" w:hAnsi="Times New Roman"/>
          <w:sz w:val="24"/>
          <w:szCs w:val="24"/>
        </w:rPr>
        <w:t xml:space="preserve">Pettit, T.J., Fiksel, J. and Croxton, K.L., 2019. </w:t>
      </w:r>
      <w:r>
        <w:rPr>
          <w:rFonts w:ascii="Times New Roman" w:hAnsi="Times New Roman"/>
          <w:i/>
          <w:iCs/>
          <w:sz w:val="24"/>
          <w:szCs w:val="24"/>
        </w:rPr>
        <w:t>Ensuring Supply Chain Resilience: Development of a Conceptual Framework</w:t>
      </w:r>
      <w:r>
        <w:rPr>
          <w:rFonts w:ascii="Times New Roman" w:hAnsi="Times New Roman"/>
          <w:sz w:val="24"/>
          <w:szCs w:val="24"/>
        </w:rPr>
        <w:t>. Journal of Business Logistics, 40(1), pp.44–62.</w:t>
      </w:r>
    </w:p>
    <w:p w14:paraId="0059EE81" w14:textId="77777777" w:rsidR="009B01BA" w:rsidRDefault="009E3CBF">
      <w:pPr>
        <w:pStyle w:val="NormalWeb"/>
        <w:numPr>
          <w:ilvl w:val="0"/>
          <w:numId w:val="10"/>
        </w:numPr>
        <w:suppressAutoHyphens w:val="0"/>
      </w:pPr>
      <w:r>
        <w:rPr>
          <w:bCs/>
        </w:rPr>
        <w:t xml:space="preserve">PwC, 2023. </w:t>
      </w:r>
      <w:r>
        <w:rPr>
          <w:rStyle w:val="Emphasis"/>
          <w:bCs/>
        </w:rPr>
        <w:t>Blockchain in Supply Chain Management: Improving Transparency and Accountability</w:t>
      </w:r>
      <w:r>
        <w:rPr>
          <w:bCs/>
        </w:rPr>
        <w:t>.</w:t>
      </w:r>
      <w:r>
        <w:t xml:space="preserve"> Available at: [ </w:t>
      </w:r>
      <w:hyperlink r:id="rId18" w:history="1">
        <w:r>
          <w:rPr>
            <w:rStyle w:val="Hyperlink"/>
          </w:rPr>
          <w:t>https://www.inderscienceonline.co</w:t>
        </w:r>
        <w:bookmarkStart w:id="87" w:name="_Hlt212759520"/>
        <w:bookmarkStart w:id="88" w:name="_Hlt212759521"/>
        <w:r>
          <w:rPr>
            <w:rStyle w:val="Hyperlink"/>
          </w:rPr>
          <w:t>m</w:t>
        </w:r>
        <w:bookmarkEnd w:id="87"/>
        <w:bookmarkEnd w:id="88"/>
        <w:r>
          <w:rPr>
            <w:rStyle w:val="Hyperlink"/>
          </w:rPr>
          <w:t>/doi/abs/10.1504/IJBC.2025.147782</w:t>
        </w:r>
      </w:hyperlink>
      <w:r>
        <w:t xml:space="preserve"> ] (Accessed [21/10/2025]).</w:t>
      </w:r>
    </w:p>
    <w:p w14:paraId="151F8862" w14:textId="77777777" w:rsidR="009B01BA" w:rsidRDefault="009E3CBF">
      <w:pPr>
        <w:pStyle w:val="NormalWeb"/>
        <w:numPr>
          <w:ilvl w:val="0"/>
          <w:numId w:val="10"/>
        </w:numPr>
        <w:suppressAutoHyphens w:val="0"/>
      </w:pPr>
      <w:r>
        <w:rPr>
          <w:bCs/>
        </w:rPr>
        <w:t>Reuters, 2024</w:t>
      </w:r>
      <w:r>
        <w:t xml:space="preserve">. </w:t>
      </w:r>
      <w:r>
        <w:rPr>
          <w:rStyle w:val="Emphasis"/>
          <w:b/>
          <w:bCs/>
        </w:rPr>
        <w:t>Apple Assembles 14% of iPhones in India to Reduce China Dependence</w:t>
      </w:r>
      <w:r>
        <w:rPr>
          <w:b/>
          <w:bCs/>
        </w:rPr>
        <w:t>.</w:t>
      </w:r>
      <w:r>
        <w:rPr>
          <w:bCs/>
        </w:rPr>
        <w:t xml:space="preserve"> Available at: [ </w:t>
      </w:r>
      <w:hyperlink r:id="rId19" w:history="1">
        <w:r>
          <w:rPr>
            <w:rStyle w:val="Hyperlink"/>
            <w:bCs/>
          </w:rPr>
          <w:t>https://www.reuters.com/technology/apples-india-iphone-output-hits-14-bln-bloomberg-news-reports-2024-0</w:t>
        </w:r>
        <w:bookmarkStart w:id="89" w:name="_Hlt212749809"/>
        <w:bookmarkStart w:id="90" w:name="_Hlt212749810"/>
        <w:r>
          <w:rPr>
            <w:rStyle w:val="Hyperlink"/>
            <w:bCs/>
          </w:rPr>
          <w:t>4</w:t>
        </w:r>
        <w:bookmarkEnd w:id="89"/>
        <w:bookmarkEnd w:id="90"/>
        <w:r>
          <w:rPr>
            <w:rStyle w:val="Hyperlink"/>
            <w:bCs/>
          </w:rPr>
          <w:t>-10/</w:t>
        </w:r>
      </w:hyperlink>
      <w:r>
        <w:rPr>
          <w:bCs/>
        </w:rPr>
        <w:t xml:space="preserve"> ] (Accessed [11/10/2025]).</w:t>
      </w:r>
    </w:p>
    <w:p w14:paraId="75BFCFF2" w14:textId="77777777" w:rsidR="009B01BA" w:rsidRDefault="009E3CBF">
      <w:pPr>
        <w:pStyle w:val="ListParagraph"/>
        <w:numPr>
          <w:ilvl w:val="0"/>
          <w:numId w:val="10"/>
        </w:numPr>
        <w:spacing w:before="100" w:after="100"/>
      </w:pPr>
      <w:r>
        <w:rPr>
          <w:rFonts w:ascii="Times New Roman" w:hAnsi="Times New Roman"/>
          <w:sz w:val="24"/>
          <w:szCs w:val="24"/>
        </w:rPr>
        <w:t xml:space="preserve">Ruggie, J., 2013. </w:t>
      </w:r>
      <w:r>
        <w:rPr>
          <w:rFonts w:ascii="Times New Roman" w:hAnsi="Times New Roman"/>
          <w:i/>
          <w:iCs/>
          <w:sz w:val="24"/>
          <w:szCs w:val="24"/>
        </w:rPr>
        <w:t>Just Business: Multinational Corporations and Human Rights</w:t>
      </w:r>
      <w:r>
        <w:rPr>
          <w:rFonts w:ascii="Times New Roman" w:hAnsi="Times New Roman"/>
          <w:sz w:val="24"/>
          <w:szCs w:val="24"/>
        </w:rPr>
        <w:t>. New York: W.W. Norton &amp; Company.</w:t>
      </w:r>
    </w:p>
    <w:p w14:paraId="5A9975E6" w14:textId="77777777" w:rsidR="009B01BA" w:rsidRDefault="009E3CBF">
      <w:pPr>
        <w:pStyle w:val="ListParagraph"/>
        <w:numPr>
          <w:ilvl w:val="0"/>
          <w:numId w:val="10"/>
        </w:numPr>
        <w:spacing w:before="100" w:after="100"/>
      </w:pPr>
      <w:r>
        <w:rPr>
          <w:rFonts w:ascii="Times New Roman" w:hAnsi="Times New Roman"/>
          <w:sz w:val="24"/>
          <w:szCs w:val="24"/>
        </w:rPr>
        <w:t xml:space="preserve">Saberi, S., Kouhizadeh, M., Sarkis, J. and Shen, L., 2019. </w:t>
      </w:r>
      <w:r>
        <w:rPr>
          <w:rFonts w:ascii="Times New Roman" w:hAnsi="Times New Roman"/>
          <w:i/>
          <w:iCs/>
          <w:sz w:val="24"/>
          <w:szCs w:val="24"/>
        </w:rPr>
        <w:t>Blockchain Technology and Its Relationships to Sustainable Supply Chain Management</w:t>
      </w:r>
      <w:r>
        <w:rPr>
          <w:rFonts w:ascii="Times New Roman" w:hAnsi="Times New Roman"/>
          <w:sz w:val="24"/>
          <w:szCs w:val="24"/>
        </w:rPr>
        <w:t>. International Journal of Production Research, 57(7), pp.2117–2135.</w:t>
      </w:r>
    </w:p>
    <w:p w14:paraId="4C4CD5B1" w14:textId="77777777" w:rsidR="009B01BA" w:rsidRDefault="009E3CBF">
      <w:pPr>
        <w:pStyle w:val="ListParagraph"/>
        <w:numPr>
          <w:ilvl w:val="0"/>
          <w:numId w:val="10"/>
        </w:numPr>
        <w:spacing w:line="256" w:lineRule="auto"/>
      </w:pPr>
      <w:r>
        <w:t xml:space="preserve">Sarkis, J. and Zhu, Q., 2018. </w:t>
      </w:r>
      <w:r>
        <w:rPr>
          <w:i/>
          <w:iCs/>
        </w:rPr>
        <w:t>Environmental Sustainability and Production: Examining Barriers and Drivers</w:t>
      </w:r>
      <w:r>
        <w:t>. Journal of Cleaner Production, 194, pp.221–232.</w:t>
      </w:r>
    </w:p>
    <w:p w14:paraId="3AAEB8AC" w14:textId="77777777" w:rsidR="009B01BA" w:rsidRDefault="009E3CBF">
      <w:pPr>
        <w:pStyle w:val="ListParagraph"/>
        <w:numPr>
          <w:ilvl w:val="0"/>
          <w:numId w:val="10"/>
        </w:numPr>
        <w:spacing w:before="100" w:after="100"/>
      </w:pPr>
      <w:r>
        <w:rPr>
          <w:rFonts w:ascii="Times New Roman" w:hAnsi="Times New Roman"/>
          <w:sz w:val="24"/>
          <w:szCs w:val="24"/>
        </w:rPr>
        <w:t xml:space="preserve">Sarkis, J., 2020. </w:t>
      </w:r>
      <w:r>
        <w:rPr>
          <w:rFonts w:ascii="Times New Roman" w:hAnsi="Times New Roman"/>
          <w:i/>
          <w:iCs/>
          <w:sz w:val="24"/>
          <w:szCs w:val="24"/>
        </w:rPr>
        <w:t>Supply Chain Sustainability: Learning from the COVID-19 Pandemic</w:t>
      </w:r>
      <w:r>
        <w:rPr>
          <w:rFonts w:ascii="Times New Roman" w:hAnsi="Times New Roman"/>
          <w:sz w:val="24"/>
          <w:szCs w:val="24"/>
        </w:rPr>
        <w:t>. International Journal of Operations &amp; Production Management, 40(1), pp.1–15.</w:t>
      </w:r>
    </w:p>
    <w:p w14:paraId="5BEF825D" w14:textId="77777777" w:rsidR="009B01BA" w:rsidRDefault="009E3CBF">
      <w:pPr>
        <w:pStyle w:val="ListParagraph"/>
        <w:numPr>
          <w:ilvl w:val="0"/>
          <w:numId w:val="10"/>
        </w:numPr>
        <w:spacing w:line="256" w:lineRule="auto"/>
      </w:pPr>
      <w:r>
        <w:t xml:space="preserve">Sarkis, J., Zhu, Q. &amp; Lai, K.-H., 2019. An organizational theoretic review of green supply chain management literature. </w:t>
      </w:r>
      <w:r>
        <w:rPr>
          <w:i/>
          <w:iCs/>
        </w:rPr>
        <w:t>International Journal of Production Economics</w:t>
      </w:r>
      <w:r>
        <w:t>, 219, pp.1–20.</w:t>
      </w:r>
    </w:p>
    <w:p w14:paraId="0E69087F" w14:textId="77777777" w:rsidR="009B01BA" w:rsidRDefault="009E3CBF">
      <w:pPr>
        <w:pStyle w:val="ListParagraph"/>
        <w:numPr>
          <w:ilvl w:val="0"/>
          <w:numId w:val="10"/>
        </w:numPr>
        <w:spacing w:line="256" w:lineRule="auto"/>
      </w:pPr>
      <w:r>
        <w:t>Shee Weng, L., 2024. Achieving Net-Zero Supply Chains: Strategies, Technologies, and Financial Innovations for Corporate Decarbonization. </w:t>
      </w:r>
      <w:r>
        <w:rPr>
          <w:i/>
          <w:iCs/>
        </w:rPr>
        <w:t>Technologies, and Financial Innovations for Corporate Decarbonization (November 03, 2024)</w:t>
      </w:r>
      <w:r>
        <w:t>.</w:t>
      </w:r>
    </w:p>
    <w:p w14:paraId="6E77BA63" w14:textId="77777777" w:rsidR="009B01BA" w:rsidRDefault="009E3CBF">
      <w:pPr>
        <w:pStyle w:val="NormalWeb"/>
        <w:numPr>
          <w:ilvl w:val="0"/>
          <w:numId w:val="10"/>
        </w:numPr>
        <w:suppressAutoHyphens w:val="0"/>
      </w:pPr>
      <w:r>
        <w:t xml:space="preserve">Sheffi, Y., 2007. </w:t>
      </w:r>
      <w:r>
        <w:rPr>
          <w:rStyle w:val="Emphasis"/>
          <w:bCs/>
        </w:rPr>
        <w:t>The Resilient Enterprise: Overcoming Vulnerability for Competitive Advantage</w:t>
      </w:r>
      <w:r>
        <w:rPr>
          <w:bCs/>
        </w:rPr>
        <w:t>. Cambridge, MA: MIT Press.</w:t>
      </w:r>
    </w:p>
    <w:p w14:paraId="02366865" w14:textId="77777777" w:rsidR="009B01BA" w:rsidRDefault="009E3CBF">
      <w:pPr>
        <w:pStyle w:val="NormalWeb"/>
        <w:numPr>
          <w:ilvl w:val="0"/>
          <w:numId w:val="10"/>
        </w:numPr>
        <w:suppressAutoHyphens w:val="0"/>
      </w:pPr>
      <w:r>
        <w:rPr>
          <w:bCs/>
        </w:rPr>
        <w:t xml:space="preserve">Shih, W., 2020. </w:t>
      </w:r>
      <w:r>
        <w:rPr>
          <w:rStyle w:val="Emphasis"/>
          <w:b/>
        </w:rPr>
        <w:t>Global Supply Chains in a Post-Pandemic World</w:t>
      </w:r>
      <w:r>
        <w:rPr>
          <w:bCs/>
        </w:rPr>
        <w:t>. Harvard Business Review, 98(3), pp.88–98.</w:t>
      </w:r>
    </w:p>
    <w:p w14:paraId="7C4FAB0D" w14:textId="77777777" w:rsidR="009B01BA" w:rsidRDefault="009E3CBF">
      <w:pPr>
        <w:pStyle w:val="ListParagraph"/>
        <w:numPr>
          <w:ilvl w:val="0"/>
          <w:numId w:val="10"/>
        </w:numPr>
        <w:spacing w:line="256" w:lineRule="auto"/>
      </w:pPr>
      <w:r>
        <w:t xml:space="preserve">Shih, W.C. (2020) ‘Is It Time to Rethink Globalized Supply Chains?’, </w:t>
      </w:r>
      <w:r>
        <w:rPr>
          <w:i/>
          <w:iCs/>
        </w:rPr>
        <w:t>MIT Sloan Management Review</w:t>
      </w:r>
      <w:r>
        <w:t>, 61(4), pp. 1–7.</w:t>
      </w:r>
    </w:p>
    <w:p w14:paraId="1762130E" w14:textId="77777777" w:rsidR="009B01BA" w:rsidRDefault="009E3CBF">
      <w:pPr>
        <w:pStyle w:val="ListParagraph"/>
        <w:numPr>
          <w:ilvl w:val="0"/>
          <w:numId w:val="10"/>
        </w:numPr>
        <w:spacing w:line="256" w:lineRule="auto"/>
      </w:pPr>
      <w:r>
        <w:lastRenderedPageBreak/>
        <w:t xml:space="preserve">Snyder, H., 2019. Literature review as a research methodology: An overview and guidelines. </w:t>
      </w:r>
      <w:r>
        <w:rPr>
          <w:i/>
          <w:iCs/>
        </w:rPr>
        <w:t>Journal of Business Research</w:t>
      </w:r>
      <w:r>
        <w:t>, 104, pp.333–339.</w:t>
      </w:r>
    </w:p>
    <w:p w14:paraId="2881B7E9" w14:textId="77777777" w:rsidR="009B01BA" w:rsidRDefault="009E3CBF">
      <w:pPr>
        <w:pStyle w:val="ListParagraph"/>
        <w:numPr>
          <w:ilvl w:val="0"/>
          <w:numId w:val="10"/>
        </w:numPr>
        <w:spacing w:before="100" w:after="100"/>
      </w:pPr>
      <w:r>
        <w:rPr>
          <w:rFonts w:ascii="Times New Roman" w:hAnsi="Times New Roman"/>
          <w:sz w:val="24"/>
          <w:szCs w:val="24"/>
        </w:rPr>
        <w:t xml:space="preserve">Sodhi, M.S. and Tang, C.S., 2021. </w:t>
      </w:r>
      <w:r>
        <w:rPr>
          <w:rFonts w:ascii="Times New Roman" w:hAnsi="Times New Roman"/>
          <w:i/>
          <w:iCs/>
          <w:sz w:val="24"/>
          <w:szCs w:val="24"/>
        </w:rPr>
        <w:t>Responsible Supply Chain Management: Insights from Operations Management Research</w:t>
      </w:r>
      <w:r>
        <w:rPr>
          <w:rFonts w:ascii="Times New Roman" w:hAnsi="Times New Roman"/>
          <w:sz w:val="24"/>
          <w:szCs w:val="24"/>
        </w:rPr>
        <w:t>. Production and Operations Management, 30(4), pp.883–898.</w:t>
      </w:r>
    </w:p>
    <w:p w14:paraId="1379257D" w14:textId="77777777" w:rsidR="009B01BA" w:rsidRDefault="009E3CBF">
      <w:pPr>
        <w:pStyle w:val="ListParagraph"/>
        <w:numPr>
          <w:ilvl w:val="0"/>
          <w:numId w:val="10"/>
        </w:numPr>
        <w:spacing w:before="100" w:after="100"/>
      </w:pPr>
      <w:r>
        <w:rPr>
          <w:rFonts w:ascii="Times New Roman" w:hAnsi="Times New Roman"/>
          <w:sz w:val="24"/>
          <w:szCs w:val="24"/>
        </w:rPr>
        <w:t xml:space="preserve">Suchman, M.C., 1995. </w:t>
      </w:r>
      <w:r>
        <w:rPr>
          <w:rFonts w:ascii="Times New Roman" w:hAnsi="Times New Roman"/>
          <w:i/>
          <w:iCs/>
          <w:sz w:val="24"/>
          <w:szCs w:val="24"/>
        </w:rPr>
        <w:t>Managing Legitimacy: Strategic and Institutional Approaches</w:t>
      </w:r>
      <w:r>
        <w:rPr>
          <w:rFonts w:ascii="Times New Roman" w:hAnsi="Times New Roman"/>
          <w:sz w:val="24"/>
          <w:szCs w:val="24"/>
        </w:rPr>
        <w:t>. Academy of Management Review, 20(3), pp.571–610.</w:t>
      </w:r>
    </w:p>
    <w:p w14:paraId="299FD699" w14:textId="77777777" w:rsidR="009B01BA" w:rsidRDefault="009E3CBF">
      <w:pPr>
        <w:pStyle w:val="NormalWeb"/>
        <w:numPr>
          <w:ilvl w:val="0"/>
          <w:numId w:val="10"/>
        </w:numPr>
        <w:suppressAutoHyphens w:val="0"/>
      </w:pPr>
      <w:r>
        <w:t xml:space="preserve">Supply Chain Dive, 2024. </w:t>
      </w:r>
      <w:r>
        <w:rPr>
          <w:rStyle w:val="Emphasis"/>
          <w:b/>
          <w:bCs/>
        </w:rPr>
        <w:t>Apple Cuts 231 Non-Compliant Suppliers Since 2009</w:t>
      </w:r>
      <w:r>
        <w:t xml:space="preserve">. Available at: [ </w:t>
      </w:r>
      <w:hyperlink r:id="rId20" w:history="1">
        <w:r>
          <w:rPr>
            <w:rStyle w:val="Hyperlink"/>
          </w:rPr>
          <w:t>https://www.supplychaindive.com/news/apple-cuts-14-suppliers-conflict-minerals/714301/</w:t>
        </w:r>
      </w:hyperlink>
      <w:r>
        <w:t xml:space="preserve"> ] (Accessed [20/10/2025]).</w:t>
      </w:r>
    </w:p>
    <w:p w14:paraId="73F8692C" w14:textId="77777777" w:rsidR="009B01BA" w:rsidRDefault="009E3CBF">
      <w:pPr>
        <w:pStyle w:val="ListParagraph"/>
        <w:numPr>
          <w:ilvl w:val="0"/>
          <w:numId w:val="10"/>
        </w:numPr>
        <w:spacing w:before="100" w:after="100"/>
      </w:pPr>
      <w:r>
        <w:rPr>
          <w:rFonts w:ascii="Times New Roman" w:hAnsi="Times New Roman"/>
          <w:sz w:val="24"/>
          <w:szCs w:val="24"/>
        </w:rPr>
        <w:t xml:space="preserve">Teece, D.J., 2018. </w:t>
      </w:r>
      <w:r>
        <w:rPr>
          <w:rFonts w:ascii="Times New Roman" w:hAnsi="Times New Roman"/>
          <w:i/>
          <w:iCs/>
          <w:sz w:val="24"/>
          <w:szCs w:val="24"/>
        </w:rPr>
        <w:t>Business Models and Dynamic Capabilities</w:t>
      </w:r>
      <w:r>
        <w:rPr>
          <w:rFonts w:ascii="Times New Roman" w:hAnsi="Times New Roman"/>
          <w:sz w:val="24"/>
          <w:szCs w:val="24"/>
        </w:rPr>
        <w:t>. Long Range Planning, 51(1), pp.40–49.</w:t>
      </w:r>
    </w:p>
    <w:p w14:paraId="1BE7A2AA" w14:textId="77777777" w:rsidR="009B01BA" w:rsidRDefault="009E3CBF">
      <w:pPr>
        <w:pStyle w:val="NormalWeb"/>
        <w:numPr>
          <w:ilvl w:val="0"/>
          <w:numId w:val="10"/>
        </w:numPr>
        <w:suppressAutoHyphens w:val="0"/>
      </w:pPr>
      <w:r>
        <w:rPr>
          <w:bCs/>
        </w:rPr>
        <w:t xml:space="preserve">The Guardian, 2025. </w:t>
      </w:r>
      <w:r>
        <w:rPr>
          <w:rStyle w:val="Emphasis"/>
          <w:bCs/>
        </w:rPr>
        <w:t>Apple Plans US iPhone Production Shift to India Amid Trade Tensions</w:t>
      </w:r>
      <w:r>
        <w:rPr>
          <w:bCs/>
        </w:rPr>
        <w:t>. Available at:</w:t>
      </w:r>
      <w:r>
        <w:t xml:space="preserve"> [ </w:t>
      </w:r>
      <w:hyperlink r:id="rId21" w:history="1">
        <w:r>
          <w:rPr>
            <w:rStyle w:val="Hyperlink"/>
          </w:rPr>
          <w:t>https://www.theg</w:t>
        </w:r>
        <w:bookmarkStart w:id="91" w:name="_Hlt212749869"/>
        <w:bookmarkStart w:id="92" w:name="_Hlt212749870"/>
        <w:r>
          <w:rPr>
            <w:rStyle w:val="Hyperlink"/>
          </w:rPr>
          <w:t>u</w:t>
        </w:r>
        <w:bookmarkEnd w:id="91"/>
        <w:bookmarkEnd w:id="92"/>
        <w:r>
          <w:rPr>
            <w:rStyle w:val="Hyperlink"/>
          </w:rPr>
          <w:t>ardian.com/technology/2025/apr/25/apple-source-us-iphones-india-china-trump-trade-war</w:t>
        </w:r>
      </w:hyperlink>
      <w:r>
        <w:t xml:space="preserve"> ] (Accessed [15/10/2025]).</w:t>
      </w:r>
    </w:p>
    <w:p w14:paraId="205819F8" w14:textId="77777777" w:rsidR="009B01BA" w:rsidRDefault="009E3CBF">
      <w:pPr>
        <w:pStyle w:val="ListParagraph"/>
        <w:numPr>
          <w:ilvl w:val="0"/>
          <w:numId w:val="10"/>
        </w:numPr>
        <w:spacing w:line="256" w:lineRule="auto"/>
      </w:pPr>
      <w:r>
        <w:t>Tozanli, Ö. and Saénz, M.</w:t>
      </w:r>
      <w:r>
        <w:rPr>
          <w:rFonts w:ascii="Arial" w:hAnsi="Arial" w:cs="Arial"/>
        </w:rPr>
        <w:t> </w:t>
      </w:r>
      <w:r>
        <w:t xml:space="preserve">J. (2024) </w:t>
      </w:r>
      <w:r>
        <w:rPr>
          <w:rFonts w:cs="Aptos"/>
        </w:rPr>
        <w:t>‘</w:t>
      </w:r>
      <w:r>
        <w:t>Unlocking the potential of digital twins in supply chains</w:t>
      </w:r>
      <w:r>
        <w:rPr>
          <w:rFonts w:cs="Aptos"/>
        </w:rPr>
        <w:t>’</w:t>
      </w:r>
      <w:r>
        <w:t xml:space="preserve">, </w:t>
      </w:r>
      <w:r>
        <w:rPr>
          <w:i/>
          <w:iCs/>
        </w:rPr>
        <w:t>MIT Sloan Management Review</w:t>
      </w:r>
      <w:r>
        <w:t xml:space="preserve">. Available at: [ </w:t>
      </w:r>
      <w:hyperlink r:id="rId22" w:history="1">
        <w:r>
          <w:rPr>
            <w:rStyle w:val="Hyperlink"/>
          </w:rPr>
          <w:t>https://sloanreview.mit.edu/article/unlocking-the-potenti</w:t>
        </w:r>
        <w:bookmarkStart w:id="93" w:name="_Hlt212658908"/>
        <w:bookmarkStart w:id="94" w:name="_Hlt212658909"/>
        <w:r>
          <w:rPr>
            <w:rStyle w:val="Hyperlink"/>
          </w:rPr>
          <w:t>a</w:t>
        </w:r>
        <w:bookmarkEnd w:id="93"/>
        <w:bookmarkEnd w:id="94"/>
        <w:r>
          <w:rPr>
            <w:rStyle w:val="Hyperlink"/>
          </w:rPr>
          <w:t>l-of-digital-twin</w:t>
        </w:r>
        <w:bookmarkStart w:id="95" w:name="_Hlt212749829"/>
        <w:bookmarkStart w:id="96" w:name="_Hlt212749830"/>
        <w:r>
          <w:rPr>
            <w:rStyle w:val="Hyperlink"/>
          </w:rPr>
          <w:t>s</w:t>
        </w:r>
        <w:bookmarkEnd w:id="95"/>
        <w:bookmarkEnd w:id="96"/>
        <w:r>
          <w:rPr>
            <w:rStyle w:val="Hyperlink"/>
          </w:rPr>
          <w:t>-in-supply-chains/</w:t>
        </w:r>
      </w:hyperlink>
      <w:r>
        <w:t xml:space="preserve"> ] (Accessed: [02/10/2025]).</w:t>
      </w:r>
    </w:p>
    <w:p w14:paraId="6EE8FA22" w14:textId="77777777" w:rsidR="009B01BA" w:rsidRDefault="009E3CBF">
      <w:pPr>
        <w:pStyle w:val="ListParagraph"/>
        <w:numPr>
          <w:ilvl w:val="0"/>
          <w:numId w:val="10"/>
        </w:numPr>
        <w:spacing w:line="256" w:lineRule="auto"/>
      </w:pPr>
      <w:r>
        <w:t>Tranfield, D., Denyer, D. and Smart, P. (2003) ‘Towards a methodology for developing evidence</w:t>
      </w:r>
      <w:r>
        <w:rPr>
          <w:rFonts w:ascii="Cambria Math" w:hAnsi="Cambria Math" w:cs="Cambria Math"/>
        </w:rPr>
        <w:t>‐</w:t>
      </w:r>
      <w:r>
        <w:t>informed management knowledge by means of systematic review</w:t>
      </w:r>
      <w:r>
        <w:rPr>
          <w:rFonts w:ascii="Arial" w:hAnsi="Arial" w:cs="Arial"/>
        </w:rPr>
        <w:t>’</w:t>
      </w:r>
      <w:r>
        <w:t xml:space="preserve">, </w:t>
      </w:r>
      <w:r>
        <w:rPr>
          <w:i/>
          <w:iCs/>
        </w:rPr>
        <w:t>British Journal of Management</w:t>
      </w:r>
      <w:r>
        <w:t>, 14(3), pp. 207–222.</w:t>
      </w:r>
    </w:p>
    <w:p w14:paraId="7AD0EFA5" w14:textId="77777777" w:rsidR="009B01BA" w:rsidRDefault="009E3CBF">
      <w:pPr>
        <w:pStyle w:val="ListParagraph"/>
        <w:numPr>
          <w:ilvl w:val="0"/>
          <w:numId w:val="10"/>
        </w:numPr>
        <w:spacing w:before="100" w:after="100"/>
      </w:pPr>
      <w:r>
        <w:rPr>
          <w:rFonts w:ascii="Times New Roman" w:hAnsi="Times New Roman"/>
          <w:sz w:val="24"/>
          <w:szCs w:val="24"/>
        </w:rPr>
        <w:t xml:space="preserve">Tukamuhabwa, B.R., Stevenson, M., Busby, J. and Zorzini, M., 2015. </w:t>
      </w:r>
      <w:r>
        <w:rPr>
          <w:rFonts w:ascii="Times New Roman" w:hAnsi="Times New Roman"/>
          <w:i/>
          <w:iCs/>
          <w:sz w:val="24"/>
          <w:szCs w:val="24"/>
        </w:rPr>
        <w:t>Supply Chain Resilience: Definition, Review and Theoretical Foundations for Further Study</w:t>
      </w:r>
      <w:r>
        <w:rPr>
          <w:rFonts w:ascii="Times New Roman" w:hAnsi="Times New Roman"/>
          <w:sz w:val="24"/>
          <w:szCs w:val="24"/>
        </w:rPr>
        <w:t>. International Journal of Production Research, 53(18), pp.5592–5623.</w:t>
      </w:r>
    </w:p>
    <w:p w14:paraId="3C86928A" w14:textId="77777777" w:rsidR="009B01BA" w:rsidRDefault="009E3CBF">
      <w:pPr>
        <w:pStyle w:val="ListParagraph"/>
        <w:numPr>
          <w:ilvl w:val="0"/>
          <w:numId w:val="10"/>
        </w:numPr>
        <w:spacing w:line="256" w:lineRule="auto"/>
      </w:pPr>
      <w:r>
        <w:t xml:space="preserve">Williamson, O.E., 1979. </w:t>
      </w:r>
      <w:r>
        <w:rPr>
          <w:i/>
          <w:iCs/>
        </w:rPr>
        <w:t>Transaction-Cost Economics: The Governance of Contractual Relations</w:t>
      </w:r>
      <w:r>
        <w:t>. Journal of Law and Economics, 22(2), pp.233–261.</w:t>
      </w:r>
    </w:p>
    <w:p w14:paraId="11B08CE1" w14:textId="77777777" w:rsidR="009B01BA" w:rsidRDefault="009E3CBF">
      <w:pPr>
        <w:pStyle w:val="ListParagraph"/>
        <w:numPr>
          <w:ilvl w:val="0"/>
          <w:numId w:val="10"/>
        </w:numPr>
        <w:spacing w:line="256" w:lineRule="auto"/>
      </w:pPr>
      <w:r>
        <w:t xml:space="preserve">Womack, J.P. and Jones, D.T. (2003) </w:t>
      </w:r>
      <w:r>
        <w:rPr>
          <w:i/>
          <w:iCs/>
        </w:rPr>
        <w:t>Lean Thinking: Banish Waste and Create Wealth in Your Corporation</w:t>
      </w:r>
      <w:r>
        <w:t>. 2nd ed. New York: Free Press.</w:t>
      </w:r>
    </w:p>
    <w:p w14:paraId="3D1957EC" w14:textId="77777777" w:rsidR="009B01BA" w:rsidRDefault="009B01BA"/>
    <w:sectPr w:rsidR="009B01BA">
      <w:footerReference w:type="default" r:id="rId23"/>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6F2B0" w14:textId="77777777" w:rsidR="00840CA0" w:rsidRDefault="00840CA0">
      <w:pPr>
        <w:spacing w:after="0"/>
      </w:pPr>
      <w:r>
        <w:separator/>
      </w:r>
    </w:p>
  </w:endnote>
  <w:endnote w:type="continuationSeparator" w:id="0">
    <w:p w14:paraId="1823D43E" w14:textId="77777777" w:rsidR="00840CA0" w:rsidRDefault="00840CA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C00D8" w14:textId="77777777" w:rsidR="009E3CBF" w:rsidRDefault="009E3CBF">
    <w:pPr>
      <w:pStyle w:val="Footer"/>
      <w:jc w:val="right"/>
    </w:pPr>
    <w:r>
      <w:fldChar w:fldCharType="begin"/>
    </w:r>
    <w:r>
      <w:instrText xml:space="preserve"> PAGE </w:instrText>
    </w:r>
    <w:r>
      <w:fldChar w:fldCharType="separate"/>
    </w:r>
    <w:r>
      <w:t>2</w:t>
    </w:r>
    <w:r>
      <w:fldChar w:fldCharType="end"/>
    </w:r>
  </w:p>
  <w:p w14:paraId="02C94FB1" w14:textId="77777777" w:rsidR="009E3CBF" w:rsidRDefault="009E3C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27632" w14:textId="77777777" w:rsidR="00840CA0" w:rsidRDefault="00840CA0">
      <w:pPr>
        <w:spacing w:after="0"/>
      </w:pPr>
      <w:r>
        <w:rPr>
          <w:color w:val="000000"/>
        </w:rPr>
        <w:separator/>
      </w:r>
    </w:p>
  </w:footnote>
  <w:footnote w:type="continuationSeparator" w:id="0">
    <w:p w14:paraId="3A1626FE" w14:textId="77777777" w:rsidR="00840CA0" w:rsidRDefault="00840CA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54F2C"/>
    <w:multiLevelType w:val="multilevel"/>
    <w:tmpl w:val="15DE5F72"/>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 w15:restartNumberingAfterBreak="0">
    <w:nsid w:val="20812E58"/>
    <w:multiLevelType w:val="multilevel"/>
    <w:tmpl w:val="5B9626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1057087"/>
    <w:multiLevelType w:val="multilevel"/>
    <w:tmpl w:val="7AA44F0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274839B8"/>
    <w:multiLevelType w:val="multilevel"/>
    <w:tmpl w:val="287A3F3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480F2C8E"/>
    <w:multiLevelType w:val="multilevel"/>
    <w:tmpl w:val="1D3034C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 w15:restartNumberingAfterBreak="0">
    <w:nsid w:val="4B4844F8"/>
    <w:multiLevelType w:val="multilevel"/>
    <w:tmpl w:val="4D8A0E22"/>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6" w15:restartNumberingAfterBreak="0">
    <w:nsid w:val="4CF46BB3"/>
    <w:multiLevelType w:val="multilevel"/>
    <w:tmpl w:val="FFAACDF2"/>
    <w:styleLink w:val="CurrentList1"/>
    <w:lvl w:ilvl="0">
      <w:numFmt w:val="bullet"/>
      <w:lvlText w:val=""/>
      <w:lvlJc w:val="left"/>
      <w:pPr>
        <w:ind w:left="720" w:hanging="360"/>
      </w:pPr>
      <w:rPr>
        <w:rFonts w:ascii="Symbol" w:hAnsi="Symbol"/>
        <w:sz w:val="20"/>
      </w:rPr>
    </w:lvl>
    <w:lvl w:ilvl="1">
      <w:start w:val="5"/>
      <w:numFmt w:val="decimal"/>
      <w:lvlText w:val="."/>
      <w:lvlJc w:val="left"/>
      <w:pPr>
        <w:ind w:left="1440" w:hanging="360"/>
      </w:p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 w15:restartNumberingAfterBreak="0">
    <w:nsid w:val="57AD4D25"/>
    <w:multiLevelType w:val="multilevel"/>
    <w:tmpl w:val="7524694A"/>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8" w15:restartNumberingAfterBreak="0">
    <w:nsid w:val="5CEA3E71"/>
    <w:multiLevelType w:val="multilevel"/>
    <w:tmpl w:val="6538A5F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 w15:restartNumberingAfterBreak="0">
    <w:nsid w:val="7EC81763"/>
    <w:multiLevelType w:val="multilevel"/>
    <w:tmpl w:val="B532E7A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606930391">
    <w:abstractNumId w:val="6"/>
  </w:num>
  <w:num w:numId="2" w16cid:durableId="1172456110">
    <w:abstractNumId w:val="5"/>
  </w:num>
  <w:num w:numId="3" w16cid:durableId="1698578119">
    <w:abstractNumId w:val="7"/>
  </w:num>
  <w:num w:numId="4" w16cid:durableId="634146227">
    <w:abstractNumId w:val="3"/>
  </w:num>
  <w:num w:numId="5" w16cid:durableId="475491611">
    <w:abstractNumId w:val="2"/>
  </w:num>
  <w:num w:numId="6" w16cid:durableId="268706132">
    <w:abstractNumId w:val="9"/>
  </w:num>
  <w:num w:numId="7" w16cid:durableId="902645299">
    <w:abstractNumId w:val="4"/>
  </w:num>
  <w:num w:numId="8" w16cid:durableId="791633295">
    <w:abstractNumId w:val="8"/>
  </w:num>
  <w:num w:numId="9" w16cid:durableId="204760685">
    <w:abstractNumId w:val="0"/>
  </w:num>
  <w:num w:numId="10" w16cid:durableId="13534102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1BA"/>
    <w:rsid w:val="0026301E"/>
    <w:rsid w:val="00840CA0"/>
    <w:rsid w:val="009B01BA"/>
    <w:rsid w:val="009E3CBF"/>
    <w:rsid w:val="00A811E7"/>
    <w:rsid w:val="00AC27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B413F0"/>
  <w15:docId w15:val="{8AF80626-0798-431D-9453-C20FEC16C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imes New Roman" w:hAnsi="Aptos" w:cs="Times New Roman"/>
        <w:sz w:val="22"/>
        <w:szCs w:val="22"/>
        <w:lang w:val="en-US"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40"/>
      <w:outlineLvl w:val="0"/>
    </w:pPr>
    <w:rPr>
      <w:rFonts w:ascii="Aptos Display" w:hAnsi="Aptos Display"/>
      <w:color w:val="0A2F41"/>
      <w:sz w:val="36"/>
      <w:szCs w:val="36"/>
    </w:rPr>
  </w:style>
  <w:style w:type="paragraph" w:styleId="Heading2">
    <w:name w:val="heading 2"/>
    <w:basedOn w:val="Normal"/>
    <w:next w:val="Normal"/>
    <w:uiPriority w:val="9"/>
    <w:unhideWhenUsed/>
    <w:qFormat/>
    <w:pPr>
      <w:keepNext/>
      <w:keepLines/>
      <w:spacing w:before="40" w:after="0"/>
      <w:outlineLvl w:val="1"/>
    </w:pPr>
    <w:rPr>
      <w:rFonts w:ascii="Aptos Display" w:hAnsi="Aptos Display"/>
      <w:color w:val="0F4761"/>
      <w:sz w:val="32"/>
      <w:szCs w:val="32"/>
    </w:rPr>
  </w:style>
  <w:style w:type="paragraph" w:styleId="Heading3">
    <w:name w:val="heading 3"/>
    <w:basedOn w:val="Normal"/>
    <w:next w:val="Normal"/>
    <w:uiPriority w:val="9"/>
    <w:unhideWhenUsed/>
    <w:qFormat/>
    <w:pPr>
      <w:keepNext/>
      <w:keepLines/>
      <w:spacing w:before="40" w:after="0"/>
      <w:outlineLvl w:val="2"/>
    </w:pPr>
    <w:rPr>
      <w:rFonts w:ascii="Aptos Display" w:hAnsi="Aptos Display"/>
      <w:color w:val="0F4761"/>
      <w:sz w:val="28"/>
      <w:szCs w:val="28"/>
    </w:rPr>
  </w:style>
  <w:style w:type="paragraph" w:styleId="Heading4">
    <w:name w:val="heading 4"/>
    <w:basedOn w:val="Normal"/>
    <w:next w:val="Normal"/>
    <w:uiPriority w:val="9"/>
    <w:semiHidden/>
    <w:unhideWhenUsed/>
    <w:qFormat/>
    <w:pPr>
      <w:keepNext/>
      <w:keepLines/>
      <w:spacing w:before="40" w:after="0"/>
      <w:outlineLvl w:val="3"/>
    </w:pPr>
    <w:rPr>
      <w:rFonts w:ascii="Aptos Display" w:hAnsi="Aptos Display"/>
      <w:color w:val="0F4761"/>
      <w:sz w:val="24"/>
      <w:szCs w:val="24"/>
    </w:rPr>
  </w:style>
  <w:style w:type="paragraph" w:styleId="Heading5">
    <w:name w:val="heading 5"/>
    <w:basedOn w:val="Normal"/>
    <w:next w:val="Normal"/>
    <w:uiPriority w:val="9"/>
    <w:semiHidden/>
    <w:unhideWhenUsed/>
    <w:qFormat/>
    <w:pPr>
      <w:keepNext/>
      <w:keepLines/>
      <w:spacing w:before="40" w:after="0"/>
      <w:outlineLvl w:val="4"/>
    </w:pPr>
    <w:rPr>
      <w:rFonts w:ascii="Aptos Display" w:hAnsi="Aptos Display"/>
      <w:caps/>
      <w:color w:val="0F4761"/>
    </w:rPr>
  </w:style>
  <w:style w:type="paragraph" w:styleId="Heading6">
    <w:name w:val="heading 6"/>
    <w:basedOn w:val="Normal"/>
    <w:next w:val="Normal"/>
    <w:uiPriority w:val="9"/>
    <w:semiHidden/>
    <w:unhideWhenUsed/>
    <w:qFormat/>
    <w:pPr>
      <w:keepNext/>
      <w:keepLines/>
      <w:spacing w:before="40" w:after="0"/>
      <w:outlineLvl w:val="5"/>
    </w:pPr>
    <w:rPr>
      <w:rFonts w:ascii="Aptos Display" w:hAnsi="Aptos Display"/>
      <w:i/>
      <w:iCs/>
      <w:caps/>
      <w:color w:val="0A2F41"/>
    </w:rPr>
  </w:style>
  <w:style w:type="paragraph" w:styleId="Heading7">
    <w:name w:val="heading 7"/>
    <w:basedOn w:val="Normal"/>
    <w:next w:val="Normal"/>
    <w:pPr>
      <w:keepNext/>
      <w:keepLines/>
      <w:spacing w:before="40" w:after="0"/>
      <w:outlineLvl w:val="6"/>
    </w:pPr>
    <w:rPr>
      <w:rFonts w:ascii="Aptos Display" w:hAnsi="Aptos Display"/>
      <w:b/>
      <w:bCs/>
      <w:color w:val="0A2F41"/>
    </w:rPr>
  </w:style>
  <w:style w:type="paragraph" w:styleId="Heading8">
    <w:name w:val="heading 8"/>
    <w:basedOn w:val="Normal"/>
    <w:next w:val="Normal"/>
    <w:pPr>
      <w:keepNext/>
      <w:keepLines/>
      <w:spacing w:before="40" w:after="0"/>
      <w:outlineLvl w:val="7"/>
    </w:pPr>
    <w:rPr>
      <w:rFonts w:ascii="Aptos Display" w:hAnsi="Aptos Display"/>
      <w:b/>
      <w:bCs/>
      <w:i/>
      <w:iCs/>
      <w:color w:val="0A2F41"/>
    </w:rPr>
  </w:style>
  <w:style w:type="paragraph" w:styleId="Heading9">
    <w:name w:val="heading 9"/>
    <w:basedOn w:val="Normal"/>
    <w:next w:val="Normal"/>
    <w:pPr>
      <w:keepNext/>
      <w:keepLines/>
      <w:spacing w:before="40" w:after="0"/>
      <w:outlineLvl w:val="8"/>
    </w:pPr>
    <w:rPr>
      <w:rFonts w:ascii="Aptos Display" w:hAnsi="Aptos Display"/>
      <w:i/>
      <w:iCs/>
      <w:color w:val="0A2F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A2F41"/>
      <w:sz w:val="36"/>
      <w:szCs w:val="36"/>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ascii="Aptos Display" w:eastAsia="Times New Roman" w:hAnsi="Aptos Display" w:cs="Times New Roman"/>
      <w:color w:val="0F4761"/>
      <w:sz w:val="28"/>
      <w:szCs w:val="28"/>
    </w:rPr>
  </w:style>
  <w:style w:type="character" w:customStyle="1" w:styleId="Heading4Char">
    <w:name w:val="Heading 4 Char"/>
    <w:basedOn w:val="DefaultParagraphFont"/>
    <w:rPr>
      <w:rFonts w:ascii="Aptos Display" w:eastAsia="Times New Roman" w:hAnsi="Aptos Display" w:cs="Times New Roman"/>
      <w:color w:val="0F4761"/>
      <w:sz w:val="24"/>
      <w:szCs w:val="24"/>
    </w:rPr>
  </w:style>
  <w:style w:type="character" w:customStyle="1" w:styleId="Heading5Char">
    <w:name w:val="Heading 5 Char"/>
    <w:basedOn w:val="DefaultParagraphFont"/>
    <w:rPr>
      <w:rFonts w:ascii="Aptos Display" w:eastAsia="Times New Roman" w:hAnsi="Aptos Display" w:cs="Times New Roman"/>
      <w:caps/>
      <w:color w:val="0F4761"/>
    </w:rPr>
  </w:style>
  <w:style w:type="character" w:customStyle="1" w:styleId="Heading6Char">
    <w:name w:val="Heading 6 Char"/>
    <w:basedOn w:val="DefaultParagraphFont"/>
    <w:rPr>
      <w:rFonts w:ascii="Aptos Display" w:eastAsia="Times New Roman" w:hAnsi="Aptos Display" w:cs="Times New Roman"/>
      <w:i/>
      <w:iCs/>
      <w:caps/>
      <w:color w:val="0A2F41"/>
    </w:rPr>
  </w:style>
  <w:style w:type="character" w:customStyle="1" w:styleId="Heading7Char">
    <w:name w:val="Heading 7 Char"/>
    <w:basedOn w:val="DefaultParagraphFont"/>
    <w:rPr>
      <w:rFonts w:ascii="Aptos Display" w:eastAsia="Times New Roman" w:hAnsi="Aptos Display" w:cs="Times New Roman"/>
      <w:b/>
      <w:bCs/>
      <w:color w:val="0A2F41"/>
    </w:rPr>
  </w:style>
  <w:style w:type="character" w:customStyle="1" w:styleId="Heading8Char">
    <w:name w:val="Heading 8 Char"/>
    <w:basedOn w:val="DefaultParagraphFont"/>
    <w:rPr>
      <w:rFonts w:ascii="Aptos Display" w:eastAsia="Times New Roman" w:hAnsi="Aptos Display" w:cs="Times New Roman"/>
      <w:b/>
      <w:bCs/>
      <w:i/>
      <w:iCs/>
      <w:color w:val="0A2F41"/>
    </w:rPr>
  </w:style>
  <w:style w:type="character" w:customStyle="1" w:styleId="Heading9Char">
    <w:name w:val="Heading 9 Char"/>
    <w:basedOn w:val="DefaultParagraphFont"/>
    <w:rPr>
      <w:rFonts w:ascii="Aptos Display" w:eastAsia="Times New Roman" w:hAnsi="Aptos Display" w:cs="Times New Roman"/>
      <w:i/>
      <w:iCs/>
      <w:color w:val="0A2F41"/>
    </w:rPr>
  </w:style>
  <w:style w:type="paragraph" w:styleId="Title">
    <w:name w:val="Title"/>
    <w:basedOn w:val="Normal"/>
    <w:next w:val="Normal"/>
    <w:uiPriority w:val="10"/>
    <w:qFormat/>
    <w:pPr>
      <w:spacing w:after="0" w:line="204" w:lineRule="auto"/>
      <w:contextualSpacing/>
    </w:pPr>
    <w:rPr>
      <w:rFonts w:ascii="Aptos Display" w:hAnsi="Aptos Display"/>
      <w:caps/>
      <w:color w:val="0E2841"/>
      <w:spacing w:val="-15"/>
      <w:sz w:val="72"/>
      <w:szCs w:val="72"/>
    </w:rPr>
  </w:style>
  <w:style w:type="character" w:customStyle="1" w:styleId="TitleChar">
    <w:name w:val="Title Char"/>
    <w:basedOn w:val="DefaultParagraphFont"/>
    <w:rPr>
      <w:rFonts w:ascii="Aptos Display" w:eastAsia="Times New Roman" w:hAnsi="Aptos Display" w:cs="Times New Roman"/>
      <w:caps/>
      <w:color w:val="0E2841"/>
      <w:spacing w:val="-15"/>
      <w:sz w:val="72"/>
      <w:szCs w:val="72"/>
    </w:rPr>
  </w:style>
  <w:style w:type="paragraph" w:styleId="Subtitle">
    <w:name w:val="Subtitle"/>
    <w:basedOn w:val="Normal"/>
    <w:next w:val="Normal"/>
    <w:uiPriority w:val="11"/>
    <w:qFormat/>
    <w:pPr>
      <w:spacing w:after="240"/>
    </w:pPr>
    <w:rPr>
      <w:rFonts w:ascii="Aptos Display" w:hAnsi="Aptos Display"/>
      <w:color w:val="156082"/>
      <w:sz w:val="28"/>
      <w:szCs w:val="28"/>
    </w:rPr>
  </w:style>
  <w:style w:type="character" w:customStyle="1" w:styleId="SubtitleChar">
    <w:name w:val="Subtitle Char"/>
    <w:basedOn w:val="DefaultParagraphFont"/>
    <w:rPr>
      <w:rFonts w:ascii="Aptos Display" w:eastAsia="Times New Roman" w:hAnsi="Aptos Display" w:cs="Times New Roman"/>
      <w:color w:val="156082"/>
      <w:sz w:val="28"/>
      <w:szCs w:val="28"/>
    </w:rPr>
  </w:style>
  <w:style w:type="paragraph" w:styleId="Quote">
    <w:name w:val="Quote"/>
    <w:basedOn w:val="Normal"/>
    <w:next w:val="Normal"/>
    <w:pPr>
      <w:spacing w:before="120" w:after="120"/>
      <w:ind w:left="720"/>
    </w:pPr>
    <w:rPr>
      <w:color w:val="0E2841"/>
      <w:sz w:val="24"/>
      <w:szCs w:val="24"/>
    </w:rPr>
  </w:style>
  <w:style w:type="character" w:customStyle="1" w:styleId="QuoteChar">
    <w:name w:val="Quote Char"/>
    <w:basedOn w:val="DefaultParagraphFont"/>
    <w:rPr>
      <w:color w:val="0E2841"/>
      <w:sz w:val="24"/>
      <w:szCs w:val="24"/>
    </w:rPr>
  </w:style>
  <w:style w:type="paragraph" w:styleId="ListParagraph">
    <w:name w:val="List Paragraph"/>
    <w:basedOn w:val="Normal"/>
    <w:pPr>
      <w:ind w:left="720"/>
      <w:contextualSpacing/>
    </w:pPr>
  </w:style>
  <w:style w:type="character" w:styleId="IntenseEmphasis">
    <w:name w:val="Intense Emphasis"/>
    <w:basedOn w:val="DefaultParagraphFont"/>
    <w:rPr>
      <w:b/>
      <w:bCs/>
      <w:i/>
      <w:iCs/>
    </w:rPr>
  </w:style>
  <w:style w:type="paragraph" w:styleId="IntenseQuote">
    <w:name w:val="Intense Quote"/>
    <w:basedOn w:val="Normal"/>
    <w:next w:val="Normal"/>
    <w:pPr>
      <w:spacing w:before="100" w:after="240"/>
      <w:ind w:left="720"/>
      <w:jc w:val="center"/>
    </w:pPr>
    <w:rPr>
      <w:rFonts w:ascii="Aptos Display" w:hAnsi="Aptos Display"/>
      <w:color w:val="0E2841"/>
      <w:spacing w:val="-6"/>
      <w:sz w:val="32"/>
      <w:szCs w:val="32"/>
    </w:rPr>
  </w:style>
  <w:style w:type="character" w:customStyle="1" w:styleId="IntenseQuoteChar">
    <w:name w:val="Intense Quote Char"/>
    <w:basedOn w:val="DefaultParagraphFont"/>
    <w:rPr>
      <w:rFonts w:ascii="Aptos Display" w:eastAsia="Times New Roman" w:hAnsi="Aptos Display" w:cs="Times New Roman"/>
      <w:color w:val="0E2841"/>
      <w:spacing w:val="-6"/>
      <w:sz w:val="32"/>
      <w:szCs w:val="32"/>
    </w:rPr>
  </w:style>
  <w:style w:type="character" w:styleId="IntenseReference">
    <w:name w:val="Intense Reference"/>
    <w:basedOn w:val="DefaultParagraphFont"/>
    <w:rPr>
      <w:b/>
      <w:bCs/>
      <w:smallCaps/>
      <w:color w:val="0E2841"/>
      <w:u w:val="single"/>
    </w:rPr>
  </w:style>
  <w:style w:type="paragraph" w:styleId="NormalWeb">
    <w:name w:val="Normal (Web)"/>
    <w:basedOn w:val="Normal"/>
    <w:pPr>
      <w:suppressAutoHyphens/>
      <w:spacing w:before="100" w:after="100"/>
    </w:pPr>
    <w:rPr>
      <w:rFonts w:ascii="Times New Roman" w:hAnsi="Times New Roman"/>
      <w:sz w:val="24"/>
      <w:szCs w:val="24"/>
    </w:rPr>
  </w:style>
  <w:style w:type="character" w:styleId="Strong">
    <w:name w:val="Strong"/>
    <w:basedOn w:val="DefaultParagraphFont"/>
    <w:rPr>
      <w:b/>
      <w:bCs/>
    </w:rPr>
  </w:style>
  <w:style w:type="paragraph" w:styleId="Header">
    <w:name w:val="header"/>
    <w:basedOn w:val="Normal"/>
    <w:pPr>
      <w:tabs>
        <w:tab w:val="center" w:pos="4680"/>
        <w:tab w:val="right" w:pos="9360"/>
      </w:tabs>
      <w:spacing w:after="0"/>
    </w:pPr>
  </w:style>
  <w:style w:type="character" w:customStyle="1" w:styleId="HeaderChar">
    <w:name w:val="Header Char"/>
    <w:basedOn w:val="DefaultParagraphFont"/>
  </w:style>
  <w:style w:type="paragraph" w:styleId="Footer">
    <w:name w:val="footer"/>
    <w:basedOn w:val="Normal"/>
    <w:pPr>
      <w:tabs>
        <w:tab w:val="center" w:pos="4680"/>
        <w:tab w:val="right" w:pos="9360"/>
      </w:tabs>
      <w:spacing w:after="0"/>
    </w:pPr>
  </w:style>
  <w:style w:type="character" w:customStyle="1" w:styleId="FooterChar">
    <w:name w:val="Footer Char"/>
    <w:basedOn w:val="DefaultParagraphFont"/>
  </w:style>
  <w:style w:type="paragraph" w:styleId="TOCHeading">
    <w:name w:val="TOC Heading"/>
    <w:basedOn w:val="Heading1"/>
    <w:next w:val="Normal"/>
  </w:style>
  <w:style w:type="paragraph" w:styleId="Caption">
    <w:name w:val="caption"/>
    <w:basedOn w:val="Normal"/>
    <w:next w:val="Normal"/>
    <w:rPr>
      <w:b/>
      <w:bCs/>
      <w:smallCaps/>
      <w:color w:val="0E2841"/>
    </w:rPr>
  </w:style>
  <w:style w:type="character" w:styleId="Emphasis">
    <w:name w:val="Emphasis"/>
    <w:basedOn w:val="DefaultParagraphFont"/>
    <w:rPr>
      <w:i/>
      <w:iCs/>
    </w:rPr>
  </w:style>
  <w:style w:type="paragraph" w:styleId="NoSpacing">
    <w:name w:val="No Spacing"/>
    <w:pPr>
      <w:spacing w:after="0"/>
    </w:pPr>
  </w:style>
  <w:style w:type="character" w:styleId="SubtleEmphasis">
    <w:name w:val="Subtle Emphasis"/>
    <w:basedOn w:val="DefaultParagraphFont"/>
    <w:rPr>
      <w:i/>
      <w:iCs/>
      <w:color w:val="595959"/>
    </w:rPr>
  </w:style>
  <w:style w:type="character" w:styleId="SubtleReference">
    <w:name w:val="Subtle Reference"/>
    <w:basedOn w:val="DefaultParagraphFont"/>
    <w:rPr>
      <w:smallCaps/>
      <w:color w:val="595959"/>
      <w:u w:val="none" w:color="7F7F7F"/>
    </w:rPr>
  </w:style>
  <w:style w:type="character" w:styleId="BookTitle">
    <w:name w:val="Book Title"/>
    <w:basedOn w:val="DefaultParagraphFont"/>
    <w:rPr>
      <w:b/>
      <w:bCs/>
      <w:smallCaps/>
      <w:spacing w:val="10"/>
    </w:rPr>
  </w:style>
  <w:style w:type="paragraph" w:styleId="TOC1">
    <w:name w:val="toc 1"/>
    <w:basedOn w:val="Normal"/>
    <w:next w:val="Normal"/>
    <w:autoRedefine/>
    <w:pPr>
      <w:spacing w:after="100"/>
    </w:pPr>
  </w:style>
  <w:style w:type="character" w:styleId="Hyperlink">
    <w:name w:val="Hyperlink"/>
    <w:basedOn w:val="DefaultParagraphFont"/>
    <w:rPr>
      <w:color w:val="467886"/>
      <w:u w:val="single"/>
    </w:rPr>
  </w:style>
  <w:style w:type="paragraph" w:styleId="TOC3">
    <w:name w:val="toc 3"/>
    <w:basedOn w:val="Normal"/>
    <w:next w:val="Normal"/>
    <w:autoRedefine/>
    <w:pPr>
      <w:spacing w:after="100"/>
      <w:ind w:left="440"/>
    </w:pPr>
  </w:style>
  <w:style w:type="paragraph" w:styleId="TOC2">
    <w:name w:val="toc 2"/>
    <w:basedOn w:val="Normal"/>
    <w:next w:val="Normal"/>
    <w:autoRedefine/>
    <w:pPr>
      <w:spacing w:after="100"/>
      <w:ind w:left="220"/>
    </w:pPr>
  </w:style>
  <w:style w:type="character" w:styleId="FollowedHyperlink">
    <w:name w:val="FollowedHyperlink"/>
    <w:basedOn w:val="DefaultParagraphFont"/>
    <w:rPr>
      <w:color w:val="96607D"/>
      <w:u w:val="single"/>
    </w:rPr>
  </w:style>
  <w:style w:type="numbering" w:customStyle="1" w:styleId="CurrentList1">
    <w:name w:val="Current List1"/>
    <w:basedOn w:val="NoList"/>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cirp.org/reference/referencespapers?referenceid=3876822%20" TargetMode="External"/><Relationship Id="rId18" Type="http://schemas.openxmlformats.org/officeDocument/2006/relationships/hyperlink" Target="https://www.inderscienceonline.com/doi/abs/10.1504/IJBC.2025.147782" TargetMode="External"/><Relationship Id="rId3" Type="http://schemas.openxmlformats.org/officeDocument/2006/relationships/settings" Target="settings.xml"/><Relationship Id="rId21" Type="http://schemas.openxmlformats.org/officeDocument/2006/relationships/hyperlink" Target="https://www.theguardian.com/technology/2025/apr/25/apple-source-us-iphones-india-china-trump-trade-war" TargetMode="External"/><Relationship Id="rId7" Type="http://schemas.openxmlformats.org/officeDocument/2006/relationships/image" Target="media/image1.png"/><Relationship Id="rId12" Type="http://schemas.openxmlformats.org/officeDocument/2006/relationships/hyperlink" Target="https://www.apple.com/supplier-responsibility" TargetMode="External"/><Relationship Id="rId17" Type="http://schemas.openxmlformats.org/officeDocument/2006/relationships/hyperlink" Target="https://www.mckinsey.com/capabilities/operations/our-insights/supply-chain-risk-survey"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mckinsey.com/capabilities/operations/our-insights/operations-blog/supply-chain-resilience-in-china-and-everywhere-else%20" TargetMode="External"/><Relationship Id="rId20" Type="http://schemas.openxmlformats.org/officeDocument/2006/relationships/hyperlink" Target="https://www.supplychaindive.com/news/apple-cuts-14-suppliers-conflict-minerals/714301/%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pple.com/environment"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16/j.tre.2021.102271" TargetMode="External"/><Relationship Id="rId23" Type="http://schemas.openxmlformats.org/officeDocument/2006/relationships/footer" Target="footer1.xml"/><Relationship Id="rId10" Type="http://schemas.openxmlformats.org/officeDocument/2006/relationships/hyperlink" Target="https://s203.q4cdn.com/367071867/files/doc_downloads/2024/04/Apple-Supplier-List.pdf" TargetMode="External"/><Relationship Id="rId19" Type="http://schemas.openxmlformats.org/officeDocument/2006/relationships/hyperlink" Target="https://www.reuters.com/technology/apples-india-iphone-output-hits-14-bln-bloomberg-news-reports-2024-04-10/" TargetMode="External"/><Relationship Id="rId4" Type="http://schemas.openxmlformats.org/officeDocument/2006/relationships/webSettings" Target="webSettings.xml"/><Relationship Id="rId9" Type="http://schemas.openxmlformats.org/officeDocument/2006/relationships/hyperlink" Target="https://www.amnesty.org/en/wp-content/uploads/2023/03/WEBPOL1056702023ENGLISH.pdf%20" TargetMode="External"/><Relationship Id="rId14" Type="http://schemas.openxmlformats.org/officeDocument/2006/relationships/hyperlink" Target="https://hbr.org/2020/03/coronavirus-is-a-wake-up-call-for-supply-chain-management" TargetMode="External"/><Relationship Id="rId22" Type="http://schemas.openxmlformats.org/officeDocument/2006/relationships/hyperlink" Target="https://sloanreview.mit.edu/article/unlocking-the-potential-of-digital-twins-in-supply-chains/%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46</Pages>
  <Words>12967</Words>
  <Characters>87917</Characters>
  <Application>Microsoft Office Word</Application>
  <DocSecurity>0</DocSecurity>
  <Lines>1658</Lines>
  <Paragraphs>604</Paragraphs>
  <ScaleCrop>false</ScaleCrop>
  <Company>DSV</Company>
  <LinksUpToDate>false</LinksUpToDate>
  <CharactersWithSpaces>100280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Stefan-Alexandru Popescu (2213757)</dc:creator>
  <dc:description/>
  <cp:lastModifiedBy>Stefan-Alexandru Popescu (2213757)</cp:lastModifiedBy>
  <cp:revision>2</cp:revision>
  <dcterms:created xsi:type="dcterms:W3CDTF">2025-11-20T22:42:00Z</dcterms:created>
  <dcterms:modified xsi:type="dcterms:W3CDTF">2025-11-20T22:42:00Z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c8fc2625-74b5-4deb-9f5e-fece9a817010</vt:lpwstr>
  </property>
</Properties>
</file>