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814AA" w14:textId="30566A7A" w:rsidR="00FC2B56" w:rsidRPr="00C21F29" w:rsidRDefault="00483576">
      <w:pPr>
        <w:rPr>
          <w:b/>
          <w:bCs/>
        </w:rPr>
      </w:pPr>
      <w:r w:rsidRPr="00C21F29">
        <w:rPr>
          <w:b/>
          <w:bCs/>
        </w:rPr>
        <w:t>Introduction</w:t>
      </w:r>
    </w:p>
    <w:p w14:paraId="67B80B06" w14:textId="5F205FAC" w:rsidR="00483576" w:rsidRDefault="0093556F">
      <w:pPr>
        <w:rPr>
          <w:sz w:val="22"/>
          <w:szCs w:val="22"/>
        </w:rPr>
      </w:pPr>
      <w:r w:rsidRPr="00C21F29">
        <w:rPr>
          <w:sz w:val="22"/>
          <w:szCs w:val="22"/>
        </w:rPr>
        <w:t xml:space="preserve">In this report you will receive information regarding the future project of the new hotel that’s going to be built on Oystermouth Road. The report will include the lands historic past, contents of a detailed site investigation, advisories of what site investigations that would be more significant and applicable to this site, environmental and social considerations for the intended works, </w:t>
      </w:r>
      <w:r w:rsidR="00C21F29" w:rsidRPr="00C21F29">
        <w:rPr>
          <w:sz w:val="22"/>
          <w:szCs w:val="22"/>
        </w:rPr>
        <w:t>advise on what type of foundation would be more applicable for the job.</w:t>
      </w:r>
    </w:p>
    <w:p w14:paraId="2E5D4E13" w14:textId="77777777" w:rsidR="00C21F29" w:rsidRDefault="00C21F29">
      <w:pPr>
        <w:rPr>
          <w:sz w:val="22"/>
          <w:szCs w:val="22"/>
        </w:rPr>
      </w:pPr>
    </w:p>
    <w:p w14:paraId="3E834552" w14:textId="20F4DE6F" w:rsidR="00C21F29" w:rsidRDefault="00C21F29">
      <w:pPr>
        <w:rPr>
          <w:b/>
          <w:bCs/>
        </w:rPr>
      </w:pPr>
      <w:r w:rsidRPr="00C21F29">
        <w:rPr>
          <w:b/>
          <w:bCs/>
        </w:rPr>
        <w:t>History of the land</w:t>
      </w:r>
    </w:p>
    <w:p w14:paraId="1CD873C6" w14:textId="4D53A11D" w:rsidR="00C21F29" w:rsidRPr="00A5319B" w:rsidRDefault="001B0AA2">
      <w:pPr>
        <w:rPr>
          <w:b/>
          <w:bCs/>
          <w:i/>
          <w:iCs/>
          <w:sz w:val="22"/>
          <w:szCs w:val="22"/>
          <w:u w:val="single"/>
        </w:rPr>
      </w:pPr>
      <w:r w:rsidRPr="00A5319B">
        <w:rPr>
          <w:b/>
          <w:bCs/>
          <w:i/>
          <w:iCs/>
          <w:sz w:val="22"/>
          <w:szCs w:val="22"/>
          <w:u w:val="single"/>
        </w:rPr>
        <w:t>Tesco history</w:t>
      </w:r>
    </w:p>
    <w:p w14:paraId="01465605" w14:textId="4A49F65A" w:rsidR="003756C2" w:rsidRPr="003756C2" w:rsidRDefault="003756C2" w:rsidP="003756C2">
      <w:pPr>
        <w:rPr>
          <w:sz w:val="22"/>
          <w:szCs w:val="22"/>
        </w:rPr>
      </w:pPr>
      <w:r w:rsidRPr="003756C2">
        <w:rPr>
          <w:sz w:val="22"/>
          <w:szCs w:val="22"/>
        </w:rPr>
        <w:t>On Oystermouth Road in Swansea where the larger Tesco Superstore is located, there is a rich industrial past beneath the concrete site. Swansea Gasworks, which was found on this site, was important in the energy production of the city in the late 19th century to early 20th century. Town gas was produced from coal at the gasworks (as shown) and was an important fuel for lighting, heating, and cooking before natural gas was available.</w:t>
      </w:r>
    </w:p>
    <w:p w14:paraId="025EB425" w14:textId="38D19E7E" w:rsidR="003756C2" w:rsidRPr="003756C2" w:rsidRDefault="003756C2" w:rsidP="003756C2">
      <w:pPr>
        <w:rPr>
          <w:sz w:val="22"/>
          <w:szCs w:val="22"/>
        </w:rPr>
      </w:pPr>
      <w:r w:rsidRPr="003756C2">
        <w:rPr>
          <w:sz w:val="22"/>
          <w:szCs w:val="22"/>
        </w:rPr>
        <w:t>By the mid-20th century energy production had improved and demand for town gas reduced and the gasworks were closed. It largely sat empty until recent redevelopment efforts began in the late 1900s. This was a part of a larger redevelopment of the area aimed at revitalising the city centre with commercial and retail developments in and around former industrial sights, a wider initiative to improve the local economy and give the community modern amenities.</w:t>
      </w:r>
    </w:p>
    <w:p w14:paraId="06319702" w14:textId="4C6273F4" w:rsidR="003756C2" w:rsidRPr="003756C2" w:rsidRDefault="003756C2" w:rsidP="003756C2">
      <w:pPr>
        <w:rPr>
          <w:b/>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3756C2">
        <w:rPr>
          <w:sz w:val="22"/>
          <w:szCs w:val="22"/>
        </w:rPr>
        <w:t>The building of the Tesco Superstore at Oystermouth Road represents Swansea's transition from an industrial past to a more diverse urban future, successfully fusing the preservation of its heritage with modern development.</w:t>
      </w:r>
      <w:r w:rsidR="00FD054E">
        <w:rPr>
          <w:sz w:val="22"/>
          <w:szCs w:val="22"/>
        </w:rPr>
        <w:t xml:space="preserve"> </w:t>
      </w:r>
    </w:p>
    <w:p w14:paraId="6FB15371" w14:textId="1D20C1F9" w:rsidR="001B0AA2" w:rsidRPr="003545ED" w:rsidRDefault="001B0AA2">
      <w:pPr>
        <w:rPr>
          <w:b/>
          <w:color w:val="00B0F0"/>
          <w:sz w:val="20"/>
          <w:szCs w:val="20"/>
          <w14:textOutline w14:w="0" w14:cap="flat" w14:cmpd="sng" w14:algn="ctr">
            <w14:noFill/>
            <w14:prstDash w14:val="solid"/>
            <w14:round/>
          </w14:textOutline>
          <w14:props3d w14:extrusionH="57150" w14:contourW="0" w14:prstMaterial="softEdge">
            <w14:bevelT w14:w="25400" w14:h="38100" w14:prst="circle"/>
          </w14:props3d>
        </w:rPr>
      </w:pPr>
      <w:r>
        <w:rPr>
          <w:sz w:val="22"/>
          <w:szCs w:val="22"/>
        </w:rPr>
        <w:t xml:space="preserve">The major supermarket store chain purchased the land in April 1999 and spent £1.3 million clearing the site. At the present time when they purchased the land it was found to be </w:t>
      </w:r>
      <w:r w:rsidR="00F516F0">
        <w:rPr>
          <w:sz w:val="22"/>
          <w:szCs w:val="22"/>
        </w:rPr>
        <w:t xml:space="preserve">the most valuable land in Wales, when they bought the land in was measures at 65,000 sq ft. The store then opened in February </w:t>
      </w:r>
      <w:r w:rsidR="00A5319B">
        <w:rPr>
          <w:sz w:val="22"/>
          <w:szCs w:val="22"/>
        </w:rPr>
        <w:t>2000</w:t>
      </w:r>
      <w:r w:rsidR="003545ED">
        <w:rPr>
          <w:b/>
          <w:sz w:val="22"/>
          <w:szCs w:val="22"/>
          <w14:textOutline w14:w="12700" w14:cap="flat" w14:cmpd="sng" w14:algn="ctr">
            <w14:solidFill>
              <w14:schemeClr w14:val="accent4"/>
            </w14:solidFill>
            <w14:prstDash w14:val="solid"/>
            <w14:round/>
          </w14:textOutline>
        </w:rPr>
        <w:t>.</w:t>
      </w:r>
      <w:r w:rsidR="00082628" w:rsidRPr="003545ED">
        <w:rPr>
          <w:b/>
          <w:color w:val="00B0F0"/>
          <w:sz w:val="22"/>
          <w:szCs w:val="22"/>
          <w14:textOutline w14:w="12700" w14:cap="flat" w14:cmpd="sng" w14:algn="ctr">
            <w14:solidFill>
              <w14:schemeClr w14:val="accent4"/>
            </w14:solidFill>
            <w14:prstDash w14:val="solid"/>
            <w14:round/>
          </w14:textOutline>
        </w:rPr>
        <w:t xml:space="preserve"> </w:t>
      </w:r>
      <w:r w:rsidR="003545ED" w:rsidRPr="003545ED">
        <w:rPr>
          <w:color w:val="00B0F0"/>
        </w:rPr>
        <w:t>(</w:t>
      </w:r>
      <w:r w:rsidR="00082628" w:rsidRPr="003545ED">
        <w:rPr>
          <w:color w:val="00B0F0"/>
        </w:rPr>
        <w:t xml:space="preserve">Refer to reference 1: </w:t>
      </w:r>
      <w:r w:rsidR="00082628" w:rsidRPr="00DF2ADB">
        <w:rPr>
          <w:color w:val="00B0F0"/>
        </w:rPr>
        <w:t>Dalling, R. (2020)</w:t>
      </w:r>
    </w:p>
    <w:p w14:paraId="32F3F422" w14:textId="1AD8DECC" w:rsidR="00A5319B" w:rsidRPr="00A5319B" w:rsidRDefault="00A5319B" w:rsidP="00A5319B">
      <w:pPr>
        <w:rPr>
          <w:b/>
          <w:bCs/>
          <w:i/>
          <w:iCs/>
          <w:sz w:val="22"/>
          <w:szCs w:val="22"/>
          <w:u w:val="single"/>
        </w:rPr>
      </w:pPr>
      <w:r w:rsidRPr="00A5319B">
        <w:rPr>
          <w:b/>
          <w:bCs/>
          <w:i/>
          <w:iCs/>
          <w:sz w:val="22"/>
          <w:szCs w:val="22"/>
          <w:u w:val="single"/>
        </w:rPr>
        <w:t>Gas work history</w:t>
      </w:r>
    </w:p>
    <w:p w14:paraId="1336F46E" w14:textId="77777777" w:rsidR="00F30449" w:rsidRPr="00F30449" w:rsidRDefault="00F30449" w:rsidP="00F30449">
      <w:pPr>
        <w:rPr>
          <w:sz w:val="22"/>
          <w:szCs w:val="22"/>
        </w:rPr>
      </w:pPr>
      <w:r w:rsidRPr="00F30449">
        <w:rPr>
          <w:sz w:val="22"/>
          <w:szCs w:val="22"/>
        </w:rPr>
        <w:t>In 1840, the Directors of the Swansea Gas Light Company determined that the Dyfatty works were inadequate in size to meet the growing demand for gas. Despite serving the town for many years, the location of the Dyfatty Gasworks was not ideal, particularly as Swansea expanded westward and at a significantly lower elevation. Consequently, a decision was made to relocate the gasworks to a more advantageous site to ensure a reliable gas supply for Swansea's future needs. On July 17, 1841, the Corporation sold land known as “Burrows Field No.6” on Oystermouth Road to the Company for £150 15s. The Dyfatty gasworks were decommissioned following the opening of the Oystermouth Road gasworks in March 1842. The original gasworks site had been a prominent establishment in Swansea; the acquisition of the new site took place in July 1841 with Mr. Spinney serving as a consultant. The Neath Abbey Ironworks provided gas plant equipment to the Swansea Gas Company that same year.</w:t>
      </w:r>
    </w:p>
    <w:p w14:paraId="3E4BE917" w14:textId="77777777" w:rsidR="00F30449" w:rsidRPr="00F30449" w:rsidRDefault="00F30449" w:rsidP="00F30449">
      <w:pPr>
        <w:rPr>
          <w:sz w:val="22"/>
          <w:szCs w:val="22"/>
        </w:rPr>
      </w:pPr>
    </w:p>
    <w:p w14:paraId="0139FBFD" w14:textId="77777777" w:rsidR="00F30449" w:rsidRPr="00F30449" w:rsidRDefault="00F30449" w:rsidP="00F30449">
      <w:pPr>
        <w:rPr>
          <w:sz w:val="22"/>
          <w:szCs w:val="22"/>
        </w:rPr>
      </w:pPr>
      <w:r w:rsidRPr="00F30449">
        <w:rPr>
          <w:sz w:val="22"/>
          <w:szCs w:val="22"/>
        </w:rPr>
        <w:lastRenderedPageBreak/>
        <w:t>The Swansea Gas Light Company commenced gas production on the six-acre site in March 1842. In 1844, Swansea Corporation secured a second private act aimed at enhancing the paving, lighting, and overall development of the town. By 1867, the borough of Swansea had experienced substantial growth, resulting in around 40 miles of streets and 589 public gas lamps. In 1883, the Swansea Gas Light Company had an authorized capital of £100,000 and produced 155 million cubic feet of 15-candlepower gas from 18,461 tons of coal in 1881 (The Cardiff Times, January 20, 1883). Under the management of Mr. Thornton in 1890, the gasworks underwent further expansion and modernization. In March 1903, the first six beds of eight inclined retorts, built by the New Conveyor Company, were put into operation but encountered significant issues. Two years later, in 1905, six additional beds of inclined retorts were constructed by Drakes.</w:t>
      </w:r>
    </w:p>
    <w:p w14:paraId="094E6764" w14:textId="6EAB1563" w:rsidR="00F30449" w:rsidRPr="004D287D" w:rsidRDefault="00F30449" w:rsidP="00F30449">
      <w:pPr>
        <w:rPr>
          <w:color w:val="00B0F0"/>
          <w:sz w:val="22"/>
          <w:szCs w:val="22"/>
        </w:rPr>
      </w:pPr>
      <w:r w:rsidRPr="00F30449">
        <w:rPr>
          <w:sz w:val="22"/>
          <w:szCs w:val="22"/>
        </w:rPr>
        <w:t>In 1912, an application was submitted to Parliament seeking authorization to purchase land in Morriston for a new gasworks. George Andrews was succeeded by Reginald G. Clary as Engineer and Secretary in 1914. Preparations for the Morriston gasworks began in 1914 but were delayed due to the outbreak of World War One; only site levelling and drainage work was completed. The first gas showroom opened in 1914 on Wind Street. Construction of the gasholder at Morriston commenced in 1919. Mr. W. H. Johns was appointed Engineer and Manager in 1920, playing a crucial role in contract awards, plant selection, and overseeing the construction of the new gasworks. The new facility included a machine-charged Horizontal Retort House with 140 retorts, all necessary ancillary equipment, and a new powerhouse. A Carburetted Water Gas plant was established to enhance coal gas production and cater to peak demand. The Morriston gasworks became fully operational in 1924, while the Oystermouth gasworks closed in 1925. The Carburetted Water Gas plant was shut down in March 1927, and the retort houses and No.1 gasholder were demolished in 1936.</w:t>
      </w:r>
      <w:r w:rsidR="003545ED">
        <w:rPr>
          <w:sz w:val="22"/>
          <w:szCs w:val="22"/>
        </w:rPr>
        <w:t xml:space="preserve"> </w:t>
      </w:r>
      <w:r w:rsidR="003545ED" w:rsidRPr="004D287D">
        <w:rPr>
          <w:color w:val="00B0F0"/>
          <w:sz w:val="22"/>
          <w:szCs w:val="22"/>
        </w:rPr>
        <w:t>(</w:t>
      </w:r>
      <w:r w:rsidR="004D287D" w:rsidRPr="004D287D">
        <w:rPr>
          <w:color w:val="00B0F0"/>
          <w:sz w:val="22"/>
          <w:szCs w:val="22"/>
        </w:rPr>
        <w:t>Refer</w:t>
      </w:r>
      <w:r w:rsidR="003545ED" w:rsidRPr="004D287D">
        <w:rPr>
          <w:color w:val="00B0F0"/>
          <w:sz w:val="22"/>
          <w:szCs w:val="22"/>
        </w:rPr>
        <w:t xml:space="preserve"> to reference 2: </w:t>
      </w:r>
      <w:r w:rsidR="003545ED" w:rsidRPr="00F52B76">
        <w:rPr>
          <w:color w:val="00B0F0"/>
          <w:sz w:val="22"/>
          <w:szCs w:val="22"/>
        </w:rPr>
        <w:t>Coflein.gov.uk. (2021)</w:t>
      </w:r>
    </w:p>
    <w:p w14:paraId="443EFB72" w14:textId="656EE3D2" w:rsidR="00A5319B" w:rsidRPr="004D287D" w:rsidRDefault="00F30449" w:rsidP="00F30449">
      <w:pPr>
        <w:rPr>
          <w:color w:val="00B0F0"/>
          <w:sz w:val="22"/>
          <w:szCs w:val="22"/>
        </w:rPr>
      </w:pPr>
      <w:r w:rsidRPr="00F30449">
        <w:rPr>
          <w:sz w:val="22"/>
          <w:szCs w:val="22"/>
        </w:rPr>
        <w:t>On February 19, 1941, an incendiary device landed on one of the gasholders at Oystermouth Road, igniting a fire. Mr. George Peters and foreman Mr. Johnny Thompson scaled the gasholder and extinguished the flames using wet clay, earning Mr. Peters the George Medal and Mr. Thompson the British Empire Medal for their bravery. At its height, the site had four gasholders that stored and distributed gas, with the remaining three surviving until nationalization and the transition to the Wales Gas era.</w:t>
      </w:r>
      <w:r w:rsidR="00970671">
        <w:rPr>
          <w:sz w:val="22"/>
          <w:szCs w:val="22"/>
        </w:rPr>
        <w:t xml:space="preserve"> </w:t>
      </w:r>
      <w:r w:rsidR="004D287D" w:rsidRPr="004D287D">
        <w:rPr>
          <w:color w:val="00B0F0"/>
          <w:sz w:val="22"/>
          <w:szCs w:val="22"/>
        </w:rPr>
        <w:t xml:space="preserve">(Refer to reference 3: </w:t>
      </w:r>
      <w:r w:rsidR="004D287D" w:rsidRPr="00C61B01">
        <w:rPr>
          <w:color w:val="00B0F0"/>
          <w:sz w:val="22"/>
          <w:szCs w:val="22"/>
        </w:rPr>
        <w:t>The Story of Mumbles. (2024)</w:t>
      </w:r>
    </w:p>
    <w:p w14:paraId="12CB1659" w14:textId="50FAC363" w:rsidR="001B0AA2" w:rsidRDefault="00491665">
      <w:pPr>
        <w:rPr>
          <w:b/>
          <w:bCs/>
          <w:i/>
          <w:iCs/>
          <w:sz w:val="22"/>
          <w:szCs w:val="22"/>
        </w:rPr>
      </w:pPr>
      <w:r w:rsidRPr="00491665">
        <w:rPr>
          <w:b/>
          <w:bCs/>
          <w:i/>
          <w:iCs/>
          <w:sz w:val="22"/>
          <w:szCs w:val="22"/>
        </w:rPr>
        <w:t>Previous borehole logs taken</w:t>
      </w:r>
    </w:p>
    <w:p w14:paraId="45B4EB7F" w14:textId="21CAD236" w:rsidR="00491665" w:rsidRDefault="0011580F">
      <w:pPr>
        <w:rPr>
          <w:sz w:val="22"/>
          <w:szCs w:val="22"/>
        </w:rPr>
      </w:pPr>
      <w:r>
        <w:rPr>
          <w:sz w:val="22"/>
          <w:szCs w:val="22"/>
        </w:rPr>
        <w:t>Whil</w:t>
      </w:r>
      <w:r w:rsidR="00150823">
        <w:rPr>
          <w:sz w:val="22"/>
          <w:szCs w:val="22"/>
        </w:rPr>
        <w:t xml:space="preserve">st researching information on the ground where Tesco is </w:t>
      </w:r>
      <w:r w:rsidR="004C2390">
        <w:rPr>
          <w:sz w:val="22"/>
          <w:szCs w:val="22"/>
        </w:rPr>
        <w:t xml:space="preserve">now held. I </w:t>
      </w:r>
      <w:proofErr w:type="spellStart"/>
      <w:r w:rsidR="004C2390">
        <w:rPr>
          <w:sz w:val="22"/>
          <w:szCs w:val="22"/>
        </w:rPr>
        <w:t>cam</w:t>
      </w:r>
      <w:proofErr w:type="spellEnd"/>
      <w:r w:rsidR="004C2390">
        <w:rPr>
          <w:sz w:val="22"/>
          <w:szCs w:val="22"/>
        </w:rPr>
        <w:t xml:space="preserve"> across 5 different borehole logs that were taken</w:t>
      </w:r>
      <w:r w:rsidR="00DF6F78">
        <w:rPr>
          <w:sz w:val="22"/>
          <w:szCs w:val="22"/>
        </w:rPr>
        <w:t xml:space="preserve"> in 1999, this was </w:t>
      </w:r>
      <w:r w:rsidR="005570FE">
        <w:rPr>
          <w:sz w:val="22"/>
          <w:szCs w:val="22"/>
        </w:rPr>
        <w:t>the year that the construction started on the Tesco.</w:t>
      </w:r>
      <w:r w:rsidR="008E571E">
        <w:rPr>
          <w:sz w:val="22"/>
          <w:szCs w:val="22"/>
        </w:rPr>
        <w:t xml:space="preserve"> Before looking into depth of the information that the borehole log gave me, I had a quick look at the specific date the </w:t>
      </w:r>
      <w:r w:rsidR="0045339D">
        <w:rPr>
          <w:sz w:val="22"/>
          <w:szCs w:val="22"/>
        </w:rPr>
        <w:t>borehole got done. 3 of the 5 logs were taken in June, so I was expecting dry ground conditions as June is the beginning of summer. In the other 2 logs, they were undertaken in January, I would be expecting to see data</w:t>
      </w:r>
      <w:r w:rsidR="00F979F0">
        <w:rPr>
          <w:sz w:val="22"/>
          <w:szCs w:val="22"/>
        </w:rPr>
        <w:t xml:space="preserve"> that would indicate wet ground conditions. </w:t>
      </w:r>
      <w:r w:rsidR="00903497">
        <w:rPr>
          <w:sz w:val="22"/>
          <w:szCs w:val="22"/>
        </w:rPr>
        <w:t xml:space="preserve"> </w:t>
      </w:r>
    </w:p>
    <w:p w14:paraId="2E9E0602" w14:textId="77777777" w:rsidR="00F979F0" w:rsidRDefault="00F979F0">
      <w:pPr>
        <w:rPr>
          <w:sz w:val="22"/>
          <w:szCs w:val="22"/>
        </w:rPr>
      </w:pPr>
    </w:p>
    <w:p w14:paraId="1E64CF00" w14:textId="77777777" w:rsidR="00F979F0" w:rsidRDefault="00F979F0">
      <w:pPr>
        <w:rPr>
          <w:sz w:val="22"/>
          <w:szCs w:val="22"/>
        </w:rPr>
      </w:pPr>
    </w:p>
    <w:p w14:paraId="6169867B" w14:textId="77777777" w:rsidR="008F2D2D" w:rsidRDefault="008F2D2D">
      <w:pPr>
        <w:rPr>
          <w:b/>
          <w:bCs/>
          <w:sz w:val="28"/>
          <w:szCs w:val="28"/>
        </w:rPr>
      </w:pPr>
    </w:p>
    <w:p w14:paraId="0EDCCA40" w14:textId="51ACC123" w:rsidR="00F979F0" w:rsidRPr="00D7687A" w:rsidRDefault="00F979F0">
      <w:pPr>
        <w:rPr>
          <w:b/>
          <w:bCs/>
          <w:sz w:val="28"/>
          <w:szCs w:val="28"/>
        </w:rPr>
      </w:pPr>
      <w:r w:rsidRPr="002E3670">
        <w:rPr>
          <w:b/>
          <w:bCs/>
          <w:sz w:val="22"/>
          <w:szCs w:val="22"/>
        </w:rPr>
        <w:lastRenderedPageBreak/>
        <w:t>Bore hole logs 1-3</w:t>
      </w:r>
      <w:r w:rsidR="002E3670" w:rsidRPr="002E3670">
        <w:rPr>
          <w:b/>
          <w:bCs/>
          <w:sz w:val="22"/>
          <w:szCs w:val="22"/>
        </w:rPr>
        <w:t xml:space="preserve"> - </w:t>
      </w:r>
      <w:r w:rsidR="002E3670" w:rsidRPr="002E3670">
        <w:rPr>
          <w:color w:val="00B0F0"/>
          <w:sz w:val="22"/>
          <w:szCs w:val="22"/>
        </w:rPr>
        <w:t xml:space="preserve">(photos from reference 9: </w:t>
      </w:r>
      <w:r w:rsidR="002E3670" w:rsidRPr="00DF2ADB">
        <w:rPr>
          <w:color w:val="00B0F0"/>
          <w:sz w:val="22"/>
          <w:szCs w:val="22"/>
        </w:rPr>
        <w:t xml:space="preserve">BGS (2023). </w:t>
      </w:r>
      <w:r w:rsidR="002E3670" w:rsidRPr="00DF2ADB">
        <w:rPr>
          <w:i/>
          <w:iCs/>
          <w:color w:val="00B0F0"/>
          <w:sz w:val="22"/>
          <w:szCs w:val="22"/>
        </w:rPr>
        <w:t>GeoIndex - British Geological Survey</w:t>
      </w:r>
      <w:r w:rsidR="002E3670" w:rsidRPr="002E3670">
        <w:rPr>
          <w:color w:val="00B0F0"/>
          <w:sz w:val="22"/>
          <w:szCs w:val="22"/>
        </w:rPr>
        <w:t>)</w:t>
      </w:r>
    </w:p>
    <w:p w14:paraId="67CDC3CA" w14:textId="3A2BDF64" w:rsidR="00F979F0" w:rsidRDefault="008F2D2D">
      <w:pPr>
        <w:rPr>
          <w:sz w:val="22"/>
          <w:szCs w:val="22"/>
        </w:rPr>
      </w:pPr>
      <w:r w:rsidRPr="00D7687A">
        <w:rPr>
          <w:b/>
          <w:bCs/>
          <w:noProof/>
          <w:sz w:val="32"/>
          <w:szCs w:val="32"/>
        </w:rPr>
        <w:drawing>
          <wp:anchor distT="0" distB="0" distL="114300" distR="114300" simplePos="0" relativeHeight="251658240" behindDoc="0" locked="0" layoutInCell="1" allowOverlap="1" wp14:anchorId="4F5DB046" wp14:editId="4025DC04">
            <wp:simplePos x="0" y="0"/>
            <wp:positionH relativeFrom="page">
              <wp:align>left</wp:align>
            </wp:positionH>
            <wp:positionV relativeFrom="paragraph">
              <wp:posOffset>11430</wp:posOffset>
            </wp:positionV>
            <wp:extent cx="2461624" cy="3590925"/>
            <wp:effectExtent l="0" t="0" r="0" b="0"/>
            <wp:wrapNone/>
            <wp:docPr id="82769622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696225" name="Picture 1" descr="A close-up of a docume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61624" cy="3590925"/>
                    </a:xfrm>
                    <a:prstGeom prst="rect">
                      <a:avLst/>
                    </a:prstGeom>
                  </pic:spPr>
                </pic:pic>
              </a:graphicData>
            </a:graphic>
            <wp14:sizeRelH relativeFrom="margin">
              <wp14:pctWidth>0</wp14:pctWidth>
            </wp14:sizeRelH>
            <wp14:sizeRelV relativeFrom="margin">
              <wp14:pctHeight>0</wp14:pctHeight>
            </wp14:sizeRelV>
          </wp:anchor>
        </w:drawing>
      </w:r>
      <w:r w:rsidR="00292F77">
        <w:rPr>
          <w:noProof/>
        </w:rPr>
        <w:drawing>
          <wp:anchor distT="0" distB="0" distL="114300" distR="114300" simplePos="0" relativeHeight="251659264" behindDoc="0" locked="0" layoutInCell="1" allowOverlap="1" wp14:anchorId="7B583A76" wp14:editId="1EF7CFAF">
            <wp:simplePos x="0" y="0"/>
            <wp:positionH relativeFrom="column">
              <wp:posOffset>1632585</wp:posOffset>
            </wp:positionH>
            <wp:positionV relativeFrom="paragraph">
              <wp:posOffset>5715</wp:posOffset>
            </wp:positionV>
            <wp:extent cx="2376440" cy="3600450"/>
            <wp:effectExtent l="0" t="0" r="5080" b="0"/>
            <wp:wrapNone/>
            <wp:docPr id="206266868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68689" name="Picture 1" descr="A close-up of a docume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376440" cy="3600450"/>
                    </a:xfrm>
                    <a:prstGeom prst="rect">
                      <a:avLst/>
                    </a:prstGeom>
                  </pic:spPr>
                </pic:pic>
              </a:graphicData>
            </a:graphic>
            <wp14:sizeRelH relativeFrom="margin">
              <wp14:pctWidth>0</wp14:pctWidth>
            </wp14:sizeRelH>
            <wp14:sizeRelV relativeFrom="margin">
              <wp14:pctHeight>0</wp14:pctHeight>
            </wp14:sizeRelV>
          </wp:anchor>
        </w:drawing>
      </w:r>
      <w:r w:rsidR="00292F77">
        <w:rPr>
          <w:noProof/>
        </w:rPr>
        <w:drawing>
          <wp:anchor distT="0" distB="0" distL="114300" distR="114300" simplePos="0" relativeHeight="251660288" behindDoc="0" locked="0" layoutInCell="1" allowOverlap="1" wp14:anchorId="1E89D564" wp14:editId="54D89079">
            <wp:simplePos x="0" y="0"/>
            <wp:positionH relativeFrom="margin">
              <wp:posOffset>4067175</wp:posOffset>
            </wp:positionH>
            <wp:positionV relativeFrom="paragraph">
              <wp:posOffset>5715</wp:posOffset>
            </wp:positionV>
            <wp:extent cx="2422525" cy="3637838"/>
            <wp:effectExtent l="0" t="0" r="0" b="1270"/>
            <wp:wrapNone/>
            <wp:docPr id="132918680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186804" name="Picture 1" descr="A close-up of a docu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22525" cy="3637838"/>
                    </a:xfrm>
                    <a:prstGeom prst="rect">
                      <a:avLst/>
                    </a:prstGeom>
                  </pic:spPr>
                </pic:pic>
              </a:graphicData>
            </a:graphic>
            <wp14:sizeRelH relativeFrom="margin">
              <wp14:pctWidth>0</wp14:pctWidth>
            </wp14:sizeRelH>
            <wp14:sizeRelV relativeFrom="margin">
              <wp14:pctHeight>0</wp14:pctHeight>
            </wp14:sizeRelV>
          </wp:anchor>
        </w:drawing>
      </w:r>
    </w:p>
    <w:p w14:paraId="4B6AF463" w14:textId="4C9EE1E1" w:rsidR="00F979F0" w:rsidRDefault="00F979F0">
      <w:pPr>
        <w:rPr>
          <w:sz w:val="22"/>
          <w:szCs w:val="22"/>
        </w:rPr>
      </w:pPr>
    </w:p>
    <w:p w14:paraId="10EA9451" w14:textId="77777777" w:rsidR="002110F8" w:rsidRPr="002110F8" w:rsidRDefault="002110F8" w:rsidP="002110F8">
      <w:pPr>
        <w:rPr>
          <w:sz w:val="22"/>
          <w:szCs w:val="22"/>
        </w:rPr>
      </w:pPr>
    </w:p>
    <w:p w14:paraId="09651F52" w14:textId="77777777" w:rsidR="002110F8" w:rsidRPr="002110F8" w:rsidRDefault="002110F8" w:rsidP="002110F8">
      <w:pPr>
        <w:rPr>
          <w:sz w:val="22"/>
          <w:szCs w:val="22"/>
        </w:rPr>
      </w:pPr>
    </w:p>
    <w:p w14:paraId="5500BFD8" w14:textId="77777777" w:rsidR="002110F8" w:rsidRPr="002110F8" w:rsidRDefault="002110F8" w:rsidP="002110F8">
      <w:pPr>
        <w:rPr>
          <w:sz w:val="22"/>
          <w:szCs w:val="22"/>
        </w:rPr>
      </w:pPr>
    </w:p>
    <w:p w14:paraId="7E324310" w14:textId="77777777" w:rsidR="002110F8" w:rsidRPr="002110F8" w:rsidRDefault="002110F8" w:rsidP="002110F8">
      <w:pPr>
        <w:rPr>
          <w:sz w:val="22"/>
          <w:szCs w:val="22"/>
        </w:rPr>
      </w:pPr>
    </w:p>
    <w:p w14:paraId="676C2C20" w14:textId="77777777" w:rsidR="002110F8" w:rsidRPr="002110F8" w:rsidRDefault="002110F8" w:rsidP="002110F8">
      <w:pPr>
        <w:rPr>
          <w:sz w:val="22"/>
          <w:szCs w:val="22"/>
        </w:rPr>
      </w:pPr>
    </w:p>
    <w:p w14:paraId="76CB9D3B" w14:textId="77777777" w:rsidR="002110F8" w:rsidRPr="002110F8" w:rsidRDefault="002110F8" w:rsidP="002110F8">
      <w:pPr>
        <w:rPr>
          <w:sz w:val="22"/>
          <w:szCs w:val="22"/>
        </w:rPr>
      </w:pPr>
    </w:p>
    <w:p w14:paraId="6B05078D" w14:textId="77777777" w:rsidR="002110F8" w:rsidRPr="002110F8" w:rsidRDefault="002110F8" w:rsidP="002110F8">
      <w:pPr>
        <w:rPr>
          <w:sz w:val="22"/>
          <w:szCs w:val="22"/>
        </w:rPr>
      </w:pPr>
    </w:p>
    <w:p w14:paraId="78DAD924" w14:textId="77777777" w:rsidR="002110F8" w:rsidRPr="002110F8" w:rsidRDefault="002110F8" w:rsidP="002110F8">
      <w:pPr>
        <w:rPr>
          <w:sz w:val="22"/>
          <w:szCs w:val="22"/>
        </w:rPr>
      </w:pPr>
    </w:p>
    <w:p w14:paraId="07FBD76C" w14:textId="77777777" w:rsidR="002110F8" w:rsidRPr="002110F8" w:rsidRDefault="002110F8" w:rsidP="002110F8">
      <w:pPr>
        <w:rPr>
          <w:sz w:val="22"/>
          <w:szCs w:val="22"/>
        </w:rPr>
      </w:pPr>
    </w:p>
    <w:p w14:paraId="5AC873DB" w14:textId="77777777" w:rsidR="002110F8" w:rsidRPr="002110F8" w:rsidRDefault="002110F8" w:rsidP="002110F8">
      <w:pPr>
        <w:rPr>
          <w:sz w:val="22"/>
          <w:szCs w:val="22"/>
        </w:rPr>
      </w:pPr>
    </w:p>
    <w:p w14:paraId="122EB3A6" w14:textId="20A06462" w:rsidR="002110F8" w:rsidRDefault="002110F8" w:rsidP="002110F8">
      <w:pPr>
        <w:rPr>
          <w:sz w:val="22"/>
          <w:szCs w:val="22"/>
        </w:rPr>
      </w:pPr>
    </w:p>
    <w:p w14:paraId="74B66AF2" w14:textId="77777777" w:rsidR="002110F8" w:rsidRDefault="002110F8" w:rsidP="002110F8">
      <w:pPr>
        <w:rPr>
          <w:sz w:val="22"/>
          <w:szCs w:val="22"/>
        </w:rPr>
      </w:pPr>
    </w:p>
    <w:p w14:paraId="2EDE1D6D" w14:textId="0DCEDF8D" w:rsidR="002110F8" w:rsidRPr="00EF0975" w:rsidRDefault="002110F8" w:rsidP="002110F8">
      <w:pPr>
        <w:rPr>
          <w:b/>
          <w:bCs/>
          <w:sz w:val="22"/>
          <w:szCs w:val="22"/>
        </w:rPr>
      </w:pPr>
      <w:r w:rsidRPr="00EF0975">
        <w:rPr>
          <w:b/>
          <w:bCs/>
          <w:sz w:val="22"/>
          <w:szCs w:val="22"/>
        </w:rPr>
        <w:t>Borehole log:</w:t>
      </w:r>
    </w:p>
    <w:p w14:paraId="472EC49D" w14:textId="7B4395ED" w:rsidR="006B2E8D" w:rsidRPr="006B2E8D" w:rsidRDefault="00D44547" w:rsidP="002110F8">
      <w:pPr>
        <w:rPr>
          <w:color w:val="00B0F0"/>
          <w:sz w:val="22"/>
          <w:szCs w:val="22"/>
        </w:rPr>
      </w:pPr>
      <w:r>
        <w:rPr>
          <w:sz w:val="22"/>
          <w:szCs w:val="22"/>
        </w:rPr>
        <w:t>After reviewing the logs taken in June 1999</w:t>
      </w:r>
      <w:r w:rsidR="00050281">
        <w:rPr>
          <w:sz w:val="22"/>
          <w:szCs w:val="22"/>
        </w:rPr>
        <w:t xml:space="preserve">, </w:t>
      </w:r>
      <w:r w:rsidR="00336468">
        <w:rPr>
          <w:sz w:val="22"/>
          <w:szCs w:val="22"/>
        </w:rPr>
        <w:t xml:space="preserve">the results from the logs are roughly the same. Down to about 0.4 meters </w:t>
      </w:r>
      <w:r w:rsidR="0085543B">
        <w:rPr>
          <w:sz w:val="22"/>
          <w:szCs w:val="22"/>
        </w:rPr>
        <w:t xml:space="preserve">the ground is made up of hardcore materials suck as tiles, stones </w:t>
      </w:r>
      <w:r w:rsidR="00E2624A">
        <w:rPr>
          <w:sz w:val="22"/>
          <w:szCs w:val="22"/>
        </w:rPr>
        <w:t xml:space="preserve">and rubber fill. </w:t>
      </w:r>
      <w:r w:rsidR="00280C17">
        <w:rPr>
          <w:sz w:val="22"/>
          <w:szCs w:val="22"/>
        </w:rPr>
        <w:t xml:space="preserve">From the 0.4m mark down to about 4 meters, the ground is made up of </w:t>
      </w:r>
      <w:r w:rsidR="0001624C">
        <w:rPr>
          <w:sz w:val="22"/>
          <w:szCs w:val="22"/>
        </w:rPr>
        <w:t>all different types of clay.</w:t>
      </w:r>
      <w:r w:rsidR="00593BBA">
        <w:rPr>
          <w:sz w:val="22"/>
          <w:szCs w:val="22"/>
        </w:rPr>
        <w:t xml:space="preserve"> </w:t>
      </w:r>
      <w:r w:rsidR="00593BBA" w:rsidRPr="00593BBA">
        <w:rPr>
          <w:sz w:val="22"/>
          <w:szCs w:val="22"/>
        </w:rPr>
        <w:t>Numerous fields such as hydrogeology, environmental science, and geotechnical engineering gain significant insights from detecting clay in borehole logs. The electrical resistivity readings are affected by the high cation-exchange capacity and low permeability of clay. Resistivity logs can reveal clay-dominated areas, which typically exhibit lower permeability and higher electrical conductivity compared to sandy or carbonate formations. Ultimately, recognizing clay in borehole logs provides essential information for hydrogeological modelling, environmental conservation, engineering design, and geological assessment, facilitating informed decision-making and effective project implementation.</w:t>
      </w:r>
      <w:r w:rsidR="00D57A58">
        <w:rPr>
          <w:sz w:val="22"/>
          <w:szCs w:val="22"/>
        </w:rPr>
        <w:t xml:space="preserve"> Further down into the investigation, one of the logs show brown peat. </w:t>
      </w:r>
      <w:r w:rsidR="00EF0975" w:rsidRPr="00EF0975">
        <w:rPr>
          <w:sz w:val="22"/>
          <w:szCs w:val="22"/>
        </w:rPr>
        <w:t xml:space="preserve">Brown peat is characterized by its fibrous consistency and deep brown hue, setting it apart from other peat varieties. Peat itself is formed from the accumulation of organic material or partially decomposed vegetation, typically found in wetland environments such as bogs, fens, and moors. The formation of peat occurs under waterlogged conditions with limited oxygen supply, which inhibits the decomposition process of plant matter. If not properly addressed in foundation design, the high compressibility and low shear strength of peat can lead to significant settlement issues. The substantial water content in peat may complicate construction by causing instability and making excavation more challenging. Due to its compressible nature, building on peat can result in structural instability </w:t>
      </w:r>
      <w:r w:rsidR="00EF0975" w:rsidRPr="00EF0975">
        <w:rPr>
          <w:sz w:val="22"/>
          <w:szCs w:val="22"/>
        </w:rPr>
        <w:lastRenderedPageBreak/>
        <w:t>that necessitates specialized foundation solutions or soil stabilization techniques. Additionally, because peat retains considerable moisture, it can affect site drainage; thus, careful planning is essential to prevent waterlogging. In summary, recognizing brown peat in drilling logs is crucial for assessing a site's suitability for construction, understanding environmental constraints, and devising appropriate engineering strategies to address the challenges associated with peat soils.</w:t>
      </w:r>
      <w:r w:rsidR="00B95B70">
        <w:rPr>
          <w:sz w:val="22"/>
          <w:szCs w:val="22"/>
        </w:rPr>
        <w:t xml:space="preserve"> </w:t>
      </w:r>
      <w:r w:rsidR="001F2652" w:rsidRPr="001F2652">
        <w:rPr>
          <w:color w:val="00B0F0"/>
          <w:sz w:val="22"/>
          <w:szCs w:val="22"/>
        </w:rPr>
        <w:t xml:space="preserve">(Refer to reference 4: </w:t>
      </w:r>
      <w:r w:rsidR="001F2652" w:rsidRPr="00C61B01">
        <w:rPr>
          <w:color w:val="00B0F0"/>
          <w:sz w:val="22"/>
          <w:szCs w:val="22"/>
        </w:rPr>
        <w:t>State.mn.us. (2023)</w:t>
      </w:r>
      <w:r w:rsidR="006B2E8D">
        <w:rPr>
          <w:color w:val="00B0F0"/>
          <w:sz w:val="22"/>
          <w:szCs w:val="22"/>
        </w:rPr>
        <w:t xml:space="preserve"> – (Refer to reference 5:</w:t>
      </w:r>
      <w:r w:rsidR="006B2E8D" w:rsidRPr="006B2E8D">
        <w:rPr>
          <w:sz w:val="22"/>
          <w:szCs w:val="22"/>
        </w:rPr>
        <w:t xml:space="preserve"> </w:t>
      </w:r>
      <w:r w:rsidR="006B2E8D" w:rsidRPr="00C61B01">
        <w:rPr>
          <w:color w:val="00B0F0"/>
          <w:sz w:val="22"/>
          <w:szCs w:val="22"/>
        </w:rPr>
        <w:t xml:space="preserve">Wikipedia Contributors (2019). </w:t>
      </w:r>
      <w:r w:rsidR="006B2E8D" w:rsidRPr="00C61B01">
        <w:rPr>
          <w:i/>
          <w:iCs/>
          <w:color w:val="00B0F0"/>
          <w:sz w:val="22"/>
          <w:szCs w:val="22"/>
        </w:rPr>
        <w:t>Peat</w:t>
      </w:r>
      <w:r w:rsidR="006B2E8D" w:rsidRPr="00C61B01">
        <w:rPr>
          <w:color w:val="00B0F0"/>
          <w:sz w:val="22"/>
          <w:szCs w:val="22"/>
        </w:rPr>
        <w:t>.</w:t>
      </w:r>
      <w:r w:rsidR="0069411B" w:rsidRPr="0069411B">
        <w:rPr>
          <w:color w:val="00B0F0"/>
          <w:sz w:val="22"/>
          <w:szCs w:val="22"/>
        </w:rPr>
        <w:t>)</w:t>
      </w:r>
    </w:p>
    <w:p w14:paraId="03CD87BB" w14:textId="77777777" w:rsidR="00272A35" w:rsidRDefault="00272A35" w:rsidP="002110F8">
      <w:pPr>
        <w:rPr>
          <w:sz w:val="22"/>
          <w:szCs w:val="22"/>
        </w:rPr>
      </w:pPr>
    </w:p>
    <w:p w14:paraId="75BB4993" w14:textId="10F2AD70" w:rsidR="00272A35" w:rsidRDefault="00272A35" w:rsidP="002110F8">
      <w:pPr>
        <w:rPr>
          <w:sz w:val="22"/>
          <w:szCs w:val="22"/>
        </w:rPr>
      </w:pPr>
      <w:r w:rsidRPr="002E3670">
        <w:rPr>
          <w:b/>
          <w:bCs/>
          <w:sz w:val="22"/>
          <w:szCs w:val="22"/>
        </w:rPr>
        <w:t>Borehole logs 4-5:</w:t>
      </w:r>
      <w:r w:rsidR="009F6CD4">
        <w:rPr>
          <w:sz w:val="22"/>
          <w:szCs w:val="22"/>
        </w:rPr>
        <w:t xml:space="preserve"> </w:t>
      </w:r>
      <w:r w:rsidR="009F6CD4" w:rsidRPr="002E3670">
        <w:rPr>
          <w:color w:val="00B0F0"/>
          <w:sz w:val="22"/>
          <w:szCs w:val="22"/>
        </w:rPr>
        <w:t>(photos from reference 9</w:t>
      </w:r>
      <w:r w:rsidR="002E3670" w:rsidRPr="002E3670">
        <w:rPr>
          <w:color w:val="00B0F0"/>
          <w:sz w:val="22"/>
          <w:szCs w:val="22"/>
        </w:rPr>
        <w:t xml:space="preserve">: </w:t>
      </w:r>
      <w:r w:rsidR="002E3670" w:rsidRPr="00DF2ADB">
        <w:rPr>
          <w:color w:val="00B0F0"/>
          <w:sz w:val="22"/>
          <w:szCs w:val="22"/>
        </w:rPr>
        <w:t xml:space="preserve">BGS (2023). </w:t>
      </w:r>
      <w:r w:rsidR="002E3670" w:rsidRPr="00DF2ADB">
        <w:rPr>
          <w:i/>
          <w:iCs/>
          <w:color w:val="00B0F0"/>
          <w:sz w:val="22"/>
          <w:szCs w:val="22"/>
        </w:rPr>
        <w:t>GeoIndex - British Geological Survey</w:t>
      </w:r>
      <w:r w:rsidR="002E3670" w:rsidRPr="002E3670">
        <w:rPr>
          <w:color w:val="00B0F0"/>
          <w:sz w:val="22"/>
          <w:szCs w:val="22"/>
        </w:rPr>
        <w:t>)</w:t>
      </w:r>
    </w:p>
    <w:p w14:paraId="5A56BEA1" w14:textId="4A4D2493" w:rsidR="008D6938" w:rsidRDefault="00271595" w:rsidP="002110F8">
      <w:pPr>
        <w:rPr>
          <w:sz w:val="22"/>
          <w:szCs w:val="22"/>
        </w:rPr>
      </w:pPr>
      <w:r>
        <w:rPr>
          <w:noProof/>
        </w:rPr>
        <w:drawing>
          <wp:anchor distT="0" distB="0" distL="114300" distR="114300" simplePos="0" relativeHeight="251661312" behindDoc="0" locked="0" layoutInCell="1" allowOverlap="1" wp14:anchorId="6158454B" wp14:editId="569DC688">
            <wp:simplePos x="0" y="0"/>
            <wp:positionH relativeFrom="column">
              <wp:posOffset>2857499</wp:posOffset>
            </wp:positionH>
            <wp:positionV relativeFrom="paragraph">
              <wp:posOffset>265458</wp:posOffset>
            </wp:positionV>
            <wp:extent cx="2447925" cy="3145127"/>
            <wp:effectExtent l="0" t="0" r="0" b="0"/>
            <wp:wrapNone/>
            <wp:docPr id="39933843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38432" name="Picture 1" descr="A close-up of a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50134" cy="3147966"/>
                    </a:xfrm>
                    <a:prstGeom prst="rect">
                      <a:avLst/>
                    </a:prstGeom>
                  </pic:spPr>
                </pic:pic>
              </a:graphicData>
            </a:graphic>
            <wp14:sizeRelH relativeFrom="margin">
              <wp14:pctWidth>0</wp14:pctWidth>
            </wp14:sizeRelH>
            <wp14:sizeRelV relativeFrom="margin">
              <wp14:pctHeight>0</wp14:pctHeight>
            </wp14:sizeRelV>
          </wp:anchor>
        </w:drawing>
      </w:r>
    </w:p>
    <w:p w14:paraId="30E57297" w14:textId="61E28675" w:rsidR="008D6938" w:rsidRDefault="00272A35" w:rsidP="002110F8">
      <w:pPr>
        <w:rPr>
          <w:noProof/>
        </w:rPr>
      </w:pPr>
      <w:r>
        <w:rPr>
          <w:noProof/>
        </w:rPr>
        <w:drawing>
          <wp:inline distT="0" distB="0" distL="0" distR="0" wp14:anchorId="3AD82FB1" wp14:editId="36D257E1">
            <wp:extent cx="2379082" cy="3114675"/>
            <wp:effectExtent l="0" t="0" r="2540" b="0"/>
            <wp:docPr id="103252082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520823" name="Picture 1" descr="A close-up of a document&#10;&#10;Description automatically generated"/>
                    <pic:cNvPicPr/>
                  </pic:nvPicPr>
                  <pic:blipFill>
                    <a:blip r:embed="rId10"/>
                    <a:stretch>
                      <a:fillRect/>
                    </a:stretch>
                  </pic:blipFill>
                  <pic:spPr>
                    <a:xfrm>
                      <a:off x="0" y="0"/>
                      <a:ext cx="2386766" cy="3124735"/>
                    </a:xfrm>
                    <a:prstGeom prst="rect">
                      <a:avLst/>
                    </a:prstGeom>
                  </pic:spPr>
                </pic:pic>
              </a:graphicData>
            </a:graphic>
          </wp:inline>
        </w:drawing>
      </w:r>
    </w:p>
    <w:p w14:paraId="60A66059" w14:textId="77777777" w:rsidR="006073D9" w:rsidRDefault="006073D9" w:rsidP="006073D9">
      <w:pPr>
        <w:rPr>
          <w:noProof/>
        </w:rPr>
      </w:pPr>
    </w:p>
    <w:p w14:paraId="7E75752B" w14:textId="00A2EC0D" w:rsidR="006073D9" w:rsidRPr="0069411B" w:rsidRDefault="00D97438" w:rsidP="007A691C">
      <w:pPr>
        <w:rPr>
          <w:color w:val="00B0F0"/>
          <w:sz w:val="22"/>
          <w:szCs w:val="22"/>
        </w:rPr>
      </w:pPr>
      <w:r>
        <w:rPr>
          <w:sz w:val="22"/>
          <w:szCs w:val="22"/>
        </w:rPr>
        <w:t xml:space="preserve">These 2 borehole logs were also taken in 1999 but in the month on January. </w:t>
      </w:r>
      <w:r w:rsidR="004A6556">
        <w:rPr>
          <w:sz w:val="22"/>
          <w:szCs w:val="22"/>
        </w:rPr>
        <w:t xml:space="preserve">Once again, down to the 0.3m mark, hardcore material was found in the </w:t>
      </w:r>
      <w:r w:rsidR="0090487C">
        <w:rPr>
          <w:sz w:val="22"/>
          <w:szCs w:val="22"/>
        </w:rPr>
        <w:t>ground</w:t>
      </w:r>
      <w:r w:rsidR="004A6556">
        <w:rPr>
          <w:sz w:val="22"/>
          <w:szCs w:val="22"/>
        </w:rPr>
        <w:t>.</w:t>
      </w:r>
      <w:r w:rsidR="0090487C">
        <w:rPr>
          <w:sz w:val="22"/>
          <w:szCs w:val="22"/>
        </w:rPr>
        <w:t xml:space="preserve"> Based on the fact that the logs were taken in January, I would assume to expect wet material under the hardcore </w:t>
      </w:r>
      <w:r w:rsidR="007345AD">
        <w:rPr>
          <w:sz w:val="22"/>
          <w:szCs w:val="22"/>
        </w:rPr>
        <w:t xml:space="preserve">material at the top. From the 0.3m </w:t>
      </w:r>
      <w:r w:rsidR="002C7F82">
        <w:rPr>
          <w:sz w:val="22"/>
          <w:szCs w:val="22"/>
        </w:rPr>
        <w:t xml:space="preserve">mark down to about 2.5m, the material that was collected from the log </w:t>
      </w:r>
      <w:r w:rsidR="008E322E">
        <w:rPr>
          <w:sz w:val="22"/>
          <w:szCs w:val="22"/>
        </w:rPr>
        <w:t>was described as dark brown moulted clay. This would indicate that the clay has been saturated by water and would be very dense.</w:t>
      </w:r>
      <w:r w:rsidR="006D5897">
        <w:rPr>
          <w:sz w:val="22"/>
          <w:szCs w:val="22"/>
        </w:rPr>
        <w:t xml:space="preserve"> </w:t>
      </w:r>
      <w:r w:rsidR="006D5897" w:rsidRPr="006D5897">
        <w:rPr>
          <w:sz w:val="22"/>
          <w:szCs w:val="22"/>
        </w:rPr>
        <w:t xml:space="preserve">There are significant implications for geotechnical engineering and construction projects when wet clay is detected in a drilling record. Wet clay exhibits reduced shear strength, potentially leading to instability in slopes and foundations. Its presence signifies the risk of substantial settlement under load, which can jeopardize structural integrity. Additionally, the cohesive and adhesive properties of wet clay may hinder excavation efforts, prolonging construction timelines and increasing costs. Addressing the challenges posed by damp clay may necessitate the use of specialized equipment during the project. Furthermore, due to its low permeability, wet clay can impede natural drainage systems, necessitating engineered solutions for water management. Variations in moisture levels can cause wet clay to </w:t>
      </w:r>
      <w:r w:rsidR="006D5897" w:rsidRPr="006D5897">
        <w:rPr>
          <w:sz w:val="22"/>
          <w:szCs w:val="22"/>
        </w:rPr>
        <w:lastRenderedPageBreak/>
        <w:t>swell, impacting nearby structures and underground utilities. In summary, recognizing wet clay within borehole logs is crucial for anticipating and mitigating potential geotechnical challenges, thereby ensuring informed decision-making throughout engineering and construction endeavours.</w:t>
      </w:r>
      <w:r w:rsidR="001F2652">
        <w:rPr>
          <w:sz w:val="22"/>
          <w:szCs w:val="22"/>
        </w:rPr>
        <w:t xml:space="preserve"> </w:t>
      </w:r>
      <w:r w:rsidR="001F2652" w:rsidRPr="0069411B">
        <w:rPr>
          <w:color w:val="00B0F0"/>
          <w:sz w:val="22"/>
          <w:szCs w:val="22"/>
        </w:rPr>
        <w:t xml:space="preserve">(Refer to reference </w:t>
      </w:r>
      <w:r w:rsidR="0069411B" w:rsidRPr="0069411B">
        <w:rPr>
          <w:color w:val="00B0F0"/>
          <w:sz w:val="22"/>
          <w:szCs w:val="22"/>
        </w:rPr>
        <w:t>6</w:t>
      </w:r>
      <w:r w:rsidR="001F2652" w:rsidRPr="0069411B">
        <w:rPr>
          <w:color w:val="00B0F0"/>
          <w:sz w:val="22"/>
          <w:szCs w:val="22"/>
        </w:rPr>
        <w:t>:</w:t>
      </w:r>
      <w:r w:rsidR="0069411B" w:rsidRPr="0069411B">
        <w:rPr>
          <w:color w:val="00B0F0"/>
          <w:sz w:val="22"/>
          <w:szCs w:val="22"/>
        </w:rPr>
        <w:t xml:space="preserve"> </w:t>
      </w:r>
      <w:r w:rsidR="0069411B" w:rsidRPr="00DF2ADB">
        <w:rPr>
          <w:color w:val="00B0F0"/>
          <w:sz w:val="22"/>
          <w:szCs w:val="22"/>
        </w:rPr>
        <w:t>Barnhardt, S. (2016)</w:t>
      </w:r>
    </w:p>
    <w:p w14:paraId="5DF1DBAC" w14:textId="3F725370" w:rsidR="00400DB9" w:rsidRDefault="00670ED2" w:rsidP="007A691C">
      <w:pPr>
        <w:rPr>
          <w:b/>
          <w:bCs/>
          <w:sz w:val="22"/>
          <w:szCs w:val="22"/>
        </w:rPr>
      </w:pPr>
      <w:r w:rsidRPr="00670ED2">
        <w:rPr>
          <w:b/>
          <w:bCs/>
          <w:sz w:val="22"/>
          <w:szCs w:val="22"/>
        </w:rPr>
        <w:t>Codes of practice</w:t>
      </w:r>
    </w:p>
    <w:p w14:paraId="44F5A011" w14:textId="16188D16" w:rsidR="00670ED2" w:rsidRDefault="00177A58" w:rsidP="007A691C">
      <w:pPr>
        <w:rPr>
          <w:sz w:val="22"/>
          <w:szCs w:val="22"/>
        </w:rPr>
      </w:pPr>
      <w:r>
        <w:rPr>
          <w:sz w:val="22"/>
          <w:szCs w:val="22"/>
        </w:rPr>
        <w:t xml:space="preserve">In the construction of the </w:t>
      </w:r>
      <w:r w:rsidR="00801909">
        <w:rPr>
          <w:sz w:val="22"/>
          <w:szCs w:val="22"/>
        </w:rPr>
        <w:t xml:space="preserve">project, the construction codes of practice would have to be met. </w:t>
      </w:r>
      <w:r w:rsidR="00A7020B" w:rsidRPr="00A7020B">
        <w:rPr>
          <w:sz w:val="22"/>
          <w:szCs w:val="22"/>
        </w:rPr>
        <w:t>Codes of Practice within the construction industry are comprehensive guidelines that outline standards for various aspects of building activities. They aim to ensure safety, uphold quality, and comply with legal and regulatory requirements. These codes address a wide range of tasks, including design, selection of materials, construction methods, and maintenance procedures.</w:t>
      </w:r>
    </w:p>
    <w:p w14:paraId="7058DDBE" w14:textId="2284324B" w:rsidR="00346271" w:rsidRPr="00346271" w:rsidRDefault="00346271" w:rsidP="00346271">
      <w:pPr>
        <w:rPr>
          <w:sz w:val="22"/>
          <w:szCs w:val="22"/>
        </w:rPr>
      </w:pPr>
      <w:r w:rsidRPr="00346271">
        <w:rPr>
          <w:sz w:val="22"/>
          <w:szCs w:val="22"/>
        </w:rPr>
        <w:t xml:space="preserve">For construction to ensure safety, quality, and compliance with regulations, it is essential to adhere strictly to Codes of Practice. </w:t>
      </w:r>
    </w:p>
    <w:p w14:paraId="1C3FC7EC" w14:textId="004EC524" w:rsidR="00346271" w:rsidRPr="00346271" w:rsidRDefault="00346271" w:rsidP="00346271">
      <w:pPr>
        <w:rPr>
          <w:b/>
          <w:bCs/>
          <w:sz w:val="22"/>
          <w:szCs w:val="22"/>
        </w:rPr>
      </w:pPr>
      <w:r w:rsidRPr="00346271">
        <w:rPr>
          <w:b/>
          <w:bCs/>
          <w:sz w:val="22"/>
          <w:szCs w:val="22"/>
        </w:rPr>
        <w:t>Thorough Training and Education</w:t>
      </w:r>
    </w:p>
    <w:p w14:paraId="5E792DF9" w14:textId="2A335A0B" w:rsidR="00346271" w:rsidRPr="00346271" w:rsidRDefault="00346271" w:rsidP="00346271">
      <w:pPr>
        <w:rPr>
          <w:sz w:val="22"/>
          <w:szCs w:val="22"/>
        </w:rPr>
      </w:pPr>
      <w:r w:rsidRPr="00346271">
        <w:rPr>
          <w:sz w:val="22"/>
          <w:szCs w:val="22"/>
        </w:rPr>
        <w:t>Regular training sessions are crucial for ensuring that employees remain informed about the latest standards, codes, and best practices. Knowledge of relevant regulations can be validated through the promotion or requirement of certifications. Effective communication and precise documentation are vital for maintaining adherence to established codes. By fostering an environment that encourages open communication, employees can express compliance concerns without fear of retaliation.</w:t>
      </w:r>
    </w:p>
    <w:p w14:paraId="69E59008" w14:textId="6D3A862B" w:rsidR="00346271" w:rsidRPr="00346271" w:rsidRDefault="00346271" w:rsidP="00346271">
      <w:pPr>
        <w:rPr>
          <w:b/>
          <w:bCs/>
          <w:sz w:val="22"/>
          <w:szCs w:val="22"/>
        </w:rPr>
      </w:pPr>
      <w:r w:rsidRPr="00346271">
        <w:rPr>
          <w:b/>
          <w:bCs/>
          <w:sz w:val="22"/>
          <w:szCs w:val="22"/>
        </w:rPr>
        <w:t>Inspections and Audits</w:t>
      </w:r>
    </w:p>
    <w:p w14:paraId="196E10F6" w14:textId="4D6CDAFA" w:rsidR="00346271" w:rsidRPr="00346271" w:rsidRDefault="00346271" w:rsidP="00346271">
      <w:pPr>
        <w:rPr>
          <w:sz w:val="22"/>
          <w:szCs w:val="22"/>
        </w:rPr>
      </w:pPr>
      <w:r w:rsidRPr="00346271">
        <w:rPr>
          <w:sz w:val="22"/>
          <w:szCs w:val="22"/>
        </w:rPr>
        <w:t>Regular site inspections and audits play a key role in confirming compliance with relevant rules while also identifying potential issues early on. Engaging impartial independent auditors provides objective assessments regarding compliance status.</w:t>
      </w:r>
    </w:p>
    <w:p w14:paraId="2E8D6E8E" w14:textId="134D6C23" w:rsidR="00346271" w:rsidRPr="00346271" w:rsidRDefault="00346271" w:rsidP="00346271">
      <w:pPr>
        <w:rPr>
          <w:b/>
          <w:bCs/>
          <w:sz w:val="22"/>
          <w:szCs w:val="22"/>
        </w:rPr>
      </w:pPr>
      <w:r w:rsidRPr="00346271">
        <w:rPr>
          <w:b/>
          <w:bCs/>
          <w:sz w:val="22"/>
          <w:szCs w:val="22"/>
        </w:rPr>
        <w:t xml:space="preserve"> Technology Utilization</w:t>
      </w:r>
    </w:p>
    <w:p w14:paraId="10D2C076" w14:textId="59240A4D" w:rsidR="00346271" w:rsidRPr="00346271" w:rsidRDefault="00346271" w:rsidP="00346271">
      <w:pPr>
        <w:rPr>
          <w:sz w:val="22"/>
          <w:szCs w:val="22"/>
        </w:rPr>
      </w:pPr>
      <w:r w:rsidRPr="00346271">
        <w:rPr>
          <w:sz w:val="22"/>
          <w:szCs w:val="22"/>
        </w:rPr>
        <w:t>The implementation of compliance management software simplifies the tracking of compliance metrics and streamlines documentation processes. Additionally, Building Information Modelling (BIM) supports project planning and visualization by ensuring that code requirements are integrated from the design phase.</w:t>
      </w:r>
    </w:p>
    <w:p w14:paraId="002E34EF" w14:textId="72E04FB6" w:rsidR="00346271" w:rsidRPr="00346271" w:rsidRDefault="00346271" w:rsidP="00346271">
      <w:pPr>
        <w:rPr>
          <w:b/>
          <w:bCs/>
          <w:sz w:val="22"/>
          <w:szCs w:val="22"/>
        </w:rPr>
      </w:pPr>
      <w:r w:rsidRPr="00346271">
        <w:rPr>
          <w:sz w:val="22"/>
          <w:szCs w:val="22"/>
        </w:rPr>
        <w:t xml:space="preserve"> </w:t>
      </w:r>
      <w:r w:rsidRPr="00346271">
        <w:rPr>
          <w:b/>
          <w:bCs/>
          <w:sz w:val="22"/>
          <w:szCs w:val="22"/>
        </w:rPr>
        <w:t>Engagement with Regulatory Bodies</w:t>
      </w:r>
    </w:p>
    <w:p w14:paraId="38B98927" w14:textId="046038D1" w:rsidR="00346271" w:rsidRPr="00346271" w:rsidRDefault="00346271" w:rsidP="00346271">
      <w:pPr>
        <w:rPr>
          <w:sz w:val="22"/>
          <w:szCs w:val="22"/>
        </w:rPr>
      </w:pPr>
      <w:r w:rsidRPr="00346271">
        <w:rPr>
          <w:sz w:val="22"/>
          <w:szCs w:val="22"/>
        </w:rPr>
        <w:t>Maintaining regular communication with regulatory bodies ensures contractors stay updated on any changes or amendments to codes. Participation in industry forums allows for the exchange of best practices in compliance and shared experiences.</w:t>
      </w:r>
    </w:p>
    <w:p w14:paraId="40CF646A" w14:textId="2B9AD88C" w:rsidR="00346271" w:rsidRPr="00346271" w:rsidRDefault="00346271" w:rsidP="00346271">
      <w:pPr>
        <w:rPr>
          <w:b/>
          <w:bCs/>
          <w:sz w:val="22"/>
          <w:szCs w:val="22"/>
        </w:rPr>
      </w:pPr>
      <w:r w:rsidRPr="00346271">
        <w:rPr>
          <w:b/>
          <w:bCs/>
          <w:sz w:val="22"/>
          <w:szCs w:val="22"/>
        </w:rPr>
        <w:t>Establishing a Compliance Culture</w:t>
      </w:r>
    </w:p>
    <w:p w14:paraId="6F4C1D75" w14:textId="31C742C5" w:rsidR="00346271" w:rsidRPr="00346271" w:rsidRDefault="00346271" w:rsidP="00346271">
      <w:pPr>
        <w:rPr>
          <w:sz w:val="22"/>
          <w:szCs w:val="22"/>
        </w:rPr>
      </w:pPr>
      <w:r w:rsidRPr="00346271">
        <w:rPr>
          <w:sz w:val="22"/>
          <w:szCs w:val="22"/>
        </w:rPr>
        <w:t>Creating a culture cantered around compliance entails that company leadership prioritizes adherence, setting a standard for the entire organization. Defining individual responsibilities clearly helps promote accountability along with outlining the repercussions of non-compliance.</w:t>
      </w:r>
    </w:p>
    <w:p w14:paraId="5613015F" w14:textId="77777777" w:rsidR="00346271" w:rsidRPr="00346271" w:rsidRDefault="00346271" w:rsidP="00346271">
      <w:pPr>
        <w:rPr>
          <w:sz w:val="22"/>
          <w:szCs w:val="22"/>
        </w:rPr>
      </w:pPr>
    </w:p>
    <w:p w14:paraId="324415A5" w14:textId="77777777" w:rsidR="009F6CD4" w:rsidRDefault="00346271" w:rsidP="00346271">
      <w:pPr>
        <w:rPr>
          <w:sz w:val="22"/>
          <w:szCs w:val="22"/>
        </w:rPr>
      </w:pPr>
      <w:r w:rsidRPr="00346271">
        <w:rPr>
          <w:sz w:val="22"/>
          <w:szCs w:val="22"/>
        </w:rPr>
        <w:lastRenderedPageBreak/>
        <w:t>By applying these strategies effectively, contractors can enhance project outcomes while minimizing risks associated with non-compliance with Codes of Practice.</w:t>
      </w:r>
      <w:r w:rsidR="0069411B">
        <w:rPr>
          <w:sz w:val="22"/>
          <w:szCs w:val="22"/>
        </w:rPr>
        <w:t xml:space="preserve"> </w:t>
      </w:r>
    </w:p>
    <w:p w14:paraId="750651C6" w14:textId="1682C81F" w:rsidR="00346271" w:rsidRPr="009F6CD4" w:rsidRDefault="0069411B" w:rsidP="00346271">
      <w:pPr>
        <w:rPr>
          <w:color w:val="00B0F0"/>
          <w:sz w:val="22"/>
          <w:szCs w:val="22"/>
        </w:rPr>
      </w:pPr>
      <w:r w:rsidRPr="009F6CD4">
        <w:rPr>
          <w:color w:val="00B0F0"/>
          <w:sz w:val="22"/>
          <w:szCs w:val="22"/>
        </w:rPr>
        <w:t>(</w:t>
      </w:r>
      <w:r w:rsidR="009F6CD4" w:rsidRPr="009F6CD4">
        <w:rPr>
          <w:color w:val="00B0F0"/>
          <w:sz w:val="22"/>
          <w:szCs w:val="22"/>
        </w:rPr>
        <w:t>R</w:t>
      </w:r>
      <w:r w:rsidRPr="009F6CD4">
        <w:rPr>
          <w:color w:val="00B0F0"/>
          <w:sz w:val="22"/>
          <w:szCs w:val="22"/>
        </w:rPr>
        <w:t>efer to reference 7:</w:t>
      </w:r>
      <w:r w:rsidR="009F6CD4" w:rsidRPr="009F6CD4">
        <w:rPr>
          <w:color w:val="00B0F0"/>
          <w:sz w:val="22"/>
          <w:szCs w:val="22"/>
        </w:rPr>
        <w:t xml:space="preserve"> </w:t>
      </w:r>
      <w:r w:rsidR="009F6CD4" w:rsidRPr="00930F34">
        <w:rPr>
          <w:color w:val="00B0F0"/>
          <w:sz w:val="22"/>
          <w:szCs w:val="22"/>
        </w:rPr>
        <w:t>American Institute of Constructors (2024)</w:t>
      </w:r>
      <w:r w:rsidR="009F6CD4" w:rsidRPr="009F6CD4">
        <w:rPr>
          <w:color w:val="00B0F0"/>
          <w:sz w:val="22"/>
          <w:szCs w:val="22"/>
        </w:rPr>
        <w:t xml:space="preserve"> – (Refer to reference 8: </w:t>
      </w:r>
      <w:r w:rsidR="009F6CD4" w:rsidRPr="00C61B01">
        <w:rPr>
          <w:color w:val="00B0F0"/>
          <w:sz w:val="22"/>
          <w:szCs w:val="22"/>
        </w:rPr>
        <w:t>www.designingbuildings.co.uk. (n.d.)</w:t>
      </w:r>
    </w:p>
    <w:p w14:paraId="5BEB2653" w14:textId="3D7ADAFF" w:rsidR="00666425" w:rsidRPr="000E663B" w:rsidRDefault="004C4208" w:rsidP="00346271">
      <w:pPr>
        <w:rPr>
          <w:b/>
          <w:bCs/>
          <w:sz w:val="22"/>
          <w:szCs w:val="22"/>
        </w:rPr>
      </w:pPr>
      <w:r w:rsidRPr="000E663B">
        <w:rPr>
          <w:b/>
          <w:bCs/>
          <w:sz w:val="22"/>
          <w:szCs w:val="22"/>
        </w:rPr>
        <w:t xml:space="preserve">Foundation </w:t>
      </w:r>
      <w:r w:rsidR="000E4386" w:rsidRPr="000E663B">
        <w:rPr>
          <w:b/>
          <w:bCs/>
          <w:sz w:val="22"/>
          <w:szCs w:val="22"/>
        </w:rPr>
        <w:t>Recommendation</w:t>
      </w:r>
      <w:r w:rsidRPr="000E663B">
        <w:rPr>
          <w:b/>
          <w:bCs/>
          <w:sz w:val="22"/>
          <w:szCs w:val="22"/>
        </w:rPr>
        <w:t>.</w:t>
      </w:r>
    </w:p>
    <w:p w14:paraId="2FA88998" w14:textId="2D9789D5" w:rsidR="000E663B" w:rsidRPr="000E663B" w:rsidRDefault="000E663B" w:rsidP="000E663B">
      <w:pPr>
        <w:rPr>
          <w:sz w:val="22"/>
          <w:szCs w:val="22"/>
        </w:rPr>
      </w:pPr>
      <w:r w:rsidRPr="000E663B">
        <w:rPr>
          <w:sz w:val="22"/>
          <w:szCs w:val="22"/>
        </w:rPr>
        <w:t>Using a pile foundation for hotel construction, as indicated by the analysis of five borehole logs showing hardcore, clay, and brown peat, presents numerous significant benefits. This type of foundation provides stability, resilience, and reliable long-term performance in challenging ground conditions. Given that clay and brown peat possess low bearing capacity and high compressibility, they are inadequate for directly supporting substantial loads like those from a hotel structure. Clay is prone to considerable settlement over time, particularly when saturated, while peat is highly compressible and susceptible to further decomposition. Pile foundations effectively transfer the hotel's load through these weak soil layers to reach deeper and more stable substrates such as bedrock or compacted sand.</w:t>
      </w:r>
    </w:p>
    <w:p w14:paraId="4BFE118F" w14:textId="32988DCE" w:rsidR="000E663B" w:rsidRPr="000E663B" w:rsidRDefault="000E663B" w:rsidP="000E663B">
      <w:pPr>
        <w:rPr>
          <w:sz w:val="22"/>
          <w:szCs w:val="22"/>
        </w:rPr>
      </w:pPr>
      <w:r w:rsidRPr="000E663B">
        <w:rPr>
          <w:sz w:val="22"/>
          <w:szCs w:val="22"/>
        </w:rPr>
        <w:t>Different soil types exhibit varying tendencies regarding settlement. Differential settlement can lead to cracks and structural distortions if parts of a building settle unevenly. Pile foundations mitigate this issue by bypassing the compressible clay and peat layers, thereby ensuring an even distribution of the building's weight and reducing the risk of uneven settling.</w:t>
      </w:r>
    </w:p>
    <w:p w14:paraId="7884C2D0" w14:textId="09150FAB" w:rsidR="000E663B" w:rsidRPr="000E663B" w:rsidRDefault="000E663B" w:rsidP="000E663B">
      <w:pPr>
        <w:rPr>
          <w:sz w:val="22"/>
          <w:szCs w:val="22"/>
        </w:rPr>
      </w:pPr>
      <w:r w:rsidRPr="000E663B">
        <w:rPr>
          <w:sz w:val="22"/>
          <w:szCs w:val="22"/>
        </w:rPr>
        <w:t xml:space="preserve">The drainage capabilities of wet clay and peat tend to be poor. Peat's </w:t>
      </w:r>
      <w:proofErr w:type="gramStart"/>
      <w:r w:rsidRPr="000E663B">
        <w:rPr>
          <w:sz w:val="22"/>
          <w:szCs w:val="22"/>
        </w:rPr>
        <w:t>high water</w:t>
      </w:r>
      <w:proofErr w:type="gramEnd"/>
      <w:r w:rsidRPr="000E663B">
        <w:rPr>
          <w:sz w:val="22"/>
          <w:szCs w:val="22"/>
        </w:rPr>
        <w:t xml:space="preserve"> content makes it unstable as it dries out and contracts. Installing piles below the groundwater-affected zone can create a more stable foundation. Additionally, pile foundations eliminate the need for expensive dewatering systems that would typically be required with shallow foundations.</w:t>
      </w:r>
    </w:p>
    <w:p w14:paraId="66D24732" w14:textId="03471343" w:rsidR="000E663B" w:rsidRPr="000E663B" w:rsidRDefault="000E663B" w:rsidP="000E663B">
      <w:pPr>
        <w:rPr>
          <w:sz w:val="22"/>
          <w:szCs w:val="22"/>
        </w:rPr>
      </w:pPr>
      <w:r w:rsidRPr="000E663B">
        <w:rPr>
          <w:sz w:val="22"/>
          <w:szCs w:val="22"/>
        </w:rPr>
        <w:t>Relying solely on hardcore (compacted stone or debris) from a single drill log for foundational support poses risks due to its potential variability and discontinuity over time. In contrast, pile foundations provide a consistent and well-engineered solution that adapts to changing ground conditions, ensuring safe support for the hotel.</w:t>
      </w:r>
    </w:p>
    <w:p w14:paraId="69A3C7EC" w14:textId="4AD7346D" w:rsidR="000E663B" w:rsidRPr="000E663B" w:rsidRDefault="000E663B" w:rsidP="000E663B">
      <w:pPr>
        <w:rPr>
          <w:sz w:val="22"/>
          <w:szCs w:val="22"/>
        </w:rPr>
      </w:pPr>
      <w:r w:rsidRPr="000E663B">
        <w:rPr>
          <w:sz w:val="22"/>
          <w:szCs w:val="22"/>
        </w:rPr>
        <w:t>Hotels often have multiple floors, elevators, plumbing, and heavy amenities which contribute significantly to their overall weight. Pile foundations are ideal for multi-story structures as they are engineered to accommodate substantial vertical and horizontal loads. They also offer design flexibility for complex layouts or underground utilities.</w:t>
      </w:r>
    </w:p>
    <w:p w14:paraId="4B3985A5" w14:textId="2727F8F9" w:rsidR="000E663B" w:rsidRPr="000E663B" w:rsidRDefault="000E663B" w:rsidP="000E663B">
      <w:pPr>
        <w:rPr>
          <w:b/>
          <w:bCs/>
          <w:sz w:val="22"/>
          <w:szCs w:val="22"/>
        </w:rPr>
      </w:pPr>
      <w:r w:rsidRPr="000E663B">
        <w:rPr>
          <w:b/>
          <w:bCs/>
          <w:sz w:val="22"/>
          <w:szCs w:val="22"/>
        </w:rPr>
        <w:t>Conclusion</w:t>
      </w:r>
    </w:p>
    <w:p w14:paraId="278233ED" w14:textId="78C8EDC5" w:rsidR="000E663B" w:rsidRDefault="000E663B" w:rsidP="000E663B">
      <w:pPr>
        <w:rPr>
          <w:sz w:val="22"/>
          <w:szCs w:val="22"/>
        </w:rPr>
      </w:pPr>
      <w:r w:rsidRPr="000E663B">
        <w:rPr>
          <w:sz w:val="22"/>
          <w:szCs w:val="22"/>
        </w:rPr>
        <w:t>A pile foundation emerges as the optimal choice given the borehole log findings indicating clay, brown peat, and hardcore presence in the ground conditions. It minimizes risks associated with poor drainage, expansive soils, and shifting soil layers while enhancing stability and preventing settlement issues. By opting for piles, the hotel's structure is assured safety, durability, and resilience against both load-related pressures and environmental factors over time. This decision not only protects the investment but also ensures compliance with construction standards and engineering best practices.</w:t>
      </w:r>
    </w:p>
    <w:p w14:paraId="394DA7BC" w14:textId="77777777" w:rsidR="00D12B53" w:rsidRDefault="00D12B53" w:rsidP="000E663B">
      <w:pPr>
        <w:rPr>
          <w:sz w:val="22"/>
          <w:szCs w:val="22"/>
        </w:rPr>
      </w:pPr>
    </w:p>
    <w:p w14:paraId="79F56AD5" w14:textId="77777777" w:rsidR="00D12B53" w:rsidRDefault="00D12B53" w:rsidP="000E663B">
      <w:pPr>
        <w:rPr>
          <w:sz w:val="22"/>
          <w:szCs w:val="22"/>
        </w:rPr>
      </w:pPr>
    </w:p>
    <w:p w14:paraId="2D3A3404" w14:textId="77777777" w:rsidR="00D12B53" w:rsidRDefault="00D12B53" w:rsidP="000E663B">
      <w:pPr>
        <w:rPr>
          <w:sz w:val="22"/>
          <w:szCs w:val="22"/>
        </w:rPr>
      </w:pPr>
    </w:p>
    <w:p w14:paraId="207F9F75" w14:textId="18999442" w:rsidR="00D12B53" w:rsidRPr="00245E2D" w:rsidRDefault="00D12B53" w:rsidP="000E663B">
      <w:pPr>
        <w:rPr>
          <w:b/>
          <w:bCs/>
        </w:rPr>
      </w:pPr>
      <w:r w:rsidRPr="00245E2D">
        <w:rPr>
          <w:b/>
          <w:bCs/>
        </w:rPr>
        <w:t>Referencing:</w:t>
      </w:r>
    </w:p>
    <w:p w14:paraId="31E1F7E4" w14:textId="7C765B3C" w:rsidR="007909BA" w:rsidRDefault="007909BA" w:rsidP="00930F34">
      <w:pPr>
        <w:rPr>
          <w:sz w:val="22"/>
          <w:szCs w:val="22"/>
        </w:rPr>
      </w:pPr>
      <w:r>
        <w:rPr>
          <w:sz w:val="22"/>
          <w:szCs w:val="22"/>
        </w:rPr>
        <w:t>Ref 1:</w:t>
      </w:r>
    </w:p>
    <w:p w14:paraId="10D3A8BF" w14:textId="646C82C7" w:rsidR="007909BA" w:rsidRDefault="007909BA" w:rsidP="00930F34">
      <w:pPr>
        <w:rPr>
          <w:sz w:val="22"/>
          <w:szCs w:val="22"/>
        </w:rPr>
      </w:pPr>
      <w:r w:rsidRPr="00DF2ADB">
        <w:rPr>
          <w:sz w:val="22"/>
          <w:szCs w:val="22"/>
        </w:rPr>
        <w:t xml:space="preserve">Dalling, R. (2020). </w:t>
      </w:r>
      <w:r w:rsidRPr="00DF2ADB">
        <w:rPr>
          <w:i/>
          <w:iCs/>
          <w:sz w:val="22"/>
          <w:szCs w:val="22"/>
        </w:rPr>
        <w:t>What was there before these giant Swansea supermarkets arrived</w:t>
      </w:r>
      <w:r w:rsidRPr="00DF2ADB">
        <w:rPr>
          <w:sz w:val="22"/>
          <w:szCs w:val="22"/>
        </w:rPr>
        <w:t>. [online] Wales Online. Available at: https://www.walesonline.co.uk/lifestyle/nostalgia/what-before-giant-swansea-supermarkets-18275878 [Accessed 17 Dec. 2024].</w:t>
      </w:r>
    </w:p>
    <w:p w14:paraId="10FF1209" w14:textId="7DEB641F" w:rsidR="00F52B76" w:rsidRDefault="00F52B76" w:rsidP="00930F34">
      <w:pPr>
        <w:rPr>
          <w:sz w:val="22"/>
          <w:szCs w:val="22"/>
        </w:rPr>
      </w:pPr>
      <w:r>
        <w:rPr>
          <w:sz w:val="22"/>
          <w:szCs w:val="22"/>
        </w:rPr>
        <w:t xml:space="preserve">Ref </w:t>
      </w:r>
      <w:proofErr w:type="gramStart"/>
      <w:r>
        <w:rPr>
          <w:sz w:val="22"/>
          <w:szCs w:val="22"/>
        </w:rPr>
        <w:t>2 :</w:t>
      </w:r>
      <w:proofErr w:type="gramEnd"/>
    </w:p>
    <w:p w14:paraId="1CBD4200" w14:textId="29B8AE10" w:rsidR="00F52B76" w:rsidRDefault="00F52B76" w:rsidP="00930F34">
      <w:pPr>
        <w:rPr>
          <w:sz w:val="22"/>
          <w:szCs w:val="22"/>
        </w:rPr>
      </w:pPr>
      <w:r w:rsidRPr="00F52B76">
        <w:rPr>
          <w:sz w:val="22"/>
          <w:szCs w:val="22"/>
        </w:rPr>
        <w:t xml:space="preserve">Coflein.gov.uk. (2021). </w:t>
      </w:r>
      <w:r w:rsidRPr="00F52B76">
        <w:rPr>
          <w:i/>
          <w:iCs/>
          <w:sz w:val="22"/>
          <w:szCs w:val="22"/>
        </w:rPr>
        <w:t xml:space="preserve">English – </w:t>
      </w:r>
      <w:proofErr w:type="spellStart"/>
      <w:r w:rsidRPr="00F52B76">
        <w:rPr>
          <w:i/>
          <w:iCs/>
          <w:sz w:val="22"/>
          <w:szCs w:val="22"/>
        </w:rPr>
        <w:t>Coflein</w:t>
      </w:r>
      <w:proofErr w:type="spellEnd"/>
      <w:r w:rsidRPr="00F52B76">
        <w:rPr>
          <w:sz w:val="22"/>
          <w:szCs w:val="22"/>
        </w:rPr>
        <w:t>. [online] Available at: https://coflein.gov.uk/en/site/85432/ [Accessed 17 Dec. 2024].</w:t>
      </w:r>
    </w:p>
    <w:p w14:paraId="1AFCCD55" w14:textId="0ADB8C2B" w:rsidR="00E1523E" w:rsidRDefault="00E1523E" w:rsidP="00930F34">
      <w:pPr>
        <w:rPr>
          <w:sz w:val="22"/>
          <w:szCs w:val="22"/>
        </w:rPr>
      </w:pPr>
      <w:r>
        <w:rPr>
          <w:sz w:val="22"/>
          <w:szCs w:val="22"/>
        </w:rPr>
        <w:t>Ref 3:</w:t>
      </w:r>
    </w:p>
    <w:p w14:paraId="30F7C1DA" w14:textId="6E79FA38" w:rsidR="00DD5502" w:rsidRDefault="00DD5502" w:rsidP="00930F34">
      <w:pPr>
        <w:rPr>
          <w:sz w:val="22"/>
          <w:szCs w:val="22"/>
        </w:rPr>
      </w:pPr>
      <w:r w:rsidRPr="00C61B01">
        <w:rPr>
          <w:sz w:val="22"/>
          <w:szCs w:val="22"/>
        </w:rPr>
        <w:t xml:space="preserve">The Story of Mumbles. (2024). </w:t>
      </w:r>
      <w:r w:rsidRPr="00C61B01">
        <w:rPr>
          <w:i/>
          <w:iCs/>
          <w:sz w:val="22"/>
          <w:szCs w:val="22"/>
        </w:rPr>
        <w:t>The Story of Mumbles</w:t>
      </w:r>
      <w:r w:rsidRPr="00C61B01">
        <w:rPr>
          <w:sz w:val="22"/>
          <w:szCs w:val="22"/>
        </w:rPr>
        <w:t>. [online] Available at: https://www.storyofmumbles.org.uk/ [Accessed 17 Dec. 2024].</w:t>
      </w:r>
    </w:p>
    <w:p w14:paraId="1AC2D1AC" w14:textId="24EA2B7E" w:rsidR="002A39E0" w:rsidRDefault="002A39E0" w:rsidP="00930F34">
      <w:pPr>
        <w:rPr>
          <w:sz w:val="22"/>
          <w:szCs w:val="22"/>
        </w:rPr>
      </w:pPr>
      <w:r>
        <w:rPr>
          <w:sz w:val="22"/>
          <w:szCs w:val="22"/>
        </w:rPr>
        <w:t>Ref 4:</w:t>
      </w:r>
    </w:p>
    <w:p w14:paraId="0D806983" w14:textId="19583F04" w:rsidR="0005603E" w:rsidRDefault="00EA08BA" w:rsidP="00930F34">
      <w:pPr>
        <w:rPr>
          <w:sz w:val="22"/>
          <w:szCs w:val="22"/>
        </w:rPr>
      </w:pPr>
      <w:r w:rsidRPr="00C61B01">
        <w:rPr>
          <w:sz w:val="22"/>
          <w:szCs w:val="22"/>
        </w:rPr>
        <w:t xml:space="preserve">State.mn.us. (2023). </w:t>
      </w:r>
      <w:r w:rsidRPr="00C61B01">
        <w:rPr>
          <w:i/>
          <w:iCs/>
          <w:sz w:val="22"/>
          <w:szCs w:val="22"/>
        </w:rPr>
        <w:t xml:space="preserve">Understanding and interpreting soils and </w:t>
      </w:r>
      <w:proofErr w:type="gramStart"/>
      <w:r w:rsidRPr="00C61B01">
        <w:rPr>
          <w:i/>
          <w:iCs/>
          <w:sz w:val="22"/>
          <w:szCs w:val="22"/>
        </w:rPr>
        <w:t>soil</w:t>
      </w:r>
      <w:proofErr w:type="gramEnd"/>
      <w:r w:rsidRPr="00C61B01">
        <w:rPr>
          <w:i/>
          <w:iCs/>
          <w:sz w:val="22"/>
          <w:szCs w:val="22"/>
        </w:rPr>
        <w:t xml:space="preserve"> boring reports for infiltration BMPs - Minnesota Stormwater Manual</w:t>
      </w:r>
      <w:r w:rsidRPr="00C61B01">
        <w:rPr>
          <w:sz w:val="22"/>
          <w:szCs w:val="22"/>
        </w:rPr>
        <w:t>. [online] Available at: https://stormwater.pca.state.mn.us/index.php/Understanding_and_interpreting_soils_and_soil_boring_reports_for_infiltration_BMPs?utm_source=chatgpt.com [Accessed 9 Jan. 2025].</w:t>
      </w:r>
    </w:p>
    <w:p w14:paraId="1B9E0684" w14:textId="0652D4D2" w:rsidR="002A39E0" w:rsidRDefault="002A39E0" w:rsidP="00930F34">
      <w:pPr>
        <w:rPr>
          <w:sz w:val="22"/>
          <w:szCs w:val="22"/>
        </w:rPr>
      </w:pPr>
      <w:r>
        <w:rPr>
          <w:sz w:val="22"/>
          <w:szCs w:val="22"/>
        </w:rPr>
        <w:t>Ref 5:</w:t>
      </w:r>
    </w:p>
    <w:p w14:paraId="1393DB0E" w14:textId="21BEA6CA" w:rsidR="0005603E" w:rsidRDefault="0005603E" w:rsidP="00930F34">
      <w:pPr>
        <w:rPr>
          <w:sz w:val="22"/>
          <w:szCs w:val="22"/>
        </w:rPr>
      </w:pPr>
      <w:r w:rsidRPr="00C61B01">
        <w:rPr>
          <w:sz w:val="22"/>
          <w:szCs w:val="22"/>
        </w:rPr>
        <w:t xml:space="preserve">Wikipedia Contributors (2019). </w:t>
      </w:r>
      <w:r w:rsidRPr="00C61B01">
        <w:rPr>
          <w:i/>
          <w:iCs/>
          <w:sz w:val="22"/>
          <w:szCs w:val="22"/>
        </w:rPr>
        <w:t>Peat</w:t>
      </w:r>
      <w:r w:rsidRPr="00C61B01">
        <w:rPr>
          <w:sz w:val="22"/>
          <w:szCs w:val="22"/>
        </w:rPr>
        <w:t>. [online] Wikipedia. Available at: https://en.wikipedia.org/wiki/Peat [Accessed 9 Jan. 2025].</w:t>
      </w:r>
    </w:p>
    <w:p w14:paraId="69D35773" w14:textId="328AA31D" w:rsidR="002A39E0" w:rsidRDefault="002A39E0" w:rsidP="00930F34">
      <w:pPr>
        <w:rPr>
          <w:sz w:val="22"/>
          <w:szCs w:val="22"/>
        </w:rPr>
      </w:pPr>
      <w:r>
        <w:rPr>
          <w:sz w:val="22"/>
          <w:szCs w:val="22"/>
        </w:rPr>
        <w:t>Ref 6:</w:t>
      </w:r>
    </w:p>
    <w:p w14:paraId="77F6279D" w14:textId="2AE9066B" w:rsidR="00D46835" w:rsidRDefault="00D46835" w:rsidP="00930F34">
      <w:pPr>
        <w:rPr>
          <w:sz w:val="22"/>
          <w:szCs w:val="22"/>
        </w:rPr>
      </w:pPr>
      <w:r w:rsidRPr="00DF2ADB">
        <w:rPr>
          <w:sz w:val="22"/>
          <w:szCs w:val="22"/>
        </w:rPr>
        <w:t xml:space="preserve">Barnhardt, S. (2016). </w:t>
      </w:r>
      <w:r w:rsidRPr="00DF2ADB">
        <w:rPr>
          <w:i/>
          <w:iCs/>
          <w:sz w:val="22"/>
          <w:szCs w:val="22"/>
        </w:rPr>
        <w:t>Engineer’s Corner: Reading Soils Reports and Bore Logs from a Contractor’s Perspective</w:t>
      </w:r>
      <w:r w:rsidRPr="00DF2ADB">
        <w:rPr>
          <w:sz w:val="22"/>
          <w:szCs w:val="22"/>
        </w:rPr>
        <w:t>. [online] Trench and Traffic Safety Equipment Sales, Rentals, Training. Available at: https://www.ntsafety.com/engineers-corner-reading-soils-reports-and-bore-logs-from-a-contractors-perspective/ [Accessed 9 Jan. 2025].</w:t>
      </w:r>
    </w:p>
    <w:p w14:paraId="20BB7ECC" w14:textId="6CFAE880" w:rsidR="002A39E0" w:rsidRDefault="002A39E0" w:rsidP="00930F34">
      <w:pPr>
        <w:rPr>
          <w:sz w:val="22"/>
          <w:szCs w:val="22"/>
        </w:rPr>
      </w:pPr>
      <w:r>
        <w:rPr>
          <w:sz w:val="22"/>
          <w:szCs w:val="22"/>
        </w:rPr>
        <w:t>Ref 7:</w:t>
      </w:r>
    </w:p>
    <w:p w14:paraId="096B222F" w14:textId="7E8BD02C" w:rsidR="00DD5502" w:rsidRDefault="00930F34" w:rsidP="00930F34">
      <w:pPr>
        <w:rPr>
          <w:sz w:val="22"/>
          <w:szCs w:val="22"/>
        </w:rPr>
      </w:pPr>
      <w:r w:rsidRPr="00930F34">
        <w:rPr>
          <w:sz w:val="22"/>
          <w:szCs w:val="22"/>
        </w:rPr>
        <w:t xml:space="preserve">American Institute of Constructors (2024). </w:t>
      </w:r>
      <w:r w:rsidRPr="00930F34">
        <w:rPr>
          <w:i/>
          <w:iCs/>
          <w:sz w:val="22"/>
          <w:szCs w:val="22"/>
        </w:rPr>
        <w:t>Why Use a Code of Ethics in Construction Industry Projects?</w:t>
      </w:r>
      <w:r w:rsidRPr="00930F34">
        <w:rPr>
          <w:sz w:val="22"/>
          <w:szCs w:val="22"/>
        </w:rPr>
        <w:t xml:space="preserve"> [online] aic-builds.org. Available at: https://aic-builds.org/why-use-a-code-of-ethics-in-construction-industry-projects/ [Accessed 9 Jan. 2025].</w:t>
      </w:r>
    </w:p>
    <w:p w14:paraId="4601C657" w14:textId="79264E05" w:rsidR="00082628" w:rsidRDefault="00082628" w:rsidP="00930F34">
      <w:pPr>
        <w:rPr>
          <w:sz w:val="22"/>
          <w:szCs w:val="22"/>
        </w:rPr>
      </w:pPr>
      <w:r>
        <w:rPr>
          <w:sz w:val="22"/>
          <w:szCs w:val="22"/>
        </w:rPr>
        <w:t>Ref 8:</w:t>
      </w:r>
    </w:p>
    <w:p w14:paraId="00ECB2AB" w14:textId="77777777" w:rsidR="00082628" w:rsidRPr="00C61B01" w:rsidRDefault="00082628" w:rsidP="00082628">
      <w:pPr>
        <w:rPr>
          <w:sz w:val="22"/>
          <w:szCs w:val="22"/>
        </w:rPr>
      </w:pPr>
      <w:r w:rsidRPr="00C61B01">
        <w:rPr>
          <w:sz w:val="22"/>
          <w:szCs w:val="22"/>
        </w:rPr>
        <w:t xml:space="preserve">www.designingbuildings.co.uk. (n.d.). </w:t>
      </w:r>
      <w:r w:rsidRPr="00C61B01">
        <w:rPr>
          <w:i/>
          <w:iCs/>
          <w:sz w:val="22"/>
          <w:szCs w:val="22"/>
        </w:rPr>
        <w:t>Code of construction practice</w:t>
      </w:r>
      <w:r w:rsidRPr="00C61B01">
        <w:rPr>
          <w:sz w:val="22"/>
          <w:szCs w:val="22"/>
        </w:rPr>
        <w:t>. [online] Available at: https://www.designingbuildings.co.uk/wiki/Code_of_construction_practice [Accessed 9 Jan. 2025].</w:t>
      </w:r>
    </w:p>
    <w:p w14:paraId="433FC81C" w14:textId="77777777" w:rsidR="00082628" w:rsidRDefault="00082628" w:rsidP="00930F34">
      <w:pPr>
        <w:rPr>
          <w:sz w:val="22"/>
          <w:szCs w:val="22"/>
        </w:rPr>
      </w:pPr>
    </w:p>
    <w:p w14:paraId="0E8A7F84" w14:textId="77777777" w:rsidR="00082628" w:rsidRDefault="00082628" w:rsidP="00930F34">
      <w:pPr>
        <w:rPr>
          <w:sz w:val="22"/>
          <w:szCs w:val="22"/>
        </w:rPr>
      </w:pPr>
    </w:p>
    <w:p w14:paraId="31C4099F" w14:textId="77777777" w:rsidR="00082628" w:rsidRDefault="00082628" w:rsidP="00930F34">
      <w:pPr>
        <w:rPr>
          <w:sz w:val="22"/>
          <w:szCs w:val="22"/>
        </w:rPr>
      </w:pPr>
    </w:p>
    <w:p w14:paraId="69650147" w14:textId="1B9C73C1" w:rsidR="00082628" w:rsidRPr="00930F34" w:rsidRDefault="00082628" w:rsidP="00930F34">
      <w:pPr>
        <w:rPr>
          <w:sz w:val="22"/>
          <w:szCs w:val="22"/>
        </w:rPr>
      </w:pPr>
      <w:r>
        <w:rPr>
          <w:sz w:val="22"/>
          <w:szCs w:val="22"/>
        </w:rPr>
        <w:t>Ref 9:</w:t>
      </w:r>
    </w:p>
    <w:p w14:paraId="25EC9C8A" w14:textId="77777777" w:rsidR="00DF2ADB" w:rsidRPr="00DF2ADB" w:rsidRDefault="00DF2ADB" w:rsidP="00DF2ADB">
      <w:pPr>
        <w:rPr>
          <w:sz w:val="22"/>
          <w:szCs w:val="22"/>
        </w:rPr>
      </w:pPr>
      <w:r w:rsidRPr="00DF2ADB">
        <w:rPr>
          <w:sz w:val="22"/>
          <w:szCs w:val="22"/>
        </w:rPr>
        <w:t xml:space="preserve">BGS (2023). </w:t>
      </w:r>
      <w:r w:rsidRPr="00DF2ADB">
        <w:rPr>
          <w:i/>
          <w:iCs/>
          <w:sz w:val="22"/>
          <w:szCs w:val="22"/>
        </w:rPr>
        <w:t>GeoIndex - British Geological Survey</w:t>
      </w:r>
      <w:r w:rsidRPr="00DF2ADB">
        <w:rPr>
          <w:sz w:val="22"/>
          <w:szCs w:val="22"/>
        </w:rPr>
        <w:t>. [online] Bgs.ac.uk. Available at: https://mapapps2.bgs.ac.uk/geoindex/home.html?layer=BGSBoreholes&amp;_ga=2.262934540.1239036180.1736243505-599155052.1736243505 [Accessed 9 Jan. 2025].</w:t>
      </w:r>
    </w:p>
    <w:p w14:paraId="09C00EE2" w14:textId="77777777" w:rsidR="00F848E1" w:rsidRPr="00177A58" w:rsidRDefault="00F848E1" w:rsidP="00346271">
      <w:pPr>
        <w:rPr>
          <w:sz w:val="22"/>
          <w:szCs w:val="22"/>
        </w:rPr>
      </w:pPr>
    </w:p>
    <w:sectPr w:rsidR="00F848E1" w:rsidRPr="00177A5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CE313" w14:textId="77777777" w:rsidR="00F53CD7" w:rsidRDefault="00F53CD7" w:rsidP="00632EB7">
      <w:pPr>
        <w:spacing w:after="0" w:line="240" w:lineRule="auto"/>
      </w:pPr>
      <w:r>
        <w:separator/>
      </w:r>
    </w:p>
  </w:endnote>
  <w:endnote w:type="continuationSeparator" w:id="0">
    <w:p w14:paraId="39B38E04" w14:textId="77777777" w:rsidR="00F53CD7" w:rsidRDefault="00F53CD7" w:rsidP="00632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B0EC6" w14:textId="77777777" w:rsidR="00F53CD7" w:rsidRDefault="00F53CD7" w:rsidP="00632EB7">
      <w:pPr>
        <w:spacing w:after="0" w:line="240" w:lineRule="auto"/>
      </w:pPr>
      <w:r>
        <w:separator/>
      </w:r>
    </w:p>
  </w:footnote>
  <w:footnote w:type="continuationSeparator" w:id="0">
    <w:p w14:paraId="612A97B2" w14:textId="77777777" w:rsidR="00F53CD7" w:rsidRDefault="00F53CD7" w:rsidP="00632E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E784F" w14:textId="07855301" w:rsidR="00632EB7" w:rsidRPr="00632EB7" w:rsidRDefault="00632EB7" w:rsidP="00632EB7">
    <w:pPr>
      <w:pStyle w:val="Header"/>
      <w:jc w:val="center"/>
      <w:rPr>
        <w:b/>
        <w:bCs/>
      </w:rPr>
    </w:pPr>
    <w:r w:rsidRPr="00632EB7">
      <w:rPr>
        <w:b/>
        <w:bCs/>
      </w:rPr>
      <w:t>Swansea Mumbles Road development</w:t>
    </w:r>
  </w:p>
  <w:p w14:paraId="788A9FFC" w14:textId="77777777" w:rsidR="00632EB7" w:rsidRDefault="00632EB7" w:rsidP="00632EB7">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EB7"/>
    <w:rsid w:val="0001624C"/>
    <w:rsid w:val="00050281"/>
    <w:rsid w:val="0005603E"/>
    <w:rsid w:val="00082628"/>
    <w:rsid w:val="00084503"/>
    <w:rsid w:val="000E4386"/>
    <w:rsid w:val="000E663B"/>
    <w:rsid w:val="000F00FF"/>
    <w:rsid w:val="0011580F"/>
    <w:rsid w:val="00150823"/>
    <w:rsid w:val="00177A58"/>
    <w:rsid w:val="001B0AA2"/>
    <w:rsid w:val="001F2652"/>
    <w:rsid w:val="002110F8"/>
    <w:rsid w:val="0021697E"/>
    <w:rsid w:val="0023524A"/>
    <w:rsid w:val="00245E2D"/>
    <w:rsid w:val="00271595"/>
    <w:rsid w:val="00272A35"/>
    <w:rsid w:val="00280C17"/>
    <w:rsid w:val="00292F77"/>
    <w:rsid w:val="002A39E0"/>
    <w:rsid w:val="002C7F82"/>
    <w:rsid w:val="002E3670"/>
    <w:rsid w:val="00336468"/>
    <w:rsid w:val="00346271"/>
    <w:rsid w:val="003545ED"/>
    <w:rsid w:val="003756C2"/>
    <w:rsid w:val="003D25F7"/>
    <w:rsid w:val="00400DB9"/>
    <w:rsid w:val="0045339D"/>
    <w:rsid w:val="00471A61"/>
    <w:rsid w:val="00483576"/>
    <w:rsid w:val="00483A55"/>
    <w:rsid w:val="00491665"/>
    <w:rsid w:val="004A6556"/>
    <w:rsid w:val="004C2390"/>
    <w:rsid w:val="004C4208"/>
    <w:rsid w:val="004D287D"/>
    <w:rsid w:val="005161EA"/>
    <w:rsid w:val="005570FE"/>
    <w:rsid w:val="00593BBA"/>
    <w:rsid w:val="006073D9"/>
    <w:rsid w:val="00632EB7"/>
    <w:rsid w:val="00666425"/>
    <w:rsid w:val="00670ED2"/>
    <w:rsid w:val="0069411B"/>
    <w:rsid w:val="00696C4E"/>
    <w:rsid w:val="006B2E8D"/>
    <w:rsid w:val="006D5897"/>
    <w:rsid w:val="007345AD"/>
    <w:rsid w:val="007909BA"/>
    <w:rsid w:val="007A1B31"/>
    <w:rsid w:val="007A691C"/>
    <w:rsid w:val="00801909"/>
    <w:rsid w:val="0085543B"/>
    <w:rsid w:val="008D6938"/>
    <w:rsid w:val="008E322E"/>
    <w:rsid w:val="008E571E"/>
    <w:rsid w:val="008F2D2D"/>
    <w:rsid w:val="008F4990"/>
    <w:rsid w:val="00903497"/>
    <w:rsid w:val="0090487C"/>
    <w:rsid w:val="00930F34"/>
    <w:rsid w:val="0093556F"/>
    <w:rsid w:val="00970671"/>
    <w:rsid w:val="009F48CC"/>
    <w:rsid w:val="009F6CD4"/>
    <w:rsid w:val="00A525B2"/>
    <w:rsid w:val="00A5319B"/>
    <w:rsid w:val="00A7020B"/>
    <w:rsid w:val="00B06BB5"/>
    <w:rsid w:val="00B95B70"/>
    <w:rsid w:val="00C168A5"/>
    <w:rsid w:val="00C21F29"/>
    <w:rsid w:val="00C32DD6"/>
    <w:rsid w:val="00C61B01"/>
    <w:rsid w:val="00D12B53"/>
    <w:rsid w:val="00D44547"/>
    <w:rsid w:val="00D46835"/>
    <w:rsid w:val="00D57A58"/>
    <w:rsid w:val="00D7687A"/>
    <w:rsid w:val="00D97438"/>
    <w:rsid w:val="00DB61B4"/>
    <w:rsid w:val="00DD5502"/>
    <w:rsid w:val="00DF2ADB"/>
    <w:rsid w:val="00DF2B08"/>
    <w:rsid w:val="00DF6F78"/>
    <w:rsid w:val="00E1523E"/>
    <w:rsid w:val="00E2624A"/>
    <w:rsid w:val="00E8710A"/>
    <w:rsid w:val="00EA08BA"/>
    <w:rsid w:val="00EA7FE0"/>
    <w:rsid w:val="00EF0975"/>
    <w:rsid w:val="00F30449"/>
    <w:rsid w:val="00F516F0"/>
    <w:rsid w:val="00F52B76"/>
    <w:rsid w:val="00F53CD7"/>
    <w:rsid w:val="00F55699"/>
    <w:rsid w:val="00F70D3C"/>
    <w:rsid w:val="00F848E1"/>
    <w:rsid w:val="00F979F0"/>
    <w:rsid w:val="00FC0723"/>
    <w:rsid w:val="00FC2B56"/>
    <w:rsid w:val="00FD054E"/>
    <w:rsid w:val="00FE5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E0A2C"/>
  <w15:chartTrackingRefBased/>
  <w15:docId w15:val="{9BCF82C7-EE83-44F7-8581-DE1A30130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E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2E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2E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E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E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E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E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E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E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E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2E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E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E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E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E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E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E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EB7"/>
    <w:rPr>
      <w:rFonts w:eastAsiaTheme="majorEastAsia" w:cstheme="majorBidi"/>
      <w:color w:val="272727" w:themeColor="text1" w:themeTint="D8"/>
    </w:rPr>
  </w:style>
  <w:style w:type="paragraph" w:styleId="Title">
    <w:name w:val="Title"/>
    <w:basedOn w:val="Normal"/>
    <w:next w:val="Normal"/>
    <w:link w:val="TitleChar"/>
    <w:uiPriority w:val="10"/>
    <w:qFormat/>
    <w:rsid w:val="00632E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E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E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E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EB7"/>
    <w:pPr>
      <w:spacing w:before="160"/>
      <w:jc w:val="center"/>
    </w:pPr>
    <w:rPr>
      <w:i/>
      <w:iCs/>
      <w:color w:val="404040" w:themeColor="text1" w:themeTint="BF"/>
    </w:rPr>
  </w:style>
  <w:style w:type="character" w:customStyle="1" w:styleId="QuoteChar">
    <w:name w:val="Quote Char"/>
    <w:basedOn w:val="DefaultParagraphFont"/>
    <w:link w:val="Quote"/>
    <w:uiPriority w:val="29"/>
    <w:rsid w:val="00632EB7"/>
    <w:rPr>
      <w:i/>
      <w:iCs/>
      <w:color w:val="404040" w:themeColor="text1" w:themeTint="BF"/>
    </w:rPr>
  </w:style>
  <w:style w:type="paragraph" w:styleId="ListParagraph">
    <w:name w:val="List Paragraph"/>
    <w:basedOn w:val="Normal"/>
    <w:uiPriority w:val="34"/>
    <w:qFormat/>
    <w:rsid w:val="00632EB7"/>
    <w:pPr>
      <w:ind w:left="720"/>
      <w:contextualSpacing/>
    </w:pPr>
  </w:style>
  <w:style w:type="character" w:styleId="IntenseEmphasis">
    <w:name w:val="Intense Emphasis"/>
    <w:basedOn w:val="DefaultParagraphFont"/>
    <w:uiPriority w:val="21"/>
    <w:qFormat/>
    <w:rsid w:val="00632EB7"/>
    <w:rPr>
      <w:i/>
      <w:iCs/>
      <w:color w:val="0F4761" w:themeColor="accent1" w:themeShade="BF"/>
    </w:rPr>
  </w:style>
  <w:style w:type="paragraph" w:styleId="IntenseQuote">
    <w:name w:val="Intense Quote"/>
    <w:basedOn w:val="Normal"/>
    <w:next w:val="Normal"/>
    <w:link w:val="IntenseQuoteChar"/>
    <w:uiPriority w:val="30"/>
    <w:qFormat/>
    <w:rsid w:val="00632E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EB7"/>
    <w:rPr>
      <w:i/>
      <w:iCs/>
      <w:color w:val="0F4761" w:themeColor="accent1" w:themeShade="BF"/>
    </w:rPr>
  </w:style>
  <w:style w:type="character" w:styleId="IntenseReference">
    <w:name w:val="Intense Reference"/>
    <w:basedOn w:val="DefaultParagraphFont"/>
    <w:uiPriority w:val="32"/>
    <w:qFormat/>
    <w:rsid w:val="00632EB7"/>
    <w:rPr>
      <w:b/>
      <w:bCs/>
      <w:smallCaps/>
      <w:color w:val="0F4761" w:themeColor="accent1" w:themeShade="BF"/>
      <w:spacing w:val="5"/>
    </w:rPr>
  </w:style>
  <w:style w:type="paragraph" w:styleId="Header">
    <w:name w:val="header"/>
    <w:basedOn w:val="Normal"/>
    <w:link w:val="HeaderChar"/>
    <w:uiPriority w:val="99"/>
    <w:unhideWhenUsed/>
    <w:rsid w:val="00632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EB7"/>
  </w:style>
  <w:style w:type="paragraph" w:styleId="Footer">
    <w:name w:val="footer"/>
    <w:basedOn w:val="Normal"/>
    <w:link w:val="FooterChar"/>
    <w:uiPriority w:val="99"/>
    <w:unhideWhenUsed/>
    <w:rsid w:val="00632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13227">
      <w:bodyDiv w:val="1"/>
      <w:marLeft w:val="0"/>
      <w:marRight w:val="0"/>
      <w:marTop w:val="0"/>
      <w:marBottom w:val="0"/>
      <w:divBdr>
        <w:top w:val="none" w:sz="0" w:space="0" w:color="auto"/>
        <w:left w:val="none" w:sz="0" w:space="0" w:color="auto"/>
        <w:bottom w:val="none" w:sz="0" w:space="0" w:color="auto"/>
        <w:right w:val="none" w:sz="0" w:space="0" w:color="auto"/>
      </w:divBdr>
      <w:divsChild>
        <w:div w:id="531654937">
          <w:marLeft w:val="0"/>
          <w:marRight w:val="0"/>
          <w:marTop w:val="0"/>
          <w:marBottom w:val="0"/>
          <w:divBdr>
            <w:top w:val="none" w:sz="0" w:space="0" w:color="auto"/>
            <w:left w:val="none" w:sz="0" w:space="0" w:color="auto"/>
            <w:bottom w:val="none" w:sz="0" w:space="0" w:color="auto"/>
            <w:right w:val="none" w:sz="0" w:space="0" w:color="auto"/>
          </w:divBdr>
        </w:div>
      </w:divsChild>
    </w:div>
    <w:div w:id="295261683">
      <w:bodyDiv w:val="1"/>
      <w:marLeft w:val="0"/>
      <w:marRight w:val="0"/>
      <w:marTop w:val="0"/>
      <w:marBottom w:val="0"/>
      <w:divBdr>
        <w:top w:val="none" w:sz="0" w:space="0" w:color="auto"/>
        <w:left w:val="none" w:sz="0" w:space="0" w:color="auto"/>
        <w:bottom w:val="none" w:sz="0" w:space="0" w:color="auto"/>
        <w:right w:val="none" w:sz="0" w:space="0" w:color="auto"/>
      </w:divBdr>
      <w:divsChild>
        <w:div w:id="946040470">
          <w:marLeft w:val="0"/>
          <w:marRight w:val="0"/>
          <w:marTop w:val="0"/>
          <w:marBottom w:val="0"/>
          <w:divBdr>
            <w:top w:val="none" w:sz="0" w:space="0" w:color="auto"/>
            <w:left w:val="none" w:sz="0" w:space="0" w:color="auto"/>
            <w:bottom w:val="none" w:sz="0" w:space="0" w:color="auto"/>
            <w:right w:val="none" w:sz="0" w:space="0" w:color="auto"/>
          </w:divBdr>
        </w:div>
      </w:divsChild>
    </w:div>
    <w:div w:id="736129490">
      <w:bodyDiv w:val="1"/>
      <w:marLeft w:val="0"/>
      <w:marRight w:val="0"/>
      <w:marTop w:val="0"/>
      <w:marBottom w:val="0"/>
      <w:divBdr>
        <w:top w:val="none" w:sz="0" w:space="0" w:color="auto"/>
        <w:left w:val="none" w:sz="0" w:space="0" w:color="auto"/>
        <w:bottom w:val="none" w:sz="0" w:space="0" w:color="auto"/>
        <w:right w:val="none" w:sz="0" w:space="0" w:color="auto"/>
      </w:divBdr>
      <w:divsChild>
        <w:div w:id="70583117">
          <w:marLeft w:val="0"/>
          <w:marRight w:val="0"/>
          <w:marTop w:val="0"/>
          <w:marBottom w:val="0"/>
          <w:divBdr>
            <w:top w:val="none" w:sz="0" w:space="0" w:color="auto"/>
            <w:left w:val="none" w:sz="0" w:space="0" w:color="auto"/>
            <w:bottom w:val="none" w:sz="0" w:space="0" w:color="auto"/>
            <w:right w:val="none" w:sz="0" w:space="0" w:color="auto"/>
          </w:divBdr>
        </w:div>
      </w:divsChild>
    </w:div>
    <w:div w:id="744953096">
      <w:bodyDiv w:val="1"/>
      <w:marLeft w:val="0"/>
      <w:marRight w:val="0"/>
      <w:marTop w:val="0"/>
      <w:marBottom w:val="0"/>
      <w:divBdr>
        <w:top w:val="none" w:sz="0" w:space="0" w:color="auto"/>
        <w:left w:val="none" w:sz="0" w:space="0" w:color="auto"/>
        <w:bottom w:val="none" w:sz="0" w:space="0" w:color="auto"/>
        <w:right w:val="none" w:sz="0" w:space="0" w:color="auto"/>
      </w:divBdr>
      <w:divsChild>
        <w:div w:id="1302079412">
          <w:marLeft w:val="0"/>
          <w:marRight w:val="0"/>
          <w:marTop w:val="0"/>
          <w:marBottom w:val="0"/>
          <w:divBdr>
            <w:top w:val="none" w:sz="0" w:space="0" w:color="auto"/>
            <w:left w:val="none" w:sz="0" w:space="0" w:color="auto"/>
            <w:bottom w:val="none" w:sz="0" w:space="0" w:color="auto"/>
            <w:right w:val="none" w:sz="0" w:space="0" w:color="auto"/>
          </w:divBdr>
        </w:div>
      </w:divsChild>
    </w:div>
    <w:div w:id="986083205">
      <w:bodyDiv w:val="1"/>
      <w:marLeft w:val="0"/>
      <w:marRight w:val="0"/>
      <w:marTop w:val="0"/>
      <w:marBottom w:val="0"/>
      <w:divBdr>
        <w:top w:val="none" w:sz="0" w:space="0" w:color="auto"/>
        <w:left w:val="none" w:sz="0" w:space="0" w:color="auto"/>
        <w:bottom w:val="none" w:sz="0" w:space="0" w:color="auto"/>
        <w:right w:val="none" w:sz="0" w:space="0" w:color="auto"/>
      </w:divBdr>
      <w:divsChild>
        <w:div w:id="1007251175">
          <w:marLeft w:val="0"/>
          <w:marRight w:val="0"/>
          <w:marTop w:val="0"/>
          <w:marBottom w:val="0"/>
          <w:divBdr>
            <w:top w:val="none" w:sz="0" w:space="0" w:color="auto"/>
            <w:left w:val="none" w:sz="0" w:space="0" w:color="auto"/>
            <w:bottom w:val="none" w:sz="0" w:space="0" w:color="auto"/>
            <w:right w:val="none" w:sz="0" w:space="0" w:color="auto"/>
          </w:divBdr>
        </w:div>
      </w:divsChild>
    </w:div>
    <w:div w:id="1121025375">
      <w:bodyDiv w:val="1"/>
      <w:marLeft w:val="0"/>
      <w:marRight w:val="0"/>
      <w:marTop w:val="0"/>
      <w:marBottom w:val="0"/>
      <w:divBdr>
        <w:top w:val="none" w:sz="0" w:space="0" w:color="auto"/>
        <w:left w:val="none" w:sz="0" w:space="0" w:color="auto"/>
        <w:bottom w:val="none" w:sz="0" w:space="0" w:color="auto"/>
        <w:right w:val="none" w:sz="0" w:space="0" w:color="auto"/>
      </w:divBdr>
      <w:divsChild>
        <w:div w:id="1504856644">
          <w:marLeft w:val="0"/>
          <w:marRight w:val="0"/>
          <w:marTop w:val="0"/>
          <w:marBottom w:val="0"/>
          <w:divBdr>
            <w:top w:val="none" w:sz="0" w:space="0" w:color="auto"/>
            <w:left w:val="none" w:sz="0" w:space="0" w:color="auto"/>
            <w:bottom w:val="none" w:sz="0" w:space="0" w:color="auto"/>
            <w:right w:val="none" w:sz="0" w:space="0" w:color="auto"/>
          </w:divBdr>
        </w:div>
      </w:divsChild>
    </w:div>
    <w:div w:id="1121338200">
      <w:bodyDiv w:val="1"/>
      <w:marLeft w:val="0"/>
      <w:marRight w:val="0"/>
      <w:marTop w:val="0"/>
      <w:marBottom w:val="0"/>
      <w:divBdr>
        <w:top w:val="none" w:sz="0" w:space="0" w:color="auto"/>
        <w:left w:val="none" w:sz="0" w:space="0" w:color="auto"/>
        <w:bottom w:val="none" w:sz="0" w:space="0" w:color="auto"/>
        <w:right w:val="none" w:sz="0" w:space="0" w:color="auto"/>
      </w:divBdr>
      <w:divsChild>
        <w:div w:id="1514763804">
          <w:marLeft w:val="0"/>
          <w:marRight w:val="0"/>
          <w:marTop w:val="0"/>
          <w:marBottom w:val="0"/>
          <w:divBdr>
            <w:top w:val="none" w:sz="0" w:space="0" w:color="auto"/>
            <w:left w:val="none" w:sz="0" w:space="0" w:color="auto"/>
            <w:bottom w:val="none" w:sz="0" w:space="0" w:color="auto"/>
            <w:right w:val="none" w:sz="0" w:space="0" w:color="auto"/>
          </w:divBdr>
        </w:div>
      </w:divsChild>
    </w:div>
    <w:div w:id="1122652986">
      <w:bodyDiv w:val="1"/>
      <w:marLeft w:val="0"/>
      <w:marRight w:val="0"/>
      <w:marTop w:val="0"/>
      <w:marBottom w:val="0"/>
      <w:divBdr>
        <w:top w:val="none" w:sz="0" w:space="0" w:color="auto"/>
        <w:left w:val="none" w:sz="0" w:space="0" w:color="auto"/>
        <w:bottom w:val="none" w:sz="0" w:space="0" w:color="auto"/>
        <w:right w:val="none" w:sz="0" w:space="0" w:color="auto"/>
      </w:divBdr>
    </w:div>
    <w:div w:id="1206068698">
      <w:bodyDiv w:val="1"/>
      <w:marLeft w:val="0"/>
      <w:marRight w:val="0"/>
      <w:marTop w:val="0"/>
      <w:marBottom w:val="0"/>
      <w:divBdr>
        <w:top w:val="none" w:sz="0" w:space="0" w:color="auto"/>
        <w:left w:val="none" w:sz="0" w:space="0" w:color="auto"/>
        <w:bottom w:val="none" w:sz="0" w:space="0" w:color="auto"/>
        <w:right w:val="none" w:sz="0" w:space="0" w:color="auto"/>
      </w:divBdr>
      <w:divsChild>
        <w:div w:id="1356347207">
          <w:marLeft w:val="0"/>
          <w:marRight w:val="0"/>
          <w:marTop w:val="0"/>
          <w:marBottom w:val="0"/>
          <w:divBdr>
            <w:top w:val="none" w:sz="0" w:space="0" w:color="auto"/>
            <w:left w:val="none" w:sz="0" w:space="0" w:color="auto"/>
            <w:bottom w:val="none" w:sz="0" w:space="0" w:color="auto"/>
            <w:right w:val="none" w:sz="0" w:space="0" w:color="auto"/>
          </w:divBdr>
        </w:div>
      </w:divsChild>
    </w:div>
    <w:div w:id="1237395533">
      <w:bodyDiv w:val="1"/>
      <w:marLeft w:val="0"/>
      <w:marRight w:val="0"/>
      <w:marTop w:val="0"/>
      <w:marBottom w:val="0"/>
      <w:divBdr>
        <w:top w:val="none" w:sz="0" w:space="0" w:color="auto"/>
        <w:left w:val="none" w:sz="0" w:space="0" w:color="auto"/>
        <w:bottom w:val="none" w:sz="0" w:space="0" w:color="auto"/>
        <w:right w:val="none" w:sz="0" w:space="0" w:color="auto"/>
      </w:divBdr>
      <w:divsChild>
        <w:div w:id="989601609">
          <w:marLeft w:val="0"/>
          <w:marRight w:val="0"/>
          <w:marTop w:val="0"/>
          <w:marBottom w:val="0"/>
          <w:divBdr>
            <w:top w:val="none" w:sz="0" w:space="0" w:color="auto"/>
            <w:left w:val="none" w:sz="0" w:space="0" w:color="auto"/>
            <w:bottom w:val="none" w:sz="0" w:space="0" w:color="auto"/>
            <w:right w:val="none" w:sz="0" w:space="0" w:color="auto"/>
          </w:divBdr>
        </w:div>
      </w:divsChild>
    </w:div>
    <w:div w:id="1298148909">
      <w:bodyDiv w:val="1"/>
      <w:marLeft w:val="0"/>
      <w:marRight w:val="0"/>
      <w:marTop w:val="0"/>
      <w:marBottom w:val="0"/>
      <w:divBdr>
        <w:top w:val="none" w:sz="0" w:space="0" w:color="auto"/>
        <w:left w:val="none" w:sz="0" w:space="0" w:color="auto"/>
        <w:bottom w:val="none" w:sz="0" w:space="0" w:color="auto"/>
        <w:right w:val="none" w:sz="0" w:space="0" w:color="auto"/>
      </w:divBdr>
      <w:divsChild>
        <w:div w:id="950010505">
          <w:marLeft w:val="0"/>
          <w:marRight w:val="0"/>
          <w:marTop w:val="0"/>
          <w:marBottom w:val="0"/>
          <w:divBdr>
            <w:top w:val="none" w:sz="0" w:space="0" w:color="auto"/>
            <w:left w:val="none" w:sz="0" w:space="0" w:color="auto"/>
            <w:bottom w:val="none" w:sz="0" w:space="0" w:color="auto"/>
            <w:right w:val="none" w:sz="0" w:space="0" w:color="auto"/>
          </w:divBdr>
        </w:div>
      </w:divsChild>
    </w:div>
    <w:div w:id="1488936349">
      <w:bodyDiv w:val="1"/>
      <w:marLeft w:val="0"/>
      <w:marRight w:val="0"/>
      <w:marTop w:val="0"/>
      <w:marBottom w:val="0"/>
      <w:divBdr>
        <w:top w:val="none" w:sz="0" w:space="0" w:color="auto"/>
        <w:left w:val="none" w:sz="0" w:space="0" w:color="auto"/>
        <w:bottom w:val="none" w:sz="0" w:space="0" w:color="auto"/>
        <w:right w:val="none" w:sz="0" w:space="0" w:color="auto"/>
      </w:divBdr>
      <w:divsChild>
        <w:div w:id="1300770251">
          <w:marLeft w:val="0"/>
          <w:marRight w:val="0"/>
          <w:marTop w:val="0"/>
          <w:marBottom w:val="0"/>
          <w:divBdr>
            <w:top w:val="none" w:sz="0" w:space="0" w:color="auto"/>
            <w:left w:val="none" w:sz="0" w:space="0" w:color="auto"/>
            <w:bottom w:val="none" w:sz="0" w:space="0" w:color="auto"/>
            <w:right w:val="none" w:sz="0" w:space="0" w:color="auto"/>
          </w:divBdr>
        </w:div>
      </w:divsChild>
    </w:div>
    <w:div w:id="1513182043">
      <w:bodyDiv w:val="1"/>
      <w:marLeft w:val="0"/>
      <w:marRight w:val="0"/>
      <w:marTop w:val="0"/>
      <w:marBottom w:val="0"/>
      <w:divBdr>
        <w:top w:val="none" w:sz="0" w:space="0" w:color="auto"/>
        <w:left w:val="none" w:sz="0" w:space="0" w:color="auto"/>
        <w:bottom w:val="none" w:sz="0" w:space="0" w:color="auto"/>
        <w:right w:val="none" w:sz="0" w:space="0" w:color="auto"/>
      </w:divBdr>
      <w:divsChild>
        <w:div w:id="1007486762">
          <w:marLeft w:val="0"/>
          <w:marRight w:val="0"/>
          <w:marTop w:val="0"/>
          <w:marBottom w:val="0"/>
          <w:divBdr>
            <w:top w:val="none" w:sz="0" w:space="0" w:color="auto"/>
            <w:left w:val="none" w:sz="0" w:space="0" w:color="auto"/>
            <w:bottom w:val="none" w:sz="0" w:space="0" w:color="auto"/>
            <w:right w:val="none" w:sz="0" w:space="0" w:color="auto"/>
          </w:divBdr>
        </w:div>
      </w:divsChild>
    </w:div>
    <w:div w:id="1588422851">
      <w:bodyDiv w:val="1"/>
      <w:marLeft w:val="0"/>
      <w:marRight w:val="0"/>
      <w:marTop w:val="0"/>
      <w:marBottom w:val="0"/>
      <w:divBdr>
        <w:top w:val="none" w:sz="0" w:space="0" w:color="auto"/>
        <w:left w:val="none" w:sz="0" w:space="0" w:color="auto"/>
        <w:bottom w:val="none" w:sz="0" w:space="0" w:color="auto"/>
        <w:right w:val="none" w:sz="0" w:space="0" w:color="auto"/>
      </w:divBdr>
      <w:divsChild>
        <w:div w:id="1254702947">
          <w:marLeft w:val="0"/>
          <w:marRight w:val="0"/>
          <w:marTop w:val="0"/>
          <w:marBottom w:val="0"/>
          <w:divBdr>
            <w:top w:val="none" w:sz="0" w:space="0" w:color="auto"/>
            <w:left w:val="none" w:sz="0" w:space="0" w:color="auto"/>
            <w:bottom w:val="none" w:sz="0" w:space="0" w:color="auto"/>
            <w:right w:val="none" w:sz="0" w:space="0" w:color="auto"/>
          </w:divBdr>
        </w:div>
      </w:divsChild>
    </w:div>
    <w:div w:id="1596939724">
      <w:bodyDiv w:val="1"/>
      <w:marLeft w:val="0"/>
      <w:marRight w:val="0"/>
      <w:marTop w:val="0"/>
      <w:marBottom w:val="0"/>
      <w:divBdr>
        <w:top w:val="none" w:sz="0" w:space="0" w:color="auto"/>
        <w:left w:val="none" w:sz="0" w:space="0" w:color="auto"/>
        <w:bottom w:val="none" w:sz="0" w:space="0" w:color="auto"/>
        <w:right w:val="none" w:sz="0" w:space="0" w:color="auto"/>
      </w:divBdr>
      <w:divsChild>
        <w:div w:id="1287932065">
          <w:marLeft w:val="0"/>
          <w:marRight w:val="0"/>
          <w:marTop w:val="0"/>
          <w:marBottom w:val="0"/>
          <w:divBdr>
            <w:top w:val="none" w:sz="0" w:space="0" w:color="auto"/>
            <w:left w:val="none" w:sz="0" w:space="0" w:color="auto"/>
            <w:bottom w:val="none" w:sz="0" w:space="0" w:color="auto"/>
            <w:right w:val="none" w:sz="0" w:space="0" w:color="auto"/>
          </w:divBdr>
        </w:div>
      </w:divsChild>
    </w:div>
    <w:div w:id="1689520265">
      <w:bodyDiv w:val="1"/>
      <w:marLeft w:val="0"/>
      <w:marRight w:val="0"/>
      <w:marTop w:val="0"/>
      <w:marBottom w:val="0"/>
      <w:divBdr>
        <w:top w:val="none" w:sz="0" w:space="0" w:color="auto"/>
        <w:left w:val="none" w:sz="0" w:space="0" w:color="auto"/>
        <w:bottom w:val="none" w:sz="0" w:space="0" w:color="auto"/>
        <w:right w:val="none" w:sz="0" w:space="0" w:color="auto"/>
      </w:divBdr>
    </w:div>
    <w:div w:id="1729645716">
      <w:bodyDiv w:val="1"/>
      <w:marLeft w:val="0"/>
      <w:marRight w:val="0"/>
      <w:marTop w:val="0"/>
      <w:marBottom w:val="0"/>
      <w:divBdr>
        <w:top w:val="none" w:sz="0" w:space="0" w:color="auto"/>
        <w:left w:val="none" w:sz="0" w:space="0" w:color="auto"/>
        <w:bottom w:val="none" w:sz="0" w:space="0" w:color="auto"/>
        <w:right w:val="none" w:sz="0" w:space="0" w:color="auto"/>
      </w:divBdr>
      <w:divsChild>
        <w:div w:id="208956333">
          <w:marLeft w:val="0"/>
          <w:marRight w:val="0"/>
          <w:marTop w:val="0"/>
          <w:marBottom w:val="0"/>
          <w:divBdr>
            <w:top w:val="none" w:sz="0" w:space="0" w:color="auto"/>
            <w:left w:val="none" w:sz="0" w:space="0" w:color="auto"/>
            <w:bottom w:val="none" w:sz="0" w:space="0" w:color="auto"/>
            <w:right w:val="none" w:sz="0" w:space="0" w:color="auto"/>
          </w:divBdr>
        </w:div>
      </w:divsChild>
    </w:div>
    <w:div w:id="1862478010">
      <w:bodyDiv w:val="1"/>
      <w:marLeft w:val="0"/>
      <w:marRight w:val="0"/>
      <w:marTop w:val="0"/>
      <w:marBottom w:val="0"/>
      <w:divBdr>
        <w:top w:val="none" w:sz="0" w:space="0" w:color="auto"/>
        <w:left w:val="none" w:sz="0" w:space="0" w:color="auto"/>
        <w:bottom w:val="none" w:sz="0" w:space="0" w:color="auto"/>
        <w:right w:val="none" w:sz="0" w:space="0" w:color="auto"/>
      </w:divBdr>
      <w:divsChild>
        <w:div w:id="132605008">
          <w:marLeft w:val="0"/>
          <w:marRight w:val="0"/>
          <w:marTop w:val="0"/>
          <w:marBottom w:val="0"/>
          <w:divBdr>
            <w:top w:val="none" w:sz="0" w:space="0" w:color="auto"/>
            <w:left w:val="none" w:sz="0" w:space="0" w:color="auto"/>
            <w:bottom w:val="none" w:sz="0" w:space="0" w:color="auto"/>
            <w:right w:val="none" w:sz="0" w:space="0" w:color="auto"/>
          </w:divBdr>
        </w:div>
      </w:divsChild>
    </w:div>
    <w:div w:id="1879010128">
      <w:bodyDiv w:val="1"/>
      <w:marLeft w:val="0"/>
      <w:marRight w:val="0"/>
      <w:marTop w:val="0"/>
      <w:marBottom w:val="0"/>
      <w:divBdr>
        <w:top w:val="none" w:sz="0" w:space="0" w:color="auto"/>
        <w:left w:val="none" w:sz="0" w:space="0" w:color="auto"/>
        <w:bottom w:val="none" w:sz="0" w:space="0" w:color="auto"/>
        <w:right w:val="none" w:sz="0" w:space="0" w:color="auto"/>
      </w:divBdr>
      <w:divsChild>
        <w:div w:id="1900818405">
          <w:marLeft w:val="0"/>
          <w:marRight w:val="0"/>
          <w:marTop w:val="0"/>
          <w:marBottom w:val="0"/>
          <w:divBdr>
            <w:top w:val="none" w:sz="0" w:space="0" w:color="auto"/>
            <w:left w:val="none" w:sz="0" w:space="0" w:color="auto"/>
            <w:bottom w:val="none" w:sz="0" w:space="0" w:color="auto"/>
            <w:right w:val="none" w:sz="0" w:space="0" w:color="auto"/>
          </w:divBdr>
        </w:div>
      </w:divsChild>
    </w:div>
    <w:div w:id="1908147760">
      <w:bodyDiv w:val="1"/>
      <w:marLeft w:val="0"/>
      <w:marRight w:val="0"/>
      <w:marTop w:val="0"/>
      <w:marBottom w:val="0"/>
      <w:divBdr>
        <w:top w:val="none" w:sz="0" w:space="0" w:color="auto"/>
        <w:left w:val="none" w:sz="0" w:space="0" w:color="auto"/>
        <w:bottom w:val="none" w:sz="0" w:space="0" w:color="auto"/>
        <w:right w:val="none" w:sz="0" w:space="0" w:color="auto"/>
      </w:divBdr>
      <w:divsChild>
        <w:div w:id="1339500830">
          <w:marLeft w:val="0"/>
          <w:marRight w:val="0"/>
          <w:marTop w:val="0"/>
          <w:marBottom w:val="0"/>
          <w:divBdr>
            <w:top w:val="none" w:sz="0" w:space="0" w:color="auto"/>
            <w:left w:val="none" w:sz="0" w:space="0" w:color="auto"/>
            <w:bottom w:val="none" w:sz="0" w:space="0" w:color="auto"/>
            <w:right w:val="none" w:sz="0" w:space="0" w:color="auto"/>
          </w:divBdr>
        </w:div>
      </w:divsChild>
    </w:div>
    <w:div w:id="1916742972">
      <w:bodyDiv w:val="1"/>
      <w:marLeft w:val="0"/>
      <w:marRight w:val="0"/>
      <w:marTop w:val="0"/>
      <w:marBottom w:val="0"/>
      <w:divBdr>
        <w:top w:val="none" w:sz="0" w:space="0" w:color="auto"/>
        <w:left w:val="none" w:sz="0" w:space="0" w:color="auto"/>
        <w:bottom w:val="none" w:sz="0" w:space="0" w:color="auto"/>
        <w:right w:val="none" w:sz="0" w:space="0" w:color="auto"/>
      </w:divBdr>
      <w:divsChild>
        <w:div w:id="2112699886">
          <w:marLeft w:val="0"/>
          <w:marRight w:val="0"/>
          <w:marTop w:val="0"/>
          <w:marBottom w:val="0"/>
          <w:divBdr>
            <w:top w:val="none" w:sz="0" w:space="0" w:color="auto"/>
            <w:left w:val="none" w:sz="0" w:space="0" w:color="auto"/>
            <w:bottom w:val="none" w:sz="0" w:space="0" w:color="auto"/>
            <w:right w:val="none" w:sz="0" w:space="0" w:color="auto"/>
          </w:divBdr>
        </w:div>
      </w:divsChild>
    </w:div>
    <w:div w:id="1991864538">
      <w:bodyDiv w:val="1"/>
      <w:marLeft w:val="0"/>
      <w:marRight w:val="0"/>
      <w:marTop w:val="0"/>
      <w:marBottom w:val="0"/>
      <w:divBdr>
        <w:top w:val="none" w:sz="0" w:space="0" w:color="auto"/>
        <w:left w:val="none" w:sz="0" w:space="0" w:color="auto"/>
        <w:bottom w:val="none" w:sz="0" w:space="0" w:color="auto"/>
        <w:right w:val="none" w:sz="0" w:space="0" w:color="auto"/>
      </w:divBdr>
      <w:divsChild>
        <w:div w:id="401559280">
          <w:marLeft w:val="0"/>
          <w:marRight w:val="0"/>
          <w:marTop w:val="0"/>
          <w:marBottom w:val="0"/>
          <w:divBdr>
            <w:top w:val="none" w:sz="0" w:space="0" w:color="auto"/>
            <w:left w:val="none" w:sz="0" w:space="0" w:color="auto"/>
            <w:bottom w:val="none" w:sz="0" w:space="0" w:color="auto"/>
            <w:right w:val="none" w:sz="0" w:space="0" w:color="auto"/>
          </w:divBdr>
        </w:div>
      </w:divsChild>
    </w:div>
    <w:div w:id="2111852179">
      <w:bodyDiv w:val="1"/>
      <w:marLeft w:val="0"/>
      <w:marRight w:val="0"/>
      <w:marTop w:val="0"/>
      <w:marBottom w:val="0"/>
      <w:divBdr>
        <w:top w:val="none" w:sz="0" w:space="0" w:color="auto"/>
        <w:left w:val="none" w:sz="0" w:space="0" w:color="auto"/>
        <w:bottom w:val="none" w:sz="0" w:space="0" w:color="auto"/>
        <w:right w:val="none" w:sz="0" w:space="0" w:color="auto"/>
      </w:divBdr>
      <w:divsChild>
        <w:div w:id="948780590">
          <w:marLeft w:val="0"/>
          <w:marRight w:val="0"/>
          <w:marTop w:val="0"/>
          <w:marBottom w:val="0"/>
          <w:divBdr>
            <w:top w:val="none" w:sz="0" w:space="0" w:color="auto"/>
            <w:left w:val="none" w:sz="0" w:space="0" w:color="auto"/>
            <w:bottom w:val="none" w:sz="0" w:space="0" w:color="auto"/>
            <w:right w:val="none" w:sz="0" w:space="0" w:color="auto"/>
          </w:divBdr>
        </w:div>
      </w:divsChild>
    </w:div>
    <w:div w:id="2124302415">
      <w:bodyDiv w:val="1"/>
      <w:marLeft w:val="0"/>
      <w:marRight w:val="0"/>
      <w:marTop w:val="0"/>
      <w:marBottom w:val="0"/>
      <w:divBdr>
        <w:top w:val="none" w:sz="0" w:space="0" w:color="auto"/>
        <w:left w:val="none" w:sz="0" w:space="0" w:color="auto"/>
        <w:bottom w:val="none" w:sz="0" w:space="0" w:color="auto"/>
        <w:right w:val="none" w:sz="0" w:space="0" w:color="auto"/>
      </w:divBdr>
      <w:divsChild>
        <w:div w:id="1129278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478</TotalTime>
  <Pages>8</Pages>
  <Words>2708</Words>
  <Characters>15438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Davies</dc:creator>
  <cp:keywords/>
  <dc:description/>
  <cp:lastModifiedBy>Osian Davies</cp:lastModifiedBy>
  <cp:revision>89</cp:revision>
  <dcterms:created xsi:type="dcterms:W3CDTF">2024-11-28T11:50:00Z</dcterms:created>
  <dcterms:modified xsi:type="dcterms:W3CDTF">2025-01-10T14:40:00Z</dcterms:modified>
</cp:coreProperties>
</file>