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21CAAA4A" wp14:paraId="3CCAD352" wp14:textId="2B4A5381">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21CAAA4A" wp14:paraId="20CF8A4F" wp14:textId="7836C851">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21CAAA4A" w:rsidR="06CEEAA1">
        <w:rPr>
          <w:rFonts w:ascii="Calibri" w:hAnsi="Calibri" w:eastAsia="Calibri" w:cs="Calibri"/>
          <w:b w:val="0"/>
          <w:bCs w:val="0"/>
          <w:i w:val="0"/>
          <w:iCs w:val="0"/>
          <w:caps w:val="0"/>
          <w:smallCaps w:val="0"/>
          <w:noProof w:val="0"/>
          <w:color w:val="000000" w:themeColor="text1" w:themeTint="FF" w:themeShade="FF"/>
          <w:sz w:val="22"/>
          <w:szCs w:val="22"/>
          <w:lang w:val="en-GB"/>
        </w:rPr>
        <w:t>In addition to advancing gender equality, health, education, and environmental sustainability, the Millennium Development Goals provided time-bound targets that allow progress in reducing income poverty, hunger, sickness, lack of sufficient shelter, and exclusion to be monitored. All of the world's nations and top development organisations agreed to the eight Millennium Development Goals (MDGs), which include halving the rate of extreme poverty, stopping the spread of HIV/AIDS, and offering universal primary education by a target date of 2015. They sparked previously unheard-of initiatives to address the needs of the world's poorest people. Along with their partners, the UN collaborated with governments, civil society, and other organisations to continue an ambitious post-2015 development agenda (United Nations, 2023). MDGs were superseded by Sustainable Development Goals (SDGs) in 2015 (WHO, 2015).</w:t>
      </w:r>
    </w:p>
    <w:p xmlns:wp14="http://schemas.microsoft.com/office/word/2010/wordml" w:rsidP="21CAAA4A" wp14:paraId="4B9C4E57" wp14:textId="236EC976">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11AB7650" w:rsidR="06CEEAA1">
        <w:rPr>
          <w:rFonts w:ascii="Calibri" w:hAnsi="Calibri" w:eastAsia="Calibri" w:cs="Calibri"/>
          <w:b w:val="0"/>
          <w:bCs w:val="0"/>
          <w:i w:val="0"/>
          <w:iCs w:val="0"/>
          <w:caps w:val="0"/>
          <w:smallCaps w:val="0"/>
          <w:noProof w:val="0"/>
          <w:color w:val="000000" w:themeColor="text1" w:themeTint="FF" w:themeShade="FF"/>
          <w:sz w:val="22"/>
          <w:szCs w:val="22"/>
          <w:lang w:val="en-GB"/>
        </w:rPr>
        <w:t>The United Nations approved the Sustainable Development Goals (SDGs), sometimes known as the Global Goals, in 2015 as a continuing global call to action to end poverty, safeguard the environment, and guarantee that by 2030 all people could live in peace and prosperity.</w:t>
      </w:r>
    </w:p>
    <w:p xmlns:wp14="http://schemas.microsoft.com/office/word/2010/wordml" w:rsidP="11AB7650" wp14:paraId="4BD2400F" wp14:textId="47BAE8FD">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11AB7650" w:rsidR="44B656D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The 17 SDGs are interrelated; they recognise that actions taken in one area have an impact on others, and that development must strike a balance between environmental, social, and economic sustainability. Nations have promised to prioritise the development of the least developed countries. The SDGs </w:t>
      </w:r>
      <w:r w:rsidRPr="11AB7650" w:rsidR="44B656DD">
        <w:rPr>
          <w:rFonts w:ascii="Calibri" w:hAnsi="Calibri" w:eastAsia="Calibri" w:cs="Calibri"/>
          <w:b w:val="0"/>
          <w:bCs w:val="0"/>
          <w:i w:val="0"/>
          <w:iCs w:val="0"/>
          <w:caps w:val="0"/>
          <w:smallCaps w:val="0"/>
          <w:noProof w:val="0"/>
          <w:color w:val="000000" w:themeColor="text1" w:themeTint="FF" w:themeShade="FF"/>
          <w:sz w:val="22"/>
          <w:szCs w:val="22"/>
          <w:lang w:val="en-GB"/>
        </w:rPr>
        <w:t>seek</w:t>
      </w:r>
      <w:r w:rsidRPr="11AB7650" w:rsidR="44B656D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to </w:t>
      </w:r>
      <w:r w:rsidRPr="11AB7650" w:rsidR="44B656DD">
        <w:rPr>
          <w:rFonts w:ascii="Calibri" w:hAnsi="Calibri" w:eastAsia="Calibri" w:cs="Calibri"/>
          <w:b w:val="0"/>
          <w:bCs w:val="0"/>
          <w:i w:val="0"/>
          <w:iCs w:val="0"/>
          <w:caps w:val="0"/>
          <w:smallCaps w:val="0"/>
          <w:noProof w:val="0"/>
          <w:color w:val="000000" w:themeColor="text1" w:themeTint="FF" w:themeShade="FF"/>
          <w:sz w:val="22"/>
          <w:szCs w:val="22"/>
          <w:lang w:val="en-GB"/>
        </w:rPr>
        <w:t>eliminate</w:t>
      </w:r>
      <w:r w:rsidRPr="11AB7650" w:rsidR="44B656D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gender inequality, hunger, AIDS, and poverty. The SDGs must be achieved in every environment with the </w:t>
      </w:r>
      <w:r w:rsidRPr="11AB7650" w:rsidR="44B656DD">
        <w:rPr>
          <w:rFonts w:ascii="Calibri" w:hAnsi="Calibri" w:eastAsia="Calibri" w:cs="Calibri"/>
          <w:b w:val="0"/>
          <w:bCs w:val="0"/>
          <w:i w:val="0"/>
          <w:iCs w:val="0"/>
          <w:caps w:val="0"/>
          <w:smallCaps w:val="0"/>
          <w:noProof w:val="0"/>
          <w:color w:val="000000" w:themeColor="text1" w:themeTint="FF" w:themeShade="FF"/>
          <w:sz w:val="22"/>
          <w:szCs w:val="22"/>
          <w:lang w:val="en-GB"/>
        </w:rPr>
        <w:t>assistance</w:t>
      </w:r>
      <w:r w:rsidRPr="11AB7650" w:rsidR="44B656D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of all societal members' creativity, </w:t>
      </w:r>
      <w:r w:rsidRPr="11AB7650" w:rsidR="44B656DD">
        <w:rPr>
          <w:rFonts w:ascii="Calibri" w:hAnsi="Calibri" w:eastAsia="Calibri" w:cs="Calibri"/>
          <w:b w:val="0"/>
          <w:bCs w:val="0"/>
          <w:i w:val="0"/>
          <w:iCs w:val="0"/>
          <w:caps w:val="0"/>
          <w:smallCaps w:val="0"/>
          <w:noProof w:val="0"/>
          <w:color w:val="000000" w:themeColor="text1" w:themeTint="FF" w:themeShade="FF"/>
          <w:sz w:val="22"/>
          <w:szCs w:val="22"/>
          <w:lang w:val="en-GB"/>
        </w:rPr>
        <w:t>expertise</w:t>
      </w:r>
      <w:r w:rsidRPr="11AB7650" w:rsidR="44B656D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technology, and financial resources (Gov. Uk, 2019). </w:t>
      </w:r>
    </w:p>
    <w:p xmlns:wp14="http://schemas.microsoft.com/office/word/2010/wordml" w:rsidP="11AB7650" wp14:paraId="110A9E91" wp14:textId="72E3A902">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11AB7650" w:rsidR="06CEEAA1">
        <w:rPr>
          <w:rFonts w:ascii="Calibri" w:hAnsi="Calibri" w:eastAsia="Calibri" w:cs="Calibri"/>
          <w:b w:val="0"/>
          <w:bCs w:val="0"/>
          <w:i w:val="0"/>
          <w:iCs w:val="0"/>
          <w:caps w:val="0"/>
          <w:smallCaps w:val="0"/>
          <w:noProof w:val="0"/>
          <w:color w:val="000000" w:themeColor="text1" w:themeTint="FF" w:themeShade="FF"/>
          <w:sz w:val="22"/>
          <w:szCs w:val="22"/>
          <w:lang w:val="en-GB"/>
        </w:rPr>
        <w:t>At the 2015 United Nations Sustainable Development Summit, 193 UN member states accepted the 2030 Agenda for Sustainable Development. The 17 Sustainable Development Goals, or SDGs, are the focal point of this ambitious, universally accepted roadmap for the world we wish to see by 2030</w:t>
      </w:r>
      <w:r w:rsidRPr="11AB7650" w:rsidR="06CEEAA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11AB7650" w:rsidR="06CEEAA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All 193 UN member states are mandated by Agenda 2030 to create at least one Voluntary National Review, a report that evaluates and presents the progress each state has made towards </w:t>
      </w:r>
      <w:r w:rsidRPr="11AB7650" w:rsidR="06CEEAA1">
        <w:rPr>
          <w:rFonts w:ascii="Calibri" w:hAnsi="Calibri" w:eastAsia="Calibri" w:cs="Calibri"/>
          <w:b w:val="0"/>
          <w:bCs w:val="0"/>
          <w:i w:val="0"/>
          <w:iCs w:val="0"/>
          <w:caps w:val="0"/>
          <w:smallCaps w:val="0"/>
          <w:noProof w:val="0"/>
          <w:color w:val="000000" w:themeColor="text1" w:themeTint="FF" w:themeShade="FF"/>
          <w:sz w:val="22"/>
          <w:szCs w:val="22"/>
          <w:lang w:val="en-GB"/>
        </w:rPr>
        <w:t>accomplishing</w:t>
      </w:r>
      <w:r w:rsidRPr="11AB7650" w:rsidR="06CEEAA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the SDGs. The United Kingdom created its first Voluntary National Review in 2019 and presented it to the UN High Level Political Forum in July of that year (Steward, 2019).</w:t>
      </w:r>
    </w:p>
    <w:p xmlns:wp14="http://schemas.microsoft.com/office/word/2010/wordml" w:rsidP="21CAAA4A" wp14:paraId="6CC7C4E5" wp14:textId="2E678F4F">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21CAAA4A" wp14:paraId="222EAF2B" wp14:textId="02342C79">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21CAAA4A" w:rsidR="06CEEAA1">
        <w:rPr>
          <w:rFonts w:ascii="Calibri" w:hAnsi="Calibri" w:eastAsia="Calibri" w:cs="Calibri"/>
          <w:b w:val="1"/>
          <w:bCs w:val="1"/>
          <w:i w:val="0"/>
          <w:iCs w:val="0"/>
          <w:caps w:val="0"/>
          <w:smallCaps w:val="0"/>
          <w:noProof w:val="0"/>
          <w:color w:val="000000" w:themeColor="text1" w:themeTint="FF" w:themeShade="FF"/>
          <w:sz w:val="22"/>
          <w:szCs w:val="22"/>
          <w:lang w:val="en-GB"/>
        </w:rPr>
        <w:t xml:space="preserve">Well-being of Future Generations (Wales) Act 2015 </w:t>
      </w:r>
    </w:p>
    <w:p xmlns:wp14="http://schemas.microsoft.com/office/word/2010/wordml" w:rsidP="21CAAA4A" wp14:paraId="378919C4" wp14:textId="39D49604">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21CAAA4A" w:rsidR="06CEEAA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The United Kingdom, including Wales, has made major commitments to advance health, wellbeing, and sustainable development and reach targets set by 2030 since adopting the UN Sustainable Development Goals. Nonetheless, modern issues like the pandemic, climate change, and economic concerns still affect Wales and the United Kingdom.  </w:t>
      </w:r>
    </w:p>
    <w:p xmlns:wp14="http://schemas.microsoft.com/office/word/2010/wordml" w:rsidP="21CAAA4A" wp14:paraId="380E8948" wp14:textId="0102488E">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21CAAA4A" w:rsidR="06CEEAA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The UK government released the first Voluntary National Review report on the UK's progress towards UN Agenda 2030 on June 26 2019. This is a reflection of the efforts that have been taken in Wales and throughout the United Kingdom since the Sustainable Development Goals were first adopted in 2015. </w:t>
      </w:r>
    </w:p>
    <w:p xmlns:wp14="http://schemas.microsoft.com/office/word/2010/wordml" w:rsidP="21CAAA4A" wp14:paraId="5C0D7C50" wp14:textId="093C8B89">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21CAAA4A" w:rsidR="06CEEAA1">
        <w:rPr>
          <w:rFonts w:ascii="Calibri" w:hAnsi="Calibri" w:eastAsia="Calibri" w:cs="Calibri"/>
          <w:b w:val="0"/>
          <w:bCs w:val="0"/>
          <w:i w:val="0"/>
          <w:iCs w:val="0"/>
          <w:caps w:val="0"/>
          <w:smallCaps w:val="0"/>
          <w:noProof w:val="0"/>
          <w:color w:val="000000" w:themeColor="text1" w:themeTint="FF" w:themeShade="FF"/>
          <w:sz w:val="22"/>
          <w:szCs w:val="22"/>
          <w:lang w:val="en-GB"/>
        </w:rPr>
        <w:t>By passing the Well-being of Future Generations (Wales) Act 2015 (WFG), sustainable development has been at the heart of devolution from its inception.  However, in 2015, the National Assembly for Wales made a historic decision to steer Wales onto an even more sustainable path. This highlighted the painstaking efforts of people from all throughout Wales to improve the way Wales' future is shaped. This was Welsh society's pledge to improve the quality of life for present and future generations, linking to the United Nations Sustainable Development Goals.</w:t>
      </w:r>
    </w:p>
    <w:p xmlns:wp14="http://schemas.microsoft.com/office/word/2010/wordml" w:rsidP="21CAAA4A" wp14:paraId="229F343A" wp14:textId="7A36533E">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21CAAA4A" w:rsidR="06CEEAA1">
        <w:rPr>
          <w:rFonts w:ascii="Calibri" w:hAnsi="Calibri" w:eastAsia="Calibri" w:cs="Calibri"/>
          <w:b w:val="0"/>
          <w:bCs w:val="0"/>
          <w:i w:val="0"/>
          <w:iCs w:val="0"/>
          <w:caps w:val="0"/>
          <w:smallCaps w:val="0"/>
          <w:noProof w:val="0"/>
          <w:color w:val="000000" w:themeColor="text1" w:themeTint="FF" w:themeShade="FF"/>
          <w:sz w:val="22"/>
          <w:szCs w:val="22"/>
          <w:lang w:val="en-GB"/>
        </w:rPr>
        <w:t>The Welsh Government passed the landmark legislation in 2015 (Powney, 2018). The Well-being of Future Generations (Wales) Act 2015 represented a shift from policy and direction in the Westminster-based government of the UK Parliament, having a more Wales-focused agenda. Despite the UK government cutting back on sustainability programmes, Wales developed a more forward-looking plan to protect the health and well-being of its population (Vaughan, 2010). "What Wales is doing today, we hope the world will do tomorrow, action more than words is hope for our future generations," commented Nikhil Seth, UN Head of Sustainable Development, during a speech on the WFG Bill (Public Health Wales, 2016).</w:t>
      </w:r>
    </w:p>
    <w:p xmlns:wp14="http://schemas.microsoft.com/office/word/2010/wordml" w:rsidP="21CAAA4A" wp14:paraId="425F218F" wp14:textId="4188FA72">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21CAAA4A" w:rsidR="06CEEAA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 healthier Wales", "a more equal Wales", "cohesive communities in Wales", "a globally accountable Wales", "a vibrant Welsh culture and language", "a prosperous Wales" and "a resilient Wales" are all objectives that were set out in the WFG Bill (Future Generations Commissioner for Wales, 2018a). This demonstrated the Welsh Government's drive for a new perspective on the future of Wales. This report will mainly focus on a more equal Wales and a more healthier Wales. </w:t>
      </w:r>
    </w:p>
    <w:p xmlns:wp14="http://schemas.microsoft.com/office/word/2010/wordml" w:rsidP="21CAAA4A" wp14:paraId="50E7B46E" wp14:textId="1C913D6E">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21CAAA4A" w:rsidR="06CEEAA1">
        <w:rPr>
          <w:rFonts w:ascii="Calibri" w:hAnsi="Calibri" w:eastAsia="Calibri" w:cs="Calibri"/>
          <w:b w:val="0"/>
          <w:bCs w:val="0"/>
          <w:i w:val="0"/>
          <w:iCs w:val="0"/>
          <w:caps w:val="0"/>
          <w:smallCaps w:val="0"/>
          <w:noProof w:val="0"/>
          <w:color w:val="000000" w:themeColor="text1" w:themeTint="FF" w:themeShade="FF"/>
          <w:sz w:val="22"/>
          <w:szCs w:val="22"/>
          <w:lang w:val="en-GB"/>
        </w:rPr>
        <w:t>The WFG Act requires public bodies such as the National Health Service (NHS) and local councils to comply with and work towards these objectives. The Welsh Government is also required to do so. The WFG Act has different short and long-term implications due to the range of public bodies involved. The WFG Act includes 'Future Trends' reports to be used by governments in planning services that will serve future generations (Future Generations Commissioner for Wales, 2018b). The Welsh Government reviews the targets set out in the WFG Act annually. A total of 46 indicators have been created, which are measurable and are part of milestones and track progress. "Wales' average ecological footprint", "gender pay gap" and "life expectancy at birth, including the gap between the least and most deprived" are among the indicators (Welsh Government, 2016).</w:t>
      </w:r>
    </w:p>
    <w:p xmlns:wp14="http://schemas.microsoft.com/office/word/2010/wordml" w:rsidP="21CAAA4A" wp14:paraId="3EC49C7E" wp14:textId="01442A53">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21CAAA4A" w:rsidR="06CEEAA1">
        <w:rPr>
          <w:rFonts w:ascii="Calibri" w:hAnsi="Calibri" w:eastAsia="Calibri" w:cs="Calibri"/>
          <w:b w:val="0"/>
          <w:bCs w:val="0"/>
          <w:i w:val="0"/>
          <w:iCs w:val="0"/>
          <w:caps w:val="0"/>
          <w:smallCaps w:val="0"/>
          <w:noProof w:val="0"/>
          <w:color w:val="000000" w:themeColor="text1" w:themeTint="FF" w:themeShade="FF"/>
          <w:sz w:val="22"/>
          <w:szCs w:val="22"/>
          <w:lang w:val="en-GB"/>
        </w:rPr>
        <w:t>WFG has established a Future Generations Commissioner, who is responsible for looking after future generations (Future Generations Commissioner for Wales, 2018c), employing over thirty staff (BBC News, 2015). Although funded by the Welsh Government, the Commissioner's office is independent (Future Generations Commissioner for Wales, 2018c). The Commissioner challenges public service boards and other public offices that have responsibilities under the WFG. Reports and letters are circulated to encourage good practice and promote further progress in areas that need improvement. For example, a 2018 report from the Commissioner's Office found that cultural and environmental objectives are not being met and the focus is on economic and social objectives (Future Generations Commissioner for Wales, 2018b).</w:t>
      </w:r>
    </w:p>
    <w:p xmlns:wp14="http://schemas.microsoft.com/office/word/2010/wordml" w:rsidP="21CAAA4A" wp14:paraId="620A585C" wp14:textId="5F219C06">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21CAAA4A" w:rsidR="06CEEAA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Political data in Wales shows that the WFG Act has been recognised as effectively supporting UN Sustainable Development Goals for the first time. This was particularly important as it occurred during the global financial crisis when the UK government cut public services and benefits. Instead of focusing on economics, the Welsh Government developed its legislation to contribute more widely to equality, communities and the health of future generations. </w:t>
      </w:r>
    </w:p>
    <w:p xmlns:wp14="http://schemas.microsoft.com/office/word/2010/wordml" w:rsidP="21CAAA4A" wp14:paraId="0DCE5B79" wp14:textId="5F3D1C85">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21CAAA4A" w:rsidR="06CEEAA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Kingdon (Kingdon and Thurber, 1984) uses three streams to represent the three different elements that must come together to create a window of opportunity. Once the data was collected with respect to the SDGs and their relevance to Wales, Kingdon's theory was chosen as an appropriate framework to explore the different variables that were involved in the development of the WFG Act. This is because the development of the WFG Act depended on many factors, time and people. </w:t>
      </w:r>
    </w:p>
    <w:p xmlns:wp14="http://schemas.microsoft.com/office/word/2010/wordml" w:rsidP="21CAAA4A" wp14:paraId="0EE8D63B" wp14:textId="7C9DAF1A">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21CAAA4A" w:rsidR="06CEEAA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The population of Wales is 3.1 million (Office for National Statistics, 2018). Since 1990, governance structures in Wales have changed significantly. Wales received powers from the UK, and a Welsh Assembly was created in 1999. The Government of Wales Act 2006 established the Welsh Assembly as the executive, separating the legislature from the executive (Gov.Wales, 2021). Following a referendum in 1997 the Welsh Assembly was given the primary power to legislate for specific purposes, free from the influence of Parliament or the UK Government (National Assembly for Wales, 2019), and it is this power that enabled Wales to create its own agenda in terms of the WFG. </w:t>
      </w:r>
    </w:p>
    <w:p xmlns:wp14="http://schemas.microsoft.com/office/word/2010/wordml" w:rsidP="21CAAA4A" wp14:paraId="6B1FFC37" wp14:textId="4B262A1C">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21CAAA4A" w:rsidR="06CEEAA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In terms of sustainability, the Wales Audit Office (Wales Audit Office, 2010) found that although annual reports were published, the programmes that were created could have delivered more benefits. As a result, the WFG Act and its long-term objectives to support future generations were a significant departure from previous management systems.</w:t>
      </w:r>
    </w:p>
    <w:p xmlns:wp14="http://schemas.microsoft.com/office/word/2010/wordml" w:rsidP="21CAAA4A" wp14:paraId="03FADC03" wp14:textId="4131D1AD">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21CAAA4A" w:rsidR="06CEEAA1">
        <w:rPr>
          <w:rFonts w:ascii="Calibri" w:hAnsi="Calibri" w:eastAsia="Calibri" w:cs="Calibri"/>
          <w:b w:val="0"/>
          <w:bCs w:val="0"/>
          <w:i w:val="0"/>
          <w:iCs w:val="0"/>
          <w:caps w:val="0"/>
          <w:smallCaps w:val="0"/>
          <w:noProof w:val="0"/>
          <w:color w:val="000000" w:themeColor="text1" w:themeTint="FF" w:themeShade="FF"/>
          <w:sz w:val="22"/>
          <w:szCs w:val="22"/>
          <w:lang w:val="en-GB"/>
        </w:rPr>
        <w:t>There have been for sometime prior to the WFG calls to address climate change, and it was found that the Welsh Government had taken no action to promote sustainability (Wales Audit Office 2010). Similarly, Welsh public services were found to be in need of improvement (Williams, 2014) finding that Welsh public services were too crowded, complex and inadequately managed. Consequently, when the report was published, there was an additional opportunity to address this through the WFG Act.</w:t>
      </w:r>
    </w:p>
    <w:p xmlns:wp14="http://schemas.microsoft.com/office/word/2010/wordml" w:rsidP="21CAAA4A" wp14:paraId="1DEDD2D5" wp14:textId="0BDAAF1E">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11AB7650" w:rsidR="06CEEAA1">
        <w:rPr>
          <w:rFonts w:ascii="Calibri" w:hAnsi="Calibri" w:eastAsia="Calibri" w:cs="Calibri"/>
          <w:b w:val="0"/>
          <w:bCs w:val="0"/>
          <w:i w:val="0"/>
          <w:iCs w:val="0"/>
          <w:caps w:val="0"/>
          <w:smallCaps w:val="0"/>
          <w:noProof w:val="0"/>
          <w:color w:val="000000" w:themeColor="text1" w:themeTint="FF" w:themeShade="FF"/>
          <w:sz w:val="22"/>
          <w:szCs w:val="22"/>
          <w:lang w:val="en-GB"/>
        </w:rPr>
        <w:t>In terms of the WFG development, Welsh civil servants contributed to significant changes to the language of the WFG Act. Prior to the consultation, it was originally called the Sustainable Development Act, but in 2012, it changed to the Wellbeing of Future Generations (Wales) Act. Importantly, it began to be recognised that sustainability was about more than just protecting the environment; it had a wider context understood in research papers, but not generally by the public that involved values, organisation, and management of people (Raskin et al., 2002).</w:t>
      </w:r>
    </w:p>
    <w:p xmlns:wp14="http://schemas.microsoft.com/office/word/2010/wordml" w:rsidP="11AB7650" wp14:paraId="2176E37A" wp14:textId="064BAC6A">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11AB7650" w:rsidR="118AD87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The UK government disbanded the Sustainable Development Commission in 2010 (Vaughan, 2010). In the United Kingdom, commissioners from the four countries collaborated on reports and ideas for future development (Sustainable Development Commission, 2011). </w:t>
      </w:r>
    </w:p>
    <w:p xmlns:wp14="http://schemas.microsoft.com/office/word/2010/wordml" w:rsidP="11AB7650" wp14:paraId="4A99DB0B" wp14:textId="13F901C8">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11AB7650" w:rsidR="06CEEAA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The Wales Audit Office (WAO) played a key role in reaching a consensus on the WFG Bill. As an independent body, the WAO advised on the WFG Bill. The 2010 report on sustainability and decision-making was well presented (Wales Audit Office, 2010). The WFG Act </w:t>
      </w:r>
      <w:r w:rsidRPr="11AB7650" w:rsidR="06CEEAA1">
        <w:rPr>
          <w:rFonts w:ascii="Calibri" w:hAnsi="Calibri" w:eastAsia="Calibri" w:cs="Calibri"/>
          <w:b w:val="0"/>
          <w:bCs w:val="0"/>
          <w:i w:val="0"/>
          <w:iCs w:val="0"/>
          <w:caps w:val="0"/>
          <w:smallCaps w:val="0"/>
          <w:noProof w:val="0"/>
          <w:color w:val="000000" w:themeColor="text1" w:themeTint="FF" w:themeShade="FF"/>
          <w:sz w:val="22"/>
          <w:szCs w:val="22"/>
          <w:lang w:val="en-GB"/>
        </w:rPr>
        <w:t>contains</w:t>
      </w:r>
      <w:r w:rsidRPr="11AB7650" w:rsidR="06CEEAA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many of the WAO's recommendations, such as applying the principles of sustainable development and integrating sustainable development into governance structures and legislation (Wales Audit Office, 2010).</w:t>
      </w:r>
    </w:p>
    <w:p xmlns:wp14="http://schemas.microsoft.com/office/word/2010/wordml" w:rsidP="21CAAA4A" wp14:paraId="3A579440" wp14:textId="052AF837">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21CAAA4A" w:rsidR="06CEEAA1">
        <w:rPr>
          <w:rFonts w:ascii="Calibri" w:hAnsi="Calibri" w:eastAsia="Calibri" w:cs="Calibri"/>
          <w:b w:val="0"/>
          <w:bCs w:val="0"/>
          <w:i w:val="0"/>
          <w:iCs w:val="0"/>
          <w:caps w:val="0"/>
          <w:smallCaps w:val="0"/>
          <w:noProof w:val="0"/>
          <w:color w:val="000000" w:themeColor="text1" w:themeTint="FF" w:themeShade="FF"/>
          <w:sz w:val="22"/>
          <w:szCs w:val="22"/>
          <w:lang w:val="en-GB"/>
        </w:rPr>
        <w:t>Civil servants in the Welsh Government have made major changes to the language of the WFG Act. Before the consultation, the Sustainable Development Act was changed to the Wellbeing of Future Generations Act in 2012. Sustainability was not limited to environmental protection.</w:t>
      </w:r>
    </w:p>
    <w:p xmlns:wp14="http://schemas.microsoft.com/office/word/2010/wordml" w:rsidP="11AB7650" wp14:paraId="6C6AB8D3" wp14:textId="6E77F907">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11AB7650" w:rsidR="06CEEAA1">
        <w:rPr>
          <w:rFonts w:ascii="Calibri" w:hAnsi="Calibri" w:eastAsia="Calibri" w:cs="Calibri"/>
          <w:b w:val="0"/>
          <w:bCs w:val="0"/>
          <w:i w:val="0"/>
          <w:iCs w:val="0"/>
          <w:caps w:val="0"/>
          <w:smallCaps w:val="0"/>
          <w:noProof w:val="0"/>
          <w:color w:val="000000" w:themeColor="text1" w:themeTint="FF" w:themeShade="FF"/>
          <w:sz w:val="22"/>
          <w:szCs w:val="22"/>
          <w:lang w:val="en-GB"/>
        </w:rPr>
        <w:t>In 2010, the UK government abolished the Sustainable Development Commission (Vaughan, 2010). Political change and crises are often linked (Kingdon and Thurber, 1984). While the commission's closure may not be considered a crisis, it certainly helped raise awareness of sustainability among some Welsh politicians. The United Sustainable Development Commission of the United Kingdom was an active group that produced reports and worked together to further sustainable development efforts in the four countries. The Welsh Assembly felt that the participation of Welsh representatives on the UK commission was appropriate to meet commitments to promote sustainable development.</w:t>
      </w:r>
      <w:r w:rsidRPr="11AB7650" w:rsidR="1D42955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However, the closing of the UK commission coincided with the publication of a Wales Audit Office report in 2010, which stated that the Welsh Government was not doing enough to improve sustainability. The Welsh Assembly is obligated to produce annual reports on how internal bodies are carrying out their responsibilities to promote sustainable development. These reports were discovered to be ineffective in changing things. The UK Sustainability Commission and Wales Audit Office reports were closed, confirming that more needed to be done. </w:t>
      </w:r>
    </w:p>
    <w:p xmlns:wp14="http://schemas.microsoft.com/office/word/2010/wordml" w:rsidP="11AB7650" wp14:paraId="195F46DB" wp14:textId="018D8846">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11AB7650" w:rsidR="06CEEAA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The importance of future sustainability was </w:t>
      </w:r>
      <w:r w:rsidRPr="11AB7650" w:rsidR="06CEEAA1">
        <w:rPr>
          <w:rFonts w:ascii="Calibri" w:hAnsi="Calibri" w:eastAsia="Calibri" w:cs="Calibri"/>
          <w:b w:val="0"/>
          <w:bCs w:val="0"/>
          <w:i w:val="0"/>
          <w:iCs w:val="0"/>
          <w:caps w:val="0"/>
          <w:smallCaps w:val="0"/>
          <w:noProof w:val="0"/>
          <w:color w:val="000000" w:themeColor="text1" w:themeTint="FF" w:themeShade="FF"/>
          <w:sz w:val="22"/>
          <w:szCs w:val="22"/>
          <w:lang w:val="en-GB"/>
        </w:rPr>
        <w:t>evident</w:t>
      </w:r>
      <w:r w:rsidRPr="11AB7650" w:rsidR="06CEEAA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through proposed sustainability legislation in the Welsh Labour Party Wales Manifesto for 2011 (Labour Party, 2011), using its devolved powers to change the rules of governance, particularly the working methods of government, adopting decisions </w:t>
      </w:r>
      <w:r w:rsidRPr="11AB7650" w:rsidR="06CEEAA1">
        <w:rPr>
          <w:rFonts w:ascii="Calibri" w:hAnsi="Calibri" w:eastAsia="Calibri" w:cs="Calibri"/>
          <w:b w:val="0"/>
          <w:bCs w:val="0"/>
          <w:i w:val="0"/>
          <w:iCs w:val="0"/>
          <w:caps w:val="0"/>
          <w:smallCaps w:val="0"/>
          <w:noProof w:val="0"/>
          <w:color w:val="000000" w:themeColor="text1" w:themeTint="FF" w:themeShade="FF"/>
          <w:sz w:val="22"/>
          <w:szCs w:val="22"/>
          <w:lang w:val="en-GB"/>
        </w:rPr>
        <w:t>on the basis of</w:t>
      </w:r>
      <w:r w:rsidRPr="11AB7650" w:rsidR="06CEEAA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long-term performance rather than short-term gains. However, even though the WFG and its goal of supporting SDGs were based on a desire, amongst others, to improve the environment, some people did not think it went far enough. </w:t>
      </w:r>
    </w:p>
    <w:p xmlns:wp14="http://schemas.microsoft.com/office/word/2010/wordml" w:rsidP="21CAAA4A" wp14:paraId="1AB4E1ED" wp14:textId="77320E4E">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21CAAA4A" w:rsidR="06CEEAA1">
        <w:rPr>
          <w:rFonts w:ascii="Calibri" w:hAnsi="Calibri" w:eastAsia="Calibri" w:cs="Calibri"/>
          <w:b w:val="0"/>
          <w:bCs w:val="0"/>
          <w:i w:val="0"/>
          <w:iCs w:val="0"/>
          <w:caps w:val="0"/>
          <w:smallCaps w:val="0"/>
          <w:noProof w:val="0"/>
          <w:color w:val="000000" w:themeColor="text1" w:themeTint="FF" w:themeShade="FF"/>
          <w:sz w:val="22"/>
          <w:szCs w:val="22"/>
          <w:lang w:val="en-GB"/>
        </w:rPr>
        <w:t>The WWF openly criticised the WFG law in 2015, having received a report that included an action strategy to reduce Wales' ecological footprint (Netherwood, 2011). The WWF wanted the WFG to do more and go further, evidenced by Jeff Cuthbert, one of the ministers responsible for passing the WFG Act, who said, "We were heavily lobbied by environmental groups and had to resist it" (Cynnal Cymru, 2015 p. 2).</w:t>
      </w:r>
    </w:p>
    <w:p xmlns:wp14="http://schemas.microsoft.com/office/word/2010/wordml" w:rsidP="21CAAA4A" wp14:paraId="7AADECB9" wp14:textId="2A1F944C">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11AB7650" w:rsidR="06CEEAA1">
        <w:rPr>
          <w:rFonts w:ascii="Calibri" w:hAnsi="Calibri" w:eastAsia="Calibri" w:cs="Calibri"/>
          <w:b w:val="0"/>
          <w:bCs w:val="0"/>
          <w:i w:val="0"/>
          <w:iCs w:val="0"/>
          <w:caps w:val="0"/>
          <w:smallCaps w:val="0"/>
          <w:noProof w:val="0"/>
          <w:color w:val="000000" w:themeColor="text1" w:themeTint="FF" w:themeShade="FF"/>
          <w:sz w:val="22"/>
          <w:szCs w:val="22"/>
          <w:lang w:val="en-GB"/>
        </w:rPr>
        <w:t>While the WFG Act was still developing, government officials decided to change their working culture and practices to reflect its main objectives. A former civil servant describes: "We lived the values of the act in what we did. A national conversation entitled 'The Wales We Want' (Welsh Government, 2015) was set up to realise the 'engaged' way in which the WFG promise was delivered.</w:t>
      </w:r>
    </w:p>
    <w:p xmlns:wp14="http://schemas.microsoft.com/office/word/2010/wordml" w:rsidP="11AB7650" wp14:paraId="6DE6E52D" wp14:textId="7FB2EB6F">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11AB7650" w:rsidR="55B80966">
        <w:rPr>
          <w:rFonts w:ascii="Calibri" w:hAnsi="Calibri" w:eastAsia="Calibri" w:cs="Calibri"/>
          <w:b w:val="0"/>
          <w:bCs w:val="0"/>
          <w:i w:val="0"/>
          <w:iCs w:val="0"/>
          <w:caps w:val="0"/>
          <w:smallCaps w:val="0"/>
          <w:noProof w:val="0"/>
          <w:color w:val="000000" w:themeColor="text1" w:themeTint="FF" w:themeShade="FF"/>
          <w:sz w:val="22"/>
          <w:szCs w:val="22"/>
          <w:lang w:val="en-GB"/>
        </w:rPr>
        <w:t>Almost 7,000 people attended debates in Wales. Support was offered by health-related organisations such as Public Health Wales, the Royal National Institute of Blind People, the Welsh NHS Confederation, Disability Wales, and Wales (</w:t>
      </w:r>
      <w:r w:rsidRPr="11AB7650" w:rsidR="55B80966">
        <w:rPr>
          <w:rFonts w:ascii="Calibri" w:hAnsi="Calibri" w:eastAsia="Calibri" w:cs="Calibri"/>
          <w:b w:val="0"/>
          <w:bCs w:val="0"/>
          <w:i w:val="0"/>
          <w:iCs w:val="0"/>
          <w:caps w:val="0"/>
          <w:smallCaps w:val="0"/>
          <w:noProof w:val="0"/>
          <w:color w:val="000000" w:themeColor="text1" w:themeTint="FF" w:themeShade="FF"/>
          <w:sz w:val="22"/>
          <w:szCs w:val="22"/>
          <w:lang w:val="en-GB"/>
        </w:rPr>
        <w:t>Cynnal</w:t>
      </w:r>
      <w:r w:rsidRPr="11AB7650" w:rsidR="55B8096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Cymru, 2015). </w:t>
      </w:r>
    </w:p>
    <w:p xmlns:wp14="http://schemas.microsoft.com/office/word/2010/wordml" w:rsidP="11AB7650" wp14:paraId="2C80AAEA" wp14:textId="3DACBC56">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11AB7650" w:rsidR="06CEEAA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Despite sustainability being prioritised across government following the creation of the Welsh Assembly, Welsh decision-makers continued to protest. </w:t>
      </w:r>
      <w:r w:rsidRPr="11AB7650" w:rsidR="2BD1CF7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Many Assembly members needed convinced that the WFG Bill will have the authority to deliver outcomes while remaining non-bureaucratic. The multi-authority ministers in charge of the Bill were able to use diverse spheres of influence to persuade other Assembly members to endorse the WFG Bill when they were competent and supported it. Initially, everyone in the Assembly objected with the Act's constitutional structure, which changes the way we work, establishes boundaries, and so on. Because the institution is relatively new, such a broad policy has never been implemented before. </w:t>
      </w:r>
    </w:p>
    <w:p xmlns:wp14="http://schemas.microsoft.com/office/word/2010/wordml" w:rsidP="11AB7650" wp14:paraId="2F87D417" wp14:textId="3BD22B43">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11AB7650" w:rsidR="06CEEAA1">
        <w:rPr>
          <w:rFonts w:ascii="Calibri" w:hAnsi="Calibri" w:eastAsia="Calibri" w:cs="Calibri"/>
          <w:b w:val="0"/>
          <w:bCs w:val="0"/>
          <w:i w:val="0"/>
          <w:iCs w:val="0"/>
          <w:caps w:val="0"/>
          <w:smallCaps w:val="0"/>
          <w:noProof w:val="0"/>
          <w:color w:val="000000" w:themeColor="text1" w:themeTint="FF" w:themeShade="FF"/>
          <w:sz w:val="22"/>
          <w:szCs w:val="22"/>
          <w:lang w:val="en-GB"/>
        </w:rPr>
        <w:t>A number of</w:t>
      </w:r>
      <w:r w:rsidRPr="11AB7650" w:rsidR="06CEEAA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key factors - </w:t>
      </w:r>
      <w:r w:rsidRPr="11AB7650" w:rsidR="06CEEAA1">
        <w:rPr>
          <w:rFonts w:ascii="Calibri" w:hAnsi="Calibri" w:eastAsia="Calibri" w:cs="Calibri"/>
          <w:b w:val="0"/>
          <w:bCs w:val="0"/>
          <w:i w:val="0"/>
          <w:iCs w:val="0"/>
          <w:caps w:val="0"/>
          <w:smallCaps w:val="0"/>
          <w:noProof w:val="0"/>
          <w:color w:val="000000" w:themeColor="text1" w:themeTint="FF" w:themeShade="FF"/>
          <w:sz w:val="22"/>
          <w:szCs w:val="22"/>
          <w:lang w:val="en-GB"/>
        </w:rPr>
        <w:t>arguably the</w:t>
      </w:r>
      <w:r w:rsidRPr="11AB7650" w:rsidR="06CEEAA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most important - contributed to the success of the development of the WFG Act. Kingdon's theory of multi-string stream analysis (Kingdon and Thurber, 1984) is </w:t>
      </w:r>
      <w:r w:rsidRPr="11AB7650" w:rsidR="06CEEAA1">
        <w:rPr>
          <w:rFonts w:ascii="Calibri" w:hAnsi="Calibri" w:eastAsia="Calibri" w:cs="Calibri"/>
          <w:b w:val="0"/>
          <w:bCs w:val="0"/>
          <w:i w:val="0"/>
          <w:iCs w:val="0"/>
          <w:caps w:val="0"/>
          <w:smallCaps w:val="0"/>
          <w:noProof w:val="0"/>
          <w:color w:val="000000" w:themeColor="text1" w:themeTint="FF" w:themeShade="FF"/>
          <w:sz w:val="22"/>
          <w:szCs w:val="22"/>
          <w:lang w:val="en-GB"/>
        </w:rPr>
        <w:t>appropriate to</w:t>
      </w:r>
      <w:r w:rsidRPr="11AB7650" w:rsidR="06CEEAA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explain the development of the WFG legislation, and the effects of climate change and the failure of the Welsh Government to promote sustainable development was a major concern that pushed the WFG forward. The policy structure included research recommendations on climate change, the UN Sustainable Development </w:t>
      </w:r>
      <w:r w:rsidRPr="11AB7650" w:rsidR="06CEEAA1">
        <w:rPr>
          <w:rFonts w:ascii="Calibri" w:hAnsi="Calibri" w:eastAsia="Calibri" w:cs="Calibri"/>
          <w:b w:val="0"/>
          <w:bCs w:val="0"/>
          <w:i w:val="0"/>
          <w:iCs w:val="0"/>
          <w:caps w:val="0"/>
          <w:smallCaps w:val="0"/>
          <w:noProof w:val="0"/>
          <w:color w:val="000000" w:themeColor="text1" w:themeTint="FF" w:themeShade="FF"/>
          <w:sz w:val="22"/>
          <w:szCs w:val="22"/>
          <w:lang w:val="en-GB"/>
        </w:rPr>
        <w:t>Goals</w:t>
      </w:r>
      <w:r w:rsidRPr="11AB7650" w:rsidR="06CEEAA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and the politicisation of wellbeing. Policies included the UK Government's restriction of sustainable development, in contrast to widespread support from the Welsh Government, NGOs and the public for the wellbeing of future generations. Political entrepreneurs, in particular Jane Davidson and Peter Davies, were involved in the WFG Bill and advocated for sustainable development in Wales. </w:t>
      </w:r>
    </w:p>
    <w:p xmlns:wp14="http://schemas.microsoft.com/office/word/2010/wordml" w:rsidP="21CAAA4A" wp14:paraId="7D21B511" wp14:textId="22CF9DF4">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21CAAA4A" w:rsidR="06CEEAA1">
        <w:rPr>
          <w:rFonts w:ascii="Calibri" w:hAnsi="Calibri" w:eastAsia="Calibri" w:cs="Calibri"/>
          <w:b w:val="1"/>
          <w:bCs w:val="1"/>
          <w:i w:val="0"/>
          <w:iCs w:val="0"/>
          <w:caps w:val="0"/>
          <w:smallCaps w:val="0"/>
          <w:noProof w:val="0"/>
          <w:color w:val="000000" w:themeColor="text1" w:themeTint="FF" w:themeShade="FF"/>
          <w:sz w:val="22"/>
          <w:szCs w:val="22"/>
          <w:lang w:val="en-GB"/>
        </w:rPr>
        <w:t xml:space="preserve">Role of PSB’s (Public Services Boards) </w:t>
      </w:r>
    </w:p>
    <w:p xmlns:wp14="http://schemas.microsoft.com/office/word/2010/wordml" w:rsidP="21CAAA4A" wp14:paraId="1AADE951" wp14:textId="58B6F4A9">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21CAAA4A" w:rsidR="06CEEAA1">
        <w:rPr>
          <w:rFonts w:ascii="Calibri" w:hAnsi="Calibri" w:eastAsia="Calibri" w:cs="Calibri"/>
          <w:b w:val="0"/>
          <w:bCs w:val="0"/>
          <w:i w:val="0"/>
          <w:iCs w:val="0"/>
          <w:caps w:val="0"/>
          <w:smallCaps w:val="0"/>
          <w:noProof w:val="0"/>
          <w:color w:val="000000" w:themeColor="text1" w:themeTint="FF" w:themeShade="FF"/>
          <w:sz w:val="22"/>
          <w:szCs w:val="22"/>
          <w:lang w:val="en-GB"/>
        </w:rPr>
        <w:t>In order to enhance Wales' social, economic, environmental, and cultural well-being, public services boards were established in 2015 under the Well-being of Future Generations (Wales) Act. Public Services Boards (PSBs) are responsible for spearheading a coordinated, evidence-based, and strategic initiative to optimise well-being in their relative area, both for present and future generations</w:t>
      </w:r>
      <w:r w:rsidRPr="21CAAA4A" w:rsidR="06CEEAA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1CAAA4A" w:rsidR="06CEEAA1">
        <w:rPr>
          <w:rFonts w:ascii="Calibri" w:hAnsi="Calibri" w:eastAsia="Calibri" w:cs="Calibri"/>
          <w:b w:val="0"/>
          <w:bCs w:val="0"/>
          <w:i w:val="0"/>
          <w:iCs w:val="0"/>
          <w:caps w:val="0"/>
          <w:smallCaps w:val="0"/>
          <w:noProof w:val="0"/>
          <w:color w:val="000000" w:themeColor="text1" w:themeTint="FF" w:themeShade="FF"/>
          <w:sz w:val="22"/>
          <w:szCs w:val="22"/>
          <w:lang w:val="en-GB"/>
        </w:rPr>
        <w:t>(Welsh Government, 2015).</w:t>
      </w:r>
    </w:p>
    <w:p xmlns:wp14="http://schemas.microsoft.com/office/word/2010/wordml" w:rsidP="21CAAA4A" wp14:paraId="306EA0A4" wp14:textId="1BF58564">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21CAAA4A" w:rsidR="06CEEAA1">
        <w:rPr>
          <w:rFonts w:ascii="Calibri" w:hAnsi="Calibri" w:eastAsia="Calibri" w:cs="Calibri"/>
          <w:b w:val="0"/>
          <w:bCs w:val="0"/>
          <w:i w:val="0"/>
          <w:iCs w:val="0"/>
          <w:caps w:val="0"/>
          <w:smallCaps w:val="0"/>
          <w:noProof w:val="0"/>
          <w:color w:val="000000" w:themeColor="text1" w:themeTint="FF" w:themeShade="FF"/>
          <w:sz w:val="22"/>
          <w:szCs w:val="22"/>
          <w:lang w:val="en-GB"/>
        </w:rPr>
        <w:t>Powys PSB, as an example, is a key player in spearheading the county's entire system reform initiative. To stop long-term harm to wellbeing, action is required. One such action is to help people have the best start in life possible in order to prevent obesity. As we transition to a more environmentally conscious, zero-carbon future, there are also a lot of exciting prospects that will boost the local economy and promote the wellbeing of the populace.</w:t>
      </w:r>
    </w:p>
    <w:p xmlns:wp14="http://schemas.microsoft.com/office/word/2010/wordml" w:rsidP="21CAAA4A" wp14:paraId="120B9935" wp14:textId="73F34B1F">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21CAAA4A" w:rsidR="06CEEAA1">
        <w:rPr>
          <w:rFonts w:ascii="Calibri" w:hAnsi="Calibri" w:eastAsia="Calibri" w:cs="Calibri"/>
          <w:b w:val="0"/>
          <w:bCs w:val="0"/>
          <w:i w:val="0"/>
          <w:iCs w:val="0"/>
          <w:caps w:val="0"/>
          <w:smallCaps w:val="0"/>
          <w:noProof w:val="0"/>
          <w:color w:val="000000" w:themeColor="text1" w:themeTint="FF" w:themeShade="FF"/>
          <w:sz w:val="22"/>
          <w:szCs w:val="22"/>
          <w:lang w:val="en-GB"/>
        </w:rPr>
        <w:t>In 2022, Powys conducted an assessment of local well-being that examined public input and research regarding Swansea's state of well-being. Their goal was to collaborate in order to transform Swansea into a thriving community where the natural environment is valued and preserved, where everyone has equal access to cultural opportunities, a good start in life, a good job, a healthy lifestyle, and the chance to age well.</w:t>
      </w:r>
    </w:p>
    <w:p xmlns:wp14="http://schemas.microsoft.com/office/word/2010/wordml" w:rsidP="21CAAA4A" wp14:paraId="7725ABA7" wp14:textId="23669679">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21CAAA4A" w:rsidR="06CEEAA1">
        <w:rPr>
          <w:rFonts w:ascii="Calibri" w:hAnsi="Calibri" w:eastAsia="Calibri" w:cs="Calibri"/>
          <w:b w:val="0"/>
          <w:bCs w:val="0"/>
          <w:i w:val="0"/>
          <w:iCs w:val="0"/>
          <w:caps w:val="0"/>
          <w:smallCaps w:val="0"/>
          <w:noProof w:val="0"/>
          <w:color w:val="000000" w:themeColor="text1" w:themeTint="FF" w:themeShade="FF"/>
          <w:sz w:val="22"/>
          <w:szCs w:val="22"/>
          <w:lang w:val="en-GB"/>
        </w:rPr>
        <w:t>PSBs facilitate collaboration and service integration by bringing together a variety of public sector organisations. Multiple aspects of well-being can be addressed by this holistic approach, which is in line with both the more general SDGs and local well-being objectives. The Well-Being of Future Generations Act's emphasis on sustainable development and long-term planning is consistent with the SDGs' emphasis on ensuring a sustainable future and leaving no one behind (Wales Centre Of Public Policy, 2022) PSBs make a contribution by implementing these ideas into their regional plans and strategies. By including local communities in the decision-making process, PSBs make sure that the priorities for well-being represent the requirements of the community. Because it encourages inclusive government, this participatory approach aligns with SDG (Paine, 2012). The Act promotes taking proactive measures to resolve problems before they get out of hand. This helps achieve the SDG agenda's emphasis on addressing the underlying causes of issues and preventing them from getting worse, which supports objectives like SDG 3 (Good Health and Well-Being) and SDG 4 (Quality Education). PSBs possess the adaptability to modify strategies according to local settings, taking into account the distinct opportunities and constraints of each location. This localization is consistent with the SDG's "leaving no one behind" tenet. Plans and initiatives for well-being may not be implemented as effectively if there are insufficient resources (Rayner, Fetherstonhaugh and McAuliffe, 2023).</w:t>
      </w:r>
    </w:p>
    <w:p xmlns:wp14="http://schemas.microsoft.com/office/word/2010/wordml" w:rsidP="21CAAA4A" wp14:paraId="44744897" wp14:textId="6731EFC1">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21CAAA4A" w:rsidR="06CEEAA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Given that many of the SDGs need significant financial resources, this difficulty may have an influence on both the accomplishment of local well-being goals and the larger SDGs. It can be difficult to ensure that different partners working together effectively within the PSB structure. Problems with coordination can result in service gaps and obstruct the all-encompassing strategy needed to accomplish SDGs and goals related to well-being. PSBs have to strike a balance between supporting global objectives and attending to local issues. Finding this balance can be difficult, particularly if local requirements don't always line up with the SDGs. In conclusion, Public Services Boards are essential to achieving the 2030 SDG agenda and the Well-Being Goals (Hodgetts, 2019). Effective cooperation, the distribution of resources, and the capacity to modify plans in response to local conditions while keeping in mind the global aspects of sustainable development are necessary for success, and PSBs provide this. </w:t>
      </w:r>
    </w:p>
    <w:p xmlns:wp14="http://schemas.microsoft.com/office/word/2010/wordml" w:rsidP="21CAAA4A" wp14:paraId="3509A855" wp14:textId="416885D7">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21CAAA4A" w:rsidR="06CEEAA1">
        <w:rPr>
          <w:rFonts w:ascii="Calibri" w:hAnsi="Calibri" w:eastAsia="Calibri" w:cs="Calibri"/>
          <w:b w:val="1"/>
          <w:bCs w:val="1"/>
          <w:i w:val="0"/>
          <w:iCs w:val="0"/>
          <w:caps w:val="0"/>
          <w:smallCaps w:val="0"/>
          <w:noProof w:val="0"/>
          <w:color w:val="000000" w:themeColor="text1" w:themeTint="FF" w:themeShade="FF"/>
          <w:sz w:val="22"/>
          <w:szCs w:val="22"/>
          <w:lang w:val="en-GB"/>
        </w:rPr>
        <w:t xml:space="preserve">Role of LA’s  (Local Authority) </w:t>
      </w:r>
    </w:p>
    <w:p xmlns:wp14="http://schemas.microsoft.com/office/word/2010/wordml" w:rsidP="21CAAA4A" wp14:paraId="6FF51E73" wp14:textId="116A76BB">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21CAAA4A" w:rsidR="06CEEAA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Local authorities play a crucial role in shaping the socio-economic and environmental landscape of their regions. In Wales, the focus on promoting wellbeing has been underscored by the Welsh Wellbeing of Future Generations Act 2015, aligning closely with the global Sustainable Development Goals (SDGs) set for 2030 (Welsh Government, 2015). </w:t>
      </w:r>
    </w:p>
    <w:p xmlns:wp14="http://schemas.microsoft.com/office/word/2010/wordml" w:rsidP="21CAAA4A" wp14:paraId="2F8C98F1" wp14:textId="340FE18C">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21CAAA4A" w:rsidR="06CEEAA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In Wales, local authorities have played a pivotal role in executing policies and programmes that are in line with the Welsh Wellbeing Goals. Their commitment to the social, economic, and environmental well-being of the community is shown in initiatives like housing development projects, community involvement programmes, and the promotion of sustainable transportation solutions. As an illustration, Cardiff City Council has taken action to combat homelessness, which helps to achieve the objective of "A More Equal Wales" (Cardiff.gov.uk, 2022). </w:t>
      </w:r>
    </w:p>
    <w:p xmlns:wp14="http://schemas.microsoft.com/office/word/2010/wordml" w:rsidP="21CAAA4A" wp14:paraId="02373021" wp14:textId="6B31B006">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21CAAA4A" w:rsidR="06CEEAA1">
        <w:rPr>
          <w:rFonts w:ascii="Calibri" w:hAnsi="Calibri" w:eastAsia="Calibri" w:cs="Calibri"/>
          <w:b w:val="0"/>
          <w:bCs w:val="0"/>
          <w:i w:val="0"/>
          <w:iCs w:val="0"/>
          <w:caps w:val="0"/>
          <w:smallCaps w:val="0"/>
          <w:noProof w:val="0"/>
          <w:color w:val="000000" w:themeColor="text1" w:themeTint="FF" w:themeShade="FF"/>
          <w:sz w:val="22"/>
          <w:szCs w:val="22"/>
          <w:lang w:val="en-GB"/>
        </w:rPr>
        <w:t>Notwithstanding praiseworthy endeavours, local authorities bodies encounter obstacles that impede the effective realisation of well-being objectives. Comprehensive initiatives may be hindered by competing goals and limited financial resources. Additionally, it is difficult to gauge and contrast the effects of various local authority initiatives due to the absence of consistent metrics for evaluating wellbeing (Clifford and Morphet, 2022)</w:t>
      </w:r>
    </w:p>
    <w:p xmlns:wp14="http://schemas.microsoft.com/office/word/2010/wordml" w:rsidP="21CAAA4A" wp14:paraId="0EB9B4E6" wp14:textId="0FB0A0FB">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21CAAA4A" w:rsidR="06CEEAA1">
        <w:rPr>
          <w:rFonts w:ascii="Calibri" w:hAnsi="Calibri" w:eastAsia="Calibri" w:cs="Calibri"/>
          <w:b w:val="0"/>
          <w:bCs w:val="0"/>
          <w:i w:val="0"/>
          <w:iCs w:val="0"/>
          <w:caps w:val="0"/>
          <w:smallCaps w:val="0"/>
          <w:noProof w:val="0"/>
          <w:color w:val="000000" w:themeColor="text1" w:themeTint="FF" w:themeShade="FF"/>
          <w:sz w:val="22"/>
          <w:szCs w:val="22"/>
          <w:lang w:val="en-GB"/>
        </w:rPr>
        <w:t>Wales' local authorities are moving in the right direction to match their programmes with the 2030 SDG agenda. SDGs like "Affordable and Clean Energy" and "Quality Education" are aided by sustainable development projects, renewable energy projects, and educational efforts. But inconsistent prioritisation among various local authorities could lead to uneven development, which would affect the SDGs' overall accomplishment (United Nations, 2015).</w:t>
      </w:r>
    </w:p>
    <w:p xmlns:wp14="http://schemas.microsoft.com/office/word/2010/wordml" w:rsidP="21CAAA4A" wp14:paraId="27D80F22" wp14:textId="10A80E5A">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21CAAA4A" w:rsidR="06CEEAA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Collaboration between local authorities, government agencies, and non-governmental organisations is often critical to achieving wellness goals and aligning with the Sustainable Development Goals. Partnerships that work well can pool resources, exchange best practises, and increase an initiative's overall impact. Working together also promotes a well-rounded approach to wellness, tackling interrelated issues including inequality, poverty, and environmental degradation (Local Government Association, 2020). </w:t>
      </w:r>
    </w:p>
    <w:p xmlns:wp14="http://schemas.microsoft.com/office/word/2010/wordml" w:rsidP="21CAAA4A" wp14:paraId="7C515603" wp14:textId="263FD6B0">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21CAAA4A" w:rsidR="06CEEAA1">
        <w:rPr>
          <w:rFonts w:ascii="Calibri" w:hAnsi="Calibri" w:eastAsia="Calibri" w:cs="Calibri"/>
          <w:b w:val="0"/>
          <w:bCs w:val="0"/>
          <w:i w:val="0"/>
          <w:iCs w:val="0"/>
          <w:caps w:val="0"/>
          <w:smallCaps w:val="0"/>
          <w:noProof w:val="0"/>
          <w:color w:val="000000" w:themeColor="text1" w:themeTint="FF" w:themeShade="FF"/>
          <w:sz w:val="22"/>
          <w:szCs w:val="22"/>
          <w:lang w:val="en-GB"/>
        </w:rPr>
        <w:t>All things considered, local authorities in Wales are essential to determining the health of their communities and advancing the 2030 SDG agenda. Although there has been impressive progress, issues, including uneven prioritisation and resource limitations, still need to be resolved. Through the promotion of cooperation, the improvement of measurement techniques, and the acquisition of best practices, local authorities may augment their input towards the Welsh Wellbeing Goals and the worldwide SDG agenda, guaranteeing a sustainable and just future for everybody (Welsh Government, 2020)</w:t>
      </w:r>
    </w:p>
    <w:p xmlns:wp14="http://schemas.microsoft.com/office/word/2010/wordml" w:rsidP="21CAAA4A" wp14:paraId="39D2A357" wp14:textId="709EA3B7">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21CAAA4A" w:rsidR="06CEEAA1">
        <w:rPr>
          <w:rFonts w:ascii="Calibri" w:hAnsi="Calibri" w:eastAsia="Calibri" w:cs="Calibri"/>
          <w:b w:val="1"/>
          <w:bCs w:val="1"/>
          <w:i w:val="0"/>
          <w:iCs w:val="0"/>
          <w:caps w:val="0"/>
          <w:smallCaps w:val="0"/>
          <w:noProof w:val="0"/>
          <w:color w:val="000000" w:themeColor="text1" w:themeTint="FF" w:themeShade="FF"/>
          <w:sz w:val="22"/>
          <w:szCs w:val="22"/>
          <w:lang w:val="en-GB"/>
        </w:rPr>
        <w:t>Blue Zones</w:t>
      </w:r>
    </w:p>
    <w:p xmlns:wp14="http://schemas.microsoft.com/office/word/2010/wordml" w:rsidP="21CAAA4A" wp14:paraId="6E928330" wp14:textId="03A340FB">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21CAAA4A" w:rsidR="06CEEAA1">
        <w:rPr>
          <w:rFonts w:ascii="Calibri" w:hAnsi="Calibri" w:eastAsia="Calibri" w:cs="Calibri"/>
          <w:b w:val="0"/>
          <w:bCs w:val="0"/>
          <w:i w:val="0"/>
          <w:iCs w:val="0"/>
          <w:caps w:val="0"/>
          <w:smallCaps w:val="0"/>
          <w:noProof w:val="0"/>
          <w:color w:val="000000" w:themeColor="text1" w:themeTint="FF" w:themeShade="FF"/>
          <w:sz w:val="22"/>
          <w:szCs w:val="22"/>
          <w:lang w:val="en-GB"/>
        </w:rPr>
        <w:t>People are known to live longer, healthier lives in areas of the world known as "blue zones." The lifestyle characteristics and commonalities that contribute to the longevity of the people living in these locations have been researched. Journalist Dan Buettner popularised the idea of the "Blue Zones," having discovered and examined these areas. The world's Blue Zones are regions where people live longest on average (Robertson, 2017). They have a remarkably high percentage of centenarians, people who live to reach 100 years of age or longer. The Blue Zones share several commonalities despite their geographic and cultural differences. These locations were chosen because more people lived there over the age of 100 than was typical Marston, Niles-Yokum and Silva (2021), although care has to be taken with regard to drawing conclusive conclusions on the data as no controlled scientific research involving senior citizens in Blue Zones have been conducted (Smith, 2023). Compared to the ordinary individual, residents of the Blue Zones consume less meat and reserve it for special occasions when they mostly eat chicken or pork. And up to three times a week, fish should weigh no more than three ounces. It's advised that tofu is a healthy, high-protein substitute for meat to assist people in reducing their meat intake. Reducing dairy products is also necessary because cows are not present in the communities (Wikipedia Contributors, 2019). A Blue Zone diet still includes eggs, but only twice or thrice a week, and then mostly as an addition to a soup or as a side dish with bread. It is recommended that those who wish to adhere to the Blue Zone diet only consume whole wheat or sourdough. It's believed that whole grains make your diet more nutrient-dense and easier to digest because they contain less gluten. Blue Zones are not intentional or structured communities as the word might imply. Rather, there are areas where researchers have found a remarkably high concentration of people who lead noticeably longer and healthier lives. Dan Buettner, who collaborated with National Geographic to locate and investigate these regions, popularised the idea (Buttener, 2019). Exercise, adequate hours of sleep, and restorative sleep (good sleep) are all key factors in 'Blue Zones'. In addition, maintaining strong family ties, developing strong community support and respect for the planet and having a purpose in life seem to be the common themes that exist in 'Blue Zones' (Kreouzi, Theodorakis and Constantinou, 2022). Although there is very little in the list that some might say is common sense, it is a reminder of the lessons that could be transferred and maintained in other areas to improve the health and wellbeing of the wider population.</w:t>
      </w:r>
    </w:p>
    <w:p xmlns:wp14="http://schemas.microsoft.com/office/word/2010/wordml" w:rsidP="21CAAA4A" wp14:paraId="3D98CFB3" wp14:textId="5DB15DC1">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21CAAA4A" w:rsidR="06CEEAA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Through this assignment, the people involved were perhaps the most significant aspect in the success of the WFG Act's creation. From using Kingdon's Multiple Stream Analysis theory (Weatherup, 2019) to influence WFG legislation developed, individuals, finding a voice with respect to the hazards of climate change and individuals and organisations highlighting the Welsh government's inability to support sustainable development, the politicisation of wellbeing and the global agreement on UN Sustainable Development Goals, it was arguably the right time to create the WFG. </w:t>
      </w:r>
    </w:p>
    <w:p xmlns:wp14="http://schemas.microsoft.com/office/word/2010/wordml" w:rsidP="21CAAA4A" wp14:paraId="1EC1BDE3" wp14:textId="4232A376">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21CAAA4A" w:rsidR="06CEEAA1">
        <w:rPr>
          <w:rFonts w:ascii="Calibri" w:hAnsi="Calibri" w:eastAsia="Calibri" w:cs="Calibri"/>
          <w:b w:val="0"/>
          <w:bCs w:val="0"/>
          <w:i w:val="0"/>
          <w:iCs w:val="0"/>
          <w:caps w:val="0"/>
          <w:smallCaps w:val="0"/>
          <w:noProof w:val="0"/>
          <w:color w:val="000000" w:themeColor="text1" w:themeTint="FF" w:themeShade="FF"/>
          <w:sz w:val="22"/>
          <w:szCs w:val="22"/>
          <w:lang w:val="en-GB"/>
        </w:rPr>
        <w:t>All this despite a Welsh Government view that the UK government was not adequately supporting the WFG's goals in terms of its own actions on sustainability, to the Welsh public, NGOs, and the Welsh Government's broad support for the welfare of future generations. The study's conclusions are pertinent to other decision-makers interested in how historical and contemporary elements interact to allow national legislators to adopt a long-term perspective and enact laws that will benefit future generations.</w:t>
      </w:r>
    </w:p>
    <w:p xmlns:wp14="http://schemas.microsoft.com/office/word/2010/wordml" w:rsidP="21CAAA4A" wp14:paraId="14A7468F" wp14:textId="45A93F0B">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21CAAA4A" w:rsidR="06CEEAA1">
        <w:rPr>
          <w:rFonts w:ascii="Calibri" w:hAnsi="Calibri" w:eastAsia="Calibri" w:cs="Calibri"/>
          <w:b w:val="0"/>
          <w:bCs w:val="0"/>
          <w:i w:val="0"/>
          <w:iCs w:val="0"/>
          <w:caps w:val="0"/>
          <w:smallCaps w:val="0"/>
          <w:noProof w:val="0"/>
          <w:color w:val="000000" w:themeColor="text1" w:themeTint="FF" w:themeShade="FF"/>
          <w:sz w:val="22"/>
          <w:szCs w:val="22"/>
          <w:lang w:val="en-GB"/>
        </w:rPr>
        <w:t>In terms of people's health, well-being, and equality, the Future Generations (Wales) Act 2015 has been a trailblazing piece of legislation, although there have been obstacles and instances when it may not have performed as well as anticipated. Opponents contend that difficulties have arisen in the Act's successful implementation. The Act's ideals might be difficult for some public bodies to put into practise, which could cause dedication and results to differ amongst organisations. Public organisations may not be able to fully implement plans and initiatives related to well-being if they have limited financial resources. Initiatives focusing on equality, health, and well-being must have enough funds to be successful, and the breadth and depth of programmes may be impacted by financial limitations. It might be difficult to accomplish the Act's deadlines while still making major progress towards equality, health, and well-being. Some contend that the benefits of the Act may not be dispersed fairly among various groups and that the expectations for rapid change may not be in line with the gradual nature of societal development and health improvement. There is a worry that marginalised or vulnerable groups could not benefit from improvements in their health and well-being to the same extent as wealthy groups (CBI Wales, 2017) In addition, the Act may not have received as much public attention as it could for people to actively engage in promoting equality and well-being, arguing that without full understanding it is difficult to create consensus and agreement for the WFG to have it full desired effect. It's crucial to remember that solving these problems frequently calls for continuous work, cooperation from stakeholders, and regular reviews to improve the Act's execution and fix flaws. Continuous adaptation and learning from experiences can help the Act be more effective in promoting health, well-being, and equality in Wales.</w:t>
      </w:r>
    </w:p>
    <w:p xmlns:wp14="http://schemas.microsoft.com/office/word/2010/wordml" w:rsidP="21CAAA4A" wp14:paraId="6A4B0327" wp14:textId="7728CDA0">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11AB7650" wp14:paraId="7453D6E7" wp14:textId="3355C547">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11AB7650" w:rsidP="11AB7650" w:rsidRDefault="11AB7650" w14:paraId="15125127" w14:textId="0DBF430F">
      <w:pPr>
        <w:pStyle w:val="Normal"/>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11AB7650" w:rsidP="11AB7650" w:rsidRDefault="11AB7650" w14:paraId="2D296A54" w14:textId="3BF552E8">
      <w:pPr>
        <w:pStyle w:val="Normal"/>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11AB7650" w:rsidP="11AB7650" w:rsidRDefault="11AB7650" w14:paraId="00A3991F" w14:textId="31CA7A3D">
      <w:pPr>
        <w:pStyle w:val="Normal"/>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11AB7650" w:rsidP="11AB7650" w:rsidRDefault="11AB7650" w14:paraId="75EBB467" w14:textId="1C0BE9BB">
      <w:pPr>
        <w:pStyle w:val="Normal"/>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11AB7650" w:rsidP="11AB7650" w:rsidRDefault="11AB7650" w14:paraId="226EFD6E" w14:textId="35483F99">
      <w:pPr>
        <w:pStyle w:val="Normal"/>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11AB7650" w:rsidP="11AB7650" w:rsidRDefault="11AB7650" w14:paraId="349A365A" w14:textId="15FAFDCF">
      <w:pPr>
        <w:pStyle w:val="Normal"/>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11AB7650" w:rsidP="11AB7650" w:rsidRDefault="11AB7650" w14:paraId="16AA9378" w14:textId="6960C20C">
      <w:pPr>
        <w:pStyle w:val="Normal"/>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11AB7650" w:rsidP="11AB7650" w:rsidRDefault="11AB7650" w14:paraId="556BBB9F" w14:textId="222A76B8">
      <w:pPr>
        <w:pStyle w:val="Normal"/>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11AB7650" w:rsidP="11AB7650" w:rsidRDefault="11AB7650" w14:paraId="54F2CD89" w14:textId="6FC32539">
      <w:pPr>
        <w:pStyle w:val="Normal"/>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11AB7650" w:rsidP="11AB7650" w:rsidRDefault="11AB7650" w14:paraId="74F56FCB" w14:textId="685927DB">
      <w:pPr>
        <w:pStyle w:val="Normal"/>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11AB7650" w:rsidP="11AB7650" w:rsidRDefault="11AB7650" w14:paraId="4D974CB8" w14:textId="0BB2AB41">
      <w:pPr>
        <w:pStyle w:val="Normal"/>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11AB7650" w:rsidP="11AB7650" w:rsidRDefault="11AB7650" w14:paraId="7B654308" w14:textId="11F4CE65">
      <w:pPr>
        <w:pStyle w:val="Normal"/>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21CAAA4A" wp14:paraId="0CAA2FBA" wp14:textId="2EA54037">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21CAAA4A" wp14:paraId="623B538C" wp14:textId="3719799C">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21CAAA4A" wp14:paraId="0C25B8F0" wp14:textId="46CFBC82">
      <w:pPr>
        <w:pStyle w:val="Normal"/>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21CAAA4A" wp14:paraId="1704AE6C" wp14:textId="5F9B4369">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21CAAA4A" w:rsidR="06CEEAA1">
        <w:rPr>
          <w:rFonts w:ascii="Calibri" w:hAnsi="Calibri" w:eastAsia="Calibri" w:cs="Calibri"/>
          <w:b w:val="1"/>
          <w:bCs w:val="1"/>
          <w:i w:val="0"/>
          <w:iCs w:val="0"/>
          <w:caps w:val="0"/>
          <w:smallCaps w:val="0"/>
          <w:noProof w:val="0"/>
          <w:color w:val="000000" w:themeColor="text1" w:themeTint="FF" w:themeShade="FF"/>
          <w:sz w:val="22"/>
          <w:szCs w:val="22"/>
          <w:lang w:val="en-GB"/>
        </w:rPr>
        <w:t>References</w:t>
      </w:r>
    </w:p>
    <w:p xmlns:wp14="http://schemas.microsoft.com/office/word/2010/wordml" w:rsidP="21CAAA4A" wp14:paraId="42BD8E3B" wp14:textId="0D7B0ADB">
      <w:pPr>
        <w:spacing w:after="160" w:line="360" w:lineRule="auto"/>
        <w:ind w:left="720" w:hanging="720"/>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21CAAA4A" wp14:paraId="6A4CDCA5" wp14:textId="613CA6FA">
      <w:pPr>
        <w:spacing w:after="160" w:line="360" w:lineRule="auto"/>
        <w:ind w:left="720" w:hanging="720"/>
        <w:rPr>
          <w:rFonts w:ascii="Calibri" w:hAnsi="Calibri" w:eastAsia="Calibri" w:cs="Calibri"/>
          <w:b w:val="0"/>
          <w:bCs w:val="0"/>
          <w:i w:val="0"/>
          <w:iCs w:val="0"/>
          <w:caps w:val="0"/>
          <w:smallCaps w:val="0"/>
          <w:noProof w:val="0"/>
          <w:color w:val="000000" w:themeColor="text1" w:themeTint="FF" w:themeShade="FF"/>
          <w:sz w:val="22"/>
          <w:szCs w:val="22"/>
          <w:lang w:val="en-US"/>
        </w:rPr>
      </w:pPr>
      <w:r w:rsidRPr="21CAAA4A" w:rsidR="06CEEAA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BBC News. (2015) </w:t>
      </w:r>
      <w:r w:rsidRPr="21CAAA4A" w:rsidR="06CEEAA1">
        <w:rPr>
          <w:rFonts w:ascii="Calibri" w:hAnsi="Calibri" w:eastAsia="Calibri" w:cs="Calibri"/>
          <w:b w:val="0"/>
          <w:bCs w:val="0"/>
          <w:i w:val="1"/>
          <w:iCs w:val="1"/>
          <w:caps w:val="0"/>
          <w:smallCaps w:val="0"/>
          <w:noProof w:val="0"/>
          <w:color w:val="000000" w:themeColor="text1" w:themeTint="FF" w:themeShade="FF"/>
          <w:sz w:val="22"/>
          <w:szCs w:val="22"/>
          <w:lang w:val="en-GB"/>
        </w:rPr>
        <w:t>Labour Insider' gets Future Generations Commissioner Job</w:t>
      </w:r>
      <w:r w:rsidRPr="21CAAA4A" w:rsidR="06CEEAA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Available at: </w:t>
      </w:r>
      <w:hyperlink r:id="R349a1a9485eb43c2">
        <w:r w:rsidRPr="21CAAA4A" w:rsidR="06CEEAA1">
          <w:rPr>
            <w:rStyle w:val="Hyperlink"/>
            <w:rFonts w:ascii="Calibri" w:hAnsi="Calibri" w:eastAsia="Calibri" w:cs="Calibri"/>
            <w:b w:val="0"/>
            <w:bCs w:val="0"/>
            <w:i w:val="0"/>
            <w:iCs w:val="0"/>
            <w:caps w:val="0"/>
            <w:smallCaps w:val="0"/>
            <w:noProof w:val="0"/>
            <w:sz w:val="22"/>
            <w:szCs w:val="22"/>
            <w:lang w:val="en-GB"/>
          </w:rPr>
          <w:t>https://www.bbc.co.uk/news/uk-wales-politics-34709434</w:t>
        </w:r>
      </w:hyperlink>
      <w:r w:rsidRPr="21CAAA4A" w:rsidR="06CEEAA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23 November 2023).</w:t>
      </w:r>
    </w:p>
    <w:p xmlns:wp14="http://schemas.microsoft.com/office/word/2010/wordml" w:rsidP="21CAAA4A" wp14:paraId="78BEA942" wp14:textId="5F664235">
      <w:pPr>
        <w:spacing w:after="160" w:line="360" w:lineRule="auto"/>
        <w:ind w:left="720" w:hanging="720"/>
        <w:rPr>
          <w:rFonts w:ascii="Calibri" w:hAnsi="Calibri" w:eastAsia="Calibri" w:cs="Calibri"/>
          <w:b w:val="0"/>
          <w:bCs w:val="0"/>
          <w:i w:val="0"/>
          <w:iCs w:val="0"/>
          <w:caps w:val="0"/>
          <w:smallCaps w:val="0"/>
          <w:noProof w:val="0"/>
          <w:color w:val="000000" w:themeColor="text1" w:themeTint="FF" w:themeShade="FF"/>
          <w:sz w:val="22"/>
          <w:szCs w:val="22"/>
          <w:lang w:val="en-US"/>
        </w:rPr>
      </w:pPr>
      <w:r w:rsidRPr="21CAAA4A" w:rsidR="06CEEAA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Buttener, D. (2019) </w:t>
      </w:r>
      <w:r w:rsidRPr="21CAAA4A" w:rsidR="06CEEAA1">
        <w:rPr>
          <w:rFonts w:ascii="Calibri" w:hAnsi="Calibri" w:eastAsia="Calibri" w:cs="Calibri"/>
          <w:b w:val="0"/>
          <w:bCs w:val="0"/>
          <w:i w:val="1"/>
          <w:iCs w:val="1"/>
          <w:caps w:val="0"/>
          <w:smallCaps w:val="0"/>
          <w:noProof w:val="0"/>
          <w:color w:val="000000" w:themeColor="text1" w:themeTint="FF" w:themeShade="FF"/>
          <w:sz w:val="22"/>
          <w:szCs w:val="22"/>
          <w:lang w:val="en-GB"/>
        </w:rPr>
        <w:t>Blue Zones</w:t>
      </w:r>
      <w:r w:rsidRPr="21CAAA4A" w:rsidR="06CEEAA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Available at: </w:t>
      </w:r>
      <w:hyperlink r:id="R9d22998c8e254ad4">
        <w:r w:rsidRPr="21CAAA4A" w:rsidR="06CEEAA1">
          <w:rPr>
            <w:rStyle w:val="Hyperlink"/>
            <w:rFonts w:ascii="Calibri" w:hAnsi="Calibri" w:eastAsia="Calibri" w:cs="Calibri"/>
            <w:b w:val="0"/>
            <w:bCs w:val="0"/>
            <w:i w:val="0"/>
            <w:iCs w:val="0"/>
            <w:caps w:val="0"/>
            <w:smallCaps w:val="0"/>
            <w:noProof w:val="0"/>
            <w:sz w:val="22"/>
            <w:szCs w:val="22"/>
            <w:lang w:val="en-GB"/>
          </w:rPr>
          <w:t>https://www.bluezones.com/dan-buettner/</w:t>
        </w:r>
      </w:hyperlink>
      <w:r w:rsidRPr="21CAAA4A" w:rsidR="06CEEAA1">
        <w:rPr>
          <w:rFonts w:ascii="Calibri" w:hAnsi="Calibri" w:eastAsia="Calibri" w:cs="Calibri"/>
          <w:b w:val="0"/>
          <w:bCs w:val="0"/>
          <w:i w:val="0"/>
          <w:iCs w:val="0"/>
          <w:caps w:val="0"/>
          <w:smallCaps w:val="0"/>
          <w:noProof w:val="0"/>
          <w:color w:val="000000" w:themeColor="text1" w:themeTint="FF" w:themeShade="FF"/>
          <w:sz w:val="22"/>
          <w:szCs w:val="22"/>
          <w:lang w:val="en-GB"/>
        </w:rPr>
        <w:t>. (Accessed: 30 November 2023).</w:t>
      </w:r>
    </w:p>
    <w:p xmlns:wp14="http://schemas.microsoft.com/office/word/2010/wordml" w:rsidP="21CAAA4A" wp14:paraId="02757B0F" wp14:textId="24267E90">
      <w:pPr>
        <w:spacing w:after="160" w:line="360" w:lineRule="auto"/>
        <w:ind w:left="720" w:hanging="720"/>
        <w:rPr>
          <w:rFonts w:ascii="Calibri" w:hAnsi="Calibri" w:eastAsia="Calibri" w:cs="Calibri"/>
          <w:b w:val="0"/>
          <w:bCs w:val="0"/>
          <w:i w:val="0"/>
          <w:iCs w:val="0"/>
          <w:caps w:val="0"/>
          <w:smallCaps w:val="0"/>
          <w:noProof w:val="0"/>
          <w:color w:val="000000" w:themeColor="text1" w:themeTint="FF" w:themeShade="FF"/>
          <w:sz w:val="22"/>
          <w:szCs w:val="22"/>
          <w:lang w:val="en-US"/>
        </w:rPr>
      </w:pPr>
      <w:r w:rsidRPr="21CAAA4A" w:rsidR="06CEEAA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Cardiff.gov.uk. (2022) </w:t>
      </w:r>
      <w:r w:rsidRPr="21CAAA4A" w:rsidR="06CEEAA1">
        <w:rPr>
          <w:rFonts w:ascii="Calibri" w:hAnsi="Calibri" w:eastAsia="Calibri" w:cs="Calibri"/>
          <w:b w:val="0"/>
          <w:bCs w:val="0"/>
          <w:i w:val="1"/>
          <w:iCs w:val="1"/>
          <w:caps w:val="0"/>
          <w:smallCaps w:val="0"/>
          <w:noProof w:val="0"/>
          <w:color w:val="000000" w:themeColor="text1" w:themeTint="FF" w:themeShade="FF"/>
          <w:sz w:val="22"/>
          <w:szCs w:val="22"/>
          <w:lang w:val="en-GB"/>
        </w:rPr>
        <w:t>Cardiff housing support programme strategy 2022 to 2026</w:t>
      </w:r>
      <w:r w:rsidRPr="21CAAA4A" w:rsidR="06CEEAA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Available at: </w:t>
      </w:r>
      <w:hyperlink r:id="Re24174caeeea439f">
        <w:r w:rsidRPr="21CAAA4A" w:rsidR="06CEEAA1">
          <w:rPr>
            <w:rStyle w:val="Hyperlink"/>
            <w:rFonts w:ascii="Calibri" w:hAnsi="Calibri" w:eastAsia="Calibri" w:cs="Calibri"/>
            <w:b w:val="0"/>
            <w:bCs w:val="0"/>
            <w:i w:val="0"/>
            <w:iCs w:val="0"/>
            <w:caps w:val="0"/>
            <w:smallCaps w:val="0"/>
            <w:noProof w:val="0"/>
            <w:sz w:val="22"/>
            <w:szCs w:val="22"/>
            <w:lang w:val="en-GB"/>
          </w:rPr>
          <w:t>https://www.cardiff.gov.uk/ENG/Your-Council/Strategies-plans-and-policies/Social-care-and-Housing/Cardiff-housing-support-programme-strategy-2022-to-2026/Pages/default.aspx</w:t>
        </w:r>
      </w:hyperlink>
      <w:r w:rsidRPr="21CAAA4A" w:rsidR="06CEEAA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4 December 2023).</w:t>
      </w:r>
    </w:p>
    <w:p xmlns:wp14="http://schemas.microsoft.com/office/word/2010/wordml" w:rsidP="21CAAA4A" wp14:paraId="7FFB5A53" wp14:textId="00BDBB74">
      <w:pPr>
        <w:spacing w:after="160" w:line="360" w:lineRule="auto"/>
        <w:ind w:left="720" w:hanging="720"/>
        <w:rPr>
          <w:rFonts w:ascii="Calibri" w:hAnsi="Calibri" w:eastAsia="Calibri" w:cs="Calibri"/>
          <w:b w:val="0"/>
          <w:bCs w:val="0"/>
          <w:i w:val="0"/>
          <w:iCs w:val="0"/>
          <w:caps w:val="0"/>
          <w:smallCaps w:val="0"/>
          <w:noProof w:val="0"/>
          <w:color w:val="000000" w:themeColor="text1" w:themeTint="FF" w:themeShade="FF"/>
          <w:sz w:val="22"/>
          <w:szCs w:val="22"/>
          <w:lang w:val="en-US"/>
        </w:rPr>
      </w:pPr>
      <w:r w:rsidRPr="21CAAA4A" w:rsidR="06CEEAA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CBI Wales (2017) </w:t>
      </w:r>
      <w:r w:rsidRPr="21CAAA4A" w:rsidR="06CEEAA1">
        <w:rPr>
          <w:rFonts w:ascii="Calibri" w:hAnsi="Calibri" w:eastAsia="Calibri" w:cs="Calibri"/>
          <w:b w:val="0"/>
          <w:bCs w:val="0"/>
          <w:i w:val="1"/>
          <w:iCs w:val="1"/>
          <w:caps w:val="0"/>
          <w:smallCaps w:val="0"/>
          <w:noProof w:val="0"/>
          <w:color w:val="000000" w:themeColor="text1" w:themeTint="FF" w:themeShade="FF"/>
          <w:sz w:val="22"/>
          <w:szCs w:val="22"/>
          <w:lang w:val="en-GB"/>
        </w:rPr>
        <w:t>CBI Wales criticises 'negative' Future Generations Commission</w:t>
      </w:r>
      <w:r w:rsidRPr="21CAAA4A" w:rsidR="06CEEAA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BBC News. 11 Oct. Available at: </w:t>
      </w:r>
      <w:hyperlink r:id="R627b7f22ee0a4c05">
        <w:r w:rsidRPr="21CAAA4A" w:rsidR="06CEEAA1">
          <w:rPr>
            <w:rStyle w:val="Hyperlink"/>
            <w:rFonts w:ascii="Calibri" w:hAnsi="Calibri" w:eastAsia="Calibri" w:cs="Calibri"/>
            <w:b w:val="0"/>
            <w:bCs w:val="0"/>
            <w:i w:val="0"/>
            <w:iCs w:val="0"/>
            <w:caps w:val="0"/>
            <w:smallCaps w:val="0"/>
            <w:strike w:val="0"/>
            <w:dstrike w:val="0"/>
            <w:noProof w:val="0"/>
            <w:sz w:val="22"/>
            <w:szCs w:val="22"/>
            <w:lang w:val="en-GB"/>
          </w:rPr>
          <w:t>https://www.bbc.co.uk/news/uk-wales-41558077</w:t>
        </w:r>
      </w:hyperlink>
      <w:r w:rsidRPr="21CAAA4A" w:rsidR="06CEEAA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6 Dec. 2023).</w:t>
      </w:r>
    </w:p>
    <w:p xmlns:wp14="http://schemas.microsoft.com/office/word/2010/wordml" w:rsidP="21CAAA4A" wp14:paraId="41F08648" wp14:textId="0E62AA07">
      <w:pPr>
        <w:spacing w:after="160" w:line="360" w:lineRule="auto"/>
        <w:ind w:left="720" w:hanging="720"/>
        <w:rPr>
          <w:rFonts w:ascii="Calibri" w:hAnsi="Calibri" w:eastAsia="Calibri" w:cs="Calibri"/>
          <w:b w:val="0"/>
          <w:bCs w:val="0"/>
          <w:i w:val="0"/>
          <w:iCs w:val="0"/>
          <w:caps w:val="0"/>
          <w:smallCaps w:val="0"/>
          <w:noProof w:val="0"/>
          <w:color w:val="000000" w:themeColor="text1" w:themeTint="FF" w:themeShade="FF"/>
          <w:sz w:val="22"/>
          <w:szCs w:val="22"/>
          <w:lang w:val="en-US"/>
        </w:rPr>
      </w:pPr>
      <w:r w:rsidRPr="21CAAA4A" w:rsidR="06CEEAA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Clifford, B. and Morphet, J. (2022) Local authorities doing it for themselves: austerity, the direct provision of housing and changing central-local relations in England. </w:t>
      </w:r>
      <w:r w:rsidRPr="21CAAA4A" w:rsidR="06CEEAA1">
        <w:rPr>
          <w:rFonts w:ascii="Calibri" w:hAnsi="Calibri" w:eastAsia="Calibri" w:cs="Calibri"/>
          <w:b w:val="0"/>
          <w:bCs w:val="0"/>
          <w:i w:val="1"/>
          <w:iCs w:val="1"/>
          <w:caps w:val="0"/>
          <w:smallCaps w:val="0"/>
          <w:noProof w:val="0"/>
          <w:color w:val="000000" w:themeColor="text1" w:themeTint="FF" w:themeShade="FF"/>
          <w:sz w:val="22"/>
          <w:szCs w:val="22"/>
          <w:lang w:val="en-GB"/>
        </w:rPr>
        <w:t>Local Government Studies</w:t>
      </w:r>
      <w:r w:rsidRPr="21CAAA4A" w:rsidR="06CEEAA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pp.1–23. Available at: </w:t>
      </w:r>
      <w:hyperlink r:id="R689d26d8b18b4cac">
        <w:r w:rsidRPr="21CAAA4A" w:rsidR="06CEEAA1">
          <w:rPr>
            <w:rStyle w:val="Hyperlink"/>
            <w:rFonts w:ascii="Calibri" w:hAnsi="Calibri" w:eastAsia="Calibri" w:cs="Calibri"/>
            <w:b w:val="0"/>
            <w:bCs w:val="0"/>
            <w:i w:val="0"/>
            <w:iCs w:val="0"/>
            <w:caps w:val="0"/>
            <w:smallCaps w:val="0"/>
            <w:noProof w:val="0"/>
            <w:sz w:val="22"/>
            <w:szCs w:val="22"/>
            <w:lang w:val="en-GB"/>
          </w:rPr>
          <w:t>https://doi.org/10.1080/03003930.2022.2033227</w:t>
        </w:r>
      </w:hyperlink>
      <w:r w:rsidRPr="21CAAA4A" w:rsidR="06CEEAA1">
        <w:rPr>
          <w:rFonts w:ascii="Calibri" w:hAnsi="Calibri" w:eastAsia="Calibri" w:cs="Calibri"/>
          <w:b w:val="0"/>
          <w:bCs w:val="0"/>
          <w:i w:val="0"/>
          <w:iCs w:val="0"/>
          <w:caps w:val="0"/>
          <w:smallCaps w:val="0"/>
          <w:noProof w:val="0"/>
          <w:color w:val="000000" w:themeColor="text1" w:themeTint="FF" w:themeShade="FF"/>
          <w:sz w:val="22"/>
          <w:szCs w:val="22"/>
          <w:lang w:val="en-GB"/>
        </w:rPr>
        <w:t>. (Accessed: 6 December 2023)</w:t>
      </w:r>
    </w:p>
    <w:p xmlns:wp14="http://schemas.microsoft.com/office/word/2010/wordml" w:rsidP="21CAAA4A" wp14:paraId="5A9F0D4E" wp14:textId="2FE7C75D">
      <w:pPr>
        <w:spacing w:after="160" w:line="360" w:lineRule="auto"/>
        <w:ind w:left="720" w:hanging="720"/>
        <w:rPr>
          <w:rFonts w:ascii="Calibri" w:hAnsi="Calibri" w:eastAsia="Calibri" w:cs="Calibri"/>
          <w:b w:val="0"/>
          <w:bCs w:val="0"/>
          <w:i w:val="0"/>
          <w:iCs w:val="0"/>
          <w:caps w:val="0"/>
          <w:smallCaps w:val="0"/>
          <w:noProof w:val="0"/>
          <w:color w:val="000000" w:themeColor="text1" w:themeTint="FF" w:themeShade="FF"/>
          <w:sz w:val="22"/>
          <w:szCs w:val="22"/>
          <w:lang w:val="en-US"/>
        </w:rPr>
      </w:pPr>
      <w:r w:rsidRPr="21CAAA4A" w:rsidR="06CEEAA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Cynnal Cymru (2015) The Wales We Want Report; A Report on Behalf of Future Generations. Available at: </w:t>
      </w:r>
      <w:hyperlink r:id="R4893b2f56c4f4d7b">
        <w:r w:rsidRPr="21CAAA4A" w:rsidR="06CEEAA1">
          <w:rPr>
            <w:rStyle w:val="Hyperlink"/>
            <w:rFonts w:ascii="Calibri" w:hAnsi="Calibri" w:eastAsia="Calibri" w:cs="Calibri"/>
            <w:b w:val="0"/>
            <w:bCs w:val="0"/>
            <w:i w:val="0"/>
            <w:iCs w:val="0"/>
            <w:caps w:val="0"/>
            <w:smallCaps w:val="0"/>
            <w:noProof w:val="0"/>
            <w:sz w:val="22"/>
            <w:szCs w:val="22"/>
            <w:lang w:val="en-GB"/>
          </w:rPr>
          <w:t>https://www.gov.wales/sites/default/files/publications/2021-09/a-healthier-wales-our-plan-for-health-and-social-care.pdf</w:t>
        </w:r>
      </w:hyperlink>
      <w:r w:rsidRPr="21CAAA4A" w:rsidR="06CEEAA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26 November 2023).</w:t>
      </w:r>
    </w:p>
    <w:p xmlns:wp14="http://schemas.microsoft.com/office/word/2010/wordml" w:rsidP="21CAAA4A" wp14:paraId="0A199486" wp14:textId="50D57EAA">
      <w:pPr>
        <w:spacing w:after="160" w:line="360" w:lineRule="auto"/>
        <w:ind w:left="720" w:hanging="720"/>
        <w:rPr>
          <w:rFonts w:ascii="Calibri" w:hAnsi="Calibri" w:eastAsia="Calibri" w:cs="Calibri"/>
          <w:b w:val="0"/>
          <w:bCs w:val="0"/>
          <w:i w:val="0"/>
          <w:iCs w:val="0"/>
          <w:caps w:val="0"/>
          <w:smallCaps w:val="0"/>
          <w:noProof w:val="0"/>
          <w:color w:val="000000" w:themeColor="text1" w:themeTint="FF" w:themeShade="FF"/>
          <w:sz w:val="22"/>
          <w:szCs w:val="22"/>
          <w:lang w:val="en-US"/>
        </w:rPr>
      </w:pPr>
      <w:r w:rsidRPr="21CAAA4A" w:rsidR="06CEEAA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Future Generations Commissioner for Wales (2018a) Well-being of Future Generations (Wales) Act 2015. Available at: </w:t>
      </w:r>
      <w:hyperlink r:id="Rd63612cf2ae54680">
        <w:r w:rsidRPr="21CAAA4A" w:rsidR="06CEEAA1">
          <w:rPr>
            <w:rStyle w:val="Hyperlink"/>
            <w:rFonts w:ascii="Calibri" w:hAnsi="Calibri" w:eastAsia="Calibri" w:cs="Calibri"/>
            <w:b w:val="0"/>
            <w:bCs w:val="0"/>
            <w:i w:val="0"/>
            <w:iCs w:val="0"/>
            <w:caps w:val="0"/>
            <w:smallCaps w:val="0"/>
            <w:noProof w:val="0"/>
            <w:sz w:val="22"/>
            <w:szCs w:val="22"/>
            <w:lang w:val="en-GB"/>
          </w:rPr>
          <w:t>https://futuregenerations.wales/wp-content/uploads/2017/01/WFGAct-English.pdf.%202018</w:t>
        </w:r>
      </w:hyperlink>
      <w:r w:rsidRPr="21CAAA4A" w:rsidR="06CEEAA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23 November 2023).</w:t>
      </w:r>
    </w:p>
    <w:p xmlns:wp14="http://schemas.microsoft.com/office/word/2010/wordml" w:rsidP="21CAAA4A" wp14:paraId="4DFA912A" wp14:textId="00D907A7">
      <w:pPr>
        <w:spacing w:after="160" w:line="360" w:lineRule="auto"/>
        <w:ind w:left="720" w:hanging="720"/>
        <w:rPr>
          <w:rFonts w:ascii="Calibri" w:hAnsi="Calibri" w:eastAsia="Calibri" w:cs="Calibri"/>
          <w:b w:val="0"/>
          <w:bCs w:val="0"/>
          <w:i w:val="0"/>
          <w:iCs w:val="0"/>
          <w:caps w:val="0"/>
          <w:smallCaps w:val="0"/>
          <w:noProof w:val="0"/>
          <w:color w:val="000000" w:themeColor="text1" w:themeTint="FF" w:themeShade="FF"/>
          <w:sz w:val="22"/>
          <w:szCs w:val="22"/>
          <w:lang w:val="en-US"/>
        </w:rPr>
      </w:pPr>
      <w:r w:rsidRPr="21CAAA4A" w:rsidR="06CEEAA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Future Generations Commissioner for Wales (2018b) Well-being in Wales: The Journey So Far. Available at: </w:t>
      </w:r>
      <w:hyperlink r:id="R082d33f5d7b34a7e">
        <w:r w:rsidRPr="21CAAA4A" w:rsidR="06CEEAA1">
          <w:rPr>
            <w:rStyle w:val="Hyperlink"/>
            <w:rFonts w:ascii="Calibri" w:hAnsi="Calibri" w:eastAsia="Calibri" w:cs="Calibri"/>
            <w:b w:val="0"/>
            <w:bCs w:val="0"/>
            <w:i w:val="0"/>
            <w:iCs w:val="0"/>
            <w:caps w:val="0"/>
            <w:smallCaps w:val="0"/>
            <w:noProof w:val="0"/>
            <w:sz w:val="22"/>
            <w:szCs w:val="22"/>
            <w:lang w:val="en-GB"/>
          </w:rPr>
          <w:t>https://futuregenerations.wales/wp-content/uploads/2018/11/FGCW-1-year-Report-_English.pdf</w:t>
        </w:r>
      </w:hyperlink>
      <w:r w:rsidRPr="21CAAA4A" w:rsidR="06CEEAA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23 November 2023).</w:t>
      </w:r>
    </w:p>
    <w:p xmlns:wp14="http://schemas.microsoft.com/office/word/2010/wordml" w:rsidP="21CAAA4A" wp14:paraId="4EC23C85" wp14:textId="6AF34C9C">
      <w:pPr>
        <w:spacing w:after="160" w:line="360" w:lineRule="auto"/>
        <w:ind w:left="720" w:hanging="720"/>
        <w:rPr>
          <w:rFonts w:ascii="Calibri" w:hAnsi="Calibri" w:eastAsia="Calibri" w:cs="Calibri"/>
          <w:b w:val="0"/>
          <w:bCs w:val="0"/>
          <w:i w:val="0"/>
          <w:iCs w:val="0"/>
          <w:caps w:val="0"/>
          <w:smallCaps w:val="0"/>
          <w:noProof w:val="0"/>
          <w:color w:val="000000" w:themeColor="text1" w:themeTint="FF" w:themeShade="FF"/>
          <w:sz w:val="22"/>
          <w:szCs w:val="22"/>
          <w:lang w:val="en-US"/>
        </w:rPr>
      </w:pPr>
      <w:r w:rsidRPr="21CAAA4A" w:rsidR="06CEEAA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Future Generations Commissioner for Wales (2018c) Our Team. Available at: </w:t>
      </w:r>
      <w:hyperlink r:id="R657d7a623b5242c1">
        <w:r w:rsidRPr="21CAAA4A" w:rsidR="06CEEAA1">
          <w:rPr>
            <w:rStyle w:val="Hyperlink"/>
            <w:rFonts w:ascii="Calibri" w:hAnsi="Calibri" w:eastAsia="Calibri" w:cs="Calibri"/>
            <w:b w:val="0"/>
            <w:bCs w:val="0"/>
            <w:i w:val="0"/>
            <w:iCs w:val="0"/>
            <w:caps w:val="0"/>
            <w:smallCaps w:val="0"/>
            <w:noProof w:val="0"/>
            <w:sz w:val="22"/>
            <w:szCs w:val="22"/>
            <w:lang w:val="en-GB"/>
          </w:rPr>
          <w:t>https://futuregenerations.wales/about-us/our-team/</w:t>
        </w:r>
      </w:hyperlink>
      <w:r w:rsidRPr="21CAAA4A" w:rsidR="06CEEAA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23 November 2023).</w:t>
      </w:r>
    </w:p>
    <w:p xmlns:wp14="http://schemas.microsoft.com/office/word/2010/wordml" w:rsidP="21CAAA4A" wp14:paraId="2BD53C1A" wp14:textId="6C08EFDB">
      <w:pPr>
        <w:spacing w:after="160" w:line="360" w:lineRule="auto"/>
        <w:ind w:left="720" w:hanging="720"/>
        <w:rPr>
          <w:rFonts w:ascii="Calibri" w:hAnsi="Calibri" w:eastAsia="Calibri" w:cs="Calibri"/>
          <w:b w:val="0"/>
          <w:bCs w:val="0"/>
          <w:i w:val="0"/>
          <w:iCs w:val="0"/>
          <w:caps w:val="0"/>
          <w:smallCaps w:val="0"/>
          <w:noProof w:val="0"/>
          <w:color w:val="000000" w:themeColor="text1" w:themeTint="FF" w:themeShade="FF"/>
          <w:sz w:val="22"/>
          <w:szCs w:val="22"/>
          <w:lang w:val="en-US"/>
        </w:rPr>
      </w:pPr>
      <w:r w:rsidRPr="21CAAA4A" w:rsidR="06CEEAA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Gov.Uk. (2019) UK Voluntary National Review of Progress Towards the Sustainable Development Goals - GOV.UK. Available at: </w:t>
      </w:r>
      <w:hyperlink r:id="Rfd56a852a75e4d98">
        <w:r w:rsidRPr="21CAAA4A" w:rsidR="06CEEAA1">
          <w:rPr>
            <w:rStyle w:val="Hyperlink"/>
            <w:rFonts w:ascii="Calibri" w:hAnsi="Calibri" w:eastAsia="Calibri" w:cs="Calibri"/>
            <w:b w:val="0"/>
            <w:bCs w:val="0"/>
            <w:i w:val="0"/>
            <w:iCs w:val="0"/>
            <w:caps w:val="0"/>
            <w:smallCaps w:val="0"/>
            <w:noProof w:val="0"/>
            <w:sz w:val="22"/>
            <w:szCs w:val="22"/>
            <w:lang w:val="en-GB"/>
          </w:rPr>
          <w:t>https://www.gov.uk/government/topical-events/uk-voluntary-national-review-of-progress-towards-the-sustainable-development-goals</w:t>
        </w:r>
      </w:hyperlink>
      <w:r w:rsidRPr="21CAAA4A" w:rsidR="06CEEAA1">
        <w:rPr>
          <w:rFonts w:ascii="Calibri" w:hAnsi="Calibri" w:eastAsia="Calibri" w:cs="Calibri"/>
          <w:b w:val="0"/>
          <w:bCs w:val="0"/>
          <w:i w:val="0"/>
          <w:iCs w:val="0"/>
          <w:caps w:val="0"/>
          <w:smallCaps w:val="0"/>
          <w:noProof w:val="0"/>
          <w:color w:val="000000" w:themeColor="text1" w:themeTint="FF" w:themeShade="FF"/>
          <w:sz w:val="22"/>
          <w:szCs w:val="22"/>
          <w:lang w:val="en-GB"/>
        </w:rPr>
        <w:t>. (Accessed: 30 November 2023).</w:t>
      </w:r>
    </w:p>
    <w:p xmlns:wp14="http://schemas.microsoft.com/office/word/2010/wordml" w:rsidP="21CAAA4A" wp14:paraId="600FAB1A" wp14:textId="4C926BCB">
      <w:pPr>
        <w:spacing w:before="0" w:beforeAutospacing="off" w:after="160" w:line="360" w:lineRule="auto"/>
        <w:ind w:left="720" w:hanging="720"/>
        <w:rPr>
          <w:rFonts w:ascii="Calibri" w:hAnsi="Calibri" w:eastAsia="Calibri" w:cs="Calibri"/>
          <w:b w:val="0"/>
          <w:bCs w:val="0"/>
          <w:i w:val="0"/>
          <w:iCs w:val="0"/>
          <w:caps w:val="0"/>
          <w:smallCaps w:val="0"/>
          <w:noProof w:val="0"/>
          <w:color w:val="000000" w:themeColor="text1" w:themeTint="FF" w:themeShade="FF"/>
          <w:sz w:val="22"/>
          <w:szCs w:val="22"/>
          <w:lang w:val="pl-PL"/>
        </w:rPr>
      </w:pPr>
      <w:r w:rsidRPr="21CAAA4A" w:rsidR="06CEEAA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Gov.Wales. (2021). </w:t>
      </w:r>
      <w:r w:rsidRPr="21CAAA4A" w:rsidR="06CEEAA1">
        <w:rPr>
          <w:rFonts w:ascii="Calibri" w:hAnsi="Calibri" w:eastAsia="Calibri" w:cs="Calibri"/>
          <w:b w:val="0"/>
          <w:bCs w:val="0"/>
          <w:i w:val="1"/>
          <w:iCs w:val="1"/>
          <w:caps w:val="0"/>
          <w:smallCaps w:val="0"/>
          <w:noProof w:val="0"/>
          <w:color w:val="000000" w:themeColor="text1" w:themeTint="FF" w:themeShade="FF"/>
          <w:sz w:val="22"/>
          <w:szCs w:val="22"/>
          <w:lang w:val="en-GB"/>
        </w:rPr>
        <w:t>Government of Wales Act 2006 | Law Wales</w:t>
      </w:r>
      <w:r w:rsidRPr="21CAAA4A" w:rsidR="06CEEAA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[online] Available at: </w:t>
      </w:r>
      <w:hyperlink w:anchor=":~:text=The%20Government%20of%20Wales%20Act%202006%20%28GoWA%202006%29" r:id="R714b8a28bd5344db">
        <w:r w:rsidRPr="21CAAA4A" w:rsidR="06CEEAA1">
          <w:rPr>
            <w:rStyle w:val="Hyperlink"/>
            <w:rFonts w:ascii="Calibri" w:hAnsi="Calibri" w:eastAsia="Calibri" w:cs="Calibri"/>
            <w:b w:val="0"/>
            <w:bCs w:val="0"/>
            <w:i w:val="0"/>
            <w:iCs w:val="0"/>
            <w:caps w:val="0"/>
            <w:smallCaps w:val="0"/>
            <w:strike w:val="0"/>
            <w:dstrike w:val="0"/>
            <w:noProof w:val="0"/>
            <w:sz w:val="22"/>
            <w:szCs w:val="22"/>
            <w:lang w:val="en-GB"/>
          </w:rPr>
          <w:t>https://law.gov.wales/constitution-and-government/constitution-and-devolution/government-wales-act-2006#:~:text=The%20Government%20of%20Wales%20Act%202006%20%28GoWA%202006%29</w:t>
        </w:r>
      </w:hyperlink>
      <w:r w:rsidRPr="21CAAA4A" w:rsidR="06CEEAA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6 December 2023).</w:t>
      </w:r>
    </w:p>
    <w:p xmlns:wp14="http://schemas.microsoft.com/office/word/2010/wordml" w:rsidP="21CAAA4A" wp14:paraId="795F4E63" wp14:textId="1D6CBD86">
      <w:pPr>
        <w:spacing w:after="160" w:line="360" w:lineRule="auto"/>
        <w:ind w:left="720" w:hanging="720"/>
        <w:rPr>
          <w:rFonts w:ascii="Calibri" w:hAnsi="Calibri" w:eastAsia="Calibri" w:cs="Calibri"/>
          <w:b w:val="0"/>
          <w:bCs w:val="0"/>
          <w:i w:val="0"/>
          <w:iCs w:val="0"/>
          <w:caps w:val="0"/>
          <w:smallCaps w:val="0"/>
          <w:noProof w:val="0"/>
          <w:color w:val="000000" w:themeColor="text1" w:themeTint="FF" w:themeShade="FF"/>
          <w:sz w:val="22"/>
          <w:szCs w:val="22"/>
          <w:lang w:val="pl-PL"/>
        </w:rPr>
      </w:pPr>
    </w:p>
    <w:p xmlns:wp14="http://schemas.microsoft.com/office/word/2010/wordml" w:rsidP="21CAAA4A" wp14:paraId="44C53EDC" wp14:textId="02883EAE">
      <w:pPr>
        <w:spacing w:after="160" w:line="360" w:lineRule="auto"/>
        <w:ind w:left="720" w:hanging="720"/>
        <w:rPr>
          <w:rFonts w:ascii="Calibri" w:hAnsi="Calibri" w:eastAsia="Calibri" w:cs="Calibri"/>
          <w:b w:val="0"/>
          <w:bCs w:val="0"/>
          <w:i w:val="0"/>
          <w:iCs w:val="0"/>
          <w:caps w:val="0"/>
          <w:smallCaps w:val="0"/>
          <w:noProof w:val="0"/>
          <w:color w:val="000000" w:themeColor="text1" w:themeTint="FF" w:themeShade="FF"/>
          <w:sz w:val="22"/>
          <w:szCs w:val="22"/>
          <w:lang w:val="en-US"/>
        </w:rPr>
      </w:pPr>
      <w:r w:rsidRPr="21CAAA4A" w:rsidR="06CEEAA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Hodgetts, J. (2019) The Canadian Public Service : A Physiology of Government 1867-1970. Toronto: University of Toronto Press,. Available at: </w:t>
      </w:r>
      <w:hyperlink r:id="R861f584afbad47b1">
        <w:r w:rsidRPr="21CAAA4A" w:rsidR="06CEEAA1">
          <w:rPr>
            <w:rStyle w:val="Hyperlink"/>
            <w:rFonts w:ascii="Calibri" w:hAnsi="Calibri" w:eastAsia="Calibri" w:cs="Calibri"/>
            <w:b w:val="0"/>
            <w:bCs w:val="0"/>
            <w:i w:val="0"/>
            <w:iCs w:val="0"/>
            <w:caps w:val="0"/>
            <w:smallCaps w:val="0"/>
            <w:strike w:val="0"/>
            <w:dstrike w:val="0"/>
            <w:noProof w:val="0"/>
            <w:sz w:val="22"/>
            <w:szCs w:val="22"/>
            <w:lang w:val="en-GB"/>
          </w:rPr>
          <w:t>https://doi.org/10.3138/9781487599485</w:t>
        </w:r>
      </w:hyperlink>
      <w:r w:rsidRPr="21CAAA4A" w:rsidR="06CEEAA1">
        <w:rPr>
          <w:rFonts w:ascii="Calibri" w:hAnsi="Calibri" w:eastAsia="Calibri" w:cs="Calibri"/>
          <w:b w:val="0"/>
          <w:bCs w:val="0"/>
          <w:i w:val="0"/>
          <w:iCs w:val="0"/>
          <w:caps w:val="0"/>
          <w:smallCaps w:val="0"/>
          <w:noProof w:val="0"/>
          <w:color w:val="000000" w:themeColor="text1" w:themeTint="FF" w:themeShade="FF"/>
          <w:sz w:val="22"/>
          <w:szCs w:val="22"/>
          <w:lang w:val="en-GB"/>
        </w:rPr>
        <w:t>. (Accessed: 6 December 2023).</w:t>
      </w:r>
    </w:p>
    <w:p xmlns:wp14="http://schemas.microsoft.com/office/word/2010/wordml" w:rsidP="21CAAA4A" wp14:paraId="16583C9C" wp14:textId="594FE8ED">
      <w:pPr>
        <w:spacing w:after="160" w:line="360" w:lineRule="auto"/>
        <w:ind w:left="720" w:hanging="720"/>
        <w:rPr>
          <w:rFonts w:ascii="Calibri" w:hAnsi="Calibri" w:eastAsia="Calibri" w:cs="Calibri"/>
          <w:b w:val="0"/>
          <w:bCs w:val="0"/>
          <w:i w:val="0"/>
          <w:iCs w:val="0"/>
          <w:caps w:val="0"/>
          <w:smallCaps w:val="0"/>
          <w:noProof w:val="0"/>
          <w:color w:val="000000" w:themeColor="text1" w:themeTint="FF" w:themeShade="FF"/>
          <w:sz w:val="22"/>
          <w:szCs w:val="22"/>
          <w:lang w:val="en-US"/>
        </w:rPr>
      </w:pPr>
      <w:r w:rsidRPr="21CAAA4A" w:rsidR="06CEEAA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Kingdon, J. and Thurber, J. (1984) Agendas, Alternatives, and Public Policies. Boston: Little Brown. Available at: </w:t>
      </w:r>
      <w:hyperlink r:id="R87154e443e5d49d0">
        <w:r w:rsidRPr="21CAAA4A" w:rsidR="06CEEAA1">
          <w:rPr>
            <w:rStyle w:val="Hyperlink"/>
            <w:rFonts w:ascii="Calibri" w:hAnsi="Calibri" w:eastAsia="Calibri" w:cs="Calibri"/>
            <w:b w:val="0"/>
            <w:bCs w:val="0"/>
            <w:i w:val="0"/>
            <w:iCs w:val="0"/>
            <w:caps w:val="0"/>
            <w:smallCaps w:val="0"/>
            <w:noProof w:val="0"/>
            <w:sz w:val="22"/>
            <w:szCs w:val="22"/>
            <w:lang w:val="en-GB"/>
          </w:rPr>
          <w:t>https://pdfs.semanticscholar.org/b601/985c67970ba87d79fabf6160ca91b1933003.pdf</w:t>
        </w:r>
      </w:hyperlink>
      <w:r w:rsidRPr="21CAAA4A" w:rsidR="06CEEAA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23 November 2023).</w:t>
      </w:r>
    </w:p>
    <w:p xmlns:wp14="http://schemas.microsoft.com/office/word/2010/wordml" w:rsidP="21CAAA4A" wp14:paraId="435501B4" wp14:textId="152824AF">
      <w:pPr>
        <w:spacing w:after="160" w:line="360" w:lineRule="auto"/>
        <w:ind w:left="720" w:hanging="720"/>
        <w:rPr>
          <w:rFonts w:ascii="Calibri" w:hAnsi="Calibri" w:eastAsia="Calibri" w:cs="Calibri"/>
          <w:b w:val="0"/>
          <w:bCs w:val="0"/>
          <w:i w:val="0"/>
          <w:iCs w:val="0"/>
          <w:caps w:val="0"/>
          <w:smallCaps w:val="0"/>
          <w:noProof w:val="0"/>
          <w:color w:val="000000" w:themeColor="text1" w:themeTint="FF" w:themeShade="FF"/>
          <w:sz w:val="22"/>
          <w:szCs w:val="22"/>
          <w:lang w:val="en-US"/>
        </w:rPr>
      </w:pPr>
      <w:r w:rsidRPr="21CAAA4A" w:rsidR="06CEEAA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Kreouzi, M., Theodorakis, N. and Constantinou, C. (2022) Lessons Learned From Blue Zones, Lifestyle Medicine Pillars and Beyond: An Update on the Contributions of Behavior and Genetics to Wellbeing and Longevity. American Journal of Lifestyle Medicine. 2022;0(0). Available at: </w:t>
      </w:r>
      <w:hyperlink r:id="R070d531285ae49ef">
        <w:r w:rsidRPr="21CAAA4A" w:rsidR="06CEEAA1">
          <w:rPr>
            <w:rStyle w:val="Hyperlink"/>
            <w:rFonts w:ascii="Calibri" w:hAnsi="Calibri" w:eastAsia="Calibri" w:cs="Calibri"/>
            <w:b w:val="0"/>
            <w:bCs w:val="0"/>
            <w:i w:val="0"/>
            <w:iCs w:val="0"/>
            <w:caps w:val="0"/>
            <w:smallCaps w:val="0"/>
            <w:noProof w:val="0"/>
            <w:sz w:val="22"/>
            <w:szCs w:val="22"/>
            <w:lang w:val="en-GB"/>
          </w:rPr>
          <w:t>https://journals.sagepub.com/doi/full/10.1177/15598276221118494</w:t>
        </w:r>
      </w:hyperlink>
      <w:r w:rsidRPr="21CAAA4A" w:rsidR="06CEEAA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4 December 2023).</w:t>
      </w:r>
    </w:p>
    <w:p xmlns:wp14="http://schemas.microsoft.com/office/word/2010/wordml" w:rsidP="21CAAA4A" wp14:paraId="10B4111F" wp14:textId="58F443E5">
      <w:pPr>
        <w:spacing w:after="160" w:line="360" w:lineRule="auto"/>
        <w:ind w:left="720" w:hanging="720"/>
        <w:rPr>
          <w:rFonts w:ascii="Calibri" w:hAnsi="Calibri" w:eastAsia="Calibri" w:cs="Calibri"/>
          <w:b w:val="0"/>
          <w:bCs w:val="0"/>
          <w:i w:val="0"/>
          <w:iCs w:val="0"/>
          <w:caps w:val="0"/>
          <w:smallCaps w:val="0"/>
          <w:noProof w:val="0"/>
          <w:color w:val="000000" w:themeColor="text1" w:themeTint="FF" w:themeShade="FF"/>
          <w:sz w:val="22"/>
          <w:szCs w:val="22"/>
          <w:lang w:val="en-US"/>
        </w:rPr>
      </w:pPr>
      <w:r w:rsidRPr="21CAAA4A" w:rsidR="06CEEAA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Labour Party (2011) Welsh Labour Manifesto 2011; Standing up for Wales. Available at: </w:t>
      </w:r>
      <w:hyperlink r:id="R4ef2823becb84446">
        <w:r w:rsidRPr="21CAAA4A" w:rsidR="06CEEAA1">
          <w:rPr>
            <w:rStyle w:val="Hyperlink"/>
            <w:rFonts w:ascii="Calibri" w:hAnsi="Calibri" w:eastAsia="Calibri" w:cs="Calibri"/>
            <w:b w:val="0"/>
            <w:bCs w:val="0"/>
            <w:i w:val="0"/>
            <w:iCs w:val="0"/>
            <w:caps w:val="0"/>
            <w:smallCaps w:val="0"/>
            <w:noProof w:val="0"/>
            <w:sz w:val="22"/>
            <w:szCs w:val="22"/>
            <w:lang w:val="en-GB"/>
          </w:rPr>
          <w:t>http://www.maniffesto.com/wp-content/uploads/2014/07/welsh-labour-manifesto.pdf</w:t>
        </w:r>
      </w:hyperlink>
      <w:r w:rsidRPr="21CAAA4A" w:rsidR="06CEEAA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23 November 2023).</w:t>
      </w:r>
    </w:p>
    <w:p xmlns:wp14="http://schemas.microsoft.com/office/word/2010/wordml" w:rsidP="21CAAA4A" wp14:paraId="62A878A4" wp14:textId="3AC5E16B">
      <w:pPr>
        <w:spacing w:after="160" w:line="360" w:lineRule="auto"/>
        <w:ind w:left="720" w:hanging="720"/>
        <w:rPr>
          <w:rFonts w:ascii="Calibri" w:hAnsi="Calibri" w:eastAsia="Calibri" w:cs="Calibri"/>
          <w:b w:val="0"/>
          <w:bCs w:val="0"/>
          <w:i w:val="0"/>
          <w:iCs w:val="0"/>
          <w:caps w:val="0"/>
          <w:smallCaps w:val="0"/>
          <w:noProof w:val="0"/>
          <w:color w:val="000000" w:themeColor="text1" w:themeTint="FF" w:themeShade="FF"/>
          <w:sz w:val="22"/>
          <w:szCs w:val="22"/>
          <w:lang w:val="en-US"/>
        </w:rPr>
      </w:pPr>
      <w:r w:rsidRPr="21CAAA4A" w:rsidR="06CEEAA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Local Government Association (2020) UN Sustainable Development Goals: A Guide for Councils. Available at: </w:t>
      </w:r>
      <w:hyperlink r:id="R7b9de1b6aa2a4a6b">
        <w:r w:rsidRPr="21CAAA4A" w:rsidR="06CEEAA1">
          <w:rPr>
            <w:rStyle w:val="Hyperlink"/>
            <w:rFonts w:ascii="Calibri" w:hAnsi="Calibri" w:eastAsia="Calibri" w:cs="Calibri"/>
            <w:b w:val="0"/>
            <w:bCs w:val="0"/>
            <w:i w:val="0"/>
            <w:iCs w:val="0"/>
            <w:caps w:val="0"/>
            <w:smallCaps w:val="0"/>
            <w:noProof w:val="0"/>
            <w:sz w:val="22"/>
            <w:szCs w:val="22"/>
            <w:lang w:val="en-GB"/>
          </w:rPr>
          <w:t>https://www.local.gov.uk/un-sustainable-development-goals-guide-councils</w:t>
        </w:r>
      </w:hyperlink>
      <w:r w:rsidRPr="21CAAA4A" w:rsidR="06CEEAA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4 December 2023).</w:t>
      </w:r>
    </w:p>
    <w:p xmlns:wp14="http://schemas.microsoft.com/office/word/2010/wordml" w:rsidP="21CAAA4A" wp14:paraId="040F9550" wp14:textId="0BA8DB3D">
      <w:pPr>
        <w:spacing w:after="160" w:line="360" w:lineRule="auto"/>
        <w:ind w:left="720" w:hanging="720"/>
        <w:rPr>
          <w:rFonts w:ascii="Calibri" w:hAnsi="Calibri" w:eastAsia="Calibri" w:cs="Calibri"/>
          <w:b w:val="0"/>
          <w:bCs w:val="0"/>
          <w:i w:val="0"/>
          <w:iCs w:val="0"/>
          <w:caps w:val="0"/>
          <w:smallCaps w:val="0"/>
          <w:noProof w:val="0"/>
          <w:color w:val="000000" w:themeColor="text1" w:themeTint="FF" w:themeShade="FF"/>
          <w:sz w:val="22"/>
          <w:szCs w:val="22"/>
          <w:lang w:val="en-US"/>
        </w:rPr>
      </w:pPr>
      <w:r w:rsidRPr="21CAAA4A" w:rsidR="06CEEAA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Marston, H. R., Niles-Yokum, K. and Silva, P. A. (2021) ‘A Commentary on Blue Zones ® : A Critical Review of Age-Friendly Environments in the 21st Century and Beyond’, </w:t>
      </w:r>
      <w:r w:rsidRPr="21CAAA4A" w:rsidR="06CEEAA1">
        <w:rPr>
          <w:rFonts w:ascii="Calibri" w:hAnsi="Calibri" w:eastAsia="Calibri" w:cs="Calibri"/>
          <w:b w:val="0"/>
          <w:bCs w:val="0"/>
          <w:i w:val="1"/>
          <w:iCs w:val="1"/>
          <w:caps w:val="0"/>
          <w:smallCaps w:val="0"/>
          <w:noProof w:val="0"/>
          <w:color w:val="000000" w:themeColor="text1" w:themeTint="FF" w:themeShade="FF"/>
          <w:sz w:val="22"/>
          <w:szCs w:val="22"/>
          <w:lang w:val="en-GB"/>
        </w:rPr>
        <w:t>International Journal of Environmental Research and Public Health</w:t>
      </w:r>
      <w:r w:rsidRPr="21CAAA4A" w:rsidR="06CEEAA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18(2), pp. 837-. Available at: </w:t>
      </w:r>
      <w:hyperlink r:id="Rfecab80f2e8a46bb">
        <w:r w:rsidRPr="21CAAA4A" w:rsidR="06CEEAA1">
          <w:rPr>
            <w:rStyle w:val="Hyperlink"/>
            <w:rFonts w:ascii="Calibri" w:hAnsi="Calibri" w:eastAsia="Calibri" w:cs="Calibri"/>
            <w:b w:val="0"/>
            <w:bCs w:val="0"/>
            <w:i w:val="0"/>
            <w:iCs w:val="0"/>
            <w:caps w:val="0"/>
            <w:smallCaps w:val="0"/>
            <w:noProof w:val="0"/>
            <w:sz w:val="22"/>
            <w:szCs w:val="22"/>
            <w:lang w:val="en-GB"/>
          </w:rPr>
          <w:t>https://doi.org/10.3390/ijerph18020837</w:t>
        </w:r>
      </w:hyperlink>
      <w:r w:rsidRPr="21CAAA4A" w:rsidR="06CEEAA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04 December 2023). </w:t>
      </w:r>
    </w:p>
    <w:p xmlns:wp14="http://schemas.microsoft.com/office/word/2010/wordml" w:rsidP="21CAAA4A" wp14:paraId="4435F4A9" wp14:textId="60DEAE4F">
      <w:pPr>
        <w:spacing w:after="160" w:line="360" w:lineRule="auto"/>
        <w:ind w:left="720" w:hanging="720"/>
        <w:rPr>
          <w:rFonts w:ascii="Calibri" w:hAnsi="Calibri" w:eastAsia="Calibri" w:cs="Calibri"/>
          <w:b w:val="0"/>
          <w:bCs w:val="0"/>
          <w:i w:val="0"/>
          <w:iCs w:val="0"/>
          <w:caps w:val="0"/>
          <w:smallCaps w:val="0"/>
          <w:noProof w:val="0"/>
          <w:color w:val="000000" w:themeColor="text1" w:themeTint="FF" w:themeShade="FF"/>
          <w:sz w:val="22"/>
          <w:szCs w:val="22"/>
          <w:lang w:val="en-US"/>
        </w:rPr>
      </w:pPr>
      <w:r w:rsidRPr="21CAAA4A" w:rsidR="06CEEAA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National Assembly for Wales (2019) The History of Welsh Devolution. Available at:  </w:t>
      </w:r>
      <w:hyperlink r:id="R3868cd8f91fa4f88">
        <w:r w:rsidRPr="21CAAA4A" w:rsidR="06CEEAA1">
          <w:rPr>
            <w:rStyle w:val="Hyperlink"/>
            <w:rFonts w:ascii="Calibri" w:hAnsi="Calibri" w:eastAsia="Calibri" w:cs="Calibri"/>
            <w:b w:val="0"/>
            <w:bCs w:val="0"/>
            <w:i w:val="0"/>
            <w:iCs w:val="0"/>
            <w:caps w:val="0"/>
            <w:smallCaps w:val="0"/>
            <w:noProof w:val="0"/>
            <w:sz w:val="22"/>
            <w:szCs w:val="22"/>
            <w:lang w:val="en-GB"/>
          </w:rPr>
          <w:t>https://www.assembly.wales/en/abthome/role-of-assembly-how-it-works/Pages/history-welsh-devolution.aspx</w:t>
        </w:r>
      </w:hyperlink>
      <w:r w:rsidRPr="21CAAA4A" w:rsidR="06CEEAA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23 November  2023).</w:t>
      </w:r>
    </w:p>
    <w:p xmlns:wp14="http://schemas.microsoft.com/office/word/2010/wordml" w:rsidP="21CAAA4A" wp14:paraId="46FF8EA6" wp14:textId="131D5863">
      <w:pPr>
        <w:spacing w:after="160" w:line="360" w:lineRule="auto"/>
        <w:ind w:left="720" w:hanging="720"/>
        <w:rPr>
          <w:rFonts w:ascii="Calibri" w:hAnsi="Calibri" w:eastAsia="Calibri" w:cs="Calibri"/>
          <w:b w:val="0"/>
          <w:bCs w:val="0"/>
          <w:i w:val="0"/>
          <w:iCs w:val="0"/>
          <w:caps w:val="0"/>
          <w:smallCaps w:val="0"/>
          <w:noProof w:val="0"/>
          <w:color w:val="000000" w:themeColor="text1" w:themeTint="FF" w:themeShade="FF"/>
          <w:sz w:val="22"/>
          <w:szCs w:val="22"/>
          <w:lang w:val="en-US"/>
        </w:rPr>
      </w:pPr>
      <w:r w:rsidRPr="21CAAA4A" w:rsidR="06CEEAA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Netherwood, A. (2011) </w:t>
      </w:r>
      <w:r w:rsidRPr="21CAAA4A" w:rsidR="06CEEAA1">
        <w:rPr>
          <w:rFonts w:ascii="Calibri" w:hAnsi="Calibri" w:eastAsia="Calibri" w:cs="Calibri"/>
          <w:b w:val="0"/>
          <w:bCs w:val="0"/>
          <w:i w:val="1"/>
          <w:iCs w:val="1"/>
          <w:caps w:val="0"/>
          <w:smallCaps w:val="0"/>
          <w:noProof w:val="0"/>
          <w:color w:val="000000" w:themeColor="text1" w:themeTint="FF" w:themeShade="FF"/>
          <w:sz w:val="22"/>
          <w:szCs w:val="22"/>
          <w:lang w:val="en-GB"/>
        </w:rPr>
        <w:t>Progress in embedding the ‘One Planet’ aspiration in Welsh Government; Report for WWF Cymru.</w:t>
      </w:r>
      <w:r w:rsidRPr="21CAAA4A" w:rsidR="06CEEAA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World Wildlife Fund. Available at: </w:t>
      </w:r>
      <w:hyperlink r:id="Rcf747629e03e424e">
        <w:r w:rsidRPr="21CAAA4A" w:rsidR="06CEEAA1">
          <w:rPr>
            <w:rStyle w:val="Hyperlink"/>
            <w:rFonts w:ascii="Calibri" w:hAnsi="Calibri" w:eastAsia="Calibri" w:cs="Calibri"/>
            <w:b w:val="0"/>
            <w:bCs w:val="0"/>
            <w:i w:val="0"/>
            <w:iCs w:val="0"/>
            <w:caps w:val="0"/>
            <w:smallCaps w:val="0"/>
            <w:noProof w:val="0"/>
            <w:sz w:val="22"/>
            <w:szCs w:val="22"/>
            <w:lang w:val="en-GB"/>
          </w:rPr>
          <w:t>http://assets.wwf.org.uk/downloads/main_report___progress_in_embedding_the__one_planet__aspiration_in_welsh_government.pdf</w:t>
        </w:r>
      </w:hyperlink>
      <w:r w:rsidRPr="21CAAA4A" w:rsidR="06CEEAA1">
        <w:rPr>
          <w:rFonts w:ascii="Calibri" w:hAnsi="Calibri" w:eastAsia="Calibri" w:cs="Calibri"/>
          <w:b w:val="0"/>
          <w:bCs w:val="0"/>
          <w:i w:val="0"/>
          <w:iCs w:val="0"/>
          <w:caps w:val="0"/>
          <w:smallCaps w:val="0"/>
          <w:noProof w:val="0"/>
          <w:color w:val="000000" w:themeColor="text1" w:themeTint="FF" w:themeShade="FF"/>
          <w:sz w:val="22"/>
          <w:szCs w:val="22"/>
          <w:lang w:val="en-GB"/>
        </w:rPr>
        <w:t>. (Accessed: 23 November 2023).</w:t>
      </w:r>
    </w:p>
    <w:p xmlns:wp14="http://schemas.microsoft.com/office/word/2010/wordml" w:rsidP="21CAAA4A" wp14:paraId="43DEB8D4" wp14:textId="1F384B9B">
      <w:pPr>
        <w:spacing w:after="160" w:line="360" w:lineRule="auto"/>
        <w:ind w:left="720" w:hanging="720"/>
        <w:rPr>
          <w:rFonts w:ascii="Calibri" w:hAnsi="Calibri" w:eastAsia="Calibri" w:cs="Calibri"/>
          <w:b w:val="0"/>
          <w:bCs w:val="0"/>
          <w:i w:val="0"/>
          <w:iCs w:val="0"/>
          <w:caps w:val="0"/>
          <w:smallCaps w:val="0"/>
          <w:noProof w:val="0"/>
          <w:color w:val="000000" w:themeColor="text1" w:themeTint="FF" w:themeShade="FF"/>
          <w:sz w:val="22"/>
          <w:szCs w:val="22"/>
          <w:lang w:val="en-US"/>
        </w:rPr>
      </w:pPr>
      <w:r w:rsidRPr="21CAAA4A" w:rsidR="06CEEAA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Office for National Statistics (2018) Population Estimates for the UK, England and Wales, Scotland and Northern Ireland. Available at: </w:t>
      </w:r>
      <w:hyperlink r:id="Rf893209482b8468f">
        <w:r w:rsidRPr="21CAAA4A" w:rsidR="06CEEAA1">
          <w:rPr>
            <w:rStyle w:val="Hyperlink"/>
            <w:rFonts w:ascii="Calibri" w:hAnsi="Calibri" w:eastAsia="Calibri" w:cs="Calibri"/>
            <w:b w:val="0"/>
            <w:bCs w:val="0"/>
            <w:i w:val="0"/>
            <w:iCs w:val="0"/>
            <w:caps w:val="0"/>
            <w:smallCaps w:val="0"/>
            <w:noProof w:val="0"/>
            <w:sz w:val="22"/>
            <w:szCs w:val="22"/>
            <w:lang w:val="en-GB"/>
          </w:rPr>
          <w:t>https://www.ons.gov.uk/peoplepopulationandcommunity/populationandmigration/populationestimates</w:t>
        </w:r>
      </w:hyperlink>
      <w:r w:rsidRPr="21CAAA4A" w:rsidR="06CEEAA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23 November 2023).</w:t>
      </w:r>
    </w:p>
    <w:p xmlns:wp14="http://schemas.microsoft.com/office/word/2010/wordml" w:rsidP="21CAAA4A" wp14:paraId="262E4895" wp14:textId="71703767">
      <w:pPr>
        <w:spacing w:after="160" w:line="360" w:lineRule="auto"/>
        <w:ind w:left="720" w:hanging="720"/>
        <w:rPr>
          <w:rFonts w:ascii="Calibri" w:hAnsi="Calibri" w:eastAsia="Calibri" w:cs="Calibri"/>
          <w:b w:val="0"/>
          <w:bCs w:val="0"/>
          <w:i w:val="0"/>
          <w:iCs w:val="0"/>
          <w:caps w:val="0"/>
          <w:smallCaps w:val="0"/>
          <w:noProof w:val="0"/>
          <w:color w:val="000000" w:themeColor="text1" w:themeTint="FF" w:themeShade="FF"/>
          <w:sz w:val="22"/>
          <w:szCs w:val="22"/>
          <w:lang w:val="en-US"/>
        </w:rPr>
      </w:pPr>
      <w:r w:rsidRPr="21CAAA4A" w:rsidR="06CEEAA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Paine, S. C. (2012) Private Manners, Public Roles: Recognizing Different Standards for Public Board Service. </w:t>
      </w:r>
      <w:r w:rsidRPr="21CAAA4A" w:rsidR="06CEEAA1">
        <w:rPr>
          <w:rFonts w:ascii="Calibri" w:hAnsi="Calibri" w:eastAsia="Calibri" w:cs="Calibri"/>
          <w:b w:val="0"/>
          <w:bCs w:val="0"/>
          <w:i w:val="1"/>
          <w:iCs w:val="1"/>
          <w:caps w:val="0"/>
          <w:smallCaps w:val="0"/>
          <w:noProof w:val="0"/>
          <w:color w:val="000000" w:themeColor="text1" w:themeTint="FF" w:themeShade="FF"/>
          <w:sz w:val="22"/>
          <w:szCs w:val="22"/>
          <w:lang w:val="en-GB"/>
        </w:rPr>
        <w:t>State &amp; Local Government Review</w:t>
      </w:r>
      <w:r w:rsidRPr="21CAAA4A" w:rsidR="06CEEAA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21CAAA4A" w:rsidR="06CEEAA1">
        <w:rPr>
          <w:rFonts w:ascii="Calibri" w:hAnsi="Calibri" w:eastAsia="Calibri" w:cs="Calibri"/>
          <w:b w:val="0"/>
          <w:bCs w:val="0"/>
          <w:i w:val="1"/>
          <w:iCs w:val="1"/>
          <w:caps w:val="0"/>
          <w:smallCaps w:val="0"/>
          <w:noProof w:val="0"/>
          <w:color w:val="000000" w:themeColor="text1" w:themeTint="FF" w:themeShade="FF"/>
          <w:sz w:val="22"/>
          <w:szCs w:val="22"/>
          <w:lang w:val="en-GB"/>
        </w:rPr>
        <w:t>44</w:t>
      </w:r>
      <w:r w:rsidRPr="21CAAA4A" w:rsidR="06CEEAA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(3), 216–220. Available at: </w:t>
      </w:r>
      <w:hyperlink r:id="R909761b69ce64eb6">
        <w:r w:rsidRPr="21CAAA4A" w:rsidR="06CEEAA1">
          <w:rPr>
            <w:rStyle w:val="Hyperlink"/>
            <w:rFonts w:ascii="Calibri" w:hAnsi="Calibri" w:eastAsia="Calibri" w:cs="Calibri"/>
            <w:b w:val="0"/>
            <w:bCs w:val="0"/>
            <w:i w:val="0"/>
            <w:iCs w:val="0"/>
            <w:caps w:val="0"/>
            <w:smallCaps w:val="0"/>
            <w:strike w:val="0"/>
            <w:dstrike w:val="0"/>
            <w:noProof w:val="0"/>
            <w:sz w:val="22"/>
            <w:szCs w:val="22"/>
            <w:lang w:val="en-GB"/>
          </w:rPr>
          <w:t>https://doi.org/10.1177/0160323X12457687.</w:t>
        </w:r>
      </w:hyperlink>
      <w:r w:rsidRPr="21CAAA4A" w:rsidR="06CEEAA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6 December 2023).</w:t>
      </w:r>
    </w:p>
    <w:p xmlns:wp14="http://schemas.microsoft.com/office/word/2010/wordml" w:rsidP="21CAAA4A" wp14:paraId="21E77175" wp14:textId="03964A4C">
      <w:pPr>
        <w:spacing w:after="160" w:line="360" w:lineRule="auto"/>
        <w:ind w:left="720" w:hanging="720"/>
        <w:rPr>
          <w:rFonts w:ascii="Calibri" w:hAnsi="Calibri" w:eastAsia="Calibri" w:cs="Calibri"/>
          <w:b w:val="0"/>
          <w:bCs w:val="0"/>
          <w:i w:val="0"/>
          <w:iCs w:val="0"/>
          <w:caps w:val="0"/>
          <w:smallCaps w:val="0"/>
          <w:noProof w:val="0"/>
          <w:color w:val="000000" w:themeColor="text1" w:themeTint="FF" w:themeShade="FF"/>
          <w:sz w:val="22"/>
          <w:szCs w:val="22"/>
          <w:lang w:val="en-US"/>
        </w:rPr>
      </w:pPr>
      <w:r w:rsidRPr="21CAAA4A" w:rsidR="06CEEAA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Powney, M. (2018) </w:t>
      </w:r>
      <w:r w:rsidRPr="21CAAA4A" w:rsidR="06CEEAA1">
        <w:rPr>
          <w:rFonts w:ascii="Calibri" w:hAnsi="Calibri" w:eastAsia="Calibri" w:cs="Calibri"/>
          <w:b w:val="0"/>
          <w:bCs w:val="0"/>
          <w:i w:val="1"/>
          <w:iCs w:val="1"/>
          <w:caps w:val="0"/>
          <w:smallCaps w:val="0"/>
          <w:noProof w:val="0"/>
          <w:color w:val="000000" w:themeColor="text1" w:themeTint="FF" w:themeShade="FF"/>
          <w:sz w:val="22"/>
          <w:szCs w:val="22"/>
          <w:lang w:val="en-GB"/>
        </w:rPr>
        <w:t>New Research Shows Parks and Green Spaces in Wales Generate Over £1.6 Billion of Benefits Each Year.</w:t>
      </w:r>
      <w:r w:rsidRPr="21CAAA4A" w:rsidR="06CEEAA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Business News Wales. Available at: </w:t>
      </w:r>
      <w:hyperlink r:id="R4d8935a74ade49a8">
        <w:r w:rsidRPr="21CAAA4A" w:rsidR="06CEEAA1">
          <w:rPr>
            <w:rStyle w:val="Hyperlink"/>
            <w:rFonts w:ascii="Calibri" w:hAnsi="Calibri" w:eastAsia="Calibri" w:cs="Calibri"/>
            <w:b w:val="0"/>
            <w:bCs w:val="0"/>
            <w:i w:val="0"/>
            <w:iCs w:val="0"/>
            <w:caps w:val="0"/>
            <w:smallCaps w:val="0"/>
            <w:noProof w:val="0"/>
            <w:sz w:val="22"/>
            <w:szCs w:val="22"/>
            <w:lang w:val="en-GB"/>
          </w:rPr>
          <w:t>https://businessnewswales.com/new-research-shows-parks-and-green-spaces-in-wales-generate-over-1-6-billion-of-benefits-each-year/</w:t>
        </w:r>
      </w:hyperlink>
      <w:r w:rsidRPr="21CAAA4A" w:rsidR="06CEEAA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23 November 2023).</w:t>
      </w:r>
    </w:p>
    <w:p xmlns:wp14="http://schemas.microsoft.com/office/word/2010/wordml" w:rsidP="21CAAA4A" wp14:paraId="4F52D22E" wp14:textId="643A6829">
      <w:pPr>
        <w:spacing w:after="160" w:line="360" w:lineRule="auto"/>
        <w:ind w:left="720" w:hanging="720"/>
        <w:rPr>
          <w:rFonts w:ascii="Calibri" w:hAnsi="Calibri" w:eastAsia="Calibri" w:cs="Calibri"/>
          <w:b w:val="0"/>
          <w:bCs w:val="0"/>
          <w:i w:val="0"/>
          <w:iCs w:val="0"/>
          <w:caps w:val="0"/>
          <w:smallCaps w:val="0"/>
          <w:noProof w:val="0"/>
          <w:color w:val="000000" w:themeColor="text1" w:themeTint="FF" w:themeShade="FF"/>
          <w:sz w:val="22"/>
          <w:szCs w:val="22"/>
          <w:lang w:val="en-US"/>
        </w:rPr>
      </w:pPr>
      <w:r w:rsidRPr="21CAAA4A" w:rsidR="06CEEAA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Public Health Wales (2016) </w:t>
      </w:r>
      <w:r w:rsidRPr="21CAAA4A" w:rsidR="06CEEAA1">
        <w:rPr>
          <w:rFonts w:ascii="Calibri" w:hAnsi="Calibri" w:eastAsia="Calibri" w:cs="Calibri"/>
          <w:b w:val="0"/>
          <w:bCs w:val="0"/>
          <w:i w:val="1"/>
          <w:iCs w:val="1"/>
          <w:caps w:val="0"/>
          <w:smallCaps w:val="0"/>
          <w:noProof w:val="0"/>
          <w:color w:val="000000" w:themeColor="text1" w:themeTint="FF" w:themeShade="FF"/>
          <w:sz w:val="22"/>
          <w:szCs w:val="22"/>
          <w:lang w:val="en-GB"/>
        </w:rPr>
        <w:t>Well-being of Future Generations (Wales) Act 2015: For a Happier, Healthier, Fairer and Sustainable Wales</w:t>
      </w:r>
      <w:r w:rsidRPr="21CAAA4A" w:rsidR="06CEEAA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Available at: </w:t>
      </w:r>
      <w:hyperlink r:id="Rcc4f2ef6b19c42dd">
        <w:r w:rsidRPr="21CAAA4A" w:rsidR="06CEEAA1">
          <w:rPr>
            <w:rStyle w:val="Hyperlink"/>
            <w:rFonts w:ascii="Calibri" w:hAnsi="Calibri" w:eastAsia="Calibri" w:cs="Calibri"/>
            <w:b w:val="0"/>
            <w:bCs w:val="0"/>
            <w:i w:val="0"/>
            <w:iCs w:val="0"/>
            <w:caps w:val="0"/>
            <w:smallCaps w:val="0"/>
            <w:noProof w:val="0"/>
            <w:sz w:val="22"/>
            <w:szCs w:val="22"/>
            <w:lang w:val="en-GB"/>
          </w:rPr>
          <w:t>http://www.wales.nhs.uk/news/42762</w:t>
        </w:r>
      </w:hyperlink>
      <w:r w:rsidRPr="21CAAA4A" w:rsidR="06CEEAA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23 November 2023).</w:t>
      </w:r>
    </w:p>
    <w:p xmlns:wp14="http://schemas.microsoft.com/office/word/2010/wordml" w:rsidP="21CAAA4A" wp14:paraId="39BD0761" wp14:textId="55C570C2">
      <w:pPr>
        <w:spacing w:after="160" w:line="360" w:lineRule="auto"/>
        <w:ind w:left="720" w:hanging="720"/>
        <w:rPr>
          <w:rFonts w:ascii="Calibri" w:hAnsi="Calibri" w:eastAsia="Calibri" w:cs="Calibri"/>
          <w:b w:val="0"/>
          <w:bCs w:val="0"/>
          <w:i w:val="0"/>
          <w:iCs w:val="0"/>
          <w:caps w:val="0"/>
          <w:smallCaps w:val="0"/>
          <w:noProof w:val="0"/>
          <w:color w:val="000000" w:themeColor="text1" w:themeTint="FF" w:themeShade="FF"/>
          <w:sz w:val="22"/>
          <w:szCs w:val="22"/>
          <w:lang w:val="en-US"/>
        </w:rPr>
      </w:pPr>
      <w:r w:rsidRPr="21CAAA4A" w:rsidR="06CEEAA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Raskin, P. Banuri, T. Gallopín, G.;Gutman, P. Hammond, A. Kates, R. Swart, R. (2002) </w:t>
      </w:r>
      <w:r w:rsidRPr="21CAAA4A" w:rsidR="06CEEAA1">
        <w:rPr>
          <w:rFonts w:ascii="Calibri" w:hAnsi="Calibri" w:eastAsia="Calibri" w:cs="Calibri"/>
          <w:b w:val="0"/>
          <w:bCs w:val="0"/>
          <w:i w:val="1"/>
          <w:iCs w:val="1"/>
          <w:caps w:val="0"/>
          <w:smallCaps w:val="0"/>
          <w:noProof w:val="0"/>
          <w:color w:val="000000" w:themeColor="text1" w:themeTint="FF" w:themeShade="FF"/>
          <w:sz w:val="22"/>
          <w:szCs w:val="22"/>
          <w:lang w:val="en-GB"/>
        </w:rPr>
        <w:t>Great transition: the promise and lure of the times ahead.</w:t>
      </w:r>
      <w:r w:rsidRPr="21CAAA4A" w:rsidR="06CEEAA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Boston: Stockholm Environment Institute. </w:t>
      </w:r>
    </w:p>
    <w:p xmlns:wp14="http://schemas.microsoft.com/office/word/2010/wordml" w:rsidP="21CAAA4A" wp14:paraId="5E312D76" wp14:textId="13875F87">
      <w:pPr>
        <w:spacing w:after="160" w:line="360" w:lineRule="auto"/>
        <w:ind w:left="720" w:hanging="720"/>
        <w:rPr>
          <w:rFonts w:ascii="Calibri" w:hAnsi="Calibri" w:eastAsia="Calibri" w:cs="Calibri"/>
          <w:b w:val="0"/>
          <w:bCs w:val="0"/>
          <w:i w:val="0"/>
          <w:iCs w:val="0"/>
          <w:caps w:val="0"/>
          <w:smallCaps w:val="0"/>
          <w:noProof w:val="0"/>
          <w:color w:val="000000" w:themeColor="text1" w:themeTint="FF" w:themeShade="FF"/>
          <w:sz w:val="22"/>
          <w:szCs w:val="22"/>
          <w:lang w:val="en-US"/>
        </w:rPr>
      </w:pPr>
      <w:r w:rsidRPr="21CAAA4A" w:rsidR="06CEEAA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Rayner, J. A., Fetherstonhaugh, D. and McAuliffe, L. (2023) ‘Public health service board members’ understanding of care quality in residential aged care services’, </w:t>
      </w:r>
      <w:r w:rsidRPr="21CAAA4A" w:rsidR="06CEEAA1">
        <w:rPr>
          <w:rFonts w:ascii="Calibri" w:hAnsi="Calibri" w:eastAsia="Calibri" w:cs="Calibri"/>
          <w:b w:val="0"/>
          <w:bCs w:val="0"/>
          <w:i w:val="1"/>
          <w:iCs w:val="1"/>
          <w:caps w:val="0"/>
          <w:smallCaps w:val="0"/>
          <w:noProof w:val="0"/>
          <w:color w:val="000000" w:themeColor="text1" w:themeTint="FF" w:themeShade="FF"/>
          <w:sz w:val="22"/>
          <w:szCs w:val="22"/>
          <w:lang w:val="en-GB"/>
        </w:rPr>
        <w:t>Australian health review</w:t>
      </w:r>
      <w:r w:rsidRPr="21CAAA4A" w:rsidR="06CEEAA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47(4), pp. 427–432. Available at: </w:t>
      </w:r>
      <w:hyperlink r:id="Reea4380081a94b41">
        <w:r w:rsidRPr="21CAAA4A" w:rsidR="06CEEAA1">
          <w:rPr>
            <w:rStyle w:val="Hyperlink"/>
            <w:rFonts w:ascii="Calibri" w:hAnsi="Calibri" w:eastAsia="Calibri" w:cs="Calibri"/>
            <w:b w:val="0"/>
            <w:bCs w:val="0"/>
            <w:i w:val="0"/>
            <w:iCs w:val="0"/>
            <w:caps w:val="0"/>
            <w:smallCaps w:val="0"/>
            <w:strike w:val="0"/>
            <w:dstrike w:val="0"/>
            <w:noProof w:val="0"/>
            <w:sz w:val="22"/>
            <w:szCs w:val="22"/>
            <w:lang w:val="en-GB"/>
          </w:rPr>
          <w:t>https://doi.org/10.1071/AH23009</w:t>
        </w:r>
      </w:hyperlink>
      <w:r w:rsidRPr="21CAAA4A" w:rsidR="06CEEAA1">
        <w:rPr>
          <w:rFonts w:ascii="Calibri" w:hAnsi="Calibri" w:eastAsia="Calibri" w:cs="Calibri"/>
          <w:b w:val="0"/>
          <w:bCs w:val="0"/>
          <w:i w:val="0"/>
          <w:iCs w:val="0"/>
          <w:caps w:val="0"/>
          <w:smallCaps w:val="0"/>
          <w:noProof w:val="0"/>
          <w:color w:val="000000" w:themeColor="text1" w:themeTint="FF" w:themeShade="FF"/>
          <w:sz w:val="22"/>
          <w:szCs w:val="22"/>
          <w:lang w:val="en-GB"/>
        </w:rPr>
        <w:t>. (Accessed: 6 December 2023).</w:t>
      </w:r>
    </w:p>
    <w:p xmlns:wp14="http://schemas.microsoft.com/office/word/2010/wordml" w:rsidP="21CAAA4A" wp14:paraId="4B370B7E" wp14:textId="60F5B294">
      <w:pPr>
        <w:spacing w:after="160" w:line="360" w:lineRule="auto"/>
        <w:ind w:left="720" w:hanging="720"/>
        <w:rPr>
          <w:rFonts w:ascii="Calibri" w:hAnsi="Calibri" w:eastAsia="Calibri" w:cs="Calibri"/>
          <w:b w:val="0"/>
          <w:bCs w:val="0"/>
          <w:i w:val="0"/>
          <w:iCs w:val="0"/>
          <w:caps w:val="0"/>
          <w:smallCaps w:val="0"/>
          <w:noProof w:val="0"/>
          <w:color w:val="000000" w:themeColor="text1" w:themeTint="FF" w:themeShade="FF"/>
          <w:sz w:val="22"/>
          <w:szCs w:val="22"/>
          <w:lang w:val="en-US"/>
        </w:rPr>
      </w:pPr>
      <w:r w:rsidRPr="21CAAA4A" w:rsidR="06CEEAA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Robertson, R. (2017) Why People in ‘Blue Zones’ Live Longer Than the Rest of the World. </w:t>
      </w:r>
      <w:r w:rsidRPr="21CAAA4A" w:rsidR="06CEEAA1">
        <w:rPr>
          <w:rFonts w:ascii="Calibri" w:hAnsi="Calibri" w:eastAsia="Calibri" w:cs="Calibri"/>
          <w:b w:val="0"/>
          <w:bCs w:val="0"/>
          <w:i w:val="1"/>
          <w:iCs w:val="1"/>
          <w:caps w:val="0"/>
          <w:smallCaps w:val="0"/>
          <w:noProof w:val="0"/>
          <w:color w:val="000000" w:themeColor="text1" w:themeTint="FF" w:themeShade="FF"/>
          <w:sz w:val="22"/>
          <w:szCs w:val="22"/>
          <w:lang w:val="en-GB"/>
        </w:rPr>
        <w:t>Healthline.</w:t>
      </w:r>
      <w:r w:rsidRPr="21CAAA4A" w:rsidR="06CEEAA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Available at: </w:t>
      </w:r>
      <w:hyperlink r:id="R8d39e0f1c0724545">
        <w:r w:rsidRPr="21CAAA4A" w:rsidR="06CEEAA1">
          <w:rPr>
            <w:rStyle w:val="Hyperlink"/>
            <w:rFonts w:ascii="Calibri" w:hAnsi="Calibri" w:eastAsia="Calibri" w:cs="Calibri"/>
            <w:b w:val="0"/>
            <w:bCs w:val="0"/>
            <w:i w:val="0"/>
            <w:iCs w:val="0"/>
            <w:caps w:val="0"/>
            <w:smallCaps w:val="0"/>
            <w:noProof w:val="0"/>
            <w:sz w:val="22"/>
            <w:szCs w:val="22"/>
            <w:lang w:val="en-GB"/>
          </w:rPr>
          <w:t>https://www.healthline.com/nutrition/blue-zones</w:t>
        </w:r>
      </w:hyperlink>
      <w:r w:rsidRPr="21CAAA4A" w:rsidR="06CEEAA1">
        <w:rPr>
          <w:rFonts w:ascii="Calibri" w:hAnsi="Calibri" w:eastAsia="Calibri" w:cs="Calibri"/>
          <w:b w:val="0"/>
          <w:bCs w:val="0"/>
          <w:i w:val="0"/>
          <w:iCs w:val="0"/>
          <w:caps w:val="0"/>
          <w:smallCaps w:val="0"/>
          <w:noProof w:val="0"/>
          <w:color w:val="000000" w:themeColor="text1" w:themeTint="FF" w:themeShade="FF"/>
          <w:sz w:val="22"/>
          <w:szCs w:val="22"/>
          <w:lang w:val="en-GB"/>
        </w:rPr>
        <w:t>. (Accessed: 30 November 2023).</w:t>
      </w:r>
    </w:p>
    <w:p xmlns:wp14="http://schemas.microsoft.com/office/word/2010/wordml" w:rsidP="21CAAA4A" wp14:paraId="2386C644" wp14:textId="273504A8">
      <w:pPr>
        <w:spacing w:after="160" w:line="360" w:lineRule="auto"/>
        <w:ind w:left="720" w:hanging="720"/>
        <w:rPr>
          <w:rFonts w:ascii="Calibri" w:hAnsi="Calibri" w:eastAsia="Calibri" w:cs="Calibri"/>
          <w:b w:val="0"/>
          <w:bCs w:val="0"/>
          <w:i w:val="0"/>
          <w:iCs w:val="0"/>
          <w:caps w:val="0"/>
          <w:smallCaps w:val="0"/>
          <w:noProof w:val="0"/>
          <w:color w:val="000000" w:themeColor="text1" w:themeTint="FF" w:themeShade="FF"/>
          <w:sz w:val="22"/>
          <w:szCs w:val="22"/>
          <w:lang w:val="en-US"/>
        </w:rPr>
      </w:pPr>
      <w:r w:rsidRPr="21CAAA4A" w:rsidR="06CEEAA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Smith, G. (2023) </w:t>
      </w:r>
      <w:r w:rsidRPr="21CAAA4A" w:rsidR="06CEEAA1">
        <w:rPr>
          <w:rFonts w:ascii="Calibri" w:hAnsi="Calibri" w:eastAsia="Calibri" w:cs="Calibri"/>
          <w:b w:val="0"/>
          <w:bCs w:val="0"/>
          <w:i w:val="1"/>
          <w:iCs w:val="1"/>
          <w:caps w:val="0"/>
          <w:smallCaps w:val="0"/>
          <w:noProof w:val="0"/>
          <w:color w:val="000000" w:themeColor="text1" w:themeTint="FF" w:themeShade="FF"/>
          <w:sz w:val="22"/>
          <w:szCs w:val="22"/>
          <w:lang w:val="en-GB"/>
        </w:rPr>
        <w:t>Mind Matters. Blue Zone BS: The Longevity Cluster Myth</w:t>
      </w:r>
      <w:r w:rsidRPr="21CAAA4A" w:rsidR="06CEEAA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Available at: </w:t>
      </w:r>
      <w:hyperlink r:id="R05b5a6e91a4043c8">
        <w:r w:rsidRPr="21CAAA4A" w:rsidR="06CEEAA1">
          <w:rPr>
            <w:rStyle w:val="Hyperlink"/>
            <w:rFonts w:ascii="Calibri" w:hAnsi="Calibri" w:eastAsia="Calibri" w:cs="Calibri"/>
            <w:b w:val="0"/>
            <w:bCs w:val="0"/>
            <w:i w:val="0"/>
            <w:iCs w:val="0"/>
            <w:caps w:val="0"/>
            <w:smallCaps w:val="0"/>
            <w:noProof w:val="0"/>
            <w:sz w:val="22"/>
            <w:szCs w:val="22"/>
            <w:lang w:val="en-GB"/>
          </w:rPr>
          <w:t>https://mindmatters.ai/2023/10/blue-zone-bs-the-longevity-cluster-myth/</w:t>
        </w:r>
      </w:hyperlink>
      <w:r w:rsidRPr="21CAAA4A" w:rsidR="06CEEAA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4 December. 2023).</w:t>
      </w:r>
    </w:p>
    <w:p xmlns:wp14="http://schemas.microsoft.com/office/word/2010/wordml" w:rsidP="21CAAA4A" wp14:paraId="4117835D" wp14:textId="6EFBFE4C">
      <w:pPr>
        <w:spacing w:after="160" w:line="360" w:lineRule="auto"/>
        <w:ind w:left="720" w:hanging="720"/>
        <w:rPr>
          <w:rFonts w:ascii="Calibri" w:hAnsi="Calibri" w:eastAsia="Calibri" w:cs="Calibri"/>
          <w:b w:val="0"/>
          <w:bCs w:val="0"/>
          <w:i w:val="0"/>
          <w:iCs w:val="0"/>
          <w:caps w:val="0"/>
          <w:smallCaps w:val="0"/>
          <w:noProof w:val="0"/>
          <w:color w:val="000000" w:themeColor="text1" w:themeTint="FF" w:themeShade="FF"/>
          <w:sz w:val="22"/>
          <w:szCs w:val="22"/>
          <w:lang w:val="en-US"/>
        </w:rPr>
      </w:pPr>
      <w:r w:rsidRPr="21CAAA4A" w:rsidR="06CEEAA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Steward, R. (2019) </w:t>
      </w:r>
      <w:r w:rsidRPr="21CAAA4A" w:rsidR="06CEEAA1">
        <w:rPr>
          <w:rFonts w:ascii="Calibri" w:hAnsi="Calibri" w:eastAsia="Calibri" w:cs="Calibri"/>
          <w:b w:val="0"/>
          <w:bCs w:val="0"/>
          <w:i w:val="1"/>
          <w:iCs w:val="1"/>
          <w:caps w:val="0"/>
          <w:smallCaps w:val="0"/>
          <w:noProof w:val="0"/>
          <w:color w:val="000000" w:themeColor="text1" w:themeTint="FF" w:themeShade="FF"/>
          <w:sz w:val="22"/>
          <w:szCs w:val="22"/>
          <w:lang w:val="en-GB"/>
        </w:rPr>
        <w:t>Voluntary National Review of progress towards the Sustainable Development Goals.</w:t>
      </w:r>
      <w:r w:rsidRPr="21CAAA4A" w:rsidR="06CEEAA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Available at: </w:t>
      </w:r>
      <w:hyperlink r:id="Ra9cbcebf70334c37">
        <w:r w:rsidRPr="21CAAA4A" w:rsidR="06CEEAA1">
          <w:rPr>
            <w:rStyle w:val="Hyperlink"/>
            <w:rFonts w:ascii="Calibri" w:hAnsi="Calibri" w:eastAsia="Calibri" w:cs="Calibri"/>
            <w:b w:val="0"/>
            <w:bCs w:val="0"/>
            <w:i w:val="0"/>
            <w:iCs w:val="0"/>
            <w:caps w:val="0"/>
            <w:smallCaps w:val="0"/>
            <w:noProof w:val="0"/>
            <w:sz w:val="22"/>
            <w:szCs w:val="22"/>
            <w:lang w:val="en-GB"/>
          </w:rPr>
          <w:t>https://assets.publishing.service.gov.uk/media/5d2f3d6aed915d2feeac49f4/UKVNR-web-accessible1.pdf</w:t>
        </w:r>
      </w:hyperlink>
      <w:r w:rsidRPr="21CAAA4A" w:rsidR="06CEEAA1">
        <w:rPr>
          <w:rFonts w:ascii="Calibri" w:hAnsi="Calibri" w:eastAsia="Calibri" w:cs="Calibri"/>
          <w:b w:val="0"/>
          <w:bCs w:val="0"/>
          <w:i w:val="0"/>
          <w:iCs w:val="0"/>
          <w:caps w:val="0"/>
          <w:smallCaps w:val="0"/>
          <w:noProof w:val="0"/>
          <w:color w:val="000000" w:themeColor="text1" w:themeTint="FF" w:themeShade="FF"/>
          <w:sz w:val="22"/>
          <w:szCs w:val="22"/>
          <w:lang w:val="en-GB"/>
        </w:rPr>
        <w:t>. (Accessed: 30 November 2023).</w:t>
      </w:r>
    </w:p>
    <w:p xmlns:wp14="http://schemas.microsoft.com/office/word/2010/wordml" w:rsidP="21CAAA4A" wp14:paraId="02352F36" wp14:textId="4C860799">
      <w:pPr>
        <w:spacing w:after="160" w:line="360" w:lineRule="auto"/>
        <w:ind w:left="720" w:hanging="720"/>
        <w:rPr>
          <w:rFonts w:ascii="Calibri" w:hAnsi="Calibri" w:eastAsia="Calibri" w:cs="Calibri"/>
          <w:b w:val="0"/>
          <w:bCs w:val="0"/>
          <w:i w:val="0"/>
          <w:iCs w:val="0"/>
          <w:caps w:val="0"/>
          <w:smallCaps w:val="0"/>
          <w:noProof w:val="0"/>
          <w:color w:val="000000" w:themeColor="text1" w:themeTint="FF" w:themeShade="FF"/>
          <w:sz w:val="22"/>
          <w:szCs w:val="22"/>
          <w:lang w:val="en-US"/>
        </w:rPr>
      </w:pPr>
      <w:r w:rsidRPr="21CAAA4A" w:rsidR="06CEEAA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Sustainable Development Commission (2011) </w:t>
      </w:r>
      <w:r w:rsidRPr="21CAAA4A" w:rsidR="06CEEAA1">
        <w:rPr>
          <w:rFonts w:ascii="Calibri" w:hAnsi="Calibri" w:eastAsia="Calibri" w:cs="Calibri"/>
          <w:b w:val="0"/>
          <w:bCs w:val="0"/>
          <w:i w:val="1"/>
          <w:iCs w:val="1"/>
          <w:caps w:val="0"/>
          <w:smallCaps w:val="0"/>
          <w:noProof w:val="0"/>
          <w:color w:val="000000" w:themeColor="text1" w:themeTint="FF" w:themeShade="FF"/>
          <w:sz w:val="22"/>
          <w:szCs w:val="22"/>
          <w:lang w:val="en-GB"/>
        </w:rPr>
        <w:t>Our Role.</w:t>
      </w:r>
      <w:r w:rsidRPr="21CAAA4A" w:rsidR="06CEEAA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Available at: </w:t>
      </w:r>
      <w:hyperlink r:id="R96f2104c23c24648">
        <w:r w:rsidRPr="21CAAA4A" w:rsidR="06CEEAA1">
          <w:rPr>
            <w:rStyle w:val="Hyperlink"/>
            <w:rFonts w:ascii="Calibri" w:hAnsi="Calibri" w:eastAsia="Calibri" w:cs="Calibri"/>
            <w:b w:val="0"/>
            <w:bCs w:val="0"/>
            <w:i w:val="0"/>
            <w:iCs w:val="0"/>
            <w:caps w:val="0"/>
            <w:smallCaps w:val="0"/>
            <w:noProof w:val="0"/>
            <w:sz w:val="22"/>
            <w:szCs w:val="22"/>
            <w:lang w:val="en-GB"/>
          </w:rPr>
          <w:t>http://www.sd-commission.org.uk/pages/about-us.html</w:t>
        </w:r>
      </w:hyperlink>
      <w:r w:rsidRPr="21CAAA4A" w:rsidR="06CEEAA1">
        <w:rPr>
          <w:rFonts w:ascii="Calibri" w:hAnsi="Calibri" w:eastAsia="Calibri" w:cs="Calibri"/>
          <w:b w:val="0"/>
          <w:bCs w:val="0"/>
          <w:i w:val="0"/>
          <w:iCs w:val="0"/>
          <w:caps w:val="0"/>
          <w:smallCaps w:val="0"/>
          <w:noProof w:val="0"/>
          <w:color w:val="000000" w:themeColor="text1" w:themeTint="FF" w:themeShade="FF"/>
          <w:sz w:val="22"/>
          <w:szCs w:val="22"/>
          <w:lang w:val="en-GB"/>
        </w:rPr>
        <w:t>. (Accessed: 23 November 2023).</w:t>
      </w:r>
    </w:p>
    <w:p xmlns:wp14="http://schemas.microsoft.com/office/word/2010/wordml" w:rsidP="21CAAA4A" wp14:paraId="12891EA9" wp14:textId="2AA1E945">
      <w:pPr>
        <w:spacing w:after="160" w:line="360" w:lineRule="auto"/>
        <w:ind w:left="720" w:hanging="720"/>
        <w:rPr>
          <w:rFonts w:ascii="Calibri" w:hAnsi="Calibri" w:eastAsia="Calibri" w:cs="Calibri"/>
          <w:b w:val="0"/>
          <w:bCs w:val="0"/>
          <w:i w:val="0"/>
          <w:iCs w:val="0"/>
          <w:caps w:val="0"/>
          <w:smallCaps w:val="0"/>
          <w:noProof w:val="0"/>
          <w:color w:val="000000" w:themeColor="text1" w:themeTint="FF" w:themeShade="FF"/>
          <w:sz w:val="22"/>
          <w:szCs w:val="22"/>
          <w:lang w:val="en-US"/>
        </w:rPr>
      </w:pPr>
      <w:r w:rsidRPr="21CAAA4A" w:rsidR="06CEEAA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United Nations (2015) Transforming our world: the 2030 Agenda for Sustainable Development. Available at: </w:t>
      </w:r>
      <w:hyperlink r:id="R67fcbaf3d4994ffd">
        <w:r w:rsidRPr="21CAAA4A" w:rsidR="06CEEAA1">
          <w:rPr>
            <w:rStyle w:val="Hyperlink"/>
            <w:rFonts w:ascii="Calibri" w:hAnsi="Calibri" w:eastAsia="Calibri" w:cs="Calibri"/>
            <w:b w:val="0"/>
            <w:bCs w:val="0"/>
            <w:i w:val="0"/>
            <w:iCs w:val="0"/>
            <w:caps w:val="0"/>
            <w:smallCaps w:val="0"/>
            <w:strike w:val="0"/>
            <w:dstrike w:val="0"/>
            <w:noProof w:val="0"/>
            <w:sz w:val="22"/>
            <w:szCs w:val="22"/>
            <w:lang w:val="en-GB"/>
          </w:rPr>
          <w:t>https://sdgs.un.org/goals</w:t>
        </w:r>
      </w:hyperlink>
      <w:r w:rsidRPr="21CAAA4A" w:rsidR="06CEEAA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04 December 2023).</w:t>
      </w:r>
    </w:p>
    <w:p xmlns:wp14="http://schemas.microsoft.com/office/word/2010/wordml" w:rsidP="21CAAA4A" wp14:paraId="16C2A9CC" wp14:textId="0329152F">
      <w:pPr>
        <w:spacing w:after="160" w:line="360" w:lineRule="auto"/>
        <w:ind w:left="720" w:hanging="720"/>
        <w:rPr>
          <w:rFonts w:ascii="Calibri" w:hAnsi="Calibri" w:eastAsia="Calibri" w:cs="Calibri"/>
          <w:b w:val="0"/>
          <w:bCs w:val="0"/>
          <w:i w:val="0"/>
          <w:iCs w:val="0"/>
          <w:caps w:val="0"/>
          <w:smallCaps w:val="0"/>
          <w:noProof w:val="0"/>
          <w:color w:val="000000" w:themeColor="text1" w:themeTint="FF" w:themeShade="FF"/>
          <w:sz w:val="22"/>
          <w:szCs w:val="22"/>
          <w:lang w:val="en-US"/>
        </w:rPr>
      </w:pPr>
      <w:r w:rsidRPr="21CAAA4A" w:rsidR="06CEEAA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United Nations (2023) United Nations Sustainable Development. United Nations Sustainable Development. Available at: </w:t>
      </w:r>
      <w:hyperlink r:id="Rbf959ab5ab3d4f33">
        <w:r w:rsidRPr="21CAAA4A" w:rsidR="06CEEAA1">
          <w:rPr>
            <w:rStyle w:val="Hyperlink"/>
            <w:rFonts w:ascii="Calibri" w:hAnsi="Calibri" w:eastAsia="Calibri" w:cs="Calibri"/>
            <w:b w:val="0"/>
            <w:bCs w:val="0"/>
            <w:i w:val="0"/>
            <w:iCs w:val="0"/>
            <w:caps w:val="0"/>
            <w:smallCaps w:val="0"/>
            <w:noProof w:val="0"/>
            <w:sz w:val="22"/>
            <w:szCs w:val="22"/>
            <w:lang w:val="en-GB"/>
          </w:rPr>
          <w:t>https://www.un.org/sustainabledevelopment/</w:t>
        </w:r>
      </w:hyperlink>
      <w:r w:rsidRPr="21CAAA4A" w:rsidR="06CEEAA1">
        <w:rPr>
          <w:rFonts w:ascii="Calibri" w:hAnsi="Calibri" w:eastAsia="Calibri" w:cs="Calibri"/>
          <w:b w:val="0"/>
          <w:bCs w:val="0"/>
          <w:i w:val="0"/>
          <w:iCs w:val="0"/>
          <w:caps w:val="0"/>
          <w:smallCaps w:val="0"/>
          <w:noProof w:val="0"/>
          <w:color w:val="000000" w:themeColor="text1" w:themeTint="FF" w:themeShade="FF"/>
          <w:sz w:val="22"/>
          <w:szCs w:val="22"/>
          <w:lang w:val="en-GB"/>
        </w:rPr>
        <w:t>. (Accessed: 30 November 2023).</w:t>
      </w:r>
    </w:p>
    <w:p xmlns:wp14="http://schemas.microsoft.com/office/word/2010/wordml" w:rsidP="21CAAA4A" wp14:paraId="54D04AA7" wp14:textId="5DCCB3E7">
      <w:pPr>
        <w:spacing w:after="160" w:line="360" w:lineRule="auto"/>
        <w:ind w:left="720" w:hanging="720"/>
        <w:rPr>
          <w:rFonts w:ascii="Calibri" w:hAnsi="Calibri" w:eastAsia="Calibri" w:cs="Calibri"/>
          <w:b w:val="0"/>
          <w:bCs w:val="0"/>
          <w:i w:val="0"/>
          <w:iCs w:val="0"/>
          <w:caps w:val="0"/>
          <w:smallCaps w:val="0"/>
          <w:noProof w:val="0"/>
          <w:color w:val="000000" w:themeColor="text1" w:themeTint="FF" w:themeShade="FF"/>
          <w:sz w:val="22"/>
          <w:szCs w:val="22"/>
          <w:lang w:val="en-US"/>
        </w:rPr>
      </w:pPr>
      <w:r w:rsidRPr="21CAAA4A" w:rsidR="06CEEAA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Vaughan, A. (2010) Government Axes UK Sustainability Watchdog. The Guardian. Available at: </w:t>
      </w:r>
      <w:hyperlink r:id="R27e211ee87ce45ff">
        <w:r w:rsidRPr="21CAAA4A" w:rsidR="06CEEAA1">
          <w:rPr>
            <w:rStyle w:val="Hyperlink"/>
            <w:rFonts w:ascii="Calibri" w:hAnsi="Calibri" w:eastAsia="Calibri" w:cs="Calibri"/>
            <w:b w:val="0"/>
            <w:bCs w:val="0"/>
            <w:i w:val="0"/>
            <w:iCs w:val="0"/>
            <w:caps w:val="0"/>
            <w:smallCaps w:val="0"/>
            <w:noProof w:val="0"/>
            <w:sz w:val="22"/>
            <w:szCs w:val="22"/>
            <w:lang w:val="en-GB"/>
          </w:rPr>
          <w:t>https://www.theguardian.com/environment/2010/jul/22/government-axes-sustainability-watchdog</w:t>
        </w:r>
      </w:hyperlink>
      <w:r w:rsidRPr="21CAAA4A" w:rsidR="06CEEAA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23 November 2023). </w:t>
      </w:r>
    </w:p>
    <w:p xmlns:wp14="http://schemas.microsoft.com/office/word/2010/wordml" w:rsidP="21CAAA4A" wp14:paraId="0AE49EC0" wp14:textId="2A8242F8">
      <w:pPr>
        <w:spacing w:after="160" w:line="360" w:lineRule="auto"/>
        <w:ind w:left="720" w:hanging="720"/>
        <w:rPr>
          <w:rFonts w:ascii="Calibri" w:hAnsi="Calibri" w:eastAsia="Calibri" w:cs="Calibri"/>
          <w:b w:val="0"/>
          <w:bCs w:val="0"/>
          <w:i w:val="0"/>
          <w:iCs w:val="0"/>
          <w:caps w:val="0"/>
          <w:smallCaps w:val="0"/>
          <w:noProof w:val="0"/>
          <w:color w:val="000000" w:themeColor="text1" w:themeTint="FF" w:themeShade="FF"/>
          <w:sz w:val="22"/>
          <w:szCs w:val="22"/>
          <w:lang w:val="en-US"/>
        </w:rPr>
      </w:pPr>
      <w:r w:rsidRPr="21CAAA4A" w:rsidR="06CEEAA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Wales Audit Office (2010) </w:t>
      </w:r>
      <w:r w:rsidRPr="21CAAA4A" w:rsidR="06CEEAA1">
        <w:rPr>
          <w:rFonts w:ascii="Calibri" w:hAnsi="Calibri" w:eastAsia="Calibri" w:cs="Calibri"/>
          <w:b w:val="0"/>
          <w:bCs w:val="0"/>
          <w:i w:val="1"/>
          <w:iCs w:val="1"/>
          <w:caps w:val="0"/>
          <w:smallCaps w:val="0"/>
          <w:noProof w:val="0"/>
          <w:color w:val="000000" w:themeColor="text1" w:themeTint="FF" w:themeShade="FF"/>
          <w:sz w:val="22"/>
          <w:szCs w:val="22"/>
          <w:lang w:val="en-GB"/>
        </w:rPr>
        <w:t>Sustainable Development and Business Decision Making in the Welsh Assembly Government</w:t>
      </w:r>
      <w:r w:rsidRPr="21CAAA4A" w:rsidR="06CEEAA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Available at: </w:t>
      </w:r>
      <w:hyperlink r:id="R0cfeb3f4a76b4580">
        <w:r w:rsidRPr="21CAAA4A" w:rsidR="06CEEAA1">
          <w:rPr>
            <w:rStyle w:val="Hyperlink"/>
            <w:rFonts w:ascii="Calibri" w:hAnsi="Calibri" w:eastAsia="Calibri" w:cs="Calibri"/>
            <w:b w:val="0"/>
            <w:bCs w:val="0"/>
            <w:i w:val="0"/>
            <w:iCs w:val="0"/>
            <w:caps w:val="0"/>
            <w:smallCaps w:val="0"/>
            <w:noProof w:val="0"/>
            <w:sz w:val="22"/>
            <w:szCs w:val="22"/>
            <w:lang w:val="en-GB"/>
          </w:rPr>
          <w:t>https://www.webarchive.org.uk/wayback/archive/20111205011702/http://www.wao.gov.uk/assets/englishdocuments/Sustainable_Development_english.pdf</w:t>
        </w:r>
      </w:hyperlink>
      <w:r w:rsidRPr="21CAAA4A" w:rsidR="06CEEAA1">
        <w:rPr>
          <w:rFonts w:ascii="Calibri" w:hAnsi="Calibri" w:eastAsia="Calibri" w:cs="Calibri"/>
          <w:b w:val="0"/>
          <w:bCs w:val="0"/>
          <w:i w:val="0"/>
          <w:iCs w:val="0"/>
          <w:caps w:val="0"/>
          <w:smallCaps w:val="0"/>
          <w:noProof w:val="0"/>
          <w:color w:val="000000" w:themeColor="text1" w:themeTint="FF" w:themeShade="FF"/>
          <w:sz w:val="22"/>
          <w:szCs w:val="22"/>
          <w:lang w:val="en-GB"/>
        </w:rPr>
        <w:t>. (Accessed: 23 November 2023).</w:t>
      </w:r>
    </w:p>
    <w:p xmlns:wp14="http://schemas.microsoft.com/office/word/2010/wordml" w:rsidP="21CAAA4A" wp14:paraId="6874A742" wp14:textId="7AC946D8">
      <w:pPr>
        <w:spacing w:after="160" w:line="360" w:lineRule="auto"/>
        <w:ind w:left="720" w:hanging="720"/>
        <w:rPr>
          <w:rFonts w:ascii="Calibri" w:hAnsi="Calibri" w:eastAsia="Calibri" w:cs="Calibri"/>
          <w:b w:val="0"/>
          <w:bCs w:val="0"/>
          <w:i w:val="0"/>
          <w:iCs w:val="0"/>
          <w:caps w:val="0"/>
          <w:smallCaps w:val="0"/>
          <w:noProof w:val="0"/>
          <w:color w:val="000000" w:themeColor="text1" w:themeTint="FF" w:themeShade="FF"/>
          <w:sz w:val="22"/>
          <w:szCs w:val="22"/>
          <w:lang w:val="en-US"/>
        </w:rPr>
      </w:pPr>
      <w:r w:rsidRPr="21CAAA4A" w:rsidR="06CEEAA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Wales Centre Of Public Policy. (2022) What can PSBs do to improve wellbeing from a community perspective. Available at: </w:t>
      </w:r>
      <w:hyperlink r:id="R8ea7362ffdb3499f">
        <w:r w:rsidRPr="21CAAA4A" w:rsidR="06CEEAA1">
          <w:rPr>
            <w:rStyle w:val="Hyperlink"/>
            <w:rFonts w:ascii="Calibri" w:hAnsi="Calibri" w:eastAsia="Calibri" w:cs="Calibri"/>
            <w:b w:val="0"/>
            <w:bCs w:val="0"/>
            <w:i w:val="0"/>
            <w:iCs w:val="0"/>
            <w:caps w:val="0"/>
            <w:smallCaps w:val="0"/>
            <w:strike w:val="0"/>
            <w:dstrike w:val="0"/>
            <w:noProof w:val="0"/>
            <w:sz w:val="22"/>
            <w:szCs w:val="22"/>
            <w:lang w:val="en-GB"/>
          </w:rPr>
          <w:t>https://www.wcpp.org.uk/wp-content/uploads/2023/02/What-can-PSBs-do-to-improve-wellbeing-from-a-community-perspective.pdf</w:t>
        </w:r>
      </w:hyperlink>
      <w:r w:rsidRPr="21CAAA4A" w:rsidR="06CEEAA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6 December 2023).</w:t>
      </w:r>
    </w:p>
    <w:p xmlns:wp14="http://schemas.microsoft.com/office/word/2010/wordml" w:rsidP="21CAAA4A" wp14:paraId="6CE96587" wp14:textId="1E06EE7A">
      <w:pPr>
        <w:spacing w:after="160" w:line="360" w:lineRule="auto"/>
        <w:ind w:left="720" w:hanging="720"/>
        <w:rPr>
          <w:rFonts w:ascii="Calibri" w:hAnsi="Calibri" w:eastAsia="Calibri" w:cs="Calibri"/>
          <w:b w:val="0"/>
          <w:bCs w:val="0"/>
          <w:i w:val="0"/>
          <w:iCs w:val="0"/>
          <w:caps w:val="0"/>
          <w:smallCaps w:val="0"/>
          <w:noProof w:val="0"/>
          <w:color w:val="000000" w:themeColor="text1" w:themeTint="FF" w:themeShade="FF"/>
          <w:sz w:val="22"/>
          <w:szCs w:val="22"/>
          <w:lang w:val="en-US"/>
        </w:rPr>
      </w:pPr>
      <w:r w:rsidRPr="21CAAA4A" w:rsidR="06CEEAA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Walsh, J. A. and Warren, K. S. (1980) Selective primary health care: an interim strategy for disease control in developing countries. </w:t>
      </w:r>
      <w:r w:rsidRPr="21CAAA4A" w:rsidR="06CEEAA1">
        <w:rPr>
          <w:rFonts w:ascii="Calibri" w:hAnsi="Calibri" w:eastAsia="Calibri" w:cs="Calibri"/>
          <w:b w:val="0"/>
          <w:bCs w:val="0"/>
          <w:i w:val="1"/>
          <w:iCs w:val="1"/>
          <w:caps w:val="0"/>
          <w:smallCaps w:val="0"/>
          <w:noProof w:val="0"/>
          <w:color w:val="000000" w:themeColor="text1" w:themeTint="FF" w:themeShade="FF"/>
          <w:sz w:val="22"/>
          <w:szCs w:val="22"/>
          <w:lang w:val="en-GB"/>
        </w:rPr>
        <w:t>Social Science &amp; Medicine. Part C: Medical Economics</w:t>
      </w:r>
      <w:r w:rsidRPr="21CAAA4A" w:rsidR="06CEEAA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14(2), pp.145-163. Available at: </w:t>
      </w:r>
      <w:hyperlink r:id="R4fea581e0f8e4cdb">
        <w:r w:rsidRPr="21CAAA4A" w:rsidR="06CEEAA1">
          <w:rPr>
            <w:rStyle w:val="Hyperlink"/>
            <w:rFonts w:ascii="Calibri" w:hAnsi="Calibri" w:eastAsia="Calibri" w:cs="Calibri"/>
            <w:b w:val="0"/>
            <w:bCs w:val="0"/>
            <w:i w:val="0"/>
            <w:iCs w:val="0"/>
            <w:caps w:val="0"/>
            <w:smallCaps w:val="0"/>
            <w:noProof w:val="0"/>
            <w:sz w:val="22"/>
            <w:szCs w:val="22"/>
            <w:lang w:val="en-GB"/>
          </w:rPr>
          <w:t>https://doi.org/10.1016/0160-7995(80)90034-9</w:t>
        </w:r>
      </w:hyperlink>
      <w:r w:rsidRPr="21CAAA4A" w:rsidR="06CEEAA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26 November 2023). </w:t>
      </w:r>
    </w:p>
    <w:p xmlns:wp14="http://schemas.microsoft.com/office/word/2010/wordml" w:rsidP="21CAAA4A" wp14:paraId="7EFC4BDC" wp14:textId="5DBD7265">
      <w:pPr>
        <w:spacing w:after="160" w:line="360" w:lineRule="auto"/>
        <w:ind w:left="720" w:hanging="720"/>
        <w:rPr>
          <w:rFonts w:ascii="Calibri" w:hAnsi="Calibri" w:eastAsia="Calibri" w:cs="Calibri"/>
          <w:b w:val="0"/>
          <w:bCs w:val="0"/>
          <w:i w:val="0"/>
          <w:iCs w:val="0"/>
          <w:caps w:val="0"/>
          <w:smallCaps w:val="0"/>
          <w:noProof w:val="0"/>
          <w:color w:val="000000" w:themeColor="text1" w:themeTint="FF" w:themeShade="FF"/>
          <w:sz w:val="22"/>
          <w:szCs w:val="22"/>
          <w:lang w:val="en-US"/>
        </w:rPr>
      </w:pPr>
      <w:r w:rsidRPr="21CAAA4A" w:rsidR="06CEEAA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Weatherup, C. (2019) The future generation’s act: Wales. </w:t>
      </w:r>
      <w:r w:rsidRPr="21CAAA4A" w:rsidR="06CEEAA1">
        <w:rPr>
          <w:rFonts w:ascii="Calibri" w:hAnsi="Calibri" w:eastAsia="Calibri" w:cs="Calibri"/>
          <w:b w:val="0"/>
          <w:bCs w:val="0"/>
          <w:i w:val="1"/>
          <w:iCs w:val="1"/>
          <w:caps w:val="0"/>
          <w:smallCaps w:val="0"/>
          <w:noProof w:val="0"/>
          <w:color w:val="000000" w:themeColor="text1" w:themeTint="FF" w:themeShade="FF"/>
          <w:sz w:val="22"/>
          <w:szCs w:val="22"/>
          <w:lang w:val="en-GB"/>
        </w:rPr>
        <w:t>European Journal of Public Health</w:t>
      </w:r>
      <w:r w:rsidRPr="21CAAA4A" w:rsidR="06CEEAA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21CAAA4A" w:rsidR="06CEEAA1">
        <w:rPr>
          <w:rFonts w:ascii="Calibri" w:hAnsi="Calibri" w:eastAsia="Calibri" w:cs="Calibri"/>
          <w:b w:val="0"/>
          <w:bCs w:val="0"/>
          <w:i w:val="1"/>
          <w:iCs w:val="1"/>
          <w:caps w:val="0"/>
          <w:smallCaps w:val="0"/>
          <w:noProof w:val="0"/>
          <w:color w:val="000000" w:themeColor="text1" w:themeTint="FF" w:themeShade="FF"/>
          <w:sz w:val="22"/>
          <w:szCs w:val="22"/>
          <w:lang w:val="en-GB"/>
        </w:rPr>
        <w:t xml:space="preserve">29. Available at: </w:t>
      </w:r>
      <w:hyperlink r:id="R7160411b630848e1">
        <w:r w:rsidRPr="21CAAA4A" w:rsidR="06CEEAA1">
          <w:rPr>
            <w:rStyle w:val="Hyperlink"/>
            <w:rFonts w:ascii="Calibri" w:hAnsi="Calibri" w:eastAsia="Calibri" w:cs="Calibri"/>
            <w:b w:val="0"/>
            <w:bCs w:val="0"/>
            <w:i w:val="0"/>
            <w:iCs w:val="0"/>
            <w:caps w:val="0"/>
            <w:smallCaps w:val="0"/>
            <w:strike w:val="0"/>
            <w:dstrike w:val="0"/>
            <w:noProof w:val="0"/>
            <w:sz w:val="22"/>
            <w:szCs w:val="22"/>
            <w:lang w:val="en-GB"/>
          </w:rPr>
          <w:t>https://doi.org/10.1093/eurpub/ckz185.709.</w:t>
        </w:r>
      </w:hyperlink>
      <w:r w:rsidRPr="21CAAA4A" w:rsidR="06CEEAA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6 December 2023).</w:t>
      </w:r>
    </w:p>
    <w:p xmlns:wp14="http://schemas.microsoft.com/office/word/2010/wordml" w:rsidP="21CAAA4A" wp14:paraId="7A9D7D6B" wp14:textId="170BB7D8">
      <w:pPr>
        <w:spacing w:after="160" w:line="360" w:lineRule="auto"/>
        <w:ind w:left="720" w:hanging="720"/>
        <w:rPr>
          <w:rFonts w:ascii="Calibri" w:hAnsi="Calibri" w:eastAsia="Calibri" w:cs="Calibri"/>
          <w:b w:val="0"/>
          <w:bCs w:val="0"/>
          <w:i w:val="0"/>
          <w:iCs w:val="0"/>
          <w:caps w:val="0"/>
          <w:smallCaps w:val="0"/>
          <w:noProof w:val="0"/>
          <w:color w:val="000000" w:themeColor="text1" w:themeTint="FF" w:themeShade="FF"/>
          <w:sz w:val="22"/>
          <w:szCs w:val="22"/>
          <w:lang w:val="en-US"/>
        </w:rPr>
      </w:pPr>
      <w:r w:rsidRPr="21CAAA4A" w:rsidR="06CEEAA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Welsh Government (2015) </w:t>
      </w:r>
      <w:r w:rsidRPr="21CAAA4A" w:rsidR="06CEEAA1">
        <w:rPr>
          <w:rFonts w:ascii="Calibri" w:hAnsi="Calibri" w:eastAsia="Calibri" w:cs="Calibri"/>
          <w:b w:val="0"/>
          <w:bCs w:val="0"/>
          <w:i w:val="1"/>
          <w:iCs w:val="1"/>
          <w:caps w:val="0"/>
          <w:smallCaps w:val="0"/>
          <w:noProof w:val="0"/>
          <w:color w:val="000000" w:themeColor="text1" w:themeTint="FF" w:themeShade="FF"/>
          <w:sz w:val="22"/>
          <w:szCs w:val="22"/>
          <w:lang w:val="en-GB"/>
        </w:rPr>
        <w:t xml:space="preserve">Well-being of Future Generations (Wales) Act 2015. </w:t>
      </w:r>
      <w:r w:rsidRPr="21CAAA4A" w:rsidR="06CEEAA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Available at: </w:t>
      </w:r>
      <w:hyperlink r:id="R5f215ad480f84869">
        <w:r w:rsidRPr="21CAAA4A" w:rsidR="06CEEAA1">
          <w:rPr>
            <w:rStyle w:val="Hyperlink"/>
            <w:rFonts w:ascii="Calibri" w:hAnsi="Calibri" w:eastAsia="Calibri" w:cs="Calibri"/>
            <w:b w:val="0"/>
            <w:bCs w:val="0"/>
            <w:i w:val="0"/>
            <w:iCs w:val="0"/>
            <w:caps w:val="0"/>
            <w:smallCaps w:val="0"/>
            <w:strike w:val="0"/>
            <w:dstrike w:val="0"/>
            <w:noProof w:val="0"/>
            <w:sz w:val="22"/>
            <w:szCs w:val="22"/>
            <w:lang w:val="en-GB"/>
          </w:rPr>
          <w:t>https://www.gov.wales/well-being-future-generations-act-essentials-html</w:t>
        </w:r>
      </w:hyperlink>
      <w:r w:rsidRPr="21CAAA4A" w:rsidR="06CEEAA1">
        <w:rPr>
          <w:rFonts w:ascii="Calibri" w:hAnsi="Calibri" w:eastAsia="Calibri" w:cs="Calibri"/>
          <w:b w:val="0"/>
          <w:bCs w:val="0"/>
          <w:i w:val="0"/>
          <w:iCs w:val="0"/>
          <w:caps w:val="0"/>
          <w:smallCaps w:val="0"/>
          <w:noProof w:val="0"/>
          <w:color w:val="000000" w:themeColor="text1" w:themeTint="FF" w:themeShade="FF"/>
          <w:sz w:val="22"/>
          <w:szCs w:val="22"/>
          <w:lang w:val="en-GB"/>
        </w:rPr>
        <w:t>. (Accessed: 6 December 2023).</w:t>
      </w:r>
    </w:p>
    <w:p xmlns:wp14="http://schemas.microsoft.com/office/word/2010/wordml" w:rsidP="21CAAA4A" wp14:paraId="0518580E" wp14:textId="2E430E9C">
      <w:pPr>
        <w:spacing w:after="160" w:line="360" w:lineRule="auto"/>
        <w:ind w:left="720" w:hanging="720"/>
        <w:rPr>
          <w:rFonts w:ascii="Calibri" w:hAnsi="Calibri" w:eastAsia="Calibri" w:cs="Calibri"/>
          <w:b w:val="0"/>
          <w:bCs w:val="0"/>
          <w:i w:val="0"/>
          <w:iCs w:val="0"/>
          <w:caps w:val="0"/>
          <w:smallCaps w:val="0"/>
          <w:noProof w:val="0"/>
          <w:color w:val="000000" w:themeColor="text1" w:themeTint="FF" w:themeShade="FF"/>
          <w:sz w:val="22"/>
          <w:szCs w:val="22"/>
          <w:lang w:val="en-US"/>
        </w:rPr>
      </w:pPr>
      <w:r w:rsidRPr="21CAAA4A" w:rsidR="06CEEAA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Welsh Government (2016) </w:t>
      </w:r>
      <w:r w:rsidRPr="21CAAA4A" w:rsidR="06CEEAA1">
        <w:rPr>
          <w:rFonts w:ascii="Calibri" w:hAnsi="Calibri" w:eastAsia="Calibri" w:cs="Calibri"/>
          <w:b w:val="0"/>
          <w:bCs w:val="0"/>
          <w:i w:val="1"/>
          <w:iCs w:val="1"/>
          <w:caps w:val="0"/>
          <w:smallCaps w:val="0"/>
          <w:noProof w:val="0"/>
          <w:color w:val="000000" w:themeColor="text1" w:themeTint="FF" w:themeShade="FF"/>
          <w:sz w:val="22"/>
          <w:szCs w:val="22"/>
          <w:lang w:val="en-GB"/>
        </w:rPr>
        <w:t>How to measure a nation’s progress? National indicators for Wales, National Indicators for Wales as required by section 10(1) of the Well-being of Future Generations (Wales) Act 2015</w:t>
      </w:r>
      <w:r w:rsidRPr="21CAAA4A" w:rsidR="06CEEAA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Available at: </w:t>
      </w:r>
      <w:hyperlink r:id="Rfc0884c63b3748ad">
        <w:r w:rsidRPr="21CAAA4A" w:rsidR="06CEEAA1">
          <w:rPr>
            <w:rStyle w:val="Hyperlink"/>
            <w:rFonts w:ascii="Calibri" w:hAnsi="Calibri" w:eastAsia="Calibri" w:cs="Calibri"/>
            <w:b w:val="0"/>
            <w:bCs w:val="0"/>
            <w:i w:val="0"/>
            <w:iCs w:val="0"/>
            <w:caps w:val="0"/>
            <w:smallCaps w:val="0"/>
            <w:noProof w:val="0"/>
            <w:sz w:val="22"/>
            <w:szCs w:val="22"/>
            <w:lang w:val="en-GB"/>
          </w:rPr>
          <w:t>https://gov.wales/sites/default/files/publications/2019-06/national-indicators-for-wales.pdf</w:t>
        </w:r>
      </w:hyperlink>
      <w:r w:rsidRPr="21CAAA4A" w:rsidR="06CEEAA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23 November 2023).</w:t>
      </w:r>
    </w:p>
    <w:p xmlns:wp14="http://schemas.microsoft.com/office/word/2010/wordml" w:rsidP="21CAAA4A" wp14:paraId="631488B7" wp14:textId="13BB8AF8">
      <w:pPr>
        <w:spacing w:after="160" w:line="360" w:lineRule="auto"/>
        <w:ind w:left="720" w:hanging="720"/>
        <w:rPr>
          <w:rFonts w:ascii="Calibri" w:hAnsi="Calibri" w:eastAsia="Calibri" w:cs="Calibri"/>
          <w:b w:val="0"/>
          <w:bCs w:val="0"/>
          <w:i w:val="0"/>
          <w:iCs w:val="0"/>
          <w:caps w:val="0"/>
          <w:smallCaps w:val="0"/>
          <w:noProof w:val="0"/>
          <w:color w:val="000000" w:themeColor="text1" w:themeTint="FF" w:themeShade="FF"/>
          <w:sz w:val="22"/>
          <w:szCs w:val="22"/>
          <w:lang w:val="en-US"/>
        </w:rPr>
      </w:pPr>
      <w:r w:rsidRPr="21CAAA4A" w:rsidR="06CEEAA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Welsh Government (2020) </w:t>
      </w:r>
      <w:r w:rsidRPr="21CAAA4A" w:rsidR="06CEEAA1">
        <w:rPr>
          <w:rFonts w:ascii="Calibri" w:hAnsi="Calibri" w:eastAsia="Calibri" w:cs="Calibri"/>
          <w:b w:val="0"/>
          <w:bCs w:val="0"/>
          <w:i w:val="1"/>
          <w:iCs w:val="1"/>
          <w:caps w:val="0"/>
          <w:smallCaps w:val="0"/>
          <w:noProof w:val="0"/>
          <w:color w:val="000000" w:themeColor="text1" w:themeTint="FF" w:themeShade="FF"/>
          <w:sz w:val="22"/>
          <w:szCs w:val="22"/>
          <w:lang w:val="en-GB"/>
        </w:rPr>
        <w:t>The Health and Social Care (Quality and Engagement) (Wales) Act: summary.</w:t>
      </w:r>
      <w:r w:rsidRPr="21CAAA4A" w:rsidR="06CEEAA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Available at: </w:t>
      </w:r>
      <w:hyperlink r:id="R8175f7383f7d4d94">
        <w:r w:rsidRPr="21CAAA4A" w:rsidR="06CEEAA1">
          <w:rPr>
            <w:rStyle w:val="Hyperlink"/>
            <w:rFonts w:ascii="Calibri" w:hAnsi="Calibri" w:eastAsia="Calibri" w:cs="Calibri"/>
            <w:b w:val="0"/>
            <w:bCs w:val="0"/>
            <w:i w:val="0"/>
            <w:iCs w:val="0"/>
            <w:caps w:val="0"/>
            <w:smallCaps w:val="0"/>
            <w:strike w:val="0"/>
            <w:dstrike w:val="0"/>
            <w:noProof w:val="0"/>
            <w:sz w:val="22"/>
            <w:szCs w:val="22"/>
            <w:lang w:val="en-GB"/>
          </w:rPr>
          <w:t>https://www.gov.wales/health-and-social-care-quality-and-engagement-wales-act-summary-html</w:t>
        </w:r>
      </w:hyperlink>
      <w:r w:rsidRPr="21CAAA4A" w:rsidR="06CEEAA1">
        <w:rPr>
          <w:rFonts w:ascii="Calibri" w:hAnsi="Calibri" w:eastAsia="Calibri" w:cs="Calibri"/>
          <w:b w:val="0"/>
          <w:bCs w:val="0"/>
          <w:i w:val="0"/>
          <w:iCs w:val="0"/>
          <w:caps w:val="0"/>
          <w:smallCaps w:val="0"/>
          <w:noProof w:val="0"/>
          <w:color w:val="000000" w:themeColor="text1" w:themeTint="FF" w:themeShade="FF"/>
          <w:sz w:val="22"/>
          <w:szCs w:val="22"/>
          <w:lang w:val="en-GB"/>
        </w:rPr>
        <w:t>. (Accessed: 6 December 2023).</w:t>
      </w:r>
    </w:p>
    <w:p xmlns:wp14="http://schemas.microsoft.com/office/word/2010/wordml" w:rsidP="21CAAA4A" wp14:paraId="69A80AEA" wp14:textId="2B994042">
      <w:pPr>
        <w:spacing w:after="160" w:line="360" w:lineRule="auto"/>
        <w:ind w:left="720" w:hanging="720"/>
        <w:rPr>
          <w:rFonts w:ascii="Calibri" w:hAnsi="Calibri" w:eastAsia="Calibri" w:cs="Calibri"/>
          <w:b w:val="0"/>
          <w:bCs w:val="0"/>
          <w:i w:val="0"/>
          <w:iCs w:val="0"/>
          <w:caps w:val="0"/>
          <w:smallCaps w:val="0"/>
          <w:noProof w:val="0"/>
          <w:color w:val="000000" w:themeColor="text1" w:themeTint="FF" w:themeShade="FF"/>
          <w:sz w:val="22"/>
          <w:szCs w:val="22"/>
          <w:lang w:val="en-US"/>
        </w:rPr>
      </w:pPr>
      <w:r w:rsidRPr="21CAAA4A" w:rsidR="06CEEAA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Wikipedia Contributors (2019) Blue Zone.  Wikipedia. Available at: </w:t>
      </w:r>
      <w:hyperlink r:id="Rbe0a30d7f0194535">
        <w:r w:rsidRPr="21CAAA4A" w:rsidR="06CEEAA1">
          <w:rPr>
            <w:rStyle w:val="Hyperlink"/>
            <w:rFonts w:ascii="Calibri" w:hAnsi="Calibri" w:eastAsia="Calibri" w:cs="Calibri"/>
            <w:b w:val="0"/>
            <w:bCs w:val="0"/>
            <w:i w:val="0"/>
            <w:iCs w:val="0"/>
            <w:caps w:val="0"/>
            <w:smallCaps w:val="0"/>
            <w:noProof w:val="0"/>
            <w:sz w:val="22"/>
            <w:szCs w:val="22"/>
            <w:lang w:val="en-GB"/>
          </w:rPr>
          <w:t>https://en.wikipedia.org/wiki/Blue_Zone</w:t>
        </w:r>
      </w:hyperlink>
      <w:r w:rsidRPr="21CAAA4A" w:rsidR="06CEEAA1">
        <w:rPr>
          <w:rFonts w:ascii="Calibri" w:hAnsi="Calibri" w:eastAsia="Calibri" w:cs="Calibri"/>
          <w:b w:val="0"/>
          <w:bCs w:val="0"/>
          <w:i w:val="0"/>
          <w:iCs w:val="0"/>
          <w:caps w:val="0"/>
          <w:smallCaps w:val="0"/>
          <w:noProof w:val="0"/>
          <w:color w:val="000000" w:themeColor="text1" w:themeTint="FF" w:themeShade="FF"/>
          <w:sz w:val="22"/>
          <w:szCs w:val="22"/>
          <w:lang w:val="en-GB"/>
        </w:rPr>
        <w:t>. (Accessed: 30 November 2023).</w:t>
      </w:r>
    </w:p>
    <w:p xmlns:wp14="http://schemas.microsoft.com/office/word/2010/wordml" w:rsidP="21CAAA4A" wp14:paraId="0D057F72" wp14:textId="56600CB7">
      <w:pPr>
        <w:spacing w:after="160" w:line="360" w:lineRule="auto"/>
        <w:ind w:left="720" w:hanging="720"/>
        <w:rPr>
          <w:rFonts w:ascii="Calibri" w:hAnsi="Calibri" w:eastAsia="Calibri" w:cs="Calibri"/>
          <w:b w:val="0"/>
          <w:bCs w:val="0"/>
          <w:i w:val="0"/>
          <w:iCs w:val="0"/>
          <w:caps w:val="0"/>
          <w:smallCaps w:val="0"/>
          <w:noProof w:val="0"/>
          <w:color w:val="000000" w:themeColor="text1" w:themeTint="FF" w:themeShade="FF"/>
          <w:sz w:val="22"/>
          <w:szCs w:val="22"/>
          <w:lang w:val="en-US"/>
        </w:rPr>
      </w:pPr>
      <w:r w:rsidRPr="21CAAA4A" w:rsidR="06CEEAA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Williams, P. (2014) Commission on Public Service Governance and Delivery, Summary Report. Available at: </w:t>
      </w:r>
      <w:hyperlink r:id="R497bca9d719f429e">
        <w:r w:rsidRPr="21CAAA4A" w:rsidR="06CEEAA1">
          <w:rPr>
            <w:rStyle w:val="Hyperlink"/>
            <w:rFonts w:ascii="Calibri" w:hAnsi="Calibri" w:eastAsia="Calibri" w:cs="Calibri"/>
            <w:b w:val="0"/>
            <w:bCs w:val="0"/>
            <w:i w:val="0"/>
            <w:iCs w:val="0"/>
            <w:caps w:val="0"/>
            <w:smallCaps w:val="0"/>
            <w:noProof w:val="0"/>
            <w:sz w:val="22"/>
            <w:szCs w:val="22"/>
            <w:lang w:val="en-GB"/>
          </w:rPr>
          <w:t>https://gov.wales/docs/dpsp/publications/psgd/140120-psgd-summary-report-en.pdf</w:t>
        </w:r>
      </w:hyperlink>
      <w:r w:rsidRPr="21CAAA4A" w:rsidR="06CEEAA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20 November 2023).</w:t>
      </w:r>
    </w:p>
    <w:p xmlns:wp14="http://schemas.microsoft.com/office/word/2010/wordml" w:rsidP="11AB7650" wp14:paraId="2C078E63" wp14:textId="46B1BEB3">
      <w:pPr>
        <w:spacing w:after="160" w:line="360" w:lineRule="auto"/>
        <w:ind w:left="720" w:hanging="720"/>
        <w:rPr>
          <w:rFonts w:ascii="Calibri" w:hAnsi="Calibri" w:eastAsia="Calibri" w:cs="Calibri"/>
          <w:b w:val="0"/>
          <w:bCs w:val="0"/>
          <w:i w:val="0"/>
          <w:iCs w:val="0"/>
          <w:caps w:val="0"/>
          <w:smallCaps w:val="0"/>
          <w:noProof w:val="0"/>
          <w:color w:val="000000" w:themeColor="text1" w:themeTint="FF" w:themeShade="FF"/>
          <w:sz w:val="22"/>
          <w:szCs w:val="22"/>
          <w:lang w:val="en-US"/>
        </w:rPr>
      </w:pPr>
      <w:r w:rsidRPr="11AB7650" w:rsidR="06CEEAA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WHO (2015) Progress on household drinking water, sanitation and hygiene 2000-2017: special focus on inequalities. World Health Organization. Available at: </w:t>
      </w:r>
      <w:hyperlink r:id="R87771154f04b4665">
        <w:r w:rsidRPr="11AB7650" w:rsidR="06CEEAA1">
          <w:rPr>
            <w:rStyle w:val="Hyperlink"/>
            <w:rFonts w:ascii="Calibri" w:hAnsi="Calibri" w:eastAsia="Calibri" w:cs="Calibri"/>
            <w:b w:val="0"/>
            <w:bCs w:val="0"/>
            <w:i w:val="0"/>
            <w:iCs w:val="0"/>
            <w:caps w:val="0"/>
            <w:smallCaps w:val="0"/>
            <w:noProof w:val="0"/>
            <w:sz w:val="22"/>
            <w:szCs w:val="22"/>
            <w:lang w:val="en-GB"/>
          </w:rPr>
          <w:t>file:///C:/Users/domi2/Downloads/9789241516235-eng.pdf</w:t>
        </w:r>
      </w:hyperlink>
      <w:r w:rsidRPr="11AB7650" w:rsidR="06CEEAA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26 November 2023)</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7550ABD"/>
    <w:rsid w:val="06CEEAA1"/>
    <w:rsid w:val="0B244217"/>
    <w:rsid w:val="118AD87B"/>
    <w:rsid w:val="11AB7650"/>
    <w:rsid w:val="17550ABD"/>
    <w:rsid w:val="1BA6C4EF"/>
    <w:rsid w:val="1D429550"/>
    <w:rsid w:val="21CAAA4A"/>
    <w:rsid w:val="2BD1CF7E"/>
    <w:rsid w:val="35945EEE"/>
    <w:rsid w:val="3C8D8E50"/>
    <w:rsid w:val="44B656DD"/>
    <w:rsid w:val="555E1B35"/>
    <w:rsid w:val="55B80966"/>
    <w:rsid w:val="70F112F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550ABD"/>
  <w15:chartTrackingRefBased/>
  <w15:docId w15:val="{A8352836-9E8E-4A70-83F8-08F3F82AA5E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bbc.co.uk/news/uk-wales-politics-34709434" TargetMode="External" Id="R349a1a9485eb43c2" /><Relationship Type="http://schemas.openxmlformats.org/officeDocument/2006/relationships/hyperlink" Target="https://www.bluezones.com/dan-buettner/" TargetMode="External" Id="R9d22998c8e254ad4" /><Relationship Type="http://schemas.openxmlformats.org/officeDocument/2006/relationships/hyperlink" Target="https://www.cardiff.gov.uk/ENG/Your-Council/Strategies-plans-and-policies/Social-care-and-Housing/Cardiff-housing-support-programme-strategy-2022-to-2026/Pages/default.aspx" TargetMode="External" Id="Re24174caeeea439f" /><Relationship Type="http://schemas.openxmlformats.org/officeDocument/2006/relationships/hyperlink" Target="https://www.bbc.co.uk/news/uk-wales-41558077" TargetMode="External" Id="R627b7f22ee0a4c05" /><Relationship Type="http://schemas.openxmlformats.org/officeDocument/2006/relationships/hyperlink" Target="https://doi.org/10.1080/03003930.2022.2033227" TargetMode="External" Id="R689d26d8b18b4cac" /><Relationship Type="http://schemas.openxmlformats.org/officeDocument/2006/relationships/hyperlink" Target="https://www.gov.wales/sites/default/files/publications/2021-09/a-healthier-wales-our-plan-for-health-and-social-care.pdf" TargetMode="External" Id="R4893b2f56c4f4d7b" /><Relationship Type="http://schemas.openxmlformats.org/officeDocument/2006/relationships/hyperlink" Target="https://futuregenerations.wales/wp-content/uploads/2017/01/WFGAct-English.pdf.%202018" TargetMode="External" Id="Rd63612cf2ae54680" /><Relationship Type="http://schemas.openxmlformats.org/officeDocument/2006/relationships/hyperlink" Target="https://futuregenerations.wales/wp-content/uploads/2018/11/FGCW-1-year-Report-_English.pdf" TargetMode="External" Id="R082d33f5d7b34a7e" /><Relationship Type="http://schemas.openxmlformats.org/officeDocument/2006/relationships/hyperlink" Target="https://futuregenerations.wales/about-us/our-team/" TargetMode="External" Id="R657d7a623b5242c1" /><Relationship Type="http://schemas.openxmlformats.org/officeDocument/2006/relationships/hyperlink" Target="https://www.gov.uk/government/topical-events/uk-voluntary-national-review-of-progress-towards-the-sustainable-development-goals" TargetMode="External" Id="Rfd56a852a75e4d98" /><Relationship Type="http://schemas.openxmlformats.org/officeDocument/2006/relationships/hyperlink" Target="https://law.gov.wales/constitution-and-government/constitution-and-devolution/government-wales-act-2006" TargetMode="External" Id="R714b8a28bd5344db" /><Relationship Type="http://schemas.openxmlformats.org/officeDocument/2006/relationships/hyperlink" Target="https://doi.org/10.3138/9781487599485" TargetMode="External" Id="R861f584afbad47b1" /><Relationship Type="http://schemas.openxmlformats.org/officeDocument/2006/relationships/hyperlink" Target="https://pdfs.semanticscholar.org/b601/985c67970ba87d79fabf6160ca91b1933003.pdf" TargetMode="External" Id="R87154e443e5d49d0" /><Relationship Type="http://schemas.openxmlformats.org/officeDocument/2006/relationships/hyperlink" Target="https://journals.sagepub.com/doi/full/10.1177/15598276221118494" TargetMode="External" Id="R070d531285ae49ef" /><Relationship Type="http://schemas.openxmlformats.org/officeDocument/2006/relationships/hyperlink" Target="http://www.maniffesto.com/wp-content/uploads/2014/07/welsh-labour-manifesto.pdf" TargetMode="External" Id="R4ef2823becb84446" /><Relationship Type="http://schemas.openxmlformats.org/officeDocument/2006/relationships/hyperlink" Target="https://www.local.gov.uk/un-sustainable-development-goals-guide-councils" TargetMode="External" Id="R7b9de1b6aa2a4a6b" /><Relationship Type="http://schemas.openxmlformats.org/officeDocument/2006/relationships/hyperlink" Target="https://doi.org/10.3390/ijerph18020837" TargetMode="External" Id="Rfecab80f2e8a46bb" /><Relationship Type="http://schemas.openxmlformats.org/officeDocument/2006/relationships/hyperlink" Target="https://www.assembly.wales/en/abthome/role-of-assembly-how-it-works/Pages/history-welsh-devolution.aspx" TargetMode="External" Id="R3868cd8f91fa4f88" /><Relationship Type="http://schemas.openxmlformats.org/officeDocument/2006/relationships/hyperlink" Target="http://assets.wwf.org.uk/downloads/main_report___progress_in_embedding_the__one_planet__aspiration_in_welsh_government.pdf" TargetMode="External" Id="Rcf747629e03e424e" /><Relationship Type="http://schemas.openxmlformats.org/officeDocument/2006/relationships/hyperlink" Target="https://www.ons.gov.uk/peoplepopulationandcommunity/populationandmigration/populationestimates" TargetMode="External" Id="Rf893209482b8468f" /><Relationship Type="http://schemas.openxmlformats.org/officeDocument/2006/relationships/hyperlink" Target="https://doi.org/10.1177/0160323X12457687." TargetMode="External" Id="R909761b69ce64eb6" /><Relationship Type="http://schemas.openxmlformats.org/officeDocument/2006/relationships/hyperlink" Target="https://businessnewswales.com/new-research-shows-parks-and-green-spaces-in-wales-generate-over-1-6-billion-of-benefits-each-year/" TargetMode="External" Id="R4d8935a74ade49a8" /><Relationship Type="http://schemas.openxmlformats.org/officeDocument/2006/relationships/hyperlink" Target="http://www.wales.nhs.uk/news/42762" TargetMode="External" Id="Rcc4f2ef6b19c42dd" /><Relationship Type="http://schemas.openxmlformats.org/officeDocument/2006/relationships/hyperlink" Target="https://doi.org/10.1071/AH23009" TargetMode="External" Id="Reea4380081a94b41" /><Relationship Type="http://schemas.openxmlformats.org/officeDocument/2006/relationships/hyperlink" Target="https://www.healthline.com/nutrition/blue-zones" TargetMode="External" Id="R8d39e0f1c0724545" /><Relationship Type="http://schemas.openxmlformats.org/officeDocument/2006/relationships/hyperlink" Target="https://mindmatters.ai/2023/10/blue-zone-bs-the-longevity-cluster-myth/" TargetMode="External" Id="R05b5a6e91a4043c8" /><Relationship Type="http://schemas.openxmlformats.org/officeDocument/2006/relationships/hyperlink" Target="https://assets.publishing.service.gov.uk/media/5d2f3d6aed915d2feeac49f4/UKVNR-web-accessible1.pdf" TargetMode="External" Id="Ra9cbcebf70334c37" /><Relationship Type="http://schemas.openxmlformats.org/officeDocument/2006/relationships/hyperlink" Target="http://www.sd-commission.org.uk/pages/about-us.html" TargetMode="External" Id="R96f2104c23c24648" /><Relationship Type="http://schemas.openxmlformats.org/officeDocument/2006/relationships/hyperlink" Target="https://sdgs.un.org/goals" TargetMode="External" Id="R67fcbaf3d4994ffd" /><Relationship Type="http://schemas.openxmlformats.org/officeDocument/2006/relationships/hyperlink" Target="https://www.un.org/sustainabledevelopment/" TargetMode="External" Id="Rbf959ab5ab3d4f33" /><Relationship Type="http://schemas.openxmlformats.org/officeDocument/2006/relationships/hyperlink" Target="https://www.theguardian.com/environment/2010/jul/22/government-axes-sustainability-watchdog" TargetMode="External" Id="R27e211ee87ce45ff" /><Relationship Type="http://schemas.openxmlformats.org/officeDocument/2006/relationships/hyperlink" Target="https://www.webarchive.org.uk/wayback/archive/20111205011702/http://www.wao.gov.uk/assets/englishdocuments/Sustainable_Development_english.pdf" TargetMode="External" Id="R0cfeb3f4a76b4580" /><Relationship Type="http://schemas.openxmlformats.org/officeDocument/2006/relationships/hyperlink" Target="https://www.wcpp.org.uk/wp-content/uploads/2023/02/What-can-PSBs-do-to-improve-wellbeing-from-a-community-perspective.pdf" TargetMode="External" Id="R8ea7362ffdb3499f" /><Relationship Type="http://schemas.openxmlformats.org/officeDocument/2006/relationships/hyperlink" Target="https://doi.org/10.1016/0160-7995(80)90034-9" TargetMode="External" Id="R4fea581e0f8e4cdb" /><Relationship Type="http://schemas.openxmlformats.org/officeDocument/2006/relationships/hyperlink" Target="https://doi.org/10.1093/eurpub/ckz185.709." TargetMode="External" Id="R7160411b630848e1" /><Relationship Type="http://schemas.openxmlformats.org/officeDocument/2006/relationships/hyperlink" Target="https://www.gov.wales/well-being-future-generations-act-essentials-html" TargetMode="External" Id="R5f215ad480f84869" /><Relationship Type="http://schemas.openxmlformats.org/officeDocument/2006/relationships/hyperlink" Target="https://gov.wales/sites/default/files/publications/2019-06/national-indicators-for-wales.pdf" TargetMode="External" Id="Rfc0884c63b3748ad" /><Relationship Type="http://schemas.openxmlformats.org/officeDocument/2006/relationships/hyperlink" Target="https://www.gov.wales/health-and-social-care-quality-and-engagement-wales-act-summary-html" TargetMode="External" Id="R8175f7383f7d4d94" /><Relationship Type="http://schemas.openxmlformats.org/officeDocument/2006/relationships/hyperlink" Target="https://en.wikipedia.org/wiki/Blue_Zone" TargetMode="External" Id="Rbe0a30d7f0194535" /><Relationship Type="http://schemas.openxmlformats.org/officeDocument/2006/relationships/hyperlink" Target="https://gov.wales/docs/dpsp/publications/psgd/140120-psgd-summary-report-en.pdf" TargetMode="External" Id="R497bca9d719f429e" /><Relationship Type="http://schemas.openxmlformats.org/officeDocument/2006/relationships/hyperlink" Target="file:///C:/Users/domi2/Downloads/9789241516235-eng.pdf" TargetMode="External" Id="R87771154f04b466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2023-12-11T16:19:39.5882563Z</dcterms:created>
  <dcterms:modified xsi:type="dcterms:W3CDTF">2023-12-13T11:14:01.0036531Z</dcterms:modified>
  <dc:creator>Dominika Kula (2104147)</dc:creator>
  <lastModifiedBy>Dominika Kula (2104147)</lastModifiedBy>
</coreProperties>
</file>