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018B" w:rsidRPr="00CB018B" w:rsidRDefault="00CB018B" w:rsidP="00672E89">
      <w:pPr>
        <w:spacing w:line="480" w:lineRule="auto"/>
        <w:jc w:val="center"/>
        <w:rPr>
          <w:rFonts w:ascii="Times New Roman" w:hAnsi="Times New Roman" w:cs="Times New Roman"/>
          <w:b/>
          <w:bCs/>
          <w:color w:val="000000" w:themeColor="text1"/>
          <w:sz w:val="36"/>
          <w:szCs w:val="36"/>
        </w:rPr>
      </w:pPr>
    </w:p>
    <w:p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Masters of Business Administration</w:t>
      </w:r>
      <w:r w:rsidR="00764994" w:rsidRPr="00CB018B">
        <w:rPr>
          <w:rFonts w:ascii="Verdana" w:hAnsi="Verdana" w:cs="Times New Roman"/>
          <w:b/>
          <w:bCs/>
          <w:color w:val="000000" w:themeColor="text1"/>
          <w:sz w:val="36"/>
          <w:szCs w:val="36"/>
          <w:u w:val="double"/>
        </w:rPr>
        <w:t xml:space="preserve"> General Management</w:t>
      </w:r>
    </w:p>
    <w:p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LCMB7000 Human Resource Management</w:t>
      </w:r>
    </w:p>
    <w:p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Assessment 1</w:t>
      </w:r>
    </w:p>
    <w:p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 xml:space="preserve">Student </w:t>
      </w:r>
      <w:proofErr w:type="gramStart"/>
      <w:r w:rsidRPr="00CB018B">
        <w:rPr>
          <w:rFonts w:ascii="Verdana" w:hAnsi="Verdana" w:cs="Times New Roman"/>
          <w:b/>
          <w:bCs/>
          <w:color w:val="000000" w:themeColor="text1"/>
          <w:sz w:val="36"/>
          <w:szCs w:val="36"/>
        </w:rPr>
        <w:t>Name :-</w:t>
      </w:r>
      <w:proofErr w:type="gramEnd"/>
      <w:r w:rsidRPr="00CB018B">
        <w:rPr>
          <w:rFonts w:ascii="Verdana" w:hAnsi="Verdana" w:cs="Times New Roman"/>
          <w:b/>
          <w:bCs/>
          <w:color w:val="000000" w:themeColor="text1"/>
          <w:sz w:val="36"/>
          <w:szCs w:val="36"/>
        </w:rPr>
        <w:t xml:space="preserve"> </w:t>
      </w:r>
      <w:proofErr w:type="spellStart"/>
      <w:r w:rsidRPr="00CB018B">
        <w:rPr>
          <w:rFonts w:ascii="Verdana" w:hAnsi="Verdana" w:cs="Times New Roman"/>
          <w:b/>
          <w:bCs/>
          <w:color w:val="000000" w:themeColor="text1"/>
          <w:sz w:val="36"/>
          <w:szCs w:val="36"/>
        </w:rPr>
        <w:t>Vijayendra</w:t>
      </w:r>
      <w:proofErr w:type="spellEnd"/>
      <w:r w:rsidRPr="00CB018B">
        <w:rPr>
          <w:rFonts w:ascii="Verdana" w:hAnsi="Verdana" w:cs="Times New Roman"/>
          <w:b/>
          <w:bCs/>
          <w:color w:val="000000" w:themeColor="text1"/>
          <w:sz w:val="36"/>
          <w:szCs w:val="36"/>
        </w:rPr>
        <w:t xml:space="preserve"> </w:t>
      </w:r>
      <w:proofErr w:type="spellStart"/>
      <w:r w:rsidRPr="00CB018B">
        <w:rPr>
          <w:rFonts w:ascii="Verdana" w:hAnsi="Verdana" w:cs="Times New Roman"/>
          <w:b/>
          <w:bCs/>
          <w:color w:val="000000" w:themeColor="text1"/>
          <w:sz w:val="36"/>
          <w:szCs w:val="36"/>
        </w:rPr>
        <w:t>Jagdishchandra</w:t>
      </w:r>
      <w:proofErr w:type="spellEnd"/>
      <w:r w:rsidRPr="00CB018B">
        <w:rPr>
          <w:rFonts w:ascii="Verdana" w:hAnsi="Verdana" w:cs="Times New Roman"/>
          <w:b/>
          <w:bCs/>
          <w:color w:val="000000" w:themeColor="text1"/>
          <w:sz w:val="36"/>
          <w:szCs w:val="36"/>
        </w:rPr>
        <w:t xml:space="preserve"> </w:t>
      </w:r>
      <w:proofErr w:type="spellStart"/>
      <w:r w:rsidRPr="00CB018B">
        <w:rPr>
          <w:rFonts w:ascii="Verdana" w:hAnsi="Verdana" w:cs="Times New Roman"/>
          <w:b/>
          <w:bCs/>
          <w:color w:val="000000" w:themeColor="text1"/>
          <w:sz w:val="36"/>
          <w:szCs w:val="36"/>
        </w:rPr>
        <w:t>Birdi</w:t>
      </w:r>
      <w:proofErr w:type="spellEnd"/>
    </w:p>
    <w:p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Student ID</w:t>
      </w:r>
      <w:proofErr w:type="gramStart"/>
      <w:r w:rsidRPr="00CB018B">
        <w:rPr>
          <w:rFonts w:ascii="Verdana" w:hAnsi="Verdana" w:cs="Times New Roman"/>
          <w:b/>
          <w:bCs/>
          <w:color w:val="000000" w:themeColor="text1"/>
          <w:sz w:val="36"/>
          <w:szCs w:val="36"/>
        </w:rPr>
        <w:t>:-</w:t>
      </w:r>
      <w:proofErr w:type="gramEnd"/>
      <w:r w:rsidRPr="00CB018B">
        <w:rPr>
          <w:rFonts w:ascii="Verdana" w:hAnsi="Verdana" w:cs="Times New Roman"/>
          <w:b/>
          <w:bCs/>
          <w:color w:val="000000" w:themeColor="text1"/>
          <w:sz w:val="36"/>
          <w:szCs w:val="36"/>
        </w:rPr>
        <w:t xml:space="preserve"> 2221011</w:t>
      </w:r>
    </w:p>
    <w:p w:rsidR="00672E89" w:rsidRPr="00CB018B" w:rsidRDefault="00672E89" w:rsidP="00672E89">
      <w:pPr>
        <w:spacing w:line="480" w:lineRule="auto"/>
        <w:jc w:val="center"/>
        <w:rPr>
          <w:rFonts w:ascii="Verdana" w:hAnsi="Verdana" w:cs="Times New Roman"/>
          <w:b/>
          <w:bCs/>
          <w:color w:val="000000" w:themeColor="text1"/>
          <w:sz w:val="36"/>
          <w:szCs w:val="36"/>
          <w:u w:val="double"/>
        </w:rPr>
      </w:pPr>
      <w:r w:rsidRPr="00CB018B">
        <w:rPr>
          <w:rFonts w:ascii="Verdana" w:hAnsi="Verdana" w:cs="Times New Roman"/>
          <w:b/>
          <w:bCs/>
          <w:color w:val="000000" w:themeColor="text1"/>
          <w:sz w:val="36"/>
          <w:szCs w:val="36"/>
          <w:u w:val="double"/>
        </w:rPr>
        <w:t>Lecturer</w:t>
      </w:r>
    </w:p>
    <w:p w:rsidR="00672E89" w:rsidRPr="00CB018B" w:rsidRDefault="00672E89" w:rsidP="00672E89">
      <w:pPr>
        <w:spacing w:line="480" w:lineRule="auto"/>
        <w:jc w:val="center"/>
        <w:rPr>
          <w:rFonts w:ascii="Verdana" w:hAnsi="Verdana" w:cs="Times New Roman"/>
          <w:color w:val="000000" w:themeColor="text1"/>
          <w:sz w:val="36"/>
          <w:szCs w:val="36"/>
        </w:rPr>
      </w:pPr>
      <w:proofErr w:type="spellStart"/>
      <w:r w:rsidRPr="00CB018B">
        <w:rPr>
          <w:rFonts w:ascii="Verdana" w:hAnsi="Verdana" w:cs="Times New Roman"/>
          <w:color w:val="000000" w:themeColor="text1"/>
          <w:sz w:val="36"/>
          <w:szCs w:val="36"/>
        </w:rPr>
        <w:t>Mushfiqur</w:t>
      </w:r>
      <w:proofErr w:type="spellEnd"/>
      <w:r w:rsidRPr="00CB018B">
        <w:rPr>
          <w:rFonts w:ascii="Verdana" w:hAnsi="Verdana" w:cs="Times New Roman"/>
          <w:color w:val="000000" w:themeColor="text1"/>
          <w:sz w:val="36"/>
          <w:szCs w:val="36"/>
        </w:rPr>
        <w:t xml:space="preserve"> Rahman-GP1</w:t>
      </w:r>
    </w:p>
    <w:p w:rsidR="00672E89" w:rsidRPr="00CB018B" w:rsidRDefault="00672E89" w:rsidP="00672E89">
      <w:pPr>
        <w:spacing w:line="480" w:lineRule="auto"/>
        <w:jc w:val="center"/>
        <w:rPr>
          <w:rFonts w:ascii="Verdana" w:hAnsi="Verdana" w:cs="Times New Roman"/>
          <w:color w:val="000000" w:themeColor="text1"/>
          <w:sz w:val="36"/>
          <w:szCs w:val="36"/>
        </w:rPr>
      </w:pPr>
      <w:r w:rsidRPr="00CB018B">
        <w:rPr>
          <w:rFonts w:ascii="Verdana" w:hAnsi="Verdana" w:cs="Times New Roman"/>
          <w:color w:val="000000" w:themeColor="text1"/>
          <w:sz w:val="36"/>
          <w:szCs w:val="36"/>
        </w:rPr>
        <w:t xml:space="preserve">Mohamed </w:t>
      </w:r>
      <w:proofErr w:type="spellStart"/>
      <w:r w:rsidRPr="00CB018B">
        <w:rPr>
          <w:rFonts w:ascii="Verdana" w:hAnsi="Verdana" w:cs="Times New Roman"/>
          <w:color w:val="000000" w:themeColor="text1"/>
          <w:sz w:val="36"/>
          <w:szCs w:val="36"/>
        </w:rPr>
        <w:t>Asim</w:t>
      </w:r>
      <w:proofErr w:type="spellEnd"/>
      <w:r w:rsidRPr="00CB018B">
        <w:rPr>
          <w:rFonts w:ascii="Verdana" w:hAnsi="Verdana" w:cs="Times New Roman"/>
          <w:color w:val="000000" w:themeColor="text1"/>
          <w:sz w:val="36"/>
          <w:szCs w:val="36"/>
        </w:rPr>
        <w:t xml:space="preserve"> -GP2</w:t>
      </w:r>
    </w:p>
    <w:p w:rsidR="00672E89" w:rsidRPr="00CB018B" w:rsidRDefault="00672E89" w:rsidP="00672E89">
      <w:pPr>
        <w:spacing w:line="480" w:lineRule="auto"/>
        <w:jc w:val="center"/>
        <w:rPr>
          <w:rFonts w:ascii="Verdana" w:hAnsi="Verdana" w:cs="Times New Roman"/>
          <w:color w:val="000000" w:themeColor="text1"/>
          <w:sz w:val="36"/>
          <w:szCs w:val="36"/>
        </w:rPr>
      </w:pPr>
      <w:proofErr w:type="spellStart"/>
      <w:r w:rsidRPr="00CB018B">
        <w:rPr>
          <w:rFonts w:ascii="Verdana" w:hAnsi="Verdana" w:cs="Times New Roman"/>
          <w:color w:val="000000" w:themeColor="text1"/>
          <w:sz w:val="36"/>
          <w:szCs w:val="36"/>
        </w:rPr>
        <w:t>Gladius</w:t>
      </w:r>
      <w:proofErr w:type="spellEnd"/>
      <w:r w:rsidRPr="00CB018B">
        <w:rPr>
          <w:rFonts w:ascii="Verdana" w:hAnsi="Verdana" w:cs="Times New Roman"/>
          <w:color w:val="000000" w:themeColor="text1"/>
          <w:sz w:val="36"/>
          <w:szCs w:val="36"/>
        </w:rPr>
        <w:t xml:space="preserve"> Kulothungan-GP3</w:t>
      </w:r>
    </w:p>
    <w:p w:rsidR="00672E89" w:rsidRPr="00CB018B" w:rsidRDefault="00672E89" w:rsidP="00672E89">
      <w:pPr>
        <w:spacing w:line="480" w:lineRule="auto"/>
        <w:jc w:val="center"/>
        <w:rPr>
          <w:rFonts w:ascii="Verdana" w:hAnsi="Verdana" w:cs="Times New Roman"/>
          <w:b/>
          <w:bCs/>
          <w:color w:val="000000" w:themeColor="text1"/>
          <w:sz w:val="36"/>
          <w:szCs w:val="36"/>
        </w:rPr>
      </w:pPr>
      <w:r w:rsidRPr="00CB018B">
        <w:rPr>
          <w:rFonts w:ascii="Verdana" w:hAnsi="Verdana" w:cs="Times New Roman"/>
          <w:b/>
          <w:bCs/>
          <w:color w:val="000000" w:themeColor="text1"/>
          <w:sz w:val="36"/>
          <w:szCs w:val="36"/>
        </w:rPr>
        <w:t>2500 words</w:t>
      </w:r>
    </w:p>
    <w:p w:rsidR="00903D68" w:rsidRPr="009231EA" w:rsidRDefault="00903D68" w:rsidP="009231EA">
      <w:pPr>
        <w:spacing w:line="480" w:lineRule="auto"/>
        <w:rPr>
          <w:rFonts w:ascii="Times New Roman" w:hAnsi="Times New Roman" w:cs="Times New Roman"/>
          <w:b/>
          <w:bCs/>
          <w:color w:val="000000" w:themeColor="text1"/>
          <w:sz w:val="24"/>
          <w:szCs w:val="24"/>
        </w:rPr>
      </w:pPr>
    </w:p>
    <w:sdt>
      <w:sdtPr>
        <w:rPr>
          <w:rFonts w:ascii="Times New Roman" w:eastAsiaTheme="minorHAnsi" w:hAnsi="Times New Roman" w:cs="Times New Roman"/>
          <w:color w:val="000000" w:themeColor="text1"/>
          <w:kern w:val="2"/>
          <w:sz w:val="24"/>
          <w:szCs w:val="24"/>
          <w:lang w:val="en-IN"/>
        </w:rPr>
        <w:id w:val="1388069742"/>
        <w:docPartObj>
          <w:docPartGallery w:val="Table of Contents"/>
          <w:docPartUnique/>
        </w:docPartObj>
      </w:sdtPr>
      <w:sdtEndPr>
        <w:rPr>
          <w:b/>
          <w:bCs/>
          <w:noProof/>
        </w:rPr>
      </w:sdtEndPr>
      <w:sdtContent>
        <w:p w:rsidR="006B76FE" w:rsidRPr="008265D0" w:rsidRDefault="006B76FE" w:rsidP="008265D0">
          <w:pPr>
            <w:pStyle w:val="TOCHeading"/>
            <w:spacing w:line="480" w:lineRule="auto"/>
            <w:jc w:val="center"/>
            <w:rPr>
              <w:rFonts w:ascii="Times New Roman" w:hAnsi="Times New Roman" w:cs="Times New Roman"/>
              <w:b/>
              <w:bCs/>
              <w:color w:val="000000" w:themeColor="text1"/>
              <w:sz w:val="24"/>
              <w:szCs w:val="24"/>
            </w:rPr>
          </w:pPr>
          <w:r w:rsidRPr="008265D0">
            <w:rPr>
              <w:rFonts w:ascii="Times New Roman" w:hAnsi="Times New Roman" w:cs="Times New Roman"/>
              <w:b/>
              <w:bCs/>
              <w:color w:val="000000" w:themeColor="text1"/>
              <w:sz w:val="24"/>
              <w:szCs w:val="24"/>
            </w:rPr>
            <w:t>Contents</w:t>
          </w:r>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r w:rsidRPr="00C20F0B">
            <w:rPr>
              <w:rFonts w:ascii="Times New Roman" w:hAnsi="Times New Roman" w:cs="Times New Roman"/>
              <w:color w:val="000000" w:themeColor="text1"/>
              <w:sz w:val="24"/>
              <w:szCs w:val="24"/>
            </w:rPr>
            <w:fldChar w:fldCharType="begin"/>
          </w:r>
          <w:r w:rsidR="006B76FE" w:rsidRPr="008265D0">
            <w:rPr>
              <w:rFonts w:ascii="Times New Roman" w:hAnsi="Times New Roman" w:cs="Times New Roman"/>
              <w:color w:val="000000" w:themeColor="text1"/>
              <w:sz w:val="24"/>
              <w:szCs w:val="24"/>
            </w:rPr>
            <w:instrText xml:space="preserve"> TOC \o "1-3" \h \z \u </w:instrText>
          </w:r>
          <w:r w:rsidRPr="00C20F0B">
            <w:rPr>
              <w:rFonts w:ascii="Times New Roman" w:hAnsi="Times New Roman" w:cs="Times New Roman"/>
              <w:color w:val="000000" w:themeColor="text1"/>
              <w:sz w:val="24"/>
              <w:szCs w:val="24"/>
            </w:rPr>
            <w:fldChar w:fldCharType="separate"/>
          </w:r>
          <w:hyperlink w:anchor="_Toc132843321" w:history="1">
            <w:r w:rsidR="008265D0" w:rsidRPr="008265D0">
              <w:rPr>
                <w:rStyle w:val="Hyperlink"/>
                <w:rFonts w:ascii="Times New Roman" w:hAnsi="Times New Roman" w:cs="Times New Roman"/>
                <w:noProof/>
                <w:sz w:val="24"/>
                <w:szCs w:val="24"/>
              </w:rPr>
              <w:t>Introduction</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_Toc132843321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2" w:history="1">
            <w:r w:rsidR="008265D0" w:rsidRPr="008265D0">
              <w:rPr>
                <w:rStyle w:val="Hyperlink"/>
                <w:rFonts w:ascii="Times New Roman" w:hAnsi="Times New Roman" w:cs="Times New Roman"/>
                <w:noProof/>
                <w:sz w:val="24"/>
                <w:szCs w:val="24"/>
              </w:rPr>
              <w:t>The Current State of the Labour Market in the UK</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_Toc132843322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3" w:history="1">
            <w:r w:rsidR="008265D0" w:rsidRPr="008265D0">
              <w:rPr>
                <w:rStyle w:val="Hyperlink"/>
                <w:rFonts w:ascii="Times New Roman" w:hAnsi="Times New Roman" w:cs="Times New Roman"/>
                <w:noProof/>
                <w:sz w:val="24"/>
                <w:szCs w:val="24"/>
              </w:rPr>
              <w:t>UK Labour Market</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_Toc132843323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3</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4" w:history="1">
            <w:r w:rsidR="008265D0" w:rsidRPr="008265D0">
              <w:rPr>
                <w:rStyle w:val="Hyperlink"/>
                <w:rFonts w:ascii="Times New Roman" w:hAnsi="Times New Roman" w:cs="Times New Roman"/>
                <w:noProof/>
                <w:sz w:val="24"/>
                <w:szCs w:val="24"/>
              </w:rPr>
              <w:t>Employment</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_Toc132843324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4</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5" w:history="1">
            <w:r w:rsidR="008265D0" w:rsidRPr="008265D0">
              <w:rPr>
                <w:rStyle w:val="Hyperlink"/>
                <w:rFonts w:ascii="Times New Roman" w:hAnsi="Times New Roman" w:cs="Times New Roman"/>
                <w:noProof/>
                <w:sz w:val="24"/>
                <w:szCs w:val="24"/>
              </w:rPr>
              <w:t>Type of employment</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_Toc132843325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5</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3"/>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6" w:history="1">
            <w:r w:rsidR="008265D0" w:rsidRPr="008265D0">
              <w:rPr>
                <w:rStyle w:val="Hyperlink"/>
                <w:rFonts w:ascii="Times New Roman" w:hAnsi="Times New Roman" w:cs="Times New Roman"/>
                <w:noProof/>
                <w:sz w:val="24"/>
                <w:szCs w:val="24"/>
              </w:rPr>
              <w:t>Full time/ Part Time</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_Toc132843326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5</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3"/>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7" w:history="1">
            <w:r w:rsidR="008265D0" w:rsidRPr="008265D0">
              <w:rPr>
                <w:rStyle w:val="Hyperlink"/>
                <w:rFonts w:ascii="Times New Roman" w:hAnsi="Times New Roman" w:cs="Times New Roman"/>
                <w:noProof/>
                <w:sz w:val="24"/>
                <w:szCs w:val="24"/>
              </w:rPr>
              <w:t>Employees and the self-employed</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_Toc132843327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7</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8" w:history="1">
            <w:r w:rsidR="008265D0" w:rsidRPr="008265D0">
              <w:rPr>
                <w:rStyle w:val="Hyperlink"/>
                <w:rFonts w:ascii="Times New Roman" w:hAnsi="Times New Roman" w:cs="Times New Roman"/>
                <w:noProof/>
                <w:sz w:val="24"/>
                <w:szCs w:val="24"/>
              </w:rPr>
              <w:t>Unemployment Rates and Labour Demand</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_Toc132843328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8</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29" w:history="1">
            <w:r w:rsidR="008265D0" w:rsidRPr="008265D0">
              <w:rPr>
                <w:rStyle w:val="Hyperlink"/>
                <w:rFonts w:ascii="Times New Roman" w:hAnsi="Times New Roman" w:cs="Times New Roman"/>
                <w:noProof/>
                <w:sz w:val="24"/>
                <w:szCs w:val="24"/>
              </w:rPr>
              <w:t>Unemployment Benefits</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_Toc132843329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9</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0" w:history="1">
            <w:r w:rsidR="008265D0" w:rsidRPr="008265D0">
              <w:rPr>
                <w:rStyle w:val="Hyperlink"/>
                <w:rFonts w:ascii="Times New Roman" w:hAnsi="Times New Roman" w:cs="Times New Roman"/>
                <w:noProof/>
                <w:sz w:val="24"/>
                <w:szCs w:val="24"/>
              </w:rPr>
              <w:t>Remote Work and the Gig Economy</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_Toc132843330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10</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1" w:history="1">
            <w:r w:rsidR="008265D0" w:rsidRPr="008265D0">
              <w:rPr>
                <w:rStyle w:val="Hyperlink"/>
                <w:rFonts w:ascii="Times New Roman" w:hAnsi="Times New Roman" w:cs="Times New Roman"/>
                <w:noProof/>
                <w:sz w:val="24"/>
                <w:szCs w:val="24"/>
              </w:rPr>
              <w:t>The Emerging Changes in Human Resourcing Strategies in the Post-Covid, Post-Brexit External Environment</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_Toc132843331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2" w:history="1">
            <w:r w:rsidR="008265D0" w:rsidRPr="008265D0">
              <w:rPr>
                <w:rStyle w:val="Hyperlink"/>
                <w:rFonts w:ascii="Times New Roman" w:hAnsi="Times New Roman" w:cs="Times New Roman"/>
                <w:noProof/>
                <w:sz w:val="24"/>
                <w:szCs w:val="24"/>
              </w:rPr>
              <w:t>Talent Acquisition and Retention</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_Toc132843332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3" w:history="1">
            <w:r w:rsidR="008265D0" w:rsidRPr="008265D0">
              <w:rPr>
                <w:rStyle w:val="Hyperlink"/>
                <w:rFonts w:ascii="Times New Roman" w:hAnsi="Times New Roman" w:cs="Times New Roman"/>
                <w:noProof/>
                <w:sz w:val="24"/>
                <w:szCs w:val="24"/>
              </w:rPr>
              <w:t>Diversity, Equity, and Inclusion (DEI)</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_Toc132843333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11</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4" w:history="1">
            <w:r w:rsidR="008265D0" w:rsidRPr="008265D0">
              <w:rPr>
                <w:rStyle w:val="Hyperlink"/>
                <w:rFonts w:ascii="Times New Roman" w:hAnsi="Times New Roman" w:cs="Times New Roman"/>
                <w:noProof/>
                <w:sz w:val="24"/>
                <w:szCs w:val="24"/>
              </w:rPr>
              <w:t>Skills Development and Lifelong Learning</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_Toc132843334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12</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2"/>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5" w:history="1">
            <w:r w:rsidR="008265D0" w:rsidRPr="008265D0">
              <w:rPr>
                <w:rStyle w:val="Hyperlink"/>
                <w:rFonts w:ascii="Times New Roman" w:hAnsi="Times New Roman" w:cs="Times New Roman"/>
                <w:noProof/>
                <w:sz w:val="24"/>
                <w:szCs w:val="24"/>
              </w:rPr>
              <w:t>Performance Management and Employee Engagement</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_Toc132843335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12</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6" w:history="1">
            <w:r w:rsidR="008265D0" w:rsidRPr="008265D0">
              <w:rPr>
                <w:rStyle w:val="Hyperlink"/>
                <w:rFonts w:ascii="Times New Roman" w:hAnsi="Times New Roman" w:cs="Times New Roman"/>
                <w:noProof/>
                <w:sz w:val="24"/>
                <w:szCs w:val="24"/>
              </w:rPr>
              <w:t>Conclusion</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_Toc132843336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13</w:t>
            </w:r>
            <w:r w:rsidRPr="008265D0">
              <w:rPr>
                <w:rFonts w:ascii="Times New Roman" w:hAnsi="Times New Roman" w:cs="Times New Roman"/>
                <w:noProof/>
                <w:webHidden/>
                <w:sz w:val="24"/>
                <w:szCs w:val="24"/>
              </w:rPr>
              <w:fldChar w:fldCharType="end"/>
            </w:r>
          </w:hyperlink>
        </w:p>
        <w:p w:rsidR="008265D0" w:rsidRPr="008265D0" w:rsidRDefault="00C20F0B" w:rsidP="008265D0">
          <w:pPr>
            <w:pStyle w:val="TOC1"/>
            <w:tabs>
              <w:tab w:val="right" w:leader="dot" w:pos="9016"/>
            </w:tabs>
            <w:spacing w:line="480" w:lineRule="auto"/>
            <w:rPr>
              <w:rFonts w:ascii="Times New Roman" w:eastAsiaTheme="minorEastAsia" w:hAnsi="Times New Roman" w:cs="Times New Roman"/>
              <w:noProof/>
              <w:kern w:val="0"/>
              <w:sz w:val="24"/>
              <w:szCs w:val="24"/>
              <w:lang w:eastAsia="en-IN"/>
            </w:rPr>
          </w:pPr>
          <w:hyperlink w:anchor="_Toc132843337" w:history="1">
            <w:r w:rsidR="008265D0" w:rsidRPr="008265D0">
              <w:rPr>
                <w:rStyle w:val="Hyperlink"/>
                <w:rFonts w:ascii="Times New Roman" w:hAnsi="Times New Roman" w:cs="Times New Roman"/>
                <w:noProof/>
                <w:sz w:val="24"/>
                <w:szCs w:val="24"/>
              </w:rPr>
              <w:t>References</w:t>
            </w:r>
            <w:r w:rsidR="008265D0" w:rsidRPr="008265D0">
              <w:rPr>
                <w:rFonts w:ascii="Times New Roman" w:hAnsi="Times New Roman" w:cs="Times New Roman"/>
                <w:noProof/>
                <w:webHidden/>
                <w:sz w:val="24"/>
                <w:szCs w:val="24"/>
              </w:rPr>
              <w:tab/>
            </w:r>
            <w:r w:rsidRPr="008265D0">
              <w:rPr>
                <w:rFonts w:ascii="Times New Roman" w:hAnsi="Times New Roman" w:cs="Times New Roman"/>
                <w:noProof/>
                <w:webHidden/>
                <w:sz w:val="24"/>
                <w:szCs w:val="24"/>
              </w:rPr>
              <w:fldChar w:fldCharType="begin"/>
            </w:r>
            <w:r w:rsidR="008265D0" w:rsidRPr="008265D0">
              <w:rPr>
                <w:rFonts w:ascii="Times New Roman" w:hAnsi="Times New Roman" w:cs="Times New Roman"/>
                <w:noProof/>
                <w:webHidden/>
                <w:sz w:val="24"/>
                <w:szCs w:val="24"/>
              </w:rPr>
              <w:instrText xml:space="preserve"> PAGEREF _Toc132843337 \h </w:instrText>
            </w:r>
            <w:r w:rsidRPr="008265D0">
              <w:rPr>
                <w:rFonts w:ascii="Times New Roman" w:hAnsi="Times New Roman" w:cs="Times New Roman"/>
                <w:noProof/>
                <w:webHidden/>
                <w:sz w:val="24"/>
                <w:szCs w:val="24"/>
              </w:rPr>
            </w:r>
            <w:r w:rsidRPr="008265D0">
              <w:rPr>
                <w:rFonts w:ascii="Times New Roman" w:hAnsi="Times New Roman" w:cs="Times New Roman"/>
                <w:noProof/>
                <w:webHidden/>
                <w:sz w:val="24"/>
                <w:szCs w:val="24"/>
              </w:rPr>
              <w:fldChar w:fldCharType="separate"/>
            </w:r>
            <w:r w:rsidR="008265D0" w:rsidRPr="008265D0">
              <w:rPr>
                <w:rFonts w:ascii="Times New Roman" w:hAnsi="Times New Roman" w:cs="Times New Roman"/>
                <w:noProof/>
                <w:webHidden/>
                <w:sz w:val="24"/>
                <w:szCs w:val="24"/>
              </w:rPr>
              <w:t>14</w:t>
            </w:r>
            <w:r w:rsidRPr="008265D0">
              <w:rPr>
                <w:rFonts w:ascii="Times New Roman" w:hAnsi="Times New Roman" w:cs="Times New Roman"/>
                <w:noProof/>
                <w:webHidden/>
                <w:sz w:val="24"/>
                <w:szCs w:val="24"/>
              </w:rPr>
              <w:fldChar w:fldCharType="end"/>
            </w:r>
          </w:hyperlink>
        </w:p>
        <w:p w:rsidR="006B76FE" w:rsidRPr="009231EA" w:rsidRDefault="00C20F0B" w:rsidP="008265D0">
          <w:pPr>
            <w:spacing w:line="480" w:lineRule="auto"/>
            <w:rPr>
              <w:rFonts w:ascii="Times New Roman" w:hAnsi="Times New Roman" w:cs="Times New Roman"/>
              <w:color w:val="000000" w:themeColor="text1"/>
              <w:sz w:val="24"/>
              <w:szCs w:val="24"/>
            </w:rPr>
          </w:pPr>
          <w:r w:rsidRPr="008265D0">
            <w:rPr>
              <w:rFonts w:ascii="Times New Roman" w:hAnsi="Times New Roman" w:cs="Times New Roman"/>
              <w:b/>
              <w:bCs/>
              <w:noProof/>
              <w:color w:val="000000" w:themeColor="text1"/>
              <w:sz w:val="24"/>
              <w:szCs w:val="24"/>
            </w:rPr>
            <w:fldChar w:fldCharType="end"/>
          </w:r>
        </w:p>
      </w:sdtContent>
    </w:sdt>
    <w:p w:rsidR="006B76FE" w:rsidRPr="009231EA" w:rsidRDefault="006B76FE"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b/>
          <w:bCs/>
          <w:color w:val="000000" w:themeColor="text1"/>
          <w:sz w:val="24"/>
          <w:szCs w:val="24"/>
        </w:rPr>
        <w:br w:type="page"/>
      </w:r>
    </w:p>
    <w:p w:rsidR="003B7DB5" w:rsidRPr="009231EA" w:rsidRDefault="003B7DB5" w:rsidP="009231EA">
      <w:pPr>
        <w:pStyle w:val="Heading1"/>
        <w:rPr>
          <w:color w:val="000000" w:themeColor="text1"/>
        </w:rPr>
      </w:pPr>
      <w:bookmarkStart w:id="0" w:name="_Toc132843321"/>
      <w:r w:rsidRPr="009231EA">
        <w:rPr>
          <w:color w:val="000000" w:themeColor="text1"/>
        </w:rPr>
        <w:lastRenderedPageBreak/>
        <w:t>Introduction</w:t>
      </w:r>
      <w:bookmarkEnd w:id="0"/>
    </w:p>
    <w:p w:rsidR="001354EB" w:rsidRPr="009231EA" w:rsidRDefault="009231EA"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UK labour market has been significantly impacted by the COVID-19 pandemic and Brexit, resulting in shifts in employment rates, changes in labour demand, and an increase in remote work. Despite the pandemic's negative impact on the UK labour market, recent data shows signs of a sustained recovery. The gig economy and remote work have become increasingly prevalent, leading to a need for digital skills and worker wellness. This report aims to examine the current state of the UK labour market and the challenges faced by human resources (HR) professionals in adapting to the post-Covid and post-Brexit workforce. The report will focus on talent acquisition and retention, diversity, equity, and inclusion, skills development and lifelong learning, performance management, and employee engagement. By exploring these areas, a better understanding can be gained on how HR professionals can help businesses establish a healthy and adaptive workforce to thrive in the ever-changing labour market.</w:t>
      </w:r>
    </w:p>
    <w:p w:rsidR="003B7DB5" w:rsidRPr="009231EA" w:rsidRDefault="003B7DB5" w:rsidP="009231EA">
      <w:pPr>
        <w:pStyle w:val="Heading1"/>
        <w:rPr>
          <w:color w:val="000000" w:themeColor="text1"/>
        </w:rPr>
      </w:pPr>
      <w:bookmarkStart w:id="1" w:name="_Toc132843322"/>
      <w:r w:rsidRPr="009231EA">
        <w:rPr>
          <w:color w:val="000000" w:themeColor="text1"/>
        </w:rPr>
        <w:t>The Current State of the Labour Market in the UK</w:t>
      </w:r>
      <w:bookmarkEnd w:id="1"/>
    </w:p>
    <w:p w:rsidR="003B7DB5" w:rsidRPr="009231EA" w:rsidRDefault="00A97F6B"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w:t>
      </w:r>
      <w:r w:rsidR="00991F9E" w:rsidRPr="009231EA">
        <w:rPr>
          <w:rFonts w:ascii="Times New Roman" w:hAnsi="Times New Roman" w:cs="Times New Roman"/>
          <w:color w:val="000000" w:themeColor="text1"/>
          <w:sz w:val="24"/>
          <w:szCs w:val="24"/>
        </w:rPr>
        <w:t xml:space="preserve">Covid-19 Pandemic </w:t>
      </w:r>
      <w:r w:rsidRPr="009231EA">
        <w:rPr>
          <w:rFonts w:ascii="Times New Roman" w:hAnsi="Times New Roman" w:cs="Times New Roman"/>
          <w:color w:val="000000" w:themeColor="text1"/>
          <w:sz w:val="24"/>
          <w:szCs w:val="24"/>
        </w:rPr>
        <w:t>and the impending departure of the United Kingdom from the European Union have both caused considerable disruptions in the labour market in the United Kingdom. The United Kingdom (UK) has seen a drop in unemployment rates in recent years, as well as shifts in labour demand and an increase in the prevalence of distant work (ONS, 2021). In addition, the effects that Brexit has had on the labour market have resulted in modifications to immigration laws, which in turn have had an effect on the availability of workers (</w:t>
      </w:r>
      <w:proofErr w:type="spellStart"/>
      <w:r w:rsidRPr="009231EA">
        <w:rPr>
          <w:rFonts w:ascii="Times New Roman" w:hAnsi="Times New Roman" w:cs="Times New Roman"/>
          <w:color w:val="000000" w:themeColor="text1"/>
          <w:sz w:val="24"/>
          <w:szCs w:val="24"/>
        </w:rPr>
        <w:t>Portes</w:t>
      </w:r>
      <w:proofErr w:type="spellEnd"/>
      <w:r w:rsidRPr="009231EA">
        <w:rPr>
          <w:rFonts w:ascii="Times New Roman" w:hAnsi="Times New Roman" w:cs="Times New Roman"/>
          <w:color w:val="000000" w:themeColor="text1"/>
          <w:sz w:val="24"/>
          <w:szCs w:val="24"/>
        </w:rPr>
        <w:t>, 2020).</w:t>
      </w:r>
    </w:p>
    <w:p w:rsidR="003B7DB5" w:rsidRPr="009231EA" w:rsidRDefault="009026F1" w:rsidP="009231EA">
      <w:pPr>
        <w:pStyle w:val="Heading1"/>
        <w:rPr>
          <w:color w:val="000000" w:themeColor="text1"/>
        </w:rPr>
      </w:pPr>
      <w:bookmarkStart w:id="2" w:name="_Toc132843323"/>
      <w:r w:rsidRPr="009231EA">
        <w:rPr>
          <w:color w:val="000000" w:themeColor="text1"/>
        </w:rPr>
        <w:t>UK Labour Market</w:t>
      </w:r>
      <w:bookmarkEnd w:id="2"/>
    </w:p>
    <w:p w:rsidR="00F00FF5" w:rsidRPr="009231EA" w:rsidRDefault="00E61679"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pandemic of coronavirus in the United Kingdom has had an effect on the </w:t>
      </w:r>
      <w:r w:rsidR="001B356D"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which has resulted in employment levels falling from pre-pandemic levels, an </w:t>
      </w:r>
      <w:r w:rsidRPr="009231EA">
        <w:rPr>
          <w:rFonts w:ascii="Times New Roman" w:hAnsi="Times New Roman" w:cs="Times New Roman"/>
          <w:color w:val="000000" w:themeColor="text1"/>
          <w:sz w:val="24"/>
          <w:szCs w:val="24"/>
        </w:rPr>
        <w:lastRenderedPageBreak/>
        <w:t>increase in the unemployment rate, and an increase in economic inactivity. However, the unemployment rate remained the same at 3.7% over the three months leading up to January 2023, and the number of economically inactive persons aged 16-64 reached 8.89 million. Although the number of people with jobs climbed, the unemployment rate remained the same. When compared to the previous quarter, there were marginally more people made redundant, but there were fewer openings overall. During the same time period, real wages decreased, showing an annual decline of -3.5% when bonuses were excluded and -4.3% when bonuses were included</w:t>
      </w:r>
      <w:r w:rsidR="00A83EBC" w:rsidRPr="009231EA">
        <w:rPr>
          <w:rFonts w:ascii="Times New Roman" w:hAnsi="Times New Roman" w:cs="Times New Roman"/>
          <w:color w:val="000000" w:themeColor="text1"/>
          <w:kern w:val="0"/>
          <w:sz w:val="24"/>
          <w:szCs w:val="24"/>
        </w:rPr>
        <w:t xml:space="preserve"> (World Economic Forum, 2020).</w:t>
      </w:r>
    </w:p>
    <w:p w:rsidR="00D062E1" w:rsidRPr="009231EA" w:rsidRDefault="00D062E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4609465" cy="1973580"/>
            <wp:effectExtent l="0" t="0" r="635" b="7620"/>
            <wp:docPr id="117670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05032" name=""/>
                    <pic:cNvPicPr/>
                  </pic:nvPicPr>
                  <pic:blipFill>
                    <a:blip r:embed="rId6"/>
                    <a:stretch>
                      <a:fillRect/>
                    </a:stretch>
                  </pic:blipFill>
                  <pic:spPr>
                    <a:xfrm>
                      <a:off x="0" y="0"/>
                      <a:ext cx="4621676" cy="1978808"/>
                    </a:xfrm>
                    <a:prstGeom prst="rect">
                      <a:avLst/>
                    </a:prstGeom>
                  </pic:spPr>
                </pic:pic>
              </a:graphicData>
            </a:graphic>
          </wp:inline>
        </w:drawing>
      </w:r>
    </w:p>
    <w:p w:rsidR="009026F1" w:rsidRPr="009231EA" w:rsidRDefault="009026F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4678045" cy="1463476"/>
            <wp:effectExtent l="0" t="0" r="0" b="3810"/>
            <wp:docPr id="64319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98966" name=""/>
                    <pic:cNvPicPr/>
                  </pic:nvPicPr>
                  <pic:blipFill rotWithShape="1">
                    <a:blip r:embed="rId7"/>
                    <a:srcRect t="68711"/>
                    <a:stretch/>
                  </pic:blipFill>
                  <pic:spPr bwMode="auto">
                    <a:xfrm>
                      <a:off x="0" y="0"/>
                      <a:ext cx="4705524" cy="147207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697711" w:rsidRPr="009231EA" w:rsidRDefault="00697711" w:rsidP="009231EA">
      <w:pPr>
        <w:pStyle w:val="Heading2"/>
        <w:jc w:val="left"/>
        <w:rPr>
          <w:color w:val="000000" w:themeColor="text1"/>
        </w:rPr>
      </w:pPr>
      <w:bookmarkStart w:id="3" w:name="_Toc132843324"/>
      <w:r w:rsidRPr="009231EA">
        <w:rPr>
          <w:color w:val="000000" w:themeColor="text1"/>
        </w:rPr>
        <w:t>Employment</w:t>
      </w:r>
      <w:bookmarkEnd w:id="3"/>
    </w:p>
    <w:p w:rsidR="00D65C67" w:rsidRPr="009231EA" w:rsidRDefault="00DB59D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UK employment rate has been increasing steadily since 2011, reaching a record high of 76.6% in early 2020. </w:t>
      </w:r>
    </w:p>
    <w:p w:rsidR="00D65C67" w:rsidRPr="009231EA" w:rsidRDefault="00D65C67"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lastRenderedPageBreak/>
        <w:drawing>
          <wp:inline distT="0" distB="0" distL="0" distR="0">
            <wp:extent cx="2209800" cy="1695068"/>
            <wp:effectExtent l="0" t="0" r="0" b="635"/>
            <wp:docPr id="136174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40180" name=""/>
                    <pic:cNvPicPr/>
                  </pic:nvPicPr>
                  <pic:blipFill>
                    <a:blip r:embed="rId8"/>
                    <a:stretch>
                      <a:fillRect/>
                    </a:stretch>
                  </pic:blipFill>
                  <pic:spPr>
                    <a:xfrm>
                      <a:off x="0" y="0"/>
                      <a:ext cx="2214975" cy="1699038"/>
                    </a:xfrm>
                    <a:prstGeom prst="rect">
                      <a:avLst/>
                    </a:prstGeom>
                  </pic:spPr>
                </pic:pic>
              </a:graphicData>
            </a:graphic>
          </wp:inline>
        </w:drawing>
      </w:r>
    </w:p>
    <w:p w:rsidR="00697711" w:rsidRPr="009231EA" w:rsidRDefault="006C4ECD"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However, due to the emergence of the coronavirus pandemic, employment levels dropped dramatically, reaching 32.13 million by the end of the year 2020</w:t>
      </w:r>
      <w:r w:rsidR="00A83EBC" w:rsidRPr="009231EA">
        <w:rPr>
          <w:rFonts w:ascii="Times New Roman" w:hAnsi="Times New Roman" w:cs="Times New Roman"/>
          <w:color w:val="000000" w:themeColor="text1"/>
          <w:sz w:val="24"/>
          <w:szCs w:val="24"/>
        </w:rPr>
        <w:t xml:space="preserve"> (PwC</w:t>
      </w:r>
      <w:r w:rsidR="00C92180" w:rsidRPr="009231EA">
        <w:rPr>
          <w:rFonts w:ascii="Times New Roman" w:hAnsi="Times New Roman" w:cs="Times New Roman"/>
          <w:color w:val="000000" w:themeColor="text1"/>
          <w:sz w:val="24"/>
          <w:szCs w:val="24"/>
        </w:rPr>
        <w:t>, 2020)</w:t>
      </w:r>
      <w:r w:rsidRPr="009231EA">
        <w:rPr>
          <w:rFonts w:ascii="Times New Roman" w:hAnsi="Times New Roman" w:cs="Times New Roman"/>
          <w:color w:val="000000" w:themeColor="text1"/>
          <w:sz w:val="24"/>
          <w:szCs w:val="24"/>
        </w:rPr>
        <w:t>. The employment rate reached 75.7% during the period of November 2022-January 2023, with 32.84 million people holding jobs, despite the fact that this is still 146,000 fewer than the level that existed before to the epidemic during the period of January-March 2020.</w:t>
      </w:r>
    </w:p>
    <w:p w:rsidR="004078E2" w:rsidRPr="009231EA" w:rsidRDefault="004078E2"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2330907" cy="1266797"/>
            <wp:effectExtent l="0" t="0" r="0" b="0"/>
            <wp:docPr id="1290672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72078" name=""/>
                    <pic:cNvPicPr/>
                  </pic:nvPicPr>
                  <pic:blipFill>
                    <a:blip r:embed="rId9"/>
                    <a:stretch>
                      <a:fillRect/>
                    </a:stretch>
                  </pic:blipFill>
                  <pic:spPr>
                    <a:xfrm>
                      <a:off x="0" y="0"/>
                      <a:ext cx="2337236" cy="1270237"/>
                    </a:xfrm>
                    <a:prstGeom prst="rect">
                      <a:avLst/>
                    </a:prstGeom>
                  </pic:spPr>
                </pic:pic>
              </a:graphicData>
            </a:graphic>
          </wp:inline>
        </w:drawing>
      </w:r>
    </w:p>
    <w:p w:rsidR="00D65C67" w:rsidRPr="009231EA" w:rsidRDefault="004078E2"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4B67DA" w:rsidRPr="009231EA">
        <w:rPr>
          <w:rFonts w:ascii="Times New Roman" w:hAnsi="Times New Roman" w:cs="Times New Roman"/>
          <w:noProof/>
          <w:color w:val="000000" w:themeColor="text1"/>
          <w:sz w:val="24"/>
          <w:szCs w:val="24"/>
        </w:rPr>
        <w:t>1</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 Source: ONS, A01: Summary of labour market statistics, 14 March 2023</w:t>
      </w:r>
    </w:p>
    <w:p w:rsidR="00DB59D7" w:rsidRPr="009231EA" w:rsidRDefault="00DB59D7" w:rsidP="009231EA">
      <w:pPr>
        <w:pStyle w:val="Heading2"/>
        <w:rPr>
          <w:color w:val="000000" w:themeColor="text1"/>
        </w:rPr>
      </w:pPr>
      <w:bookmarkStart w:id="4" w:name="_Toc132843325"/>
      <w:r w:rsidRPr="009231EA">
        <w:rPr>
          <w:color w:val="000000" w:themeColor="text1"/>
        </w:rPr>
        <w:t>Type of employment</w:t>
      </w:r>
      <w:bookmarkEnd w:id="4"/>
    </w:p>
    <w:p w:rsidR="00DB59D7" w:rsidRPr="009231EA" w:rsidRDefault="006C4ECD"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In the past ten years, there has been a rise in employment thanks to an increase in the number of people working full time. Even during the height of the pandemic, the number of people working full-time jobs increased while the number of people doing part-time jobs dropped significantly. The number of people working for themselves has also declined, most likely as a result of the fact that many people who were earlier classed as self-employed have reclassified themselves as employees</w:t>
      </w:r>
      <w:r w:rsidR="00C92180" w:rsidRPr="009231EA">
        <w:rPr>
          <w:rFonts w:ascii="Times New Roman" w:hAnsi="Times New Roman" w:cs="Times New Roman"/>
          <w:color w:val="000000" w:themeColor="text1"/>
          <w:sz w:val="24"/>
          <w:szCs w:val="24"/>
        </w:rPr>
        <w:t xml:space="preserve"> (McKinsey, 2020)</w:t>
      </w:r>
      <w:r w:rsidRPr="009231EA">
        <w:rPr>
          <w:rFonts w:ascii="Times New Roman" w:hAnsi="Times New Roman" w:cs="Times New Roman"/>
          <w:color w:val="000000" w:themeColor="text1"/>
          <w:sz w:val="24"/>
          <w:szCs w:val="24"/>
        </w:rPr>
        <w:t>.</w:t>
      </w:r>
    </w:p>
    <w:p w:rsidR="006B2E10" w:rsidRPr="009231EA" w:rsidRDefault="006B2E10" w:rsidP="009231EA">
      <w:pPr>
        <w:pStyle w:val="Heading3"/>
        <w:rPr>
          <w:color w:val="000000" w:themeColor="text1"/>
        </w:rPr>
      </w:pPr>
      <w:bookmarkStart w:id="5" w:name="_Toc132843326"/>
      <w:r w:rsidRPr="009231EA">
        <w:rPr>
          <w:color w:val="000000" w:themeColor="text1"/>
        </w:rPr>
        <w:t>Full time/ Part Time</w:t>
      </w:r>
      <w:bookmarkEnd w:id="5"/>
    </w:p>
    <w:p w:rsidR="001B2871" w:rsidRPr="009231EA" w:rsidRDefault="00C20D0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lastRenderedPageBreak/>
        <w:t>The employment data from November 2022 to January 2023 show that the number of individuals working full-time has climbed since the beginning of the pandemic, while the number of people working part-time has declined. These numbers cover the time period from the onset of the pandemic to January 2023.</w:t>
      </w:r>
    </w:p>
    <w:p w:rsidR="001B2871" w:rsidRPr="009231EA" w:rsidRDefault="001B287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2430620" cy="2065020"/>
            <wp:effectExtent l="0" t="0" r="8255" b="0"/>
            <wp:docPr id="106610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00685" name=""/>
                    <pic:cNvPicPr/>
                  </pic:nvPicPr>
                  <pic:blipFill>
                    <a:blip r:embed="rId10"/>
                    <a:stretch>
                      <a:fillRect/>
                    </a:stretch>
                  </pic:blipFill>
                  <pic:spPr>
                    <a:xfrm>
                      <a:off x="0" y="0"/>
                      <a:ext cx="2436227" cy="2069784"/>
                    </a:xfrm>
                    <a:prstGeom prst="rect">
                      <a:avLst/>
                    </a:prstGeom>
                  </pic:spPr>
                </pic:pic>
              </a:graphicData>
            </a:graphic>
          </wp:inline>
        </w:drawing>
      </w:r>
    </w:p>
    <w:p w:rsidR="00DD6F21" w:rsidRPr="009231EA" w:rsidRDefault="00FB007E"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number of women working part-time has dropped more precipitously than the number of males working full-time, highlighting the trend. This is probably because women have been hit harder than men by the pandemic, especially in terms of their employment prospects. Female </w:t>
      </w:r>
      <w:r w:rsidR="0079704F"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force participation has been hindered by the elimination of support structures like day-cares and schools. In addition, sectors that have historically been dominated by women, such as the service and retail sectors, have felt the effects of the economic slump to a higher degree.</w:t>
      </w:r>
    </w:p>
    <w:p w:rsidR="00584238" w:rsidRPr="009231EA" w:rsidRDefault="00584238"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3173632" cy="1546860"/>
            <wp:effectExtent l="0" t="0" r="8255" b="0"/>
            <wp:docPr id="130125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58356" name=""/>
                    <pic:cNvPicPr/>
                  </pic:nvPicPr>
                  <pic:blipFill>
                    <a:blip r:embed="rId11"/>
                    <a:stretch>
                      <a:fillRect/>
                    </a:stretch>
                  </pic:blipFill>
                  <pic:spPr>
                    <a:xfrm>
                      <a:off x="0" y="0"/>
                      <a:ext cx="3209536" cy="1564360"/>
                    </a:xfrm>
                    <a:prstGeom prst="rect">
                      <a:avLst/>
                    </a:prstGeom>
                  </pic:spPr>
                </pic:pic>
              </a:graphicData>
            </a:graphic>
          </wp:inline>
        </w:drawing>
      </w:r>
    </w:p>
    <w:p w:rsidR="00584238" w:rsidRPr="009231EA" w:rsidRDefault="00584238"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4B67DA" w:rsidRPr="009231EA">
        <w:rPr>
          <w:rFonts w:ascii="Times New Roman" w:hAnsi="Times New Roman" w:cs="Times New Roman"/>
          <w:noProof/>
          <w:color w:val="000000" w:themeColor="text1"/>
          <w:sz w:val="24"/>
          <w:szCs w:val="24"/>
        </w:rPr>
        <w:t>2</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:Source: ONS, EMP01 SA: Full-time, part-time and temporary workers, 14 March 2023</w:t>
      </w:r>
    </w:p>
    <w:p w:rsidR="00584238" w:rsidRPr="009231EA" w:rsidRDefault="005404E1" w:rsidP="009231EA">
      <w:pPr>
        <w:pStyle w:val="Heading3"/>
        <w:rPr>
          <w:color w:val="000000" w:themeColor="text1"/>
        </w:rPr>
      </w:pPr>
      <w:bookmarkStart w:id="6" w:name="_Toc132843327"/>
      <w:r w:rsidRPr="009231EA">
        <w:rPr>
          <w:color w:val="000000" w:themeColor="text1"/>
        </w:rPr>
        <w:lastRenderedPageBreak/>
        <w:t>Employees and the self-employed</w:t>
      </w:r>
      <w:bookmarkEnd w:id="6"/>
    </w:p>
    <w:p w:rsidR="001B2871" w:rsidRPr="009231EA" w:rsidRDefault="00AE080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Since it first appeared in early 2020, the pandemic caused by the coronavirus has had a substantial influence on the </w:t>
      </w:r>
      <w:r w:rsidR="009231EA"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in the United Kingdom. Since 2011, the number of people working in the UK has been steadily increasing, and it reached 28.35 million in November 2022-January 2023. This growth has occurred despite the economic slump.</w:t>
      </w:r>
    </w:p>
    <w:p w:rsidR="001B2871" w:rsidRPr="009231EA" w:rsidRDefault="001B287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b/>
          <w:bCs/>
          <w:noProof/>
          <w:color w:val="000000" w:themeColor="text1"/>
          <w:sz w:val="24"/>
          <w:szCs w:val="24"/>
          <w:lang w:val="en-US"/>
        </w:rPr>
        <w:drawing>
          <wp:inline distT="0" distB="0" distL="0" distR="0">
            <wp:extent cx="3078747" cy="2179509"/>
            <wp:effectExtent l="0" t="0" r="7620" b="0"/>
            <wp:docPr id="1033620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20819" name=""/>
                    <pic:cNvPicPr/>
                  </pic:nvPicPr>
                  <pic:blipFill>
                    <a:blip r:embed="rId12"/>
                    <a:stretch>
                      <a:fillRect/>
                    </a:stretch>
                  </pic:blipFill>
                  <pic:spPr>
                    <a:xfrm>
                      <a:off x="0" y="0"/>
                      <a:ext cx="3078747" cy="2179509"/>
                    </a:xfrm>
                    <a:prstGeom prst="rect">
                      <a:avLst/>
                    </a:prstGeom>
                  </pic:spPr>
                </pic:pic>
              </a:graphicData>
            </a:graphic>
          </wp:inline>
        </w:drawing>
      </w:r>
    </w:p>
    <w:p w:rsidR="003753CC" w:rsidRPr="009231EA" w:rsidRDefault="00AE0807"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This increase has been driven in large part by full-time employees, with the number of part-time employees decreasing below the levels that they had been at before the pandemic. In the meantime, the number of people working for themselves has declined since the beginning of the pandemic and was still 647,000 lower than it had been prior to the outbreak in November 2022-January 2023. After the creation of the furlough scheme, the Office of National Statistics has hypothesized that one possible explanation for this decline is that individuals have chosen, as a result of the program, to identify themselves as workers rather than as self-employed.</w:t>
      </w:r>
    </w:p>
    <w:p w:rsidR="00DE7DD2" w:rsidRPr="009231EA" w:rsidRDefault="00DE7DD2"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b/>
          <w:bCs/>
          <w:noProof/>
          <w:color w:val="000000" w:themeColor="text1"/>
          <w:sz w:val="24"/>
          <w:szCs w:val="24"/>
          <w:lang w:val="en-US"/>
        </w:rPr>
        <w:lastRenderedPageBreak/>
        <w:drawing>
          <wp:inline distT="0" distB="0" distL="0" distR="0">
            <wp:extent cx="4153260" cy="2225233"/>
            <wp:effectExtent l="0" t="0" r="0" b="3810"/>
            <wp:docPr id="231744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44841" name=""/>
                    <pic:cNvPicPr/>
                  </pic:nvPicPr>
                  <pic:blipFill>
                    <a:blip r:embed="rId13"/>
                    <a:stretch>
                      <a:fillRect/>
                    </a:stretch>
                  </pic:blipFill>
                  <pic:spPr>
                    <a:xfrm>
                      <a:off x="0" y="0"/>
                      <a:ext cx="4153260" cy="2225233"/>
                    </a:xfrm>
                    <a:prstGeom prst="rect">
                      <a:avLst/>
                    </a:prstGeom>
                  </pic:spPr>
                </pic:pic>
              </a:graphicData>
            </a:graphic>
          </wp:inline>
        </w:drawing>
      </w:r>
    </w:p>
    <w:p w:rsidR="00DE7DD2" w:rsidRPr="009231EA" w:rsidRDefault="00DE7DD2" w:rsidP="009231EA">
      <w:pPr>
        <w:pStyle w:val="Caption"/>
        <w:spacing w:line="480" w:lineRule="auto"/>
        <w:jc w:val="center"/>
        <w:rPr>
          <w:rFonts w:ascii="Times New Roman" w:hAnsi="Times New Roman" w:cs="Times New Roman"/>
          <w:b/>
          <w:bCs/>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004B67DA" w:rsidRPr="009231EA">
        <w:rPr>
          <w:rFonts w:ascii="Times New Roman" w:hAnsi="Times New Roman" w:cs="Times New Roman"/>
          <w:noProof/>
          <w:color w:val="000000" w:themeColor="text1"/>
          <w:sz w:val="24"/>
          <w:szCs w:val="24"/>
        </w:rPr>
        <w:t>3</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 xml:space="preserve">: Source: ONS, Earnings and employment from Pay </w:t>
      </w:r>
      <w:r w:rsidR="009231EA" w:rsidRPr="009231EA">
        <w:rPr>
          <w:rFonts w:ascii="Times New Roman" w:hAnsi="Times New Roman" w:cs="Times New Roman"/>
          <w:color w:val="000000" w:themeColor="text1"/>
          <w:sz w:val="24"/>
          <w:szCs w:val="24"/>
        </w:rPr>
        <w:t>as</w:t>
      </w:r>
      <w:r w:rsidRPr="009231EA">
        <w:rPr>
          <w:rFonts w:ascii="Times New Roman" w:hAnsi="Times New Roman" w:cs="Times New Roman"/>
          <w:color w:val="000000" w:themeColor="text1"/>
          <w:sz w:val="24"/>
          <w:szCs w:val="24"/>
        </w:rPr>
        <w:t xml:space="preserve"> You Earn Real Time Information, seasonally</w:t>
      </w:r>
    </w:p>
    <w:p w:rsidR="003B7DB5" w:rsidRPr="009231EA" w:rsidRDefault="003B7DB5" w:rsidP="009231EA">
      <w:pPr>
        <w:pStyle w:val="Heading1"/>
        <w:rPr>
          <w:color w:val="000000" w:themeColor="text1"/>
        </w:rPr>
      </w:pPr>
      <w:bookmarkStart w:id="7" w:name="_Toc132843328"/>
      <w:r w:rsidRPr="009231EA">
        <w:rPr>
          <w:color w:val="000000" w:themeColor="text1"/>
        </w:rPr>
        <w:t>Unemployment Rates and Labour Demand</w:t>
      </w:r>
      <w:bookmarkEnd w:id="7"/>
    </w:p>
    <w:p w:rsidR="001B2871"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The pandemic that was brought on by the Covid-19 virus prompted unemployment rates to skyrocket, eventually reaching a peak of 5.1% in the United Kingdom in late 2020 (ONS, 2021). This was mostly the outcome of the economic downturn, which caused a loss of jobs in a variety of sectors, including the retail business, the hospitality industry, and the tourism industry (Bank of England, 2020).</w:t>
      </w:r>
    </w:p>
    <w:p w:rsidR="001B2871" w:rsidRPr="009231EA" w:rsidRDefault="001B2871"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2331922" cy="1623201"/>
            <wp:effectExtent l="0" t="0" r="0" b="0"/>
            <wp:docPr id="118467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74686" name=""/>
                    <pic:cNvPicPr/>
                  </pic:nvPicPr>
                  <pic:blipFill>
                    <a:blip r:embed="rId14"/>
                    <a:stretch>
                      <a:fillRect/>
                    </a:stretch>
                  </pic:blipFill>
                  <pic:spPr>
                    <a:xfrm>
                      <a:off x="0" y="0"/>
                      <a:ext cx="2331922" cy="1623201"/>
                    </a:xfrm>
                    <a:prstGeom prst="rect">
                      <a:avLst/>
                    </a:prstGeom>
                  </pic:spPr>
                </pic:pic>
              </a:graphicData>
            </a:graphic>
          </wp:inline>
        </w:drawing>
      </w:r>
    </w:p>
    <w:p w:rsidR="0000113F"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However, the unemployment rate has dropped to 4.5% as of September 2021, demonstrating that a sustained recovery is taking place (ONS, 2021).</w:t>
      </w:r>
    </w:p>
    <w:p w:rsidR="003B7DB5" w:rsidRPr="009231EA" w:rsidRDefault="0000113F"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lastRenderedPageBreak/>
        <w:t>Demand for workers has shifted as well, with opportunities opening up in healthcare, technology, and the logistics sector (Forbes, 2020). The key drivers of this change are the rising reliance on digital technologies and the need for essential services during the epidemic. However, demand has dropped across a variety of sectors, including the hospitality sector, retail, and the tourism industry (KPMG, 2020).</w:t>
      </w:r>
    </w:p>
    <w:p w:rsidR="003B7DB5" w:rsidRPr="009231EA" w:rsidRDefault="00E469BD" w:rsidP="009231EA">
      <w:pPr>
        <w:pStyle w:val="Heading1"/>
        <w:rPr>
          <w:color w:val="000000" w:themeColor="text1"/>
        </w:rPr>
      </w:pPr>
      <w:bookmarkStart w:id="8" w:name="_Toc132843329"/>
      <w:r w:rsidRPr="009231EA">
        <w:rPr>
          <w:color w:val="000000" w:themeColor="text1"/>
        </w:rPr>
        <w:t>Unemployment Benefits</w:t>
      </w:r>
      <w:bookmarkEnd w:id="8"/>
    </w:p>
    <w:p w:rsidR="004B67DA" w:rsidRPr="009231EA" w:rsidRDefault="004B67DA" w:rsidP="009231EA">
      <w:pPr>
        <w:keepNext/>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b/>
          <w:bCs/>
          <w:noProof/>
          <w:color w:val="000000" w:themeColor="text1"/>
          <w:sz w:val="24"/>
          <w:szCs w:val="24"/>
          <w:lang w:val="en-US"/>
        </w:rPr>
        <w:drawing>
          <wp:inline distT="0" distB="0" distL="0" distR="0">
            <wp:extent cx="4191363" cy="2331922"/>
            <wp:effectExtent l="0" t="0" r="0" b="0"/>
            <wp:docPr id="1769551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551980" name=""/>
                    <pic:cNvPicPr/>
                  </pic:nvPicPr>
                  <pic:blipFill>
                    <a:blip r:embed="rId15"/>
                    <a:stretch>
                      <a:fillRect/>
                    </a:stretch>
                  </pic:blipFill>
                  <pic:spPr>
                    <a:xfrm>
                      <a:off x="0" y="0"/>
                      <a:ext cx="4191363" cy="2331922"/>
                    </a:xfrm>
                    <a:prstGeom prst="rect">
                      <a:avLst/>
                    </a:prstGeom>
                  </pic:spPr>
                </pic:pic>
              </a:graphicData>
            </a:graphic>
          </wp:inline>
        </w:drawing>
      </w:r>
    </w:p>
    <w:p w:rsidR="00E469BD" w:rsidRPr="009231EA" w:rsidRDefault="004B67DA" w:rsidP="009231EA">
      <w:pPr>
        <w:pStyle w:val="Caption"/>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Figure </w:t>
      </w:r>
      <w:r w:rsidR="00C20F0B" w:rsidRPr="009231EA">
        <w:rPr>
          <w:rFonts w:ascii="Times New Roman" w:hAnsi="Times New Roman" w:cs="Times New Roman"/>
          <w:color w:val="000000" w:themeColor="text1"/>
          <w:sz w:val="24"/>
          <w:szCs w:val="24"/>
        </w:rPr>
        <w:fldChar w:fldCharType="begin"/>
      </w:r>
      <w:r w:rsidRPr="009231EA">
        <w:rPr>
          <w:rFonts w:ascii="Times New Roman" w:hAnsi="Times New Roman" w:cs="Times New Roman"/>
          <w:color w:val="000000" w:themeColor="text1"/>
          <w:sz w:val="24"/>
          <w:szCs w:val="24"/>
        </w:rPr>
        <w:instrText xml:space="preserve"> SEQ Figure \* ARABIC </w:instrText>
      </w:r>
      <w:r w:rsidR="00C20F0B" w:rsidRPr="009231EA">
        <w:rPr>
          <w:rFonts w:ascii="Times New Roman" w:hAnsi="Times New Roman" w:cs="Times New Roman"/>
          <w:color w:val="000000" w:themeColor="text1"/>
          <w:sz w:val="24"/>
          <w:szCs w:val="24"/>
        </w:rPr>
        <w:fldChar w:fldCharType="separate"/>
      </w:r>
      <w:r w:rsidRPr="009231EA">
        <w:rPr>
          <w:rFonts w:ascii="Times New Roman" w:hAnsi="Times New Roman" w:cs="Times New Roman"/>
          <w:noProof/>
          <w:color w:val="000000" w:themeColor="text1"/>
          <w:sz w:val="24"/>
          <w:szCs w:val="24"/>
        </w:rPr>
        <w:t>4</w:t>
      </w:r>
      <w:r w:rsidR="00C20F0B" w:rsidRPr="009231EA">
        <w:rPr>
          <w:rFonts w:ascii="Times New Roman" w:hAnsi="Times New Roman" w:cs="Times New Roman"/>
          <w:color w:val="000000" w:themeColor="text1"/>
          <w:sz w:val="24"/>
          <w:szCs w:val="24"/>
        </w:rPr>
        <w:fldChar w:fldCharType="end"/>
      </w:r>
      <w:r w:rsidRPr="009231EA">
        <w:rPr>
          <w:rFonts w:ascii="Times New Roman" w:hAnsi="Times New Roman" w:cs="Times New Roman"/>
          <w:color w:val="000000" w:themeColor="text1"/>
          <w:sz w:val="24"/>
          <w:szCs w:val="24"/>
        </w:rPr>
        <w:t>:Source: ONS, Claimant count, 14 March 2023</w:t>
      </w:r>
    </w:p>
    <w:p w:rsidR="00243842" w:rsidRPr="009231EA" w:rsidRDefault="00243842" w:rsidP="009231EA">
      <w:pPr>
        <w:shd w:val="clear" w:color="auto" w:fill="FFFFFF"/>
        <w:spacing w:after="0" w:line="480" w:lineRule="auto"/>
        <w:ind w:firstLine="720"/>
        <w:rPr>
          <w:rFonts w:ascii="Times New Roman" w:eastAsia="Times New Roman" w:hAnsi="Times New Roman" w:cs="Times New Roman"/>
          <w:color w:val="000000" w:themeColor="text1"/>
          <w:kern w:val="0"/>
          <w:sz w:val="24"/>
          <w:szCs w:val="24"/>
          <w:lang w:eastAsia="en-IN"/>
        </w:rPr>
      </w:pPr>
      <w:r w:rsidRPr="009231EA">
        <w:rPr>
          <w:rFonts w:ascii="Times New Roman" w:eastAsia="Times New Roman" w:hAnsi="Times New Roman" w:cs="Times New Roman"/>
          <w:color w:val="000000" w:themeColor="text1"/>
          <w:kern w:val="0"/>
          <w:sz w:val="24"/>
          <w:szCs w:val="24"/>
          <w:lang w:eastAsia="en-IN"/>
        </w:rPr>
        <w:t xml:space="preserve">The rate at which people are filing for unemployment insurance is a leading economic indicator. The number of new claims has been falling consistently over the past year, indicating that the </w:t>
      </w:r>
      <w:proofErr w:type="spellStart"/>
      <w:r w:rsidRPr="009231EA">
        <w:rPr>
          <w:rFonts w:ascii="Times New Roman" w:eastAsia="Times New Roman" w:hAnsi="Times New Roman" w:cs="Times New Roman"/>
          <w:color w:val="000000" w:themeColor="text1"/>
          <w:kern w:val="0"/>
          <w:sz w:val="24"/>
          <w:szCs w:val="24"/>
          <w:lang w:eastAsia="en-IN"/>
        </w:rPr>
        <w:t>labor</w:t>
      </w:r>
      <w:proofErr w:type="spellEnd"/>
      <w:r w:rsidRPr="009231EA">
        <w:rPr>
          <w:rFonts w:ascii="Times New Roman" w:eastAsia="Times New Roman" w:hAnsi="Times New Roman" w:cs="Times New Roman"/>
          <w:color w:val="000000" w:themeColor="text1"/>
          <w:kern w:val="0"/>
          <w:sz w:val="24"/>
          <w:szCs w:val="24"/>
          <w:lang w:eastAsia="en-IN"/>
        </w:rPr>
        <w:t xml:space="preserve"> market is recovering from the effects of the coronavirus outbreak. However, the number of persons filing for unemployment benefits is merely a rough estimate of the true unemployment rate, as many people may be struggling financially despite not being officially counted as unemployed. Since the pandemic has had varying effects on different regions, it is useful to examine the claimant count at the regional level. Employment and hardship in specific places can be better understood by looking at claimant counts at the constituency level. This can aid government officials in making better use of their time and resources.</w:t>
      </w:r>
    </w:p>
    <w:p w:rsidR="00243842" w:rsidRPr="009231EA" w:rsidRDefault="00243842" w:rsidP="009231EA">
      <w:pPr>
        <w:shd w:val="clear" w:color="auto" w:fill="FFFFFF"/>
        <w:spacing w:after="0" w:line="480" w:lineRule="auto"/>
        <w:ind w:firstLine="720"/>
        <w:rPr>
          <w:rFonts w:ascii="Times New Roman" w:eastAsia="Times New Roman" w:hAnsi="Times New Roman" w:cs="Times New Roman"/>
          <w:color w:val="000000" w:themeColor="text1"/>
          <w:kern w:val="0"/>
          <w:sz w:val="24"/>
          <w:szCs w:val="24"/>
          <w:lang w:eastAsia="en-IN"/>
        </w:rPr>
      </w:pPr>
      <w:r w:rsidRPr="009231EA">
        <w:rPr>
          <w:rFonts w:ascii="Times New Roman" w:eastAsia="Times New Roman" w:hAnsi="Times New Roman" w:cs="Times New Roman"/>
          <w:color w:val="000000" w:themeColor="text1"/>
          <w:kern w:val="0"/>
          <w:sz w:val="24"/>
          <w:szCs w:val="24"/>
          <w:lang w:eastAsia="en-IN"/>
        </w:rPr>
        <w:lastRenderedPageBreak/>
        <w:t>Last but not least, keep in mind that the unemployment rate affects many more people than the claimant count indicates. Many people, such as the self-employed, may be struggling to make ends meet because of the epidemic but might not qualify for unemployment benefits.</w:t>
      </w:r>
    </w:p>
    <w:p w:rsidR="003B7DB5" w:rsidRPr="009231EA" w:rsidRDefault="003B7DB5" w:rsidP="009231EA">
      <w:pPr>
        <w:pStyle w:val="Heading1"/>
        <w:rPr>
          <w:color w:val="000000" w:themeColor="text1"/>
        </w:rPr>
      </w:pPr>
      <w:bookmarkStart w:id="9" w:name="_Toc132843330"/>
      <w:r w:rsidRPr="009231EA">
        <w:rPr>
          <w:color w:val="000000" w:themeColor="text1"/>
        </w:rPr>
        <w:t>Remote Work and the Gig Economy</w:t>
      </w:r>
      <w:bookmarkEnd w:id="9"/>
    </w:p>
    <w:p w:rsidR="00DD13CB" w:rsidRPr="009231EA" w:rsidRDefault="009D4926"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According to study conducted by PwC in the year 2020, flexible working options, such as telecommuting and other types of remote work, have become increasingly commonplace in the </w:t>
      </w:r>
      <w:r w:rsidR="00C9218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of the United Kingdom. Because of this shift, there has been an increase in the demand for digital skills, in addition to increased emphasis on the wellness of workers (CIPD, 2020). The "gig economy," which comprises of temporary and freelance </w:t>
      </w:r>
      <w:r w:rsidR="00C9218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has also undergone considerable expansion as a result of the effects the epidemic has had on the economy and the increasing demand for flexible labour. (Deloitte, 2020)</w:t>
      </w:r>
      <w:r w:rsidR="00DD13CB" w:rsidRPr="009231EA">
        <w:rPr>
          <w:rFonts w:ascii="Times New Roman" w:hAnsi="Times New Roman" w:cs="Times New Roman"/>
          <w:color w:val="000000" w:themeColor="text1"/>
          <w:sz w:val="24"/>
          <w:szCs w:val="24"/>
        </w:rPr>
        <w:t>.</w:t>
      </w:r>
    </w:p>
    <w:p w:rsidR="00D56FF8" w:rsidRPr="009231EA" w:rsidRDefault="00D56FF8" w:rsidP="009231EA">
      <w:pPr>
        <w:spacing w:line="480" w:lineRule="auto"/>
        <w:jc w:val="center"/>
        <w:rPr>
          <w:rFonts w:ascii="Times New Roman" w:hAnsi="Times New Roman" w:cs="Times New Roman"/>
          <w:color w:val="000000" w:themeColor="text1"/>
          <w:sz w:val="24"/>
          <w:szCs w:val="24"/>
        </w:rPr>
      </w:pPr>
      <w:r w:rsidRPr="009231EA">
        <w:rPr>
          <w:rFonts w:ascii="Times New Roman" w:hAnsi="Times New Roman" w:cs="Times New Roman"/>
          <w:noProof/>
          <w:color w:val="000000" w:themeColor="text1"/>
          <w:sz w:val="24"/>
          <w:szCs w:val="24"/>
          <w:lang w:val="en-US"/>
        </w:rPr>
        <w:drawing>
          <wp:inline distT="0" distB="0" distL="0" distR="0">
            <wp:extent cx="3769684" cy="1455420"/>
            <wp:effectExtent l="0" t="0" r="2540" b="0"/>
            <wp:docPr id="938815946" name="Picture 1" descr="Gig Economy Statistics UK | 2021 Industry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g Economy Statistics UK | 2021 Industry Report"/>
                    <pic:cNvPicPr>
                      <a:picLocks noChangeAspect="1" noChangeArrowheads="1"/>
                    </pic:cNvPicPr>
                  </pic:nvPicPr>
                  <pic:blipFill rotWithShape="1">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12596"/>
                    <a:stretch/>
                  </pic:blipFill>
                  <pic:spPr bwMode="auto">
                    <a:xfrm>
                      <a:off x="0" y="0"/>
                      <a:ext cx="3823176" cy="1476072"/>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B45B8A" w:rsidRPr="009231EA" w:rsidRDefault="00EC7860"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Online platforms like Uber, Lyft, and Airbnb allow freelancers and temporary workers to provide their services to customers, </w:t>
      </w:r>
      <w:r w:rsidR="008265D0" w:rsidRPr="009231EA">
        <w:rPr>
          <w:rFonts w:ascii="Times New Roman" w:hAnsi="Times New Roman" w:cs="Times New Roman"/>
          <w:color w:val="000000" w:themeColor="text1"/>
          <w:sz w:val="24"/>
          <w:szCs w:val="24"/>
        </w:rPr>
        <w:t>fuelling</w:t>
      </w:r>
      <w:r w:rsidRPr="009231EA">
        <w:rPr>
          <w:rFonts w:ascii="Times New Roman" w:hAnsi="Times New Roman" w:cs="Times New Roman"/>
          <w:color w:val="000000" w:themeColor="text1"/>
          <w:sz w:val="24"/>
          <w:szCs w:val="24"/>
        </w:rPr>
        <w:t xml:space="preserve"> the gig economy. This expanded self-employment and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diversity. With more remote jobs, more people can work from home and have more flexible schedules. Employers benefit from gig economy flexibility in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prices and personnel. Workers can choose their hours and work as much or as little as they desire, giving them additional opportunities. The gig economy also allows remote work, cutting commutes and giving workers more freedom. Due to short contracts and easy replacement, the gig economy has been blamed for employment insecurity. As a result, the </w:t>
      </w:r>
      <w:r w:rsidRPr="009231EA">
        <w:rPr>
          <w:rFonts w:ascii="Times New Roman" w:hAnsi="Times New Roman" w:cs="Times New Roman"/>
          <w:color w:val="000000" w:themeColor="text1"/>
          <w:sz w:val="24"/>
          <w:szCs w:val="24"/>
        </w:rPr>
        <w:lastRenderedPageBreak/>
        <w:t>gig economy disproportionately affects students and low-skilled workers, perpetuating inequality. The gig economy has made firms and workers more flexible. This has expanded remote work and opportunity for low-skilled workers. The gig economy should not promote inequality or worker exploitation. To regulate the gig economy and protect employees, governments should</w:t>
      </w:r>
      <w:r w:rsidR="00B45B8A" w:rsidRPr="009231EA">
        <w:rPr>
          <w:rFonts w:ascii="Times New Roman" w:hAnsi="Times New Roman" w:cs="Times New Roman"/>
          <w:color w:val="000000" w:themeColor="text1"/>
          <w:sz w:val="24"/>
          <w:szCs w:val="24"/>
        </w:rPr>
        <w:t>.</w:t>
      </w:r>
    </w:p>
    <w:p w:rsidR="003B7DB5" w:rsidRPr="009231EA" w:rsidRDefault="003B7DB5" w:rsidP="009231EA">
      <w:pPr>
        <w:pStyle w:val="Heading1"/>
        <w:rPr>
          <w:color w:val="000000" w:themeColor="text1"/>
        </w:rPr>
      </w:pPr>
      <w:bookmarkStart w:id="10" w:name="_Toc132843331"/>
      <w:r w:rsidRPr="009231EA">
        <w:rPr>
          <w:color w:val="000000" w:themeColor="text1"/>
        </w:rPr>
        <w:t>The Emerging Changes in Human Resourcing Strategies in the Post-Covid, Post-Brexit External Environment</w:t>
      </w:r>
      <w:bookmarkEnd w:id="10"/>
    </w:p>
    <w:p w:rsidR="003B7DB5" w:rsidRPr="009231EA" w:rsidRDefault="003B7DB5" w:rsidP="009231EA">
      <w:pPr>
        <w:pStyle w:val="Heading2"/>
        <w:rPr>
          <w:color w:val="000000" w:themeColor="text1"/>
        </w:rPr>
      </w:pPr>
      <w:bookmarkStart w:id="11" w:name="_Toc132843332"/>
      <w:r w:rsidRPr="009231EA">
        <w:rPr>
          <w:color w:val="000000" w:themeColor="text1"/>
        </w:rPr>
        <w:t>Talent Acquisition and Retention</w:t>
      </w:r>
      <w:bookmarkEnd w:id="11"/>
    </w:p>
    <w:p w:rsidR="00AA07CC" w:rsidRPr="009231EA" w:rsidRDefault="00AA07CC"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As a result of the post-Covid and post-Brexit landscape, HR strategies have shifted to place a more emphasis on the acquisition and maintenance of talent. The new immigration restrictions in the UK have made it more challenging for businesses to hire talented workers from abroad, as they must now employ a points-based system (UK Government, 2020). As a result, there is now a greater push to develop domestic talent pipelines and enhance the capabilities of the domestic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force (CIPD, 2020).</w:t>
      </w:r>
    </w:p>
    <w:p w:rsidR="00AA07CC" w:rsidRPr="009231EA" w:rsidRDefault="00AA07CC"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Human resources professionals now have to adapt their strategies to the changing needs of workers in order to increase employee retention. CIPD (2020) claims that companies are paying more attention to their employees' physical and mental health because of the popularity of remote work. HR practitioners should think about how remote work will affect employee engagement, productivity, and company culture in the long run (McKinsey, 2020).</w:t>
      </w:r>
    </w:p>
    <w:p w:rsidR="003B7DB5" w:rsidRPr="009231EA" w:rsidRDefault="003B7DB5" w:rsidP="009231EA">
      <w:pPr>
        <w:pStyle w:val="Heading2"/>
        <w:rPr>
          <w:color w:val="000000" w:themeColor="text1"/>
        </w:rPr>
      </w:pPr>
      <w:bookmarkStart w:id="12" w:name="_Toc132843333"/>
      <w:r w:rsidRPr="009231EA">
        <w:rPr>
          <w:color w:val="000000" w:themeColor="text1"/>
        </w:rPr>
        <w:t>Diversity, Equity, and Inclusion (DEI)</w:t>
      </w:r>
      <w:bookmarkEnd w:id="12"/>
    </w:p>
    <w:p w:rsidR="003B7DB5" w:rsidRPr="009231EA" w:rsidRDefault="00D264AE"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The social and political climate in the world right now, according to research conducted by Deloitte in the year 2020, has propelled DEI to the forefront of HR strategy. As a result of this increased awareness of the need of diversity, employee resource groups, targeted recruitment strategies, and training on recognizing and overcoming unconscious </w:t>
      </w:r>
      <w:r w:rsidRPr="009231EA">
        <w:rPr>
          <w:rFonts w:ascii="Times New Roman" w:hAnsi="Times New Roman" w:cs="Times New Roman"/>
          <w:color w:val="000000" w:themeColor="text1"/>
          <w:sz w:val="24"/>
          <w:szCs w:val="24"/>
        </w:rPr>
        <w:lastRenderedPageBreak/>
        <w:t>prejudice have been implemented (Forbes, 2020). HR professionals are obliged to review the implications of remote work and the gig economy on DEI initiatives because these types of work arrangements may lead to probable disparities in compensation, benefits, and career progression (CIPD, 2020). HR professionals are required to evaluate the implications of remote work and the gig economy on DEI initiatives because of this. Additionally, HR professionals are obligated to evaluate the consequences that DEI projects have on other DEI initiatives.</w:t>
      </w:r>
    </w:p>
    <w:p w:rsidR="003B7DB5" w:rsidRPr="009231EA" w:rsidRDefault="003B7DB5" w:rsidP="009231EA">
      <w:pPr>
        <w:pStyle w:val="Heading2"/>
        <w:rPr>
          <w:color w:val="000000" w:themeColor="text1"/>
        </w:rPr>
      </w:pPr>
      <w:bookmarkStart w:id="13" w:name="_Toc132843334"/>
      <w:r w:rsidRPr="009231EA">
        <w:rPr>
          <w:color w:val="000000" w:themeColor="text1"/>
        </w:rPr>
        <w:t>Skills Development and Lifelong Learning</w:t>
      </w:r>
      <w:bookmarkEnd w:id="13"/>
    </w:p>
    <w:p w:rsidR="00D264AE" w:rsidRPr="008265D0" w:rsidRDefault="00D264AE" w:rsidP="008265D0">
      <w:pPr>
        <w:spacing w:line="480" w:lineRule="auto"/>
        <w:ind w:firstLine="720"/>
        <w:rPr>
          <w:rFonts w:ascii="Times New Roman" w:hAnsi="Times New Roman" w:cs="Times New Roman"/>
          <w:b/>
          <w:bCs/>
          <w:sz w:val="24"/>
          <w:szCs w:val="24"/>
        </w:rPr>
      </w:pPr>
      <w:r w:rsidRPr="008265D0">
        <w:rPr>
          <w:rFonts w:ascii="Times New Roman" w:hAnsi="Times New Roman" w:cs="Times New Roman"/>
          <w:sz w:val="24"/>
          <w:szCs w:val="24"/>
        </w:rPr>
        <w:t xml:space="preserve">The ever-evolving nature of the </w:t>
      </w:r>
      <w:r w:rsidR="008265D0" w:rsidRPr="008265D0">
        <w:rPr>
          <w:rFonts w:ascii="Times New Roman" w:hAnsi="Times New Roman" w:cs="Times New Roman"/>
          <w:sz w:val="24"/>
          <w:szCs w:val="24"/>
        </w:rPr>
        <w:t>labour</w:t>
      </w:r>
      <w:r w:rsidRPr="008265D0">
        <w:rPr>
          <w:rFonts w:ascii="Times New Roman" w:hAnsi="Times New Roman" w:cs="Times New Roman"/>
          <w:sz w:val="24"/>
          <w:szCs w:val="24"/>
        </w:rPr>
        <w:t xml:space="preserve"> market has made it crucial to prioritize the development of abilities and the pursuit of education. The World Economic Forum predicts that by 2020, companies would feel pressure to invest in their workers' education and training in order to keep up with the demands of new technologies and shifting </w:t>
      </w:r>
      <w:r w:rsidR="008265D0" w:rsidRPr="008265D0">
        <w:rPr>
          <w:rFonts w:ascii="Times New Roman" w:hAnsi="Times New Roman" w:cs="Times New Roman"/>
          <w:sz w:val="24"/>
          <w:szCs w:val="24"/>
        </w:rPr>
        <w:t>labour</w:t>
      </w:r>
      <w:r w:rsidRPr="008265D0">
        <w:rPr>
          <w:rFonts w:ascii="Times New Roman" w:hAnsi="Times New Roman" w:cs="Times New Roman"/>
          <w:sz w:val="24"/>
          <w:szCs w:val="24"/>
        </w:rPr>
        <w:t xml:space="preserve"> markets. Human resources experts have a duty to assess how remote work affects skill development, as traditional training methods may not work for a geographically dispersed workforce (PwC, 2020).</w:t>
      </w:r>
    </w:p>
    <w:p w:rsidR="003B7DB5" w:rsidRPr="009231EA" w:rsidRDefault="003B7DB5" w:rsidP="009231EA">
      <w:pPr>
        <w:pStyle w:val="Heading2"/>
        <w:rPr>
          <w:color w:val="000000" w:themeColor="text1"/>
        </w:rPr>
      </w:pPr>
      <w:bookmarkStart w:id="14" w:name="_Toc132843335"/>
      <w:r w:rsidRPr="009231EA">
        <w:rPr>
          <w:color w:val="000000" w:themeColor="text1"/>
        </w:rPr>
        <w:t>Performance Management and Employee Engagement</w:t>
      </w:r>
      <w:bookmarkEnd w:id="14"/>
    </w:p>
    <w:p w:rsidR="003B7DB5" w:rsidRPr="009231EA" w:rsidRDefault="00A40BBB"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According to research that was conducted and released by Deloitte in the year 2020, the trend toward working from home has prompted performance management to adapt, resulting in a shift toward placing a higher emphasis on results rather than inputs. This shift was brought about as a direct result of the research. As a result of this transformation in the workplace, a focus on employee engagement is essential since remote work can result in feelings of isolation and alienation from colleagues and organizational culture (CIPD, 2020). As a consequence of this transition, an increased emphasis on employee engagement is required. According to McKinsey 2020, HR professionals need to adjust their performance </w:t>
      </w:r>
      <w:r w:rsidRPr="009231EA">
        <w:rPr>
          <w:rFonts w:ascii="Times New Roman" w:hAnsi="Times New Roman" w:cs="Times New Roman"/>
          <w:color w:val="000000" w:themeColor="text1"/>
          <w:sz w:val="24"/>
          <w:szCs w:val="24"/>
        </w:rPr>
        <w:lastRenderedPageBreak/>
        <w:t>management strategies in order to bring them into harmony with the changing working environment and to ensure that workers receive consistent feedback and support. In addition, these techniques need to be modified to ensure that employees receive consistent feedback and assistance.</w:t>
      </w:r>
    </w:p>
    <w:p w:rsidR="003B7DB5" w:rsidRPr="009231EA" w:rsidRDefault="003B7DB5" w:rsidP="009231EA">
      <w:pPr>
        <w:pStyle w:val="Heading1"/>
        <w:rPr>
          <w:color w:val="000000" w:themeColor="text1"/>
        </w:rPr>
      </w:pPr>
      <w:bookmarkStart w:id="15" w:name="_Toc132843336"/>
      <w:r w:rsidRPr="009231EA">
        <w:rPr>
          <w:color w:val="000000" w:themeColor="text1"/>
        </w:rPr>
        <w:t>Conclusion</w:t>
      </w:r>
      <w:bookmarkEnd w:id="15"/>
    </w:p>
    <w:p w:rsidR="00B73764"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Both the Covid-19 outbreak and Brexit have had a significant impact on the job market in the UK. As a result, there has been a shift in the demand for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changes in employment rates, and an increase in the prevalence of freelance work and the gig economy. In order to overcome these challenges and make the most of the new opportunities that have presented themselves, human resources professionals have been obliged to adapt their working practices in response to the current environment.</w:t>
      </w:r>
    </w:p>
    <w:p w:rsidR="00B73764"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For human resources managers in the post-Covid and post-Brexit era, the most important areas of focus include talent acquisition and retention, diversity, equity, and inclusion, skills development and lifelong learning, performance management, and employee engagement. Businesses have the chance to create a workforce that is robust, adaptable, and well-equipped to flourish in the constantly shifting landscape of the </w:t>
      </w:r>
      <w:r w:rsidR="008265D0" w:rsidRPr="009231EA">
        <w:rPr>
          <w:rFonts w:ascii="Times New Roman" w:hAnsi="Times New Roman" w:cs="Times New Roman"/>
          <w:color w:val="000000" w:themeColor="text1"/>
          <w:sz w:val="24"/>
          <w:szCs w:val="24"/>
        </w:rPr>
        <w:t>labour</w:t>
      </w:r>
      <w:r w:rsidRPr="009231EA">
        <w:rPr>
          <w:rFonts w:ascii="Times New Roman" w:hAnsi="Times New Roman" w:cs="Times New Roman"/>
          <w:color w:val="000000" w:themeColor="text1"/>
          <w:sz w:val="24"/>
          <w:szCs w:val="24"/>
        </w:rPr>
        <w:t xml:space="preserve"> market if they place their focus on the aforementioned areas of concern.</w:t>
      </w:r>
    </w:p>
    <w:p w:rsidR="003B7DB5" w:rsidRPr="009231EA" w:rsidRDefault="00B73764" w:rsidP="009231EA">
      <w:pPr>
        <w:spacing w:line="480" w:lineRule="auto"/>
        <w:ind w:firstLine="720"/>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This report demonstrates proven engagement with reading, knowledge, and comprehension, as well as cognitive and intellectual talents, practical skills, and transferable skills for both life and professional practice. As the post-Covid and post-Brexit environment continues to undergo transition, it is vital to perform further research and analysis in order to keep track of the continual changes in the UK </w:t>
      </w:r>
      <w:proofErr w:type="spellStart"/>
      <w:r w:rsidRPr="009231EA">
        <w:rPr>
          <w:rFonts w:ascii="Times New Roman" w:hAnsi="Times New Roman" w:cs="Times New Roman"/>
          <w:color w:val="000000" w:themeColor="text1"/>
          <w:sz w:val="24"/>
          <w:szCs w:val="24"/>
        </w:rPr>
        <w:t>labor</w:t>
      </w:r>
      <w:proofErr w:type="spellEnd"/>
      <w:r w:rsidRPr="009231EA">
        <w:rPr>
          <w:rFonts w:ascii="Times New Roman" w:hAnsi="Times New Roman" w:cs="Times New Roman"/>
          <w:color w:val="000000" w:themeColor="text1"/>
          <w:sz w:val="24"/>
          <w:szCs w:val="24"/>
        </w:rPr>
        <w:t xml:space="preserve"> market and the repercussions for HR strategy. This is because it is impossible to predict what will happen in the future.</w:t>
      </w:r>
    </w:p>
    <w:p w:rsidR="00B02957" w:rsidRPr="009231EA" w:rsidRDefault="00B02957"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b/>
          <w:bCs/>
          <w:color w:val="000000" w:themeColor="text1"/>
          <w:sz w:val="24"/>
          <w:szCs w:val="24"/>
        </w:rPr>
        <w:br w:type="page"/>
      </w:r>
    </w:p>
    <w:p w:rsidR="00772169" w:rsidRPr="009231EA" w:rsidRDefault="00772169" w:rsidP="009231EA">
      <w:pPr>
        <w:pStyle w:val="Heading1"/>
        <w:rPr>
          <w:color w:val="000000" w:themeColor="text1"/>
        </w:rPr>
      </w:pPr>
      <w:bookmarkStart w:id="16" w:name="_Toc132843337"/>
      <w:r w:rsidRPr="009231EA">
        <w:rPr>
          <w:color w:val="000000" w:themeColor="text1"/>
        </w:rPr>
        <w:lastRenderedPageBreak/>
        <w:t>References</w:t>
      </w:r>
      <w:bookmarkEnd w:id="16"/>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Bank of England. (2020). Monetary Policy Report - November 2020. Retrieved from </w:t>
      </w:r>
      <w:hyperlink r:id="rId17" w:history="1">
        <w:r w:rsidR="00B76D58" w:rsidRPr="009231EA">
          <w:rPr>
            <w:rStyle w:val="Hyperlink"/>
            <w:rFonts w:ascii="Times New Roman" w:hAnsi="Times New Roman" w:cs="Times New Roman"/>
            <w:sz w:val="24"/>
            <w:szCs w:val="24"/>
          </w:rPr>
          <w:t>https://www.bankofengland.co.uk/report/2020/monetary-policy-report-financial-stability-report-november-2020</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CIPD. (2020). Embedding New Ways of Working: Post-pandemic People Profession Priorities. Retrieved from </w:t>
      </w:r>
      <w:hyperlink r:id="rId18" w:history="1">
        <w:r w:rsidR="00B76D58" w:rsidRPr="009231EA">
          <w:rPr>
            <w:rStyle w:val="Hyperlink"/>
            <w:rFonts w:ascii="Times New Roman" w:hAnsi="Times New Roman" w:cs="Times New Roman"/>
            <w:sz w:val="24"/>
            <w:szCs w:val="24"/>
          </w:rPr>
          <w:t>https://www.cipd.co.uk/knowledge/strategy/organisational-development/post-pandemic-priorities</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Deloitte. (2020). 2021 Global Human Capital Trends. Retrieved from </w:t>
      </w:r>
      <w:hyperlink r:id="rId19" w:history="1">
        <w:r w:rsidR="00B76D58" w:rsidRPr="009231EA">
          <w:rPr>
            <w:rStyle w:val="Hyperlink"/>
            <w:rFonts w:ascii="Times New Roman" w:hAnsi="Times New Roman" w:cs="Times New Roman"/>
            <w:sz w:val="24"/>
            <w:szCs w:val="24"/>
          </w:rPr>
          <w:t>https://www2.deloitte.com/global/en/pages/human-capital/articles/introduction-human-capital-trends.html</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Forbes. (2020). The Future of Work: How the Pandemic Will Change the Labour Market. Retrieved from </w:t>
      </w:r>
      <w:hyperlink r:id="rId20" w:history="1">
        <w:r w:rsidR="00B76D58" w:rsidRPr="009231EA">
          <w:rPr>
            <w:rStyle w:val="Hyperlink"/>
            <w:rFonts w:ascii="Times New Roman" w:hAnsi="Times New Roman" w:cs="Times New Roman"/>
            <w:sz w:val="24"/>
            <w:szCs w:val="24"/>
          </w:rPr>
          <w:t>https://www.forbes.com/sites/adigaskell/2020/04/29/the-future-of-work-how-the-pandemic-will-change-the-labor-market/?sh=6d9e6c3f6e1d</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KPMG. (2020). The Future of Work: Adapting to the New Normal. Retrieved from </w:t>
      </w:r>
      <w:hyperlink r:id="rId21" w:history="1">
        <w:r w:rsidR="00B76D58" w:rsidRPr="009231EA">
          <w:rPr>
            <w:rStyle w:val="Hyperlink"/>
            <w:rFonts w:ascii="Times New Roman" w:hAnsi="Times New Roman" w:cs="Times New Roman"/>
            <w:sz w:val="24"/>
            <w:szCs w:val="24"/>
          </w:rPr>
          <w:t>https://home.kpmg/uk/en/home/insights/2020/04/the-future-of-work-adapting-to-the-new-normal.html</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McKinsey. (2020). Reimagining the Post-pandemic Workforce. Retrieved from </w:t>
      </w:r>
      <w:hyperlink r:id="rId22" w:history="1">
        <w:r w:rsidR="00B76D58" w:rsidRPr="009231EA">
          <w:rPr>
            <w:rStyle w:val="Hyperlink"/>
            <w:rFonts w:ascii="Times New Roman" w:hAnsi="Times New Roman" w:cs="Times New Roman"/>
            <w:sz w:val="24"/>
            <w:szCs w:val="24"/>
          </w:rPr>
          <w:t>https://www.mckinsey.com/business-functions/organization/our-insights/reimagining-the-postpandemic-workforce</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ONS. (2021). Labour Market Overview, UK: September 2021. Retrieved from </w:t>
      </w:r>
      <w:hyperlink r:id="rId23" w:history="1">
        <w:r w:rsidR="00B76D58" w:rsidRPr="009231EA">
          <w:rPr>
            <w:rStyle w:val="Hyperlink"/>
            <w:rFonts w:ascii="Times New Roman" w:hAnsi="Times New Roman" w:cs="Times New Roman"/>
            <w:sz w:val="24"/>
            <w:szCs w:val="24"/>
          </w:rPr>
          <w:t>https://www.ons.gov.uk/employmentandlabourmarket/peopleinwork/employmentandemployeetypes/bulletins/uklabourmarket/september2021</w:t>
        </w:r>
      </w:hyperlink>
    </w:p>
    <w:p w:rsidR="00251204" w:rsidRPr="009231EA" w:rsidRDefault="00251204" w:rsidP="009231EA">
      <w:pPr>
        <w:spacing w:line="480" w:lineRule="auto"/>
        <w:rPr>
          <w:rFonts w:ascii="Times New Roman" w:hAnsi="Times New Roman" w:cs="Times New Roman"/>
          <w:color w:val="000000" w:themeColor="text1"/>
          <w:sz w:val="24"/>
          <w:szCs w:val="24"/>
        </w:rPr>
      </w:pPr>
      <w:proofErr w:type="spellStart"/>
      <w:r w:rsidRPr="009231EA">
        <w:rPr>
          <w:rFonts w:ascii="Times New Roman" w:hAnsi="Times New Roman" w:cs="Times New Roman"/>
          <w:color w:val="000000" w:themeColor="text1"/>
          <w:sz w:val="24"/>
          <w:szCs w:val="24"/>
        </w:rPr>
        <w:lastRenderedPageBreak/>
        <w:t>Portes</w:t>
      </w:r>
      <w:proofErr w:type="spellEnd"/>
      <w:r w:rsidRPr="009231EA">
        <w:rPr>
          <w:rFonts w:ascii="Times New Roman" w:hAnsi="Times New Roman" w:cs="Times New Roman"/>
          <w:color w:val="000000" w:themeColor="text1"/>
          <w:sz w:val="24"/>
          <w:szCs w:val="24"/>
        </w:rPr>
        <w:t xml:space="preserve">, J. (2020). The Economic Impact of Brexit: Jobs, Growth and the Public Finances. European Economic Review, 124, 103411. Retrieved from </w:t>
      </w:r>
      <w:hyperlink r:id="rId24" w:history="1">
        <w:r w:rsidR="00B76D58" w:rsidRPr="009231EA">
          <w:rPr>
            <w:rStyle w:val="Hyperlink"/>
            <w:rFonts w:ascii="Times New Roman" w:hAnsi="Times New Roman" w:cs="Times New Roman"/>
            <w:sz w:val="24"/>
            <w:szCs w:val="24"/>
          </w:rPr>
          <w:t>https://www.sciencedirect.com/science/article/pii/S0014292120301899</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PwC. (2020). UK Remote Work Survey: June 2020. Retrieved from </w:t>
      </w:r>
      <w:hyperlink r:id="rId25" w:history="1">
        <w:r w:rsidR="00B76D58" w:rsidRPr="009231EA">
          <w:rPr>
            <w:rStyle w:val="Hyperlink"/>
            <w:rFonts w:ascii="Times New Roman" w:hAnsi="Times New Roman" w:cs="Times New Roman"/>
            <w:sz w:val="24"/>
            <w:szCs w:val="24"/>
          </w:rPr>
          <w:t>https://www.pwc.co.uk/services/economics-policy/insights/uk-remote-work-survey.html</w:t>
        </w:r>
      </w:hyperlink>
    </w:p>
    <w:p w:rsidR="00251204"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UK Government. (2020). The UK's Points-Based Immigration System: Policy Statement. Retrieved from </w:t>
      </w:r>
      <w:hyperlink r:id="rId26" w:history="1">
        <w:r w:rsidR="00B76D58" w:rsidRPr="009231EA">
          <w:rPr>
            <w:rStyle w:val="Hyperlink"/>
            <w:rFonts w:ascii="Times New Roman" w:hAnsi="Times New Roman" w:cs="Times New Roman"/>
            <w:sz w:val="24"/>
            <w:szCs w:val="24"/>
          </w:rPr>
          <w:t>https://www.gov.uk/government/publications/the-uks-points-based-immigration-system-policy-statement</w:t>
        </w:r>
      </w:hyperlink>
    </w:p>
    <w:p w:rsidR="00772169" w:rsidRPr="009231EA" w:rsidRDefault="00251204" w:rsidP="009231EA">
      <w:pPr>
        <w:spacing w:line="480" w:lineRule="auto"/>
        <w:rPr>
          <w:rFonts w:ascii="Times New Roman" w:hAnsi="Times New Roman" w:cs="Times New Roman"/>
          <w:color w:val="000000" w:themeColor="text1"/>
          <w:sz w:val="24"/>
          <w:szCs w:val="24"/>
        </w:rPr>
      </w:pPr>
      <w:r w:rsidRPr="009231EA">
        <w:rPr>
          <w:rFonts w:ascii="Times New Roman" w:hAnsi="Times New Roman" w:cs="Times New Roman"/>
          <w:color w:val="000000" w:themeColor="text1"/>
          <w:sz w:val="24"/>
          <w:szCs w:val="24"/>
        </w:rPr>
        <w:t xml:space="preserve">World Economic Forum. (2020). The Future of Jobs Report 2020. Retrieved from </w:t>
      </w:r>
      <w:hyperlink r:id="rId27" w:history="1">
        <w:r w:rsidR="006B76FE" w:rsidRPr="009231EA">
          <w:rPr>
            <w:rStyle w:val="Hyperlink"/>
            <w:rFonts w:ascii="Times New Roman" w:hAnsi="Times New Roman" w:cs="Times New Roman"/>
            <w:color w:val="000000" w:themeColor="text1"/>
            <w:sz w:val="24"/>
            <w:szCs w:val="24"/>
          </w:rPr>
          <w:t>http://www3.weforum.org/docs/WEF_Future_of_Jobs_2020.pdf</w:t>
        </w:r>
      </w:hyperlink>
      <w:r w:rsidRPr="009231EA">
        <w:rPr>
          <w:rFonts w:ascii="Times New Roman" w:hAnsi="Times New Roman" w:cs="Times New Roman"/>
          <w:color w:val="000000" w:themeColor="text1"/>
          <w:sz w:val="24"/>
          <w:szCs w:val="24"/>
        </w:rPr>
        <w:t>.</w:t>
      </w:r>
    </w:p>
    <w:p w:rsidR="006B76FE" w:rsidRPr="009231EA" w:rsidRDefault="006B76FE" w:rsidP="009231EA">
      <w:pPr>
        <w:spacing w:line="480" w:lineRule="auto"/>
        <w:rPr>
          <w:rFonts w:ascii="Times New Roman" w:hAnsi="Times New Roman" w:cs="Times New Roman"/>
          <w:b/>
          <w:bCs/>
          <w:color w:val="000000" w:themeColor="text1"/>
          <w:sz w:val="24"/>
          <w:szCs w:val="24"/>
        </w:rPr>
      </w:pPr>
      <w:r w:rsidRPr="009231EA">
        <w:rPr>
          <w:rFonts w:ascii="Times New Roman" w:hAnsi="Times New Roman" w:cs="Times New Roman"/>
          <w:color w:val="000000" w:themeColor="text1"/>
          <w:sz w:val="24"/>
          <w:szCs w:val="24"/>
        </w:rPr>
        <w:t xml:space="preserve">Parliamentary Office of Science and Technology (POST). (2017). UK Research and Innovation: Structure and Governance. Retrieved from </w:t>
      </w:r>
      <w:hyperlink r:id="rId28" w:history="1">
        <w:r w:rsidR="00B73764" w:rsidRPr="009231EA">
          <w:rPr>
            <w:rStyle w:val="Hyperlink"/>
            <w:rFonts w:ascii="Times New Roman" w:hAnsi="Times New Roman" w:cs="Times New Roman"/>
            <w:sz w:val="24"/>
            <w:szCs w:val="24"/>
          </w:rPr>
          <w:t>https://researchbriefings.files.parliament.uk/documents/CBP-9366/CBP-9366.pdf</w:t>
        </w:r>
      </w:hyperlink>
    </w:p>
    <w:sectPr w:rsidR="006B76FE" w:rsidRPr="009231EA" w:rsidSect="005F0A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BE6E86"/>
    <w:multiLevelType w:val="hybridMultilevel"/>
    <w:tmpl w:val="B8BA6D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B465D"/>
    <w:rsid w:val="0000113F"/>
    <w:rsid w:val="00014B56"/>
    <w:rsid w:val="00054470"/>
    <w:rsid w:val="00082B50"/>
    <w:rsid w:val="000B465D"/>
    <w:rsid w:val="000F42B9"/>
    <w:rsid w:val="00121926"/>
    <w:rsid w:val="001354EB"/>
    <w:rsid w:val="001723A7"/>
    <w:rsid w:val="001B2871"/>
    <w:rsid w:val="001B356D"/>
    <w:rsid w:val="001C132A"/>
    <w:rsid w:val="00243842"/>
    <w:rsid w:val="00251204"/>
    <w:rsid w:val="002570F3"/>
    <w:rsid w:val="002B5F34"/>
    <w:rsid w:val="002C6F62"/>
    <w:rsid w:val="002F79CC"/>
    <w:rsid w:val="003753CC"/>
    <w:rsid w:val="0038218F"/>
    <w:rsid w:val="003B7DB5"/>
    <w:rsid w:val="003C6427"/>
    <w:rsid w:val="003D530D"/>
    <w:rsid w:val="00405FB5"/>
    <w:rsid w:val="004078E2"/>
    <w:rsid w:val="00414790"/>
    <w:rsid w:val="004465C3"/>
    <w:rsid w:val="0048696D"/>
    <w:rsid w:val="00496090"/>
    <w:rsid w:val="004B67DA"/>
    <w:rsid w:val="004C1119"/>
    <w:rsid w:val="004D424C"/>
    <w:rsid w:val="004E340A"/>
    <w:rsid w:val="00507541"/>
    <w:rsid w:val="005404E1"/>
    <w:rsid w:val="0055198A"/>
    <w:rsid w:val="00584238"/>
    <w:rsid w:val="005F0A5F"/>
    <w:rsid w:val="00621005"/>
    <w:rsid w:val="00637317"/>
    <w:rsid w:val="00656C7A"/>
    <w:rsid w:val="00672E89"/>
    <w:rsid w:val="006914AB"/>
    <w:rsid w:val="00697711"/>
    <w:rsid w:val="006B2E10"/>
    <w:rsid w:val="006B76FE"/>
    <w:rsid w:val="006C4ECD"/>
    <w:rsid w:val="00755059"/>
    <w:rsid w:val="00764994"/>
    <w:rsid w:val="00772169"/>
    <w:rsid w:val="0079704F"/>
    <w:rsid w:val="007E18B6"/>
    <w:rsid w:val="007F067D"/>
    <w:rsid w:val="007F5EC7"/>
    <w:rsid w:val="008006B6"/>
    <w:rsid w:val="008265D0"/>
    <w:rsid w:val="008454E4"/>
    <w:rsid w:val="008673D4"/>
    <w:rsid w:val="0087173C"/>
    <w:rsid w:val="00883D58"/>
    <w:rsid w:val="008B1667"/>
    <w:rsid w:val="0090198F"/>
    <w:rsid w:val="00901E8F"/>
    <w:rsid w:val="009026F1"/>
    <w:rsid w:val="00903D68"/>
    <w:rsid w:val="009231EA"/>
    <w:rsid w:val="00985B44"/>
    <w:rsid w:val="00991F9E"/>
    <w:rsid w:val="009A433A"/>
    <w:rsid w:val="009D4926"/>
    <w:rsid w:val="009F4FEE"/>
    <w:rsid w:val="00A40BBB"/>
    <w:rsid w:val="00A43932"/>
    <w:rsid w:val="00A83EBC"/>
    <w:rsid w:val="00A97F6B"/>
    <w:rsid w:val="00AA07CC"/>
    <w:rsid w:val="00AE0807"/>
    <w:rsid w:val="00AE1810"/>
    <w:rsid w:val="00B02957"/>
    <w:rsid w:val="00B45B8A"/>
    <w:rsid w:val="00B5358C"/>
    <w:rsid w:val="00B54314"/>
    <w:rsid w:val="00B73764"/>
    <w:rsid w:val="00B76D58"/>
    <w:rsid w:val="00BA2F8D"/>
    <w:rsid w:val="00C20D04"/>
    <w:rsid w:val="00C20F0B"/>
    <w:rsid w:val="00C419AA"/>
    <w:rsid w:val="00C92180"/>
    <w:rsid w:val="00CA03F1"/>
    <w:rsid w:val="00CB018B"/>
    <w:rsid w:val="00CD4E67"/>
    <w:rsid w:val="00D062E1"/>
    <w:rsid w:val="00D264AE"/>
    <w:rsid w:val="00D56FF8"/>
    <w:rsid w:val="00D65C67"/>
    <w:rsid w:val="00D71D57"/>
    <w:rsid w:val="00DB4A79"/>
    <w:rsid w:val="00DB59D7"/>
    <w:rsid w:val="00DC321C"/>
    <w:rsid w:val="00DD13CB"/>
    <w:rsid w:val="00DD6F21"/>
    <w:rsid w:val="00DE1507"/>
    <w:rsid w:val="00DE7DD2"/>
    <w:rsid w:val="00E469BD"/>
    <w:rsid w:val="00E61679"/>
    <w:rsid w:val="00E8165B"/>
    <w:rsid w:val="00E83460"/>
    <w:rsid w:val="00EC7860"/>
    <w:rsid w:val="00F00FF5"/>
    <w:rsid w:val="00F277C9"/>
    <w:rsid w:val="00F411DF"/>
    <w:rsid w:val="00F82063"/>
    <w:rsid w:val="00FB007E"/>
    <w:rsid w:val="00FB0868"/>
    <w:rsid w:val="00FD51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0A5F"/>
  </w:style>
  <w:style w:type="paragraph" w:styleId="Heading1">
    <w:name w:val="heading 1"/>
    <w:basedOn w:val="Normal"/>
    <w:next w:val="Normal"/>
    <w:link w:val="Heading1Char"/>
    <w:uiPriority w:val="9"/>
    <w:qFormat/>
    <w:rsid w:val="00496090"/>
    <w:pPr>
      <w:spacing w:line="480" w:lineRule="auto"/>
      <w:jc w:val="center"/>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697711"/>
    <w:pPr>
      <w:spacing w:line="48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1B2871"/>
    <w:pPr>
      <w:spacing w:line="480" w:lineRule="auto"/>
      <w:outlineLvl w:val="2"/>
    </w:pPr>
    <w:rPr>
      <w:rFonts w:ascii="Times New Roman" w:hAnsi="Times New Roman" w:cs="Times New Roman"/>
      <w:b/>
      <w:bCs/>
      <w:i/>
      <w:iCs/>
      <w:color w:val="35374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B56"/>
    <w:pPr>
      <w:ind w:left="720"/>
      <w:contextualSpacing/>
    </w:pPr>
  </w:style>
  <w:style w:type="character" w:customStyle="1" w:styleId="Heading1Char">
    <w:name w:val="Heading 1 Char"/>
    <w:basedOn w:val="DefaultParagraphFont"/>
    <w:link w:val="Heading1"/>
    <w:uiPriority w:val="9"/>
    <w:rsid w:val="00496090"/>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697711"/>
    <w:rPr>
      <w:rFonts w:ascii="Times New Roman" w:hAnsi="Times New Roman" w:cs="Times New Roman"/>
      <w:b/>
      <w:bCs/>
      <w:sz w:val="24"/>
      <w:szCs w:val="24"/>
    </w:rPr>
  </w:style>
  <w:style w:type="paragraph" w:styleId="Caption">
    <w:name w:val="caption"/>
    <w:basedOn w:val="Normal"/>
    <w:next w:val="Normal"/>
    <w:uiPriority w:val="35"/>
    <w:unhideWhenUsed/>
    <w:qFormat/>
    <w:rsid w:val="004078E2"/>
    <w:pPr>
      <w:spacing w:after="200" w:line="240" w:lineRule="auto"/>
    </w:pPr>
    <w:rPr>
      <w:i/>
      <w:iCs/>
      <w:color w:val="44546A" w:themeColor="text2"/>
      <w:sz w:val="18"/>
      <w:szCs w:val="18"/>
    </w:rPr>
  </w:style>
  <w:style w:type="character" w:styleId="Hyperlink">
    <w:name w:val="Hyperlink"/>
    <w:basedOn w:val="DefaultParagraphFont"/>
    <w:uiPriority w:val="99"/>
    <w:unhideWhenUsed/>
    <w:rsid w:val="006B76FE"/>
    <w:rPr>
      <w:color w:val="0563C1" w:themeColor="hyperlink"/>
      <w:u w:val="single"/>
    </w:rPr>
  </w:style>
  <w:style w:type="character" w:customStyle="1" w:styleId="UnresolvedMention">
    <w:name w:val="Unresolved Mention"/>
    <w:basedOn w:val="DefaultParagraphFont"/>
    <w:uiPriority w:val="99"/>
    <w:semiHidden/>
    <w:unhideWhenUsed/>
    <w:rsid w:val="006B76FE"/>
    <w:rPr>
      <w:color w:val="605E5C"/>
      <w:shd w:val="clear" w:color="auto" w:fill="E1DFDD"/>
    </w:rPr>
  </w:style>
  <w:style w:type="paragraph" w:styleId="TOCHeading">
    <w:name w:val="TOC Heading"/>
    <w:basedOn w:val="Heading1"/>
    <w:next w:val="Normal"/>
    <w:uiPriority w:val="39"/>
    <w:unhideWhenUsed/>
    <w:qFormat/>
    <w:rsid w:val="006B76F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6B76FE"/>
    <w:pPr>
      <w:spacing w:after="100"/>
    </w:pPr>
  </w:style>
  <w:style w:type="paragraph" w:styleId="TOC2">
    <w:name w:val="toc 2"/>
    <w:basedOn w:val="Normal"/>
    <w:next w:val="Normal"/>
    <w:autoRedefine/>
    <w:uiPriority w:val="39"/>
    <w:unhideWhenUsed/>
    <w:rsid w:val="006B76FE"/>
    <w:pPr>
      <w:spacing w:after="100"/>
      <w:ind w:left="220"/>
    </w:pPr>
  </w:style>
  <w:style w:type="character" w:customStyle="1" w:styleId="Heading3Char">
    <w:name w:val="Heading 3 Char"/>
    <w:basedOn w:val="DefaultParagraphFont"/>
    <w:link w:val="Heading3"/>
    <w:uiPriority w:val="9"/>
    <w:rsid w:val="001B2871"/>
    <w:rPr>
      <w:rFonts w:ascii="Times New Roman" w:hAnsi="Times New Roman" w:cs="Times New Roman"/>
      <w:b/>
      <w:bCs/>
      <w:i/>
      <w:iCs/>
      <w:color w:val="353740"/>
      <w:sz w:val="24"/>
      <w:szCs w:val="24"/>
    </w:rPr>
  </w:style>
  <w:style w:type="paragraph" w:styleId="TOC3">
    <w:name w:val="toc 3"/>
    <w:basedOn w:val="Normal"/>
    <w:next w:val="Normal"/>
    <w:autoRedefine/>
    <w:uiPriority w:val="39"/>
    <w:unhideWhenUsed/>
    <w:rsid w:val="001B2871"/>
    <w:pPr>
      <w:spacing w:after="100"/>
      <w:ind w:left="440"/>
    </w:pPr>
  </w:style>
  <w:style w:type="paragraph" w:styleId="BalloonText">
    <w:name w:val="Balloon Text"/>
    <w:basedOn w:val="Normal"/>
    <w:link w:val="BalloonTextChar"/>
    <w:uiPriority w:val="99"/>
    <w:semiHidden/>
    <w:unhideWhenUsed/>
    <w:rsid w:val="00672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E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6414599">
      <w:bodyDiv w:val="1"/>
      <w:marLeft w:val="0"/>
      <w:marRight w:val="0"/>
      <w:marTop w:val="0"/>
      <w:marBottom w:val="0"/>
      <w:divBdr>
        <w:top w:val="none" w:sz="0" w:space="0" w:color="auto"/>
        <w:left w:val="none" w:sz="0" w:space="0" w:color="auto"/>
        <w:bottom w:val="none" w:sz="0" w:space="0" w:color="auto"/>
        <w:right w:val="none" w:sz="0" w:space="0" w:color="auto"/>
      </w:divBdr>
      <w:divsChild>
        <w:div w:id="1381976114">
          <w:marLeft w:val="0"/>
          <w:marRight w:val="0"/>
          <w:marTop w:val="0"/>
          <w:marBottom w:val="0"/>
          <w:divBdr>
            <w:top w:val="none" w:sz="0" w:space="0" w:color="auto"/>
            <w:left w:val="none" w:sz="0" w:space="0" w:color="auto"/>
            <w:bottom w:val="none" w:sz="0" w:space="0" w:color="auto"/>
            <w:right w:val="none" w:sz="0" w:space="0" w:color="auto"/>
          </w:divBdr>
        </w:div>
        <w:div w:id="1067344815">
          <w:marLeft w:val="0"/>
          <w:marRight w:val="0"/>
          <w:marTop w:val="0"/>
          <w:marBottom w:val="0"/>
          <w:divBdr>
            <w:top w:val="none" w:sz="0" w:space="0" w:color="auto"/>
            <w:left w:val="none" w:sz="0" w:space="0" w:color="auto"/>
            <w:bottom w:val="none" w:sz="0" w:space="0" w:color="auto"/>
            <w:right w:val="none" w:sz="0" w:space="0" w:color="auto"/>
          </w:divBdr>
        </w:div>
        <w:div w:id="1278366534">
          <w:marLeft w:val="0"/>
          <w:marRight w:val="0"/>
          <w:marTop w:val="0"/>
          <w:marBottom w:val="0"/>
          <w:divBdr>
            <w:top w:val="none" w:sz="0" w:space="0" w:color="auto"/>
            <w:left w:val="none" w:sz="0" w:space="0" w:color="auto"/>
            <w:bottom w:val="none" w:sz="0" w:space="0" w:color="auto"/>
            <w:right w:val="none" w:sz="0" w:space="0" w:color="auto"/>
          </w:divBdr>
        </w:div>
        <w:div w:id="1074745669">
          <w:marLeft w:val="0"/>
          <w:marRight w:val="0"/>
          <w:marTop w:val="0"/>
          <w:marBottom w:val="0"/>
          <w:divBdr>
            <w:top w:val="none" w:sz="0" w:space="0" w:color="auto"/>
            <w:left w:val="none" w:sz="0" w:space="0" w:color="auto"/>
            <w:bottom w:val="none" w:sz="0" w:space="0" w:color="auto"/>
            <w:right w:val="none" w:sz="0" w:space="0" w:color="auto"/>
          </w:divBdr>
        </w:div>
        <w:div w:id="1725370259">
          <w:marLeft w:val="0"/>
          <w:marRight w:val="0"/>
          <w:marTop w:val="0"/>
          <w:marBottom w:val="0"/>
          <w:divBdr>
            <w:top w:val="none" w:sz="0" w:space="0" w:color="auto"/>
            <w:left w:val="none" w:sz="0" w:space="0" w:color="auto"/>
            <w:bottom w:val="none" w:sz="0" w:space="0" w:color="auto"/>
            <w:right w:val="none" w:sz="0" w:space="0" w:color="auto"/>
          </w:divBdr>
        </w:div>
      </w:divsChild>
    </w:div>
    <w:div w:id="1284851594">
      <w:bodyDiv w:val="1"/>
      <w:marLeft w:val="0"/>
      <w:marRight w:val="0"/>
      <w:marTop w:val="0"/>
      <w:marBottom w:val="0"/>
      <w:divBdr>
        <w:top w:val="none" w:sz="0" w:space="0" w:color="auto"/>
        <w:left w:val="none" w:sz="0" w:space="0" w:color="auto"/>
        <w:bottom w:val="none" w:sz="0" w:space="0" w:color="auto"/>
        <w:right w:val="none" w:sz="0" w:space="0" w:color="auto"/>
      </w:divBdr>
    </w:div>
    <w:div w:id="192715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cipd.co.uk/knowledge/strategy/organisational-development/post-pandemic-priorities" TargetMode="External"/><Relationship Id="rId26" Type="http://schemas.openxmlformats.org/officeDocument/2006/relationships/hyperlink" Target="https://www.gov.uk/government/publications/the-uks-points-based-immigration-system-policy-statement" TargetMode="External"/><Relationship Id="rId3" Type="http://schemas.openxmlformats.org/officeDocument/2006/relationships/styles" Target="styles.xml"/><Relationship Id="rId21" Type="http://schemas.openxmlformats.org/officeDocument/2006/relationships/hyperlink" Target="https://home.kpmg/uk/en/home/insights/2020/04/the-future-of-work-adapting-to-the-new-normal.htm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ankofengland.co.uk/report/2020/monetary-policy-report-financial-stability-report-november-2020" TargetMode="External"/><Relationship Id="rId25" Type="http://schemas.openxmlformats.org/officeDocument/2006/relationships/hyperlink" Target="https://www.pwc.co.uk/services/economics-policy/insights/uk-remote-work-survey.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forbes.com/sites/adigaskell/2020/04/29/the-future-of-work-how-the-pandemic-will-change-the-labor-market/?sh=6d9e6c3f6e1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sciencedirect.com/science/article/pii/S0014292120301899"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ons.gov.uk/employmentandlabourmarket/peopleinwork/employmentandemployeetypes/bulletins/uklabourmarket/september2021" TargetMode="External"/><Relationship Id="rId28" Type="http://schemas.openxmlformats.org/officeDocument/2006/relationships/hyperlink" Target="https://researchbriefings.files.parliament.uk/documents/CBP-9366/CBP-9366.pdf" TargetMode="External"/><Relationship Id="rId10" Type="http://schemas.openxmlformats.org/officeDocument/2006/relationships/image" Target="media/image5.png"/><Relationship Id="rId19" Type="http://schemas.openxmlformats.org/officeDocument/2006/relationships/hyperlink" Target="https://www2.deloitte.com/global/en/pages/human-capital/articles/introduction-human-capital-trends.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mckinsey.com/business-functions/organization/our-insights/reimagining-the-postpandemic-workforce" TargetMode="External"/><Relationship Id="rId27" Type="http://schemas.openxmlformats.org/officeDocument/2006/relationships/hyperlink" Target="http://www3.weforum.org/docs/WEF_Future_of_Jobs_2020.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46839-DFF7-4215-A6DD-ACEF5B45D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3044</Words>
  <Characters>17351</Characters>
  <Application>Microsoft Office Word</Application>
  <DocSecurity>0</DocSecurity>
  <Lines>144</Lines>
  <Paragraphs>40</Paragraphs>
  <ScaleCrop>false</ScaleCrop>
  <Company/>
  <LinksUpToDate>false</LinksUpToDate>
  <CharactersWithSpaces>20355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Khushpreet Singh</dc:creator>
  <cp:keywords/>
  <dc:description/>
  <cp:lastModifiedBy>APPLE</cp:lastModifiedBy>
  <cp:revision>7</cp:revision>
  <dcterms:created xsi:type="dcterms:W3CDTF">2023-04-19T19:05:00Z</dcterms:created>
  <dcterms:modified xsi:type="dcterms:W3CDTF">2023-04-19T20:05:00Z</dcterms:modified>
</cp:coreProperties>
</file>