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4DBFE5" w14:textId="77777777" w:rsidR="00CB3906" w:rsidRDefault="00CB3906" w:rsidP="00B069A5">
      <w:pPr>
        <w:spacing w:line="360" w:lineRule="auto"/>
        <w:rPr>
          <w:b/>
          <w:bCs/>
        </w:rPr>
      </w:pPr>
    </w:p>
    <w:p w14:paraId="5A7B3C42" w14:textId="77777777" w:rsidR="00CB3906" w:rsidRDefault="00CB3906" w:rsidP="00B069A5">
      <w:pPr>
        <w:spacing w:line="360" w:lineRule="auto"/>
        <w:rPr>
          <w:b/>
          <w:bCs/>
        </w:rPr>
      </w:pPr>
    </w:p>
    <w:p w14:paraId="2FF3B488" w14:textId="77777777" w:rsidR="00CB3906" w:rsidRDefault="00CB3906" w:rsidP="00B069A5">
      <w:pPr>
        <w:spacing w:line="360" w:lineRule="auto"/>
        <w:rPr>
          <w:b/>
          <w:bCs/>
        </w:rPr>
      </w:pPr>
    </w:p>
    <w:p w14:paraId="41219CD6" w14:textId="35D25CBA" w:rsidR="00CB3906" w:rsidRDefault="00CB3906" w:rsidP="00B069A5">
      <w:pPr>
        <w:spacing w:line="360" w:lineRule="auto"/>
        <w:jc w:val="center"/>
        <w:rPr>
          <w:b/>
          <w:bCs/>
        </w:rPr>
      </w:pPr>
      <w:r>
        <w:rPr>
          <w:b/>
          <w:bCs/>
          <w:noProof/>
        </w:rPr>
        <w:drawing>
          <wp:inline distT="0" distB="0" distL="0" distR="0" wp14:anchorId="623C2868" wp14:editId="13A96A70">
            <wp:extent cx="2785745" cy="1150620"/>
            <wp:effectExtent l="0" t="0" r="0" b="0"/>
            <wp:docPr id="282146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46920" name="Picture 2821469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9504" cy="1189346"/>
                    </a:xfrm>
                    <a:prstGeom prst="rect">
                      <a:avLst/>
                    </a:prstGeom>
                  </pic:spPr>
                </pic:pic>
              </a:graphicData>
            </a:graphic>
          </wp:inline>
        </w:drawing>
      </w:r>
    </w:p>
    <w:p w14:paraId="7EC32B54" w14:textId="48AB9E44" w:rsidR="00CB3906" w:rsidRPr="00CB3906" w:rsidRDefault="00CB3906" w:rsidP="00B069A5">
      <w:pPr>
        <w:spacing w:line="360" w:lineRule="auto"/>
        <w:jc w:val="center"/>
        <w:rPr>
          <w:rFonts w:ascii="Times New Roman" w:hAnsi="Times New Roman" w:cs="Times New Roman"/>
          <w:b/>
          <w:bCs/>
          <w:sz w:val="56"/>
          <w:szCs w:val="96"/>
        </w:rPr>
      </w:pPr>
      <w:r w:rsidRPr="00CB3906">
        <w:rPr>
          <w:rFonts w:ascii="Times New Roman" w:hAnsi="Times New Roman" w:cs="Times New Roman"/>
          <w:b/>
          <w:bCs/>
          <w:sz w:val="56"/>
          <w:szCs w:val="96"/>
        </w:rPr>
        <w:t xml:space="preserve">Case study : </w:t>
      </w:r>
      <w:r w:rsidR="00873BF7">
        <w:rPr>
          <w:rFonts w:ascii="Times New Roman" w:hAnsi="Times New Roman" w:cs="Times New Roman"/>
          <w:b/>
          <w:bCs/>
          <w:sz w:val="56"/>
          <w:szCs w:val="96"/>
        </w:rPr>
        <w:t>2</w:t>
      </w:r>
    </w:p>
    <w:p w14:paraId="431B3276" w14:textId="77777777" w:rsidR="0056046B" w:rsidRDefault="00CB3906" w:rsidP="00B069A5">
      <w:pPr>
        <w:spacing w:line="360" w:lineRule="auto"/>
        <w:jc w:val="center"/>
        <w:rPr>
          <w:rFonts w:ascii="Times New Roman" w:hAnsi="Times New Roman" w:cs="Times New Roman"/>
          <w:b/>
          <w:bCs/>
          <w:sz w:val="44"/>
          <w:szCs w:val="44"/>
        </w:rPr>
      </w:pPr>
      <w:r w:rsidRPr="00B069A5">
        <w:rPr>
          <w:rFonts w:ascii="Times New Roman" w:hAnsi="Times New Roman" w:cs="Times New Roman"/>
          <w:b/>
          <w:bCs/>
          <w:sz w:val="44"/>
          <w:szCs w:val="44"/>
        </w:rPr>
        <w:t xml:space="preserve">Clinical Risk in Anticoagulation Management: </w:t>
      </w:r>
    </w:p>
    <w:p w14:paraId="4C9AD4F6" w14:textId="38878C39" w:rsidR="00CB3906" w:rsidRPr="00B069A5" w:rsidRDefault="00CB3906" w:rsidP="00B069A5">
      <w:pPr>
        <w:spacing w:line="360" w:lineRule="auto"/>
        <w:jc w:val="center"/>
        <w:rPr>
          <w:rFonts w:ascii="Times New Roman" w:hAnsi="Times New Roman" w:cs="Times New Roman"/>
          <w:b/>
          <w:bCs/>
          <w:sz w:val="44"/>
          <w:szCs w:val="44"/>
        </w:rPr>
      </w:pPr>
      <w:r w:rsidRPr="00B069A5">
        <w:rPr>
          <w:rFonts w:ascii="Times New Roman" w:hAnsi="Times New Roman" w:cs="Times New Roman"/>
          <w:b/>
          <w:bCs/>
          <w:sz w:val="44"/>
          <w:szCs w:val="44"/>
        </w:rPr>
        <w:t>A Case of Delayed Apixaban Therapy</w:t>
      </w:r>
    </w:p>
    <w:p w14:paraId="73999B3E" w14:textId="77777777" w:rsidR="00CB3906" w:rsidRDefault="00CB3906" w:rsidP="00B069A5">
      <w:pPr>
        <w:spacing w:line="360" w:lineRule="auto"/>
        <w:rPr>
          <w:b/>
          <w:bCs/>
        </w:rPr>
      </w:pPr>
    </w:p>
    <w:p w14:paraId="0ED78276" w14:textId="77777777" w:rsidR="00CB3906" w:rsidRDefault="00CB3906" w:rsidP="00B069A5">
      <w:pPr>
        <w:spacing w:line="360" w:lineRule="auto"/>
        <w:rPr>
          <w:b/>
          <w:bCs/>
        </w:rPr>
      </w:pPr>
    </w:p>
    <w:p w14:paraId="35ED6404" w14:textId="77777777" w:rsidR="00CB3906" w:rsidRDefault="00CB3906" w:rsidP="00B069A5">
      <w:pPr>
        <w:spacing w:line="360" w:lineRule="auto"/>
        <w:rPr>
          <w:b/>
          <w:bCs/>
        </w:rPr>
      </w:pPr>
    </w:p>
    <w:p w14:paraId="21D1B61D" w14:textId="77777777" w:rsidR="00CB3906" w:rsidRDefault="00CB3906" w:rsidP="00B069A5">
      <w:pPr>
        <w:spacing w:line="360" w:lineRule="auto"/>
        <w:rPr>
          <w:b/>
          <w:bCs/>
        </w:rPr>
      </w:pPr>
    </w:p>
    <w:p w14:paraId="65DE4126" w14:textId="07F1B10E"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 xml:space="preserve">Student name: </w:t>
      </w:r>
      <w:r w:rsidR="008E59BD">
        <w:rPr>
          <w:rFonts w:ascii="Times New Roman" w:hAnsi="Times New Roman" w:cs="Times New Roman"/>
          <w:b/>
          <w:bCs/>
          <w:sz w:val="40"/>
          <w:szCs w:val="48"/>
        </w:rPr>
        <w:t>Jhanvi Gajjar</w:t>
      </w:r>
    </w:p>
    <w:p w14:paraId="54ADDB3A" w14:textId="7C94D598"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Student number:</w:t>
      </w:r>
      <w:r w:rsidR="008E59BD">
        <w:rPr>
          <w:rFonts w:ascii="Times New Roman" w:hAnsi="Times New Roman" w:cs="Times New Roman"/>
          <w:b/>
          <w:bCs/>
          <w:sz w:val="40"/>
          <w:szCs w:val="48"/>
        </w:rPr>
        <w:t xml:space="preserve"> 2541774</w:t>
      </w:r>
    </w:p>
    <w:p w14:paraId="2F1C5DFF" w14:textId="2DD60C52"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Lecturers name:</w:t>
      </w:r>
      <w:r w:rsidR="00E71EC4">
        <w:rPr>
          <w:rFonts w:ascii="Times New Roman" w:hAnsi="Times New Roman" w:cs="Times New Roman"/>
          <w:b/>
          <w:bCs/>
          <w:sz w:val="40"/>
          <w:szCs w:val="48"/>
        </w:rPr>
        <w:t xml:space="preserve"> Dr</w:t>
      </w:r>
      <w:r w:rsidRPr="00CB3906">
        <w:rPr>
          <w:rFonts w:ascii="Times New Roman" w:hAnsi="Times New Roman" w:cs="Times New Roman"/>
          <w:b/>
          <w:bCs/>
          <w:sz w:val="40"/>
          <w:szCs w:val="48"/>
        </w:rPr>
        <w:t xml:space="preserve"> </w:t>
      </w:r>
      <w:r w:rsidR="008E59BD" w:rsidRPr="008E59BD">
        <w:rPr>
          <w:rFonts w:ascii="Times New Roman" w:hAnsi="Times New Roman" w:cs="Times New Roman"/>
          <w:b/>
          <w:bCs/>
          <w:sz w:val="40"/>
          <w:szCs w:val="48"/>
        </w:rPr>
        <w:t>Pascal Nevelle</w:t>
      </w:r>
    </w:p>
    <w:p w14:paraId="1F71C3E8" w14:textId="506EEFBA"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Module code and name:</w:t>
      </w:r>
      <w:r w:rsidR="008E59BD" w:rsidRPr="008E59BD">
        <w:t xml:space="preserve"> </w:t>
      </w:r>
      <w:r w:rsidR="008E59BD" w:rsidRPr="008E59BD">
        <w:rPr>
          <w:rFonts w:ascii="Times New Roman" w:hAnsi="Times New Roman" w:cs="Times New Roman"/>
          <w:b/>
          <w:bCs/>
          <w:sz w:val="40"/>
          <w:szCs w:val="48"/>
        </w:rPr>
        <w:t>LCHS7002</w:t>
      </w:r>
      <w:r w:rsidR="008E59BD">
        <w:rPr>
          <w:rFonts w:ascii="Times New Roman" w:hAnsi="Times New Roman" w:cs="Times New Roman"/>
          <w:b/>
          <w:bCs/>
          <w:sz w:val="40"/>
          <w:szCs w:val="48"/>
        </w:rPr>
        <w:t xml:space="preserve"> </w:t>
      </w:r>
      <w:r w:rsidR="008E59BD" w:rsidRPr="008E59BD">
        <w:rPr>
          <w:rFonts w:ascii="Times New Roman" w:hAnsi="Times New Roman" w:cs="Times New Roman"/>
          <w:b/>
          <w:bCs/>
          <w:sz w:val="40"/>
          <w:szCs w:val="48"/>
        </w:rPr>
        <w:t>Health Care System Organisation and Leadership</w:t>
      </w:r>
    </w:p>
    <w:p w14:paraId="25626BDD" w14:textId="77777777" w:rsidR="00CB3906" w:rsidRDefault="00CB3906" w:rsidP="00B069A5">
      <w:pPr>
        <w:spacing w:line="360" w:lineRule="auto"/>
        <w:rPr>
          <w:b/>
          <w:bCs/>
        </w:rPr>
      </w:pPr>
    </w:p>
    <w:p w14:paraId="23CE8FD6" w14:textId="77777777" w:rsidR="00CB3906" w:rsidRDefault="00CB3906" w:rsidP="00B069A5">
      <w:pPr>
        <w:spacing w:line="360" w:lineRule="auto"/>
        <w:rPr>
          <w:b/>
          <w:bCs/>
        </w:rPr>
      </w:pPr>
    </w:p>
    <w:p w14:paraId="70716A52" w14:textId="77777777" w:rsidR="00CB3906" w:rsidRDefault="00CB3906" w:rsidP="00B069A5">
      <w:pPr>
        <w:spacing w:line="360" w:lineRule="auto"/>
        <w:rPr>
          <w:b/>
          <w:bCs/>
        </w:rPr>
      </w:pPr>
    </w:p>
    <w:p w14:paraId="4ABB0CBB" w14:textId="77777777" w:rsidR="00CB3906" w:rsidRDefault="00CB3906" w:rsidP="00B069A5">
      <w:pPr>
        <w:spacing w:line="360" w:lineRule="auto"/>
        <w:rPr>
          <w:b/>
          <w:bCs/>
        </w:rPr>
      </w:pPr>
    </w:p>
    <w:p w14:paraId="45962CEB" w14:textId="77777777" w:rsidR="00CB3906" w:rsidRDefault="00CB3906" w:rsidP="00B069A5">
      <w:pPr>
        <w:spacing w:line="360" w:lineRule="auto"/>
        <w:rPr>
          <w:b/>
          <w:bCs/>
        </w:rPr>
      </w:pPr>
    </w:p>
    <w:p w14:paraId="0EC2F6CB" w14:textId="77777777" w:rsidR="00CB3906" w:rsidRDefault="00CB3906" w:rsidP="00B069A5">
      <w:pPr>
        <w:spacing w:line="360" w:lineRule="auto"/>
        <w:rPr>
          <w:b/>
          <w:bCs/>
        </w:rPr>
      </w:pPr>
    </w:p>
    <w:sdt>
      <w:sdtPr>
        <w:rPr>
          <w:rFonts w:ascii="Calibri" w:eastAsia="Calibri" w:hAnsi="Calibri" w:cs="Cordia New"/>
          <w:b w:val="0"/>
          <w:bCs w:val="0"/>
          <w:color w:val="auto"/>
          <w:kern w:val="3"/>
          <w:sz w:val="36"/>
          <w:szCs w:val="36"/>
          <w:lang w:val="en-IN" w:bidi="th-TH"/>
        </w:rPr>
        <w:id w:val="338434527"/>
        <w:docPartObj>
          <w:docPartGallery w:val="Table of Contents"/>
          <w:docPartUnique/>
        </w:docPartObj>
      </w:sdtPr>
      <w:sdtEndPr>
        <w:rPr>
          <w:noProof/>
          <w:sz w:val="28"/>
          <w:szCs w:val="28"/>
        </w:rPr>
      </w:sdtEndPr>
      <w:sdtContent>
        <w:p w14:paraId="27C366B4" w14:textId="77777777" w:rsidR="00065D48" w:rsidRDefault="00065D48" w:rsidP="00B069A5">
          <w:pPr>
            <w:pStyle w:val="TOCHeading"/>
            <w:spacing w:line="360" w:lineRule="auto"/>
            <w:jc w:val="center"/>
            <w:rPr>
              <w:sz w:val="36"/>
              <w:szCs w:val="36"/>
            </w:rPr>
          </w:pPr>
        </w:p>
        <w:p w14:paraId="7B51A0BF" w14:textId="2D9AD3FD" w:rsidR="00496C3A" w:rsidRPr="00065D48" w:rsidRDefault="00496C3A" w:rsidP="00B069A5">
          <w:pPr>
            <w:pStyle w:val="TOCHeading"/>
            <w:spacing w:line="360" w:lineRule="auto"/>
            <w:jc w:val="center"/>
            <w:rPr>
              <w:sz w:val="36"/>
              <w:szCs w:val="36"/>
            </w:rPr>
          </w:pPr>
          <w:r w:rsidRPr="00065D48">
            <w:rPr>
              <w:sz w:val="36"/>
              <w:szCs w:val="36"/>
            </w:rPr>
            <w:t>Table of Contents</w:t>
          </w:r>
        </w:p>
        <w:p w14:paraId="69087C79" w14:textId="6C05D711" w:rsidR="00065D48" w:rsidRPr="00065D48" w:rsidRDefault="00496C3A"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r w:rsidRPr="00065D48">
            <w:rPr>
              <w:i w:val="0"/>
              <w:iCs w:val="0"/>
              <w:sz w:val="28"/>
              <w:szCs w:val="28"/>
            </w:rPr>
            <w:fldChar w:fldCharType="begin"/>
          </w:r>
          <w:r w:rsidRPr="00065D48">
            <w:rPr>
              <w:i w:val="0"/>
              <w:iCs w:val="0"/>
              <w:sz w:val="28"/>
              <w:szCs w:val="28"/>
            </w:rPr>
            <w:instrText xml:space="preserve"> TOC \o "1-3" \h \z \u </w:instrText>
          </w:r>
          <w:r w:rsidRPr="00065D48">
            <w:rPr>
              <w:i w:val="0"/>
              <w:iCs w:val="0"/>
              <w:sz w:val="28"/>
              <w:szCs w:val="28"/>
            </w:rPr>
            <w:fldChar w:fldCharType="separate"/>
          </w:r>
          <w:hyperlink w:anchor="_Toc237300288" w:history="1">
            <w:r w:rsidR="00065D48" w:rsidRPr="00065D48">
              <w:rPr>
                <w:rStyle w:val="Hyperlink"/>
                <w:i w:val="0"/>
                <w:iCs w:val="0"/>
                <w:noProof/>
                <w:sz w:val="28"/>
                <w:szCs w:val="28"/>
              </w:rPr>
              <w:t>1. INTRODUCTION</w:t>
            </w:r>
            <w:r w:rsidR="00065D48" w:rsidRPr="00065D48">
              <w:rPr>
                <w:i w:val="0"/>
                <w:iCs w:val="0"/>
                <w:noProof/>
                <w:webHidden/>
                <w:sz w:val="28"/>
                <w:szCs w:val="28"/>
              </w:rPr>
              <w:tab/>
            </w:r>
            <w:r w:rsidR="00065D48" w:rsidRPr="00065D48">
              <w:rPr>
                <w:i w:val="0"/>
                <w:iCs w:val="0"/>
                <w:noProof/>
                <w:webHidden/>
                <w:sz w:val="28"/>
                <w:szCs w:val="28"/>
              </w:rPr>
              <w:fldChar w:fldCharType="begin"/>
            </w:r>
            <w:r w:rsidR="00065D48" w:rsidRPr="00065D48">
              <w:rPr>
                <w:i w:val="0"/>
                <w:iCs w:val="0"/>
                <w:noProof/>
                <w:webHidden/>
                <w:sz w:val="28"/>
                <w:szCs w:val="28"/>
              </w:rPr>
              <w:instrText xml:space="preserve"> PAGEREF _Toc237300288 \h </w:instrText>
            </w:r>
            <w:r w:rsidR="00065D48" w:rsidRPr="00065D48">
              <w:rPr>
                <w:i w:val="0"/>
                <w:iCs w:val="0"/>
                <w:noProof/>
                <w:webHidden/>
                <w:sz w:val="28"/>
                <w:szCs w:val="28"/>
              </w:rPr>
            </w:r>
            <w:r w:rsidR="00065D48" w:rsidRPr="00065D48">
              <w:rPr>
                <w:i w:val="0"/>
                <w:iCs w:val="0"/>
                <w:noProof/>
                <w:webHidden/>
                <w:sz w:val="28"/>
                <w:szCs w:val="28"/>
              </w:rPr>
              <w:fldChar w:fldCharType="separate"/>
            </w:r>
            <w:r w:rsidR="00065D48" w:rsidRPr="00065D48">
              <w:rPr>
                <w:i w:val="0"/>
                <w:iCs w:val="0"/>
                <w:noProof/>
                <w:webHidden/>
                <w:sz w:val="28"/>
                <w:szCs w:val="28"/>
              </w:rPr>
              <w:t>3</w:t>
            </w:r>
            <w:r w:rsidR="00065D48" w:rsidRPr="00065D48">
              <w:rPr>
                <w:i w:val="0"/>
                <w:iCs w:val="0"/>
                <w:noProof/>
                <w:webHidden/>
                <w:sz w:val="28"/>
                <w:szCs w:val="28"/>
              </w:rPr>
              <w:fldChar w:fldCharType="end"/>
            </w:r>
          </w:hyperlink>
        </w:p>
        <w:p w14:paraId="059C1776" w14:textId="442290B8"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89" w:history="1">
            <w:r w:rsidRPr="00065D48">
              <w:rPr>
                <w:rStyle w:val="Hyperlink"/>
                <w:noProof/>
                <w:sz w:val="28"/>
                <w:szCs w:val="28"/>
              </w:rPr>
              <w:t>2. Critical Analysis and Discussion</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_Toc237300289 \h </w:instrText>
            </w:r>
            <w:r w:rsidRPr="00065D48">
              <w:rPr>
                <w:noProof/>
                <w:webHidden/>
                <w:sz w:val="28"/>
                <w:szCs w:val="28"/>
              </w:rPr>
            </w:r>
            <w:r w:rsidRPr="00065D48">
              <w:rPr>
                <w:noProof/>
                <w:webHidden/>
                <w:sz w:val="28"/>
                <w:szCs w:val="28"/>
              </w:rPr>
              <w:fldChar w:fldCharType="separate"/>
            </w:r>
            <w:r w:rsidRPr="00065D48">
              <w:rPr>
                <w:noProof/>
                <w:webHidden/>
                <w:sz w:val="28"/>
                <w:szCs w:val="28"/>
              </w:rPr>
              <w:t>4</w:t>
            </w:r>
            <w:r w:rsidRPr="00065D48">
              <w:rPr>
                <w:noProof/>
                <w:webHidden/>
                <w:sz w:val="28"/>
                <w:szCs w:val="28"/>
              </w:rPr>
              <w:fldChar w:fldCharType="end"/>
            </w:r>
          </w:hyperlink>
        </w:p>
        <w:p w14:paraId="503CCAC1" w14:textId="4E71BE6B" w:rsidR="00065D48" w:rsidRPr="00065D48" w:rsidRDefault="0013414D" w:rsidP="0013414D">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r w:rsidRPr="0013414D">
            <w:rPr>
              <w:sz w:val="28"/>
              <w:szCs w:val="28"/>
            </w:rPr>
            <w:t>A. Identifying the Problem and Setting the System Context: Applying Systems Thinking and the Rich Picture</w:t>
          </w:r>
          <w:r w:rsidRPr="00447143">
            <w:t xml:space="preserve"> </w:t>
          </w:r>
          <w:hyperlink w:anchor="_Toc237300290" w:history="1">
            <w:r w:rsidR="00065D48" w:rsidRPr="00065D48">
              <w:rPr>
                <w:noProof/>
                <w:webHidden/>
                <w:sz w:val="28"/>
                <w:szCs w:val="28"/>
              </w:rPr>
              <w:tab/>
            </w:r>
            <w:r w:rsidR="00065D48" w:rsidRPr="00065D48">
              <w:rPr>
                <w:noProof/>
                <w:webHidden/>
                <w:sz w:val="28"/>
                <w:szCs w:val="28"/>
              </w:rPr>
              <w:fldChar w:fldCharType="begin"/>
            </w:r>
            <w:r w:rsidR="00065D48" w:rsidRPr="00065D48">
              <w:rPr>
                <w:noProof/>
                <w:webHidden/>
                <w:sz w:val="28"/>
                <w:szCs w:val="28"/>
              </w:rPr>
              <w:instrText xml:space="preserve"> PAGEREF _Toc237300290 \h </w:instrText>
            </w:r>
            <w:r w:rsidR="00065D48" w:rsidRPr="00065D48">
              <w:rPr>
                <w:noProof/>
                <w:webHidden/>
                <w:sz w:val="28"/>
                <w:szCs w:val="28"/>
              </w:rPr>
            </w:r>
            <w:r w:rsidR="00065D48" w:rsidRPr="00065D48">
              <w:rPr>
                <w:noProof/>
                <w:webHidden/>
                <w:sz w:val="28"/>
                <w:szCs w:val="28"/>
              </w:rPr>
              <w:fldChar w:fldCharType="separate"/>
            </w:r>
            <w:r w:rsidR="00065D48" w:rsidRPr="00065D48">
              <w:rPr>
                <w:noProof/>
                <w:webHidden/>
                <w:sz w:val="28"/>
                <w:szCs w:val="28"/>
              </w:rPr>
              <w:t>4</w:t>
            </w:r>
            <w:r w:rsidR="00065D48" w:rsidRPr="00065D48">
              <w:rPr>
                <w:noProof/>
                <w:webHidden/>
                <w:sz w:val="28"/>
                <w:szCs w:val="28"/>
              </w:rPr>
              <w:fldChar w:fldCharType="end"/>
            </w:r>
          </w:hyperlink>
        </w:p>
        <w:p w14:paraId="473B337E" w14:textId="42D283A5"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91" w:history="1">
            <w:r w:rsidRPr="00065D48">
              <w:rPr>
                <w:rStyle w:val="Hyperlink"/>
                <w:noProof/>
                <w:sz w:val="28"/>
                <w:szCs w:val="28"/>
              </w:rPr>
              <w:t>B. Centralisation or Decentralisation</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_Toc237300291 \h </w:instrText>
            </w:r>
            <w:r w:rsidRPr="00065D48">
              <w:rPr>
                <w:noProof/>
                <w:webHidden/>
                <w:sz w:val="28"/>
                <w:szCs w:val="28"/>
              </w:rPr>
            </w:r>
            <w:r w:rsidRPr="00065D48">
              <w:rPr>
                <w:noProof/>
                <w:webHidden/>
                <w:sz w:val="28"/>
                <w:szCs w:val="28"/>
              </w:rPr>
              <w:fldChar w:fldCharType="separate"/>
            </w:r>
            <w:r w:rsidRPr="00065D48">
              <w:rPr>
                <w:noProof/>
                <w:webHidden/>
                <w:sz w:val="28"/>
                <w:szCs w:val="28"/>
              </w:rPr>
              <w:t>7</w:t>
            </w:r>
            <w:r w:rsidRPr="00065D48">
              <w:rPr>
                <w:noProof/>
                <w:webHidden/>
                <w:sz w:val="28"/>
                <w:szCs w:val="28"/>
              </w:rPr>
              <w:fldChar w:fldCharType="end"/>
            </w:r>
          </w:hyperlink>
        </w:p>
        <w:p w14:paraId="45333965" w14:textId="2A249205"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92" w:history="1">
            <w:r w:rsidRPr="00065D48">
              <w:rPr>
                <w:rStyle w:val="Hyperlink"/>
                <w:noProof/>
                <w:sz w:val="28"/>
                <w:szCs w:val="28"/>
              </w:rPr>
              <w:t>C. Leadership Theories and Application to the Case Study</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_Toc237300292 \h </w:instrText>
            </w:r>
            <w:r w:rsidRPr="00065D48">
              <w:rPr>
                <w:noProof/>
                <w:webHidden/>
                <w:sz w:val="28"/>
                <w:szCs w:val="28"/>
              </w:rPr>
            </w:r>
            <w:r w:rsidRPr="00065D48">
              <w:rPr>
                <w:noProof/>
                <w:webHidden/>
                <w:sz w:val="28"/>
                <w:szCs w:val="28"/>
              </w:rPr>
              <w:fldChar w:fldCharType="separate"/>
            </w:r>
            <w:r w:rsidRPr="00065D48">
              <w:rPr>
                <w:noProof/>
                <w:webHidden/>
                <w:sz w:val="28"/>
                <w:szCs w:val="28"/>
              </w:rPr>
              <w:t>10</w:t>
            </w:r>
            <w:r w:rsidRPr="00065D48">
              <w:rPr>
                <w:noProof/>
                <w:webHidden/>
                <w:sz w:val="28"/>
                <w:szCs w:val="28"/>
              </w:rPr>
              <w:fldChar w:fldCharType="end"/>
            </w:r>
          </w:hyperlink>
        </w:p>
        <w:p w14:paraId="592DC29D" w14:textId="76A98895"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93" w:history="1">
            <w:r w:rsidRPr="00065D48">
              <w:rPr>
                <w:rStyle w:val="Hyperlink"/>
                <w:noProof/>
                <w:sz w:val="28"/>
                <w:szCs w:val="28"/>
              </w:rPr>
              <w:t>D. Improvement and Lessons Learned</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_Toc237300293 \h </w:instrText>
            </w:r>
            <w:r w:rsidRPr="00065D48">
              <w:rPr>
                <w:noProof/>
                <w:webHidden/>
                <w:sz w:val="28"/>
                <w:szCs w:val="28"/>
              </w:rPr>
            </w:r>
            <w:r w:rsidRPr="00065D48">
              <w:rPr>
                <w:noProof/>
                <w:webHidden/>
                <w:sz w:val="28"/>
                <w:szCs w:val="28"/>
              </w:rPr>
              <w:fldChar w:fldCharType="separate"/>
            </w:r>
            <w:r w:rsidRPr="00065D48">
              <w:rPr>
                <w:noProof/>
                <w:webHidden/>
                <w:sz w:val="28"/>
                <w:szCs w:val="28"/>
              </w:rPr>
              <w:t>13</w:t>
            </w:r>
            <w:r w:rsidRPr="00065D48">
              <w:rPr>
                <w:noProof/>
                <w:webHidden/>
                <w:sz w:val="28"/>
                <w:szCs w:val="28"/>
              </w:rPr>
              <w:fldChar w:fldCharType="end"/>
            </w:r>
          </w:hyperlink>
        </w:p>
        <w:p w14:paraId="4B8FE297" w14:textId="0007F05B" w:rsidR="00065D48" w:rsidRPr="00065D48" w:rsidRDefault="00065D48"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hyperlink w:anchor="_Toc237300294" w:history="1">
            <w:r w:rsidRPr="00065D48">
              <w:rPr>
                <w:rStyle w:val="Hyperlink"/>
                <w:i w:val="0"/>
                <w:iCs w:val="0"/>
                <w:noProof/>
                <w:sz w:val="28"/>
                <w:szCs w:val="28"/>
              </w:rPr>
              <w:t>3. Recommendations</w:t>
            </w:r>
            <w:r w:rsidRPr="00065D48">
              <w:rPr>
                <w:i w:val="0"/>
                <w:iCs w:val="0"/>
                <w:noProof/>
                <w:webHidden/>
                <w:sz w:val="28"/>
                <w:szCs w:val="28"/>
              </w:rPr>
              <w:tab/>
            </w:r>
            <w:r w:rsidRPr="00065D48">
              <w:rPr>
                <w:i w:val="0"/>
                <w:iCs w:val="0"/>
                <w:noProof/>
                <w:webHidden/>
                <w:sz w:val="28"/>
                <w:szCs w:val="28"/>
              </w:rPr>
              <w:fldChar w:fldCharType="begin"/>
            </w:r>
            <w:r w:rsidRPr="00065D48">
              <w:rPr>
                <w:i w:val="0"/>
                <w:iCs w:val="0"/>
                <w:noProof/>
                <w:webHidden/>
                <w:sz w:val="28"/>
                <w:szCs w:val="28"/>
              </w:rPr>
              <w:instrText xml:space="preserve"> PAGEREF _Toc237300294 \h </w:instrText>
            </w:r>
            <w:r w:rsidRPr="00065D48">
              <w:rPr>
                <w:i w:val="0"/>
                <w:iCs w:val="0"/>
                <w:noProof/>
                <w:webHidden/>
                <w:sz w:val="28"/>
                <w:szCs w:val="28"/>
              </w:rPr>
            </w:r>
            <w:r w:rsidRPr="00065D48">
              <w:rPr>
                <w:i w:val="0"/>
                <w:iCs w:val="0"/>
                <w:noProof/>
                <w:webHidden/>
                <w:sz w:val="28"/>
                <w:szCs w:val="28"/>
              </w:rPr>
              <w:fldChar w:fldCharType="separate"/>
            </w:r>
            <w:r w:rsidRPr="00065D48">
              <w:rPr>
                <w:i w:val="0"/>
                <w:iCs w:val="0"/>
                <w:noProof/>
                <w:webHidden/>
                <w:sz w:val="28"/>
                <w:szCs w:val="28"/>
              </w:rPr>
              <w:t>16</w:t>
            </w:r>
            <w:r w:rsidRPr="00065D48">
              <w:rPr>
                <w:i w:val="0"/>
                <w:iCs w:val="0"/>
                <w:noProof/>
                <w:webHidden/>
                <w:sz w:val="28"/>
                <w:szCs w:val="28"/>
              </w:rPr>
              <w:fldChar w:fldCharType="end"/>
            </w:r>
          </w:hyperlink>
        </w:p>
        <w:p w14:paraId="69F4A7B9" w14:textId="50211916" w:rsidR="00065D48" w:rsidRPr="00065D48" w:rsidRDefault="00065D48"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hyperlink w:anchor="_Toc237300295" w:history="1">
            <w:r w:rsidRPr="00065D48">
              <w:rPr>
                <w:rStyle w:val="Hyperlink"/>
                <w:i w:val="0"/>
                <w:iCs w:val="0"/>
                <w:noProof/>
                <w:sz w:val="28"/>
                <w:szCs w:val="28"/>
              </w:rPr>
              <w:t>4. Conclusion</w:t>
            </w:r>
            <w:r w:rsidRPr="00065D48">
              <w:rPr>
                <w:i w:val="0"/>
                <w:iCs w:val="0"/>
                <w:noProof/>
                <w:webHidden/>
                <w:sz w:val="28"/>
                <w:szCs w:val="28"/>
              </w:rPr>
              <w:tab/>
            </w:r>
            <w:r w:rsidRPr="00065D48">
              <w:rPr>
                <w:i w:val="0"/>
                <w:iCs w:val="0"/>
                <w:noProof/>
                <w:webHidden/>
                <w:sz w:val="28"/>
                <w:szCs w:val="28"/>
              </w:rPr>
              <w:fldChar w:fldCharType="begin"/>
            </w:r>
            <w:r w:rsidRPr="00065D48">
              <w:rPr>
                <w:i w:val="0"/>
                <w:iCs w:val="0"/>
                <w:noProof/>
                <w:webHidden/>
                <w:sz w:val="28"/>
                <w:szCs w:val="28"/>
              </w:rPr>
              <w:instrText xml:space="preserve"> PAGEREF _Toc237300295 \h </w:instrText>
            </w:r>
            <w:r w:rsidRPr="00065D48">
              <w:rPr>
                <w:i w:val="0"/>
                <w:iCs w:val="0"/>
                <w:noProof/>
                <w:webHidden/>
                <w:sz w:val="28"/>
                <w:szCs w:val="28"/>
              </w:rPr>
            </w:r>
            <w:r w:rsidRPr="00065D48">
              <w:rPr>
                <w:i w:val="0"/>
                <w:iCs w:val="0"/>
                <w:noProof/>
                <w:webHidden/>
                <w:sz w:val="28"/>
                <w:szCs w:val="28"/>
              </w:rPr>
              <w:fldChar w:fldCharType="separate"/>
            </w:r>
            <w:r w:rsidRPr="00065D48">
              <w:rPr>
                <w:i w:val="0"/>
                <w:iCs w:val="0"/>
                <w:noProof/>
                <w:webHidden/>
                <w:sz w:val="28"/>
                <w:szCs w:val="28"/>
              </w:rPr>
              <w:t>19</w:t>
            </w:r>
            <w:r w:rsidRPr="00065D48">
              <w:rPr>
                <w:i w:val="0"/>
                <w:iCs w:val="0"/>
                <w:noProof/>
                <w:webHidden/>
                <w:sz w:val="28"/>
                <w:szCs w:val="28"/>
              </w:rPr>
              <w:fldChar w:fldCharType="end"/>
            </w:r>
          </w:hyperlink>
        </w:p>
        <w:p w14:paraId="69D3617C" w14:textId="5863D33F" w:rsidR="00065D48" w:rsidRPr="00065D48" w:rsidRDefault="00065D48"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hyperlink w:anchor="_Toc237300296" w:history="1">
            <w:r w:rsidRPr="00065D48">
              <w:rPr>
                <w:rStyle w:val="Hyperlink"/>
                <w:i w:val="0"/>
                <w:iCs w:val="0"/>
                <w:noProof/>
                <w:sz w:val="28"/>
                <w:szCs w:val="28"/>
              </w:rPr>
              <w:t>Reference List</w:t>
            </w:r>
            <w:r w:rsidRPr="00065D48">
              <w:rPr>
                <w:i w:val="0"/>
                <w:iCs w:val="0"/>
                <w:noProof/>
                <w:webHidden/>
                <w:sz w:val="28"/>
                <w:szCs w:val="28"/>
              </w:rPr>
              <w:tab/>
            </w:r>
            <w:r w:rsidRPr="00065D48">
              <w:rPr>
                <w:i w:val="0"/>
                <w:iCs w:val="0"/>
                <w:noProof/>
                <w:webHidden/>
                <w:sz w:val="28"/>
                <w:szCs w:val="28"/>
              </w:rPr>
              <w:fldChar w:fldCharType="begin"/>
            </w:r>
            <w:r w:rsidRPr="00065D48">
              <w:rPr>
                <w:i w:val="0"/>
                <w:iCs w:val="0"/>
                <w:noProof/>
                <w:webHidden/>
                <w:sz w:val="28"/>
                <w:szCs w:val="28"/>
              </w:rPr>
              <w:instrText xml:space="preserve"> PAGEREF _Toc237300296 \h </w:instrText>
            </w:r>
            <w:r w:rsidRPr="00065D48">
              <w:rPr>
                <w:i w:val="0"/>
                <w:iCs w:val="0"/>
                <w:noProof/>
                <w:webHidden/>
                <w:sz w:val="28"/>
                <w:szCs w:val="28"/>
              </w:rPr>
            </w:r>
            <w:r w:rsidRPr="00065D48">
              <w:rPr>
                <w:i w:val="0"/>
                <w:iCs w:val="0"/>
                <w:noProof/>
                <w:webHidden/>
                <w:sz w:val="28"/>
                <w:szCs w:val="28"/>
              </w:rPr>
              <w:fldChar w:fldCharType="separate"/>
            </w:r>
            <w:r w:rsidRPr="00065D48">
              <w:rPr>
                <w:i w:val="0"/>
                <w:iCs w:val="0"/>
                <w:noProof/>
                <w:webHidden/>
                <w:sz w:val="28"/>
                <w:szCs w:val="28"/>
              </w:rPr>
              <w:t>21</w:t>
            </w:r>
            <w:r w:rsidRPr="00065D48">
              <w:rPr>
                <w:i w:val="0"/>
                <w:iCs w:val="0"/>
                <w:noProof/>
                <w:webHidden/>
                <w:sz w:val="28"/>
                <w:szCs w:val="28"/>
              </w:rPr>
              <w:fldChar w:fldCharType="end"/>
            </w:r>
          </w:hyperlink>
        </w:p>
        <w:p w14:paraId="0590C669" w14:textId="6D4FC6DC" w:rsidR="00496C3A" w:rsidRDefault="00496C3A" w:rsidP="00B069A5">
          <w:pPr>
            <w:spacing w:line="360" w:lineRule="auto"/>
            <w:jc w:val="both"/>
          </w:pPr>
          <w:r w:rsidRPr="00065D48">
            <w:rPr>
              <w:b/>
              <w:bCs/>
              <w:noProof/>
              <w:sz w:val="28"/>
            </w:rPr>
            <w:fldChar w:fldCharType="end"/>
          </w:r>
        </w:p>
      </w:sdtContent>
    </w:sdt>
    <w:p w14:paraId="6125120A" w14:textId="77777777" w:rsidR="00496C3A" w:rsidRDefault="00496C3A" w:rsidP="00B069A5">
      <w:pPr>
        <w:suppressAutoHyphens w:val="0"/>
        <w:spacing w:line="360" w:lineRule="auto"/>
        <w:rPr>
          <w:b/>
          <w:bCs/>
          <w:sz w:val="28"/>
          <w:szCs w:val="36"/>
        </w:rPr>
      </w:pPr>
      <w:r>
        <w:rPr>
          <w:b/>
          <w:bCs/>
          <w:sz w:val="28"/>
          <w:szCs w:val="36"/>
        </w:rPr>
        <w:br w:type="page"/>
      </w:r>
    </w:p>
    <w:p w14:paraId="702EC09C" w14:textId="0ECCC881" w:rsidR="004112B0" w:rsidRPr="00B069A5" w:rsidRDefault="00065D48" w:rsidP="00B069A5">
      <w:pPr>
        <w:pStyle w:val="Heading1"/>
        <w:spacing w:line="360" w:lineRule="auto"/>
        <w:rPr>
          <w:b/>
          <w:bCs/>
        </w:rPr>
      </w:pPr>
      <w:bookmarkStart w:id="0" w:name="_Toc237300288"/>
      <w:r w:rsidRPr="00B069A5">
        <w:rPr>
          <w:b/>
          <w:bCs/>
        </w:rPr>
        <w:lastRenderedPageBreak/>
        <w:t xml:space="preserve">1. </w:t>
      </w:r>
      <w:r w:rsidR="009912B6" w:rsidRPr="00B069A5">
        <w:rPr>
          <w:b/>
          <w:bCs/>
        </w:rPr>
        <w:t>INTRODUCTION</w:t>
      </w:r>
      <w:bookmarkEnd w:id="0"/>
    </w:p>
    <w:p w14:paraId="3E83C01B" w14:textId="77777777" w:rsidR="00A34E99" w:rsidRPr="00A34E99" w:rsidRDefault="00A34E99" w:rsidP="00A34E99">
      <w:pPr>
        <w:spacing w:line="360" w:lineRule="auto"/>
        <w:jc w:val="both"/>
        <w:rPr>
          <w:szCs w:val="22"/>
        </w:rPr>
      </w:pPr>
      <w:r w:rsidRPr="00A34E99">
        <w:rPr>
          <w:szCs w:val="22"/>
        </w:rPr>
        <w:t>The World Health Organization (WHO) points out that medication errors are one of the main reasons for avoidable damage within healthcare systems, and it estimates that unsafe medication practices cost billions of dollars each year, while also reaching millions of patients worldwide (WHO, 2022). In the United Kingdom meanwhile, medication safety incidents keep forming a big slice of the patient safety events that are reported across National Health Service (NHS) organisations (NHS England, 2024).</w:t>
      </w:r>
    </w:p>
    <w:p w14:paraId="412279A1" w14:textId="77777777" w:rsidR="00A34E99" w:rsidRDefault="00A34E99" w:rsidP="00A34E99">
      <w:pPr>
        <w:spacing w:line="360" w:lineRule="auto"/>
        <w:jc w:val="both"/>
        <w:rPr>
          <w:szCs w:val="22"/>
        </w:rPr>
      </w:pPr>
      <w:r w:rsidRPr="00A34E99">
        <w:rPr>
          <w:szCs w:val="22"/>
        </w:rPr>
        <w:t>In this report, there is a critical analysis of an HSSIB case about Patient X. Here, Patient X’s anticoagulant medication, Apixaban, was paused during a hospital stay and then, after a medical procedure, it was not restarted. As the interruption went on for longer than intended, the patient ended up having a stroke and, ultimately, dying. Overall, the episode illustrates how miscommunication gaps, fragmented decision processes, weak supervision, and broader system level vulnerabilities can all blend together and lead to outcomes that are genuinely catastrophic for patients.</w:t>
      </w:r>
    </w:p>
    <w:p w14:paraId="70CA8CD0" w14:textId="1389843F" w:rsidR="00A34E99" w:rsidRDefault="00A34E99" w:rsidP="00B069A5">
      <w:pPr>
        <w:spacing w:line="360" w:lineRule="auto"/>
        <w:jc w:val="both"/>
        <w:rPr>
          <w:szCs w:val="22"/>
        </w:rPr>
      </w:pPr>
      <w:r w:rsidRPr="00A34E99">
        <w:rPr>
          <w:szCs w:val="22"/>
        </w:rPr>
        <w:t xml:space="preserve">Leadership has a fundamental role in healthcare organisations , mostly because it affects people and small groups in ways that push them toward shared objectives , better patient results, and high quality care staying on track. Yet effective leadership isn’t only about telling staff what to do. It also means helping shape a workplace culture that has safety first, clear </w:t>
      </w:r>
      <w:proofErr w:type="gramStart"/>
      <w:r w:rsidRPr="00A34E99">
        <w:rPr>
          <w:szCs w:val="22"/>
        </w:rPr>
        <w:t>accountability ,</w:t>
      </w:r>
      <w:proofErr w:type="gramEnd"/>
      <w:r w:rsidRPr="00A34E99">
        <w:rPr>
          <w:szCs w:val="22"/>
        </w:rPr>
        <w:t xml:space="preserve"> team work that actually happens, and a habit of continuous learning (West et al., 2022). </w:t>
      </w:r>
    </w:p>
    <w:p w14:paraId="670B6113" w14:textId="75EDFF0B" w:rsidR="00A34E99" w:rsidRDefault="00A34E99" w:rsidP="00B069A5">
      <w:pPr>
        <w:spacing w:line="360" w:lineRule="auto"/>
        <w:jc w:val="both"/>
        <w:rPr>
          <w:szCs w:val="22"/>
        </w:rPr>
      </w:pPr>
      <w:r w:rsidRPr="00A34E99">
        <w:rPr>
          <w:szCs w:val="22"/>
        </w:rPr>
        <w:t xml:space="preserve">Healthcare organisations can arrange things in a centralised way or in a decentralised way. Centralisation is basically when the decision power is held at higher organisational levels, so it can help with consistent practice , standardisation , and a bit more tight oversight (Mannion and Exworthy, 2023). Decentralisation, on the other hand, gives space for decisions across departments, plus frontline teams, so services can respond quicker, local adjustments can appear more easily, and staff may feel more empowered (Braithwaite et al., 2021). </w:t>
      </w:r>
    </w:p>
    <w:p w14:paraId="263E7BDF" w14:textId="37F0436A" w:rsidR="00A34E99" w:rsidRDefault="00A34E99" w:rsidP="002D4D01">
      <w:pPr>
        <w:spacing w:line="360" w:lineRule="auto"/>
        <w:jc w:val="both"/>
        <w:rPr>
          <w:szCs w:val="22"/>
        </w:rPr>
      </w:pPr>
      <w:r w:rsidRPr="00A34E99">
        <w:rPr>
          <w:szCs w:val="22"/>
        </w:rPr>
        <w:t xml:space="preserve">A number of leadership ideas give you handy frameworks to make sense of organisational performance, and patient safety results too. Transformational leadership mainly kicks in by inspiring and motivating staff so they can chase shared goals, while transactional leadership is more about compliance, performance checking, and strict respect for procedures. Then situational leadership claims that the leader’s approach should shift, based on what the moment is asking, and also what the workforce is needing (Northouse, 2022). </w:t>
      </w:r>
      <w:bookmarkStart w:id="1" w:name="_Toc237300289"/>
    </w:p>
    <w:p w14:paraId="7BFEC82A" w14:textId="77777777" w:rsidR="00793264" w:rsidRDefault="00793264" w:rsidP="00B069A5">
      <w:pPr>
        <w:pStyle w:val="Heading2"/>
        <w:spacing w:line="360" w:lineRule="auto"/>
        <w:rPr>
          <w:b/>
          <w:bCs/>
          <w:sz w:val="40"/>
          <w:szCs w:val="50"/>
        </w:rPr>
      </w:pPr>
    </w:p>
    <w:p w14:paraId="7A684E3F" w14:textId="5D911437" w:rsidR="00065D48" w:rsidRPr="00B069A5" w:rsidRDefault="00065D48" w:rsidP="00B069A5">
      <w:pPr>
        <w:pStyle w:val="Heading2"/>
        <w:spacing w:line="360" w:lineRule="auto"/>
        <w:rPr>
          <w:b/>
          <w:bCs/>
          <w:sz w:val="40"/>
          <w:szCs w:val="50"/>
        </w:rPr>
      </w:pPr>
      <w:r w:rsidRPr="00B069A5">
        <w:rPr>
          <w:b/>
          <w:bCs/>
          <w:sz w:val="40"/>
          <w:szCs w:val="50"/>
        </w:rPr>
        <w:t>2. Critical Analysis and Discussion</w:t>
      </w:r>
      <w:bookmarkEnd w:id="1"/>
    </w:p>
    <w:p w14:paraId="4D24A159" w14:textId="77777777" w:rsidR="0013414D" w:rsidRDefault="0013414D" w:rsidP="00B069A5">
      <w:pPr>
        <w:spacing w:line="360" w:lineRule="auto"/>
        <w:jc w:val="both"/>
        <w:rPr>
          <w:b/>
          <w:bCs/>
          <w:sz w:val="32"/>
          <w:szCs w:val="32"/>
        </w:rPr>
      </w:pPr>
      <w:r w:rsidRPr="0013414D">
        <w:rPr>
          <w:b/>
          <w:bCs/>
          <w:sz w:val="32"/>
          <w:szCs w:val="32"/>
        </w:rPr>
        <w:t xml:space="preserve">A. Identifying the Problem and Setting the System Context: Applying Systems Thinking and the Rich Picture </w:t>
      </w:r>
    </w:p>
    <w:p w14:paraId="6AD64B4E" w14:textId="65E805EC" w:rsidR="00A34E99" w:rsidRDefault="00A34E99" w:rsidP="00B069A5">
      <w:pPr>
        <w:spacing w:line="360" w:lineRule="auto"/>
        <w:jc w:val="both"/>
        <w:rPr>
          <w:szCs w:val="22"/>
        </w:rPr>
      </w:pPr>
      <w:r w:rsidRPr="00A34E99">
        <w:rPr>
          <w:szCs w:val="22"/>
        </w:rPr>
        <w:lastRenderedPageBreak/>
        <w:t xml:space="preserve">The death of Patient X after an unintended, prolonged pause in anticoagulant therapy is, in simple terms, a major patient safety issue for the NHS. As the Health Services Safety Investigations Body (HSSIB) noted, Patient X came into hospital with shortness of breath and repeated nosebleeds and was given Apixaban , which is an anticoagulant designed to lower the chance of thromboembolic events. Initially, the drug was paused appropriately because there was active bleeding, plus an expected procedure. Once the procedure was finally completed, the medication wasn’t restarted even though the plan was to restart it clinically. </w:t>
      </w:r>
    </w:p>
    <w:p w14:paraId="45B800DC" w14:textId="77777777" w:rsidR="00A34E99" w:rsidRDefault="00A34E99" w:rsidP="00B069A5">
      <w:pPr>
        <w:spacing w:line="360" w:lineRule="auto"/>
        <w:jc w:val="both"/>
        <w:rPr>
          <w:szCs w:val="22"/>
        </w:rPr>
      </w:pPr>
      <w:r w:rsidRPr="00A34E99">
        <w:rPr>
          <w:szCs w:val="22"/>
        </w:rPr>
        <w:t>Even if the immediate cause looks like it was simply the omission of a critical medication, a sort of systems thinking view shows that this event really wasn’t down to just one person‘s mistake. Instead, it seems to have grown out of several connected weaknesses across healthcare delivery processes, governance setups, communication systems , and leadership oversight. This nuance matters too, because if we focus only on individual errors, we might end up hiding the deeper organisational failures that actually form the conditions for harm (Braithwaite et al., 2021).</w:t>
      </w:r>
    </w:p>
    <w:p w14:paraId="58A9DE90" w14:textId="1D14E593" w:rsidR="004112B0" w:rsidRPr="00B069A5" w:rsidRDefault="00000000" w:rsidP="00B069A5">
      <w:pPr>
        <w:spacing w:line="360" w:lineRule="auto"/>
        <w:jc w:val="both"/>
        <w:rPr>
          <w:b/>
          <w:bCs/>
          <w:sz w:val="24"/>
          <w:szCs w:val="24"/>
        </w:rPr>
      </w:pPr>
      <w:r w:rsidRPr="00B069A5">
        <w:rPr>
          <w:b/>
          <w:bCs/>
          <w:sz w:val="24"/>
          <w:szCs w:val="24"/>
        </w:rPr>
        <w:t>Global Perspective on Medication-Related Harm</w:t>
      </w:r>
    </w:p>
    <w:p w14:paraId="52F3269E" w14:textId="5F91A772" w:rsidR="00A34E99" w:rsidRDefault="00A34E99" w:rsidP="00B069A5">
      <w:pPr>
        <w:spacing w:line="360" w:lineRule="auto"/>
        <w:jc w:val="both"/>
        <w:rPr>
          <w:szCs w:val="22"/>
        </w:rPr>
      </w:pPr>
      <w:r w:rsidRPr="00A34E99">
        <w:rPr>
          <w:szCs w:val="22"/>
        </w:rPr>
        <w:t xml:space="preserve">The importance of this case stretches beyond just one NHS organisation. Medication-related harm is, more or less, a </w:t>
      </w:r>
      <w:r w:rsidR="002D4D01" w:rsidRPr="00A34E99">
        <w:rPr>
          <w:szCs w:val="22"/>
        </w:rPr>
        <w:t>well-known</w:t>
      </w:r>
      <w:r w:rsidRPr="00A34E99">
        <w:rPr>
          <w:szCs w:val="22"/>
        </w:rPr>
        <w:t xml:space="preserve"> risk worldwide as one of the enduring threats to patient safety . The World Health Organization (WHO) says that medication mistakes and unsafe medication practices lead to at least one death each day, and they also harm millions of patients every year across the globe (WHO, 2022). On top of that, the overall economic weight tied to medication-related harm is thought to be above US$42 billion per year, which comes to about 1% of all global health spending (WHO, 2022).</w:t>
      </w:r>
    </w:p>
    <w:p w14:paraId="7E44CE39" w14:textId="77777777" w:rsidR="00A34E99" w:rsidRDefault="00A34E99" w:rsidP="00B069A5">
      <w:pPr>
        <w:spacing w:line="360" w:lineRule="auto"/>
        <w:jc w:val="both"/>
        <w:rPr>
          <w:szCs w:val="22"/>
        </w:rPr>
      </w:pPr>
      <w:r w:rsidRPr="00A34E99">
        <w:rPr>
          <w:szCs w:val="22"/>
        </w:rPr>
        <w:t>Recent evidence, suggests that transitions of care, communication failures and inadequate medication review processes still sit pretty close to the top as key contributors to preventable medication related incidents (Assiri et al., 2023). Anticoagulants like Apixaban are regularly flagged as high-risk medicines because even those short interruptions can, noticeably raise the odds of stroke, systemic embolism, and death (Steffel et al., 2021).</w:t>
      </w:r>
    </w:p>
    <w:p w14:paraId="655B27D3" w14:textId="00C0C4A6" w:rsidR="004112B0" w:rsidRPr="00B069A5" w:rsidRDefault="00000000" w:rsidP="00B069A5">
      <w:pPr>
        <w:spacing w:line="360" w:lineRule="auto"/>
        <w:jc w:val="both"/>
        <w:rPr>
          <w:b/>
          <w:bCs/>
          <w:sz w:val="24"/>
          <w:szCs w:val="24"/>
        </w:rPr>
      </w:pPr>
      <w:r w:rsidRPr="00B069A5">
        <w:rPr>
          <w:b/>
          <w:bCs/>
          <w:sz w:val="24"/>
          <w:szCs w:val="24"/>
        </w:rPr>
        <w:t>National Perspective: NHS Patient Safety Concerns</w:t>
      </w:r>
    </w:p>
    <w:p w14:paraId="69E962CD" w14:textId="24427741" w:rsidR="00A34E99" w:rsidRDefault="00A34E99" w:rsidP="00B069A5">
      <w:pPr>
        <w:spacing w:line="360" w:lineRule="auto"/>
        <w:jc w:val="both"/>
        <w:rPr>
          <w:szCs w:val="22"/>
        </w:rPr>
      </w:pPr>
      <w:r w:rsidRPr="00A34E99">
        <w:rPr>
          <w:szCs w:val="22"/>
        </w:rPr>
        <w:t xml:space="preserve">At a national level medication safety still feels like one of the major issues for the NHS. NHS England says medication incidents keep showing up as some of the most common patient safety events across different care settings (NHS England, 2024). The National Patient Safety Agency before, had estimated that hundreds of thousands of medication errors happen every year across England. but more up to date evidence now suggests it is closer to about 237 million medication errors annually, and roughly 66 </w:t>
      </w:r>
      <w:r w:rsidR="002D4D01" w:rsidRPr="00A34E99">
        <w:rPr>
          <w:szCs w:val="22"/>
        </w:rPr>
        <w:t>millions</w:t>
      </w:r>
      <w:r w:rsidRPr="00A34E99">
        <w:rPr>
          <w:szCs w:val="22"/>
        </w:rPr>
        <w:t xml:space="preserve"> of those could actually lead to clinical harm (Elliott et al., 2021).</w:t>
      </w:r>
    </w:p>
    <w:p w14:paraId="68435D36" w14:textId="77777777" w:rsidR="00A34E99" w:rsidRDefault="00A34E99" w:rsidP="00B069A5">
      <w:pPr>
        <w:spacing w:line="360" w:lineRule="auto"/>
        <w:jc w:val="both"/>
        <w:rPr>
          <w:szCs w:val="22"/>
        </w:rPr>
      </w:pPr>
      <w:r w:rsidRPr="00A34E99">
        <w:rPr>
          <w:szCs w:val="22"/>
        </w:rPr>
        <w:t xml:space="preserve">Particularly with regard to the management of anticoagulant medicines is where things get a bit worrying. NHS patient safety alerts keep flagging anticoagulants as one of the highest risk medication groups , largely because they can lead to severe bleeding, stroke ,and even mortality when they’re not prescribed right or not monitored properly (NHS England, 2023). In UK hospital settings, studies have also shown that interruptions in anticoagulant </w:t>
      </w:r>
      <w:r w:rsidRPr="00A34E99">
        <w:rPr>
          <w:szCs w:val="22"/>
        </w:rPr>
        <w:lastRenderedPageBreak/>
        <w:t>therapy often happen around hospital admissions, during procedure planning, and at handovers between clinical teams , which then creates openings for missed doses and communication failures (Lavan et al., 2022).</w:t>
      </w:r>
    </w:p>
    <w:p w14:paraId="10932A69" w14:textId="00C031CE" w:rsidR="004112B0" w:rsidRPr="00B069A5" w:rsidRDefault="00000000" w:rsidP="00B069A5">
      <w:pPr>
        <w:spacing w:line="360" w:lineRule="auto"/>
        <w:jc w:val="both"/>
        <w:rPr>
          <w:sz w:val="24"/>
          <w:szCs w:val="24"/>
        </w:rPr>
      </w:pPr>
      <w:r w:rsidRPr="00B069A5">
        <w:rPr>
          <w:b/>
          <w:bCs/>
          <w:sz w:val="24"/>
          <w:szCs w:val="24"/>
        </w:rPr>
        <w:t>Systemic Weaknesses Underpinning the Incident</w:t>
      </w:r>
    </w:p>
    <w:p w14:paraId="592E9CF5" w14:textId="77777777" w:rsidR="00A34E99" w:rsidRPr="00A34E99" w:rsidRDefault="00A34E99" w:rsidP="00A34E99">
      <w:pPr>
        <w:spacing w:line="360" w:lineRule="auto"/>
        <w:jc w:val="both"/>
        <w:rPr>
          <w:szCs w:val="22"/>
        </w:rPr>
      </w:pPr>
      <w:r w:rsidRPr="00A34E99">
        <w:rPr>
          <w:szCs w:val="22"/>
        </w:rPr>
        <w:t xml:space="preserve">A systems thinking approach suggests that bad outcomes usually come from the tangled interactions among different parts of a system, rather than from one isolated individual failure (Arnold and Wade, 2015).  </w:t>
      </w:r>
    </w:p>
    <w:p w14:paraId="7467E850" w14:textId="77777777" w:rsidR="00A34E99" w:rsidRDefault="00A34E99" w:rsidP="00A34E99">
      <w:pPr>
        <w:spacing w:line="360" w:lineRule="auto"/>
        <w:jc w:val="both"/>
        <w:rPr>
          <w:szCs w:val="22"/>
        </w:rPr>
      </w:pPr>
      <w:r w:rsidRPr="00A34E99">
        <w:rPr>
          <w:szCs w:val="22"/>
        </w:rPr>
        <w:t>First, communication breakdowns happened across several clinical teams that were involved in the patients care. The task of checking, and then restarting anticoagulation got split up between professional boundaries, so there was some ambiguity about who actually owned the decision making. Similar communication lapses have also been flagged as a major driver for patient safety incidents across multiple countries internationally (WHO, 2024).</w:t>
      </w:r>
    </w:p>
    <w:p w14:paraId="4EA55759" w14:textId="31B7120F" w:rsidR="00A34E99" w:rsidRDefault="00A34E99" w:rsidP="00B069A5">
      <w:pPr>
        <w:spacing w:line="360" w:lineRule="auto"/>
        <w:jc w:val="both"/>
        <w:rPr>
          <w:szCs w:val="22"/>
        </w:rPr>
      </w:pPr>
      <w:r w:rsidRPr="00A34E99">
        <w:rPr>
          <w:szCs w:val="22"/>
        </w:rPr>
        <w:t xml:space="preserve">Second , procedural delays extended how long medication was withheld further than originally intended . Delays like that </w:t>
      </w:r>
      <w:r w:rsidR="002D4D01" w:rsidRPr="00A34E99">
        <w:rPr>
          <w:szCs w:val="22"/>
        </w:rPr>
        <w:t>aren’t</w:t>
      </w:r>
      <w:r w:rsidRPr="00A34E99">
        <w:rPr>
          <w:szCs w:val="22"/>
        </w:rPr>
        <w:t xml:space="preserve"> rare in healthcare systems under resource pressure , but the lack of effective check systems meant that new , emerging risks were not really flagged or moved up in time . </w:t>
      </w:r>
    </w:p>
    <w:p w14:paraId="1021385A" w14:textId="657B84DF" w:rsidR="00A34E99" w:rsidRDefault="00A34E99" w:rsidP="00B069A5">
      <w:pPr>
        <w:spacing w:line="360" w:lineRule="auto"/>
        <w:jc w:val="both"/>
        <w:rPr>
          <w:szCs w:val="22"/>
        </w:rPr>
      </w:pPr>
      <w:r w:rsidRPr="00A34E99">
        <w:rPr>
          <w:szCs w:val="22"/>
        </w:rPr>
        <w:t>Third , there seemed to be not enough oversight and follow-up for decisions involving high-risk medication . Real governance should pick up on prolonged omissions and then trigger a clinical review . The fact that a ten-day interruption was not detected points to gaps inside the organizational safety controls.</w:t>
      </w:r>
    </w:p>
    <w:p w14:paraId="79F07623" w14:textId="1EC75AC4" w:rsidR="00A34E99" w:rsidRDefault="00A34E99" w:rsidP="00B069A5">
      <w:pPr>
        <w:spacing w:line="360" w:lineRule="auto"/>
        <w:jc w:val="both"/>
        <w:rPr>
          <w:szCs w:val="22"/>
        </w:rPr>
      </w:pPr>
      <w:r w:rsidRPr="00A34E99">
        <w:rPr>
          <w:szCs w:val="22"/>
        </w:rPr>
        <w:t xml:space="preserve">In the end, the case kind of mirrors wider pressures on the workforce across healthcare systems. The NHS workforce data still show, clear staffing shortfalls across medical, nursing and pharmacy roles, and that has been driving heavier workload pressures, while also limiting the chances for earlier and more proactive medication review (NHS England, 2024). So the incident </w:t>
      </w:r>
      <w:r w:rsidR="002D4D01" w:rsidRPr="00A34E99">
        <w:rPr>
          <w:szCs w:val="22"/>
        </w:rPr>
        <w:t>can’t</w:t>
      </w:r>
      <w:r w:rsidRPr="00A34E99">
        <w:rPr>
          <w:szCs w:val="22"/>
        </w:rPr>
        <w:t xml:space="preserve"> really be read on its own, it is tied into the broader organisational context in which it happened.</w:t>
      </w:r>
    </w:p>
    <w:p w14:paraId="1290DD4A" w14:textId="4D05FE0F" w:rsidR="004112B0" w:rsidRPr="00B069A5" w:rsidRDefault="00000000" w:rsidP="00B069A5">
      <w:pPr>
        <w:spacing w:line="360" w:lineRule="auto"/>
        <w:jc w:val="both"/>
        <w:rPr>
          <w:b/>
          <w:bCs/>
          <w:sz w:val="24"/>
          <w:szCs w:val="24"/>
        </w:rPr>
      </w:pPr>
      <w:r w:rsidRPr="00B069A5">
        <w:rPr>
          <w:b/>
          <w:bCs/>
          <w:sz w:val="24"/>
          <w:szCs w:val="24"/>
        </w:rPr>
        <w:t>Governance Context</w:t>
      </w:r>
    </w:p>
    <w:p w14:paraId="438F3B7E" w14:textId="577A7061" w:rsidR="00A34E99" w:rsidRPr="00A34E99" w:rsidRDefault="00A34E99" w:rsidP="00A34E99">
      <w:pPr>
        <w:rPr>
          <w:szCs w:val="22"/>
        </w:rPr>
      </w:pPr>
      <w:r w:rsidRPr="00A34E99">
        <w:rPr>
          <w:szCs w:val="22"/>
        </w:rPr>
        <w:t xml:space="preserve">The governance problems shown in this case run across several layers, kind of all at once. On the local side there were failures in monitoring the medication decisions , and the escalation routes were not really robust enough. On the organisational side, the leadership setup did </w:t>
      </w:r>
      <w:r w:rsidR="002D4D01" w:rsidRPr="00A34E99">
        <w:rPr>
          <w:szCs w:val="22"/>
        </w:rPr>
        <w:t>n</w:t>
      </w:r>
      <w:r w:rsidR="002D4D01">
        <w:rPr>
          <w:szCs w:val="22"/>
        </w:rPr>
        <w:t>ot</w:t>
      </w:r>
      <w:r w:rsidRPr="00A34E99">
        <w:rPr>
          <w:szCs w:val="22"/>
        </w:rPr>
        <w:t xml:space="preserve"> end up making sure that coordination worked well between the different departments handling Patient X’s care.  </w:t>
      </w:r>
    </w:p>
    <w:p w14:paraId="4A198827" w14:textId="77777777" w:rsidR="00A34E99" w:rsidRDefault="00A34E99" w:rsidP="00A34E99">
      <w:pPr>
        <w:rPr>
          <w:szCs w:val="22"/>
        </w:rPr>
      </w:pPr>
      <w:r w:rsidRPr="00A34E99">
        <w:rPr>
          <w:szCs w:val="22"/>
        </w:rPr>
        <w:t>This points to a key systems idea, in most situations governance failures do not sit only in one place. They tend to appear because of the interplay between what happens in day to day practice, how organisational leadership is arranged, and the wider regulatory structures (Mannion and Davies, 2023).</w:t>
      </w:r>
    </w:p>
    <w:p w14:paraId="48BC8F97" w14:textId="77777777" w:rsidR="002D4D01" w:rsidRDefault="002D4D01" w:rsidP="00A34E99">
      <w:pPr>
        <w:rPr>
          <w:b/>
          <w:bCs/>
          <w:sz w:val="24"/>
          <w:szCs w:val="24"/>
        </w:rPr>
      </w:pPr>
    </w:p>
    <w:p w14:paraId="3BCC2E19" w14:textId="77777777" w:rsidR="002D4D01" w:rsidRDefault="002D4D01" w:rsidP="00A34E99">
      <w:pPr>
        <w:rPr>
          <w:b/>
          <w:bCs/>
          <w:sz w:val="24"/>
          <w:szCs w:val="24"/>
        </w:rPr>
      </w:pPr>
    </w:p>
    <w:p w14:paraId="69724C63" w14:textId="77777777" w:rsidR="002D4D01" w:rsidRDefault="002D4D01" w:rsidP="00A34E99">
      <w:pPr>
        <w:rPr>
          <w:b/>
          <w:bCs/>
          <w:sz w:val="24"/>
          <w:szCs w:val="24"/>
        </w:rPr>
      </w:pPr>
    </w:p>
    <w:p w14:paraId="75973B42" w14:textId="77777777" w:rsidR="002D4D01" w:rsidRDefault="002D4D01" w:rsidP="00A34E99">
      <w:pPr>
        <w:rPr>
          <w:b/>
          <w:bCs/>
          <w:sz w:val="24"/>
          <w:szCs w:val="24"/>
        </w:rPr>
      </w:pPr>
    </w:p>
    <w:p w14:paraId="552D389D" w14:textId="77777777" w:rsidR="002D4D01" w:rsidRDefault="002D4D01" w:rsidP="00A34E99">
      <w:pPr>
        <w:rPr>
          <w:b/>
          <w:bCs/>
          <w:sz w:val="24"/>
          <w:szCs w:val="24"/>
        </w:rPr>
      </w:pPr>
    </w:p>
    <w:p w14:paraId="6CAE6ACE" w14:textId="77777777" w:rsidR="002D4D01" w:rsidRDefault="002D4D01" w:rsidP="00A34E99">
      <w:pPr>
        <w:rPr>
          <w:b/>
          <w:bCs/>
          <w:sz w:val="24"/>
          <w:szCs w:val="24"/>
        </w:rPr>
      </w:pPr>
    </w:p>
    <w:p w14:paraId="71558B87" w14:textId="42E1D4D3" w:rsidR="0013414D" w:rsidRPr="0013414D" w:rsidRDefault="0013414D" w:rsidP="00A34E99">
      <w:pPr>
        <w:rPr>
          <w:b/>
          <w:bCs/>
          <w:sz w:val="24"/>
          <w:szCs w:val="24"/>
        </w:rPr>
      </w:pPr>
      <w:r w:rsidRPr="0013414D">
        <w:rPr>
          <w:b/>
          <w:bCs/>
          <w:sz w:val="24"/>
          <w:szCs w:val="24"/>
        </w:rPr>
        <w:lastRenderedPageBreak/>
        <w:t>Rich Picture Analysis</w:t>
      </w:r>
    </w:p>
    <w:p w14:paraId="20CFAB68" w14:textId="1B78C257" w:rsidR="002B2F73" w:rsidRDefault="002B2F73" w:rsidP="00B069A5">
      <w:pPr>
        <w:spacing w:line="360" w:lineRule="auto"/>
        <w:rPr>
          <w:b/>
          <w:bCs/>
          <w:szCs w:val="22"/>
          <w:shd w:val="clear" w:color="auto" w:fill="FFFF00"/>
        </w:rPr>
      </w:pPr>
      <w:r w:rsidRPr="002B2F73">
        <w:rPr>
          <w:b/>
          <w:bCs/>
          <w:noProof/>
          <w:szCs w:val="22"/>
          <w:shd w:val="clear" w:color="auto" w:fill="FFFF00"/>
        </w:rPr>
        <w:drawing>
          <wp:inline distT="0" distB="0" distL="0" distR="0" wp14:anchorId="1ABCE21F" wp14:editId="3BAB307B">
            <wp:extent cx="6383020" cy="4008951"/>
            <wp:effectExtent l="0" t="0" r="5080" b="4445"/>
            <wp:docPr id="1262392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92235" name=""/>
                    <pic:cNvPicPr/>
                  </pic:nvPicPr>
                  <pic:blipFill rotWithShape="1">
                    <a:blip r:embed="rId9"/>
                    <a:srcRect t="5785"/>
                    <a:stretch>
                      <a:fillRect/>
                    </a:stretch>
                  </pic:blipFill>
                  <pic:spPr bwMode="auto">
                    <a:xfrm>
                      <a:off x="0" y="0"/>
                      <a:ext cx="6383020" cy="4008951"/>
                    </a:xfrm>
                    <a:prstGeom prst="rect">
                      <a:avLst/>
                    </a:prstGeom>
                    <a:ln>
                      <a:noFill/>
                    </a:ln>
                    <a:extLst>
                      <a:ext uri="{53640926-AAD7-44D8-BBD7-CCE9431645EC}">
                        <a14:shadowObscured xmlns:a14="http://schemas.microsoft.com/office/drawing/2010/main"/>
                      </a:ext>
                    </a:extLst>
                  </pic:spPr>
                </pic:pic>
              </a:graphicData>
            </a:graphic>
          </wp:inline>
        </w:drawing>
      </w:r>
    </w:p>
    <w:p w14:paraId="1E7E0838" w14:textId="71876648" w:rsidR="00C51905" w:rsidRDefault="00C51905" w:rsidP="00B069A5">
      <w:pPr>
        <w:spacing w:line="360" w:lineRule="auto"/>
        <w:rPr>
          <w:b/>
          <w:bCs/>
          <w:sz w:val="24"/>
          <w:szCs w:val="24"/>
        </w:rPr>
      </w:pPr>
      <w:r>
        <w:rPr>
          <w:b/>
          <w:bCs/>
          <w:sz w:val="24"/>
          <w:szCs w:val="24"/>
        </w:rPr>
        <w:t>Figure 1: Rich Picture illustrating the system factors contributing to delayed Apixaban therapy in Patient X HSSIB(2024)</w:t>
      </w:r>
    </w:p>
    <w:p w14:paraId="76AEECB3" w14:textId="4BF20386" w:rsidR="004112B0" w:rsidRPr="00B069A5" w:rsidRDefault="00000000" w:rsidP="00B069A5">
      <w:pPr>
        <w:spacing w:line="360" w:lineRule="auto"/>
        <w:rPr>
          <w:sz w:val="24"/>
          <w:szCs w:val="24"/>
        </w:rPr>
      </w:pPr>
      <w:r w:rsidRPr="00B069A5">
        <w:rPr>
          <w:b/>
          <w:bCs/>
          <w:sz w:val="24"/>
          <w:szCs w:val="24"/>
        </w:rPr>
        <w:t>Stakeholders</w:t>
      </w:r>
    </w:p>
    <w:p w14:paraId="2FBB880A" w14:textId="77777777" w:rsidR="004112B0" w:rsidRPr="00CB3906" w:rsidRDefault="00000000" w:rsidP="00B069A5">
      <w:pPr>
        <w:numPr>
          <w:ilvl w:val="0"/>
          <w:numId w:val="1"/>
        </w:numPr>
        <w:spacing w:line="360" w:lineRule="auto"/>
        <w:rPr>
          <w:szCs w:val="22"/>
        </w:rPr>
      </w:pPr>
      <w:r w:rsidRPr="00CB3906">
        <w:rPr>
          <w:szCs w:val="22"/>
        </w:rPr>
        <w:t xml:space="preserve">Patient X and family </w:t>
      </w:r>
    </w:p>
    <w:p w14:paraId="485EA898" w14:textId="77777777" w:rsidR="004112B0" w:rsidRPr="00CB3906" w:rsidRDefault="00000000" w:rsidP="00B069A5">
      <w:pPr>
        <w:numPr>
          <w:ilvl w:val="0"/>
          <w:numId w:val="1"/>
        </w:numPr>
        <w:spacing w:line="360" w:lineRule="auto"/>
        <w:rPr>
          <w:szCs w:val="22"/>
        </w:rPr>
      </w:pPr>
      <w:r w:rsidRPr="00CB3906">
        <w:rPr>
          <w:szCs w:val="22"/>
        </w:rPr>
        <w:t xml:space="preserve">Ward nurses </w:t>
      </w:r>
    </w:p>
    <w:p w14:paraId="7276BB90" w14:textId="77777777" w:rsidR="004112B0" w:rsidRPr="00CB3906" w:rsidRDefault="00000000" w:rsidP="00B069A5">
      <w:pPr>
        <w:numPr>
          <w:ilvl w:val="0"/>
          <w:numId w:val="1"/>
        </w:numPr>
        <w:spacing w:line="360" w:lineRule="auto"/>
        <w:rPr>
          <w:szCs w:val="22"/>
        </w:rPr>
      </w:pPr>
      <w:r w:rsidRPr="00CB3906">
        <w:rPr>
          <w:szCs w:val="22"/>
        </w:rPr>
        <w:t xml:space="preserve">Medical consultants </w:t>
      </w:r>
    </w:p>
    <w:p w14:paraId="5006762D" w14:textId="77777777" w:rsidR="004112B0" w:rsidRPr="00CB3906" w:rsidRDefault="00000000" w:rsidP="00B069A5">
      <w:pPr>
        <w:numPr>
          <w:ilvl w:val="0"/>
          <w:numId w:val="1"/>
        </w:numPr>
        <w:spacing w:line="360" w:lineRule="auto"/>
        <w:rPr>
          <w:szCs w:val="22"/>
        </w:rPr>
      </w:pPr>
      <w:r w:rsidRPr="00CB3906">
        <w:rPr>
          <w:szCs w:val="22"/>
        </w:rPr>
        <w:t xml:space="preserve">Junior doctors </w:t>
      </w:r>
    </w:p>
    <w:p w14:paraId="22F087B9" w14:textId="77777777" w:rsidR="004112B0" w:rsidRPr="00CB3906" w:rsidRDefault="00000000" w:rsidP="00B069A5">
      <w:pPr>
        <w:numPr>
          <w:ilvl w:val="0"/>
          <w:numId w:val="1"/>
        </w:numPr>
        <w:spacing w:line="360" w:lineRule="auto"/>
        <w:rPr>
          <w:szCs w:val="22"/>
        </w:rPr>
      </w:pPr>
      <w:r w:rsidRPr="00CB3906">
        <w:rPr>
          <w:szCs w:val="22"/>
        </w:rPr>
        <w:t xml:space="preserve">Pharmacists </w:t>
      </w:r>
    </w:p>
    <w:p w14:paraId="009382DA" w14:textId="77777777" w:rsidR="004112B0" w:rsidRPr="00CB3906" w:rsidRDefault="00000000" w:rsidP="00B069A5">
      <w:pPr>
        <w:numPr>
          <w:ilvl w:val="0"/>
          <w:numId w:val="1"/>
        </w:numPr>
        <w:spacing w:line="360" w:lineRule="auto"/>
        <w:rPr>
          <w:szCs w:val="22"/>
        </w:rPr>
      </w:pPr>
      <w:r w:rsidRPr="00CB3906">
        <w:rPr>
          <w:szCs w:val="22"/>
        </w:rPr>
        <w:t xml:space="preserve">Procedure team </w:t>
      </w:r>
    </w:p>
    <w:p w14:paraId="360F92FA" w14:textId="77777777" w:rsidR="004112B0" w:rsidRPr="00CB3906" w:rsidRDefault="00000000" w:rsidP="00B069A5">
      <w:pPr>
        <w:numPr>
          <w:ilvl w:val="0"/>
          <w:numId w:val="1"/>
        </w:numPr>
        <w:spacing w:line="360" w:lineRule="auto"/>
        <w:rPr>
          <w:szCs w:val="22"/>
        </w:rPr>
      </w:pPr>
      <w:r w:rsidRPr="00CB3906">
        <w:rPr>
          <w:szCs w:val="22"/>
        </w:rPr>
        <w:t xml:space="preserve">Hospital management </w:t>
      </w:r>
    </w:p>
    <w:p w14:paraId="0E8659FD" w14:textId="77777777" w:rsidR="004112B0" w:rsidRPr="00CB3906" w:rsidRDefault="00000000" w:rsidP="00B069A5">
      <w:pPr>
        <w:numPr>
          <w:ilvl w:val="0"/>
          <w:numId w:val="1"/>
        </w:numPr>
        <w:spacing w:line="360" w:lineRule="auto"/>
        <w:rPr>
          <w:szCs w:val="22"/>
        </w:rPr>
      </w:pPr>
      <w:r w:rsidRPr="00CB3906">
        <w:rPr>
          <w:szCs w:val="22"/>
        </w:rPr>
        <w:t xml:space="preserve">NHS regulators </w:t>
      </w:r>
    </w:p>
    <w:p w14:paraId="533703B2" w14:textId="77777777" w:rsidR="004112B0" w:rsidRPr="00B069A5" w:rsidRDefault="00000000" w:rsidP="00B069A5">
      <w:pPr>
        <w:spacing w:line="360" w:lineRule="auto"/>
        <w:rPr>
          <w:sz w:val="24"/>
          <w:szCs w:val="24"/>
        </w:rPr>
      </w:pPr>
      <w:r w:rsidRPr="00B069A5">
        <w:rPr>
          <w:b/>
          <w:bCs/>
          <w:sz w:val="24"/>
          <w:szCs w:val="24"/>
        </w:rPr>
        <w:t>Key Processes</w:t>
      </w:r>
    </w:p>
    <w:p w14:paraId="009593C4" w14:textId="77777777" w:rsidR="004112B0" w:rsidRPr="00CB3906" w:rsidRDefault="00000000" w:rsidP="00B069A5">
      <w:pPr>
        <w:numPr>
          <w:ilvl w:val="0"/>
          <w:numId w:val="2"/>
        </w:numPr>
        <w:spacing w:line="360" w:lineRule="auto"/>
        <w:rPr>
          <w:szCs w:val="22"/>
        </w:rPr>
      </w:pPr>
      <w:r w:rsidRPr="00CB3906">
        <w:rPr>
          <w:szCs w:val="22"/>
        </w:rPr>
        <w:t xml:space="preserve">Admission assessment </w:t>
      </w:r>
    </w:p>
    <w:p w14:paraId="0552805A" w14:textId="77777777" w:rsidR="004112B0" w:rsidRPr="00CB3906" w:rsidRDefault="00000000" w:rsidP="00B069A5">
      <w:pPr>
        <w:numPr>
          <w:ilvl w:val="0"/>
          <w:numId w:val="2"/>
        </w:numPr>
        <w:spacing w:line="360" w:lineRule="auto"/>
        <w:rPr>
          <w:szCs w:val="22"/>
        </w:rPr>
      </w:pPr>
      <w:r w:rsidRPr="00CB3906">
        <w:rPr>
          <w:szCs w:val="22"/>
        </w:rPr>
        <w:t xml:space="preserve">Medication review </w:t>
      </w:r>
    </w:p>
    <w:p w14:paraId="4912AE60" w14:textId="77777777" w:rsidR="004112B0" w:rsidRPr="00CB3906" w:rsidRDefault="00000000" w:rsidP="00B069A5">
      <w:pPr>
        <w:numPr>
          <w:ilvl w:val="0"/>
          <w:numId w:val="2"/>
        </w:numPr>
        <w:spacing w:line="360" w:lineRule="auto"/>
        <w:rPr>
          <w:szCs w:val="22"/>
        </w:rPr>
      </w:pPr>
      <w:r w:rsidRPr="00CB3906">
        <w:rPr>
          <w:szCs w:val="22"/>
        </w:rPr>
        <w:t xml:space="preserve">Procedure scheduling </w:t>
      </w:r>
    </w:p>
    <w:p w14:paraId="6CB86841" w14:textId="77777777" w:rsidR="004112B0" w:rsidRPr="00CB3906" w:rsidRDefault="00000000" w:rsidP="00B069A5">
      <w:pPr>
        <w:numPr>
          <w:ilvl w:val="0"/>
          <w:numId w:val="2"/>
        </w:numPr>
        <w:spacing w:line="360" w:lineRule="auto"/>
        <w:rPr>
          <w:szCs w:val="22"/>
        </w:rPr>
      </w:pPr>
      <w:r w:rsidRPr="00CB3906">
        <w:rPr>
          <w:szCs w:val="22"/>
        </w:rPr>
        <w:lastRenderedPageBreak/>
        <w:t xml:space="preserve">Clinical handovers </w:t>
      </w:r>
    </w:p>
    <w:p w14:paraId="79847C39" w14:textId="77777777" w:rsidR="004112B0" w:rsidRPr="00CB3906" w:rsidRDefault="00000000" w:rsidP="00B069A5">
      <w:pPr>
        <w:numPr>
          <w:ilvl w:val="0"/>
          <w:numId w:val="2"/>
        </w:numPr>
        <w:spacing w:line="360" w:lineRule="auto"/>
        <w:rPr>
          <w:szCs w:val="22"/>
        </w:rPr>
      </w:pPr>
      <w:r w:rsidRPr="00CB3906">
        <w:rPr>
          <w:szCs w:val="22"/>
        </w:rPr>
        <w:t xml:space="preserve">Anticoagulant monitoring </w:t>
      </w:r>
    </w:p>
    <w:p w14:paraId="6A9E8539" w14:textId="77777777" w:rsidR="004112B0" w:rsidRPr="00CB3906" w:rsidRDefault="00000000" w:rsidP="00B069A5">
      <w:pPr>
        <w:numPr>
          <w:ilvl w:val="0"/>
          <w:numId w:val="2"/>
        </w:numPr>
        <w:spacing w:line="360" w:lineRule="auto"/>
        <w:rPr>
          <w:szCs w:val="22"/>
        </w:rPr>
      </w:pPr>
      <w:r w:rsidRPr="00CB3906">
        <w:rPr>
          <w:szCs w:val="22"/>
        </w:rPr>
        <w:t xml:space="preserve">Post-procedure review </w:t>
      </w:r>
    </w:p>
    <w:p w14:paraId="5E69D8E9" w14:textId="77777777" w:rsidR="004112B0" w:rsidRPr="00B069A5" w:rsidRDefault="00000000" w:rsidP="00B069A5">
      <w:pPr>
        <w:spacing w:line="360" w:lineRule="auto"/>
        <w:rPr>
          <w:sz w:val="24"/>
          <w:szCs w:val="24"/>
        </w:rPr>
      </w:pPr>
      <w:r w:rsidRPr="00B069A5">
        <w:rPr>
          <w:b/>
          <w:bCs/>
          <w:sz w:val="24"/>
          <w:szCs w:val="24"/>
        </w:rPr>
        <w:t>System Issues</w:t>
      </w:r>
    </w:p>
    <w:p w14:paraId="1DB3507E" w14:textId="77777777" w:rsidR="004112B0" w:rsidRPr="00CB3906" w:rsidRDefault="00000000" w:rsidP="00B069A5">
      <w:pPr>
        <w:numPr>
          <w:ilvl w:val="0"/>
          <w:numId w:val="3"/>
        </w:numPr>
        <w:spacing w:line="360" w:lineRule="auto"/>
        <w:rPr>
          <w:szCs w:val="22"/>
        </w:rPr>
      </w:pPr>
      <w:r w:rsidRPr="00CB3906">
        <w:rPr>
          <w:szCs w:val="22"/>
        </w:rPr>
        <w:t xml:space="preserve">Delayed procedure </w:t>
      </w:r>
    </w:p>
    <w:p w14:paraId="0323B031" w14:textId="77777777" w:rsidR="004112B0" w:rsidRPr="00CB3906" w:rsidRDefault="00000000" w:rsidP="00B069A5">
      <w:pPr>
        <w:numPr>
          <w:ilvl w:val="0"/>
          <w:numId w:val="3"/>
        </w:numPr>
        <w:spacing w:line="360" w:lineRule="auto"/>
        <w:rPr>
          <w:szCs w:val="22"/>
        </w:rPr>
      </w:pPr>
      <w:r w:rsidRPr="00CB3906">
        <w:rPr>
          <w:szCs w:val="22"/>
        </w:rPr>
        <w:t xml:space="preserve">Communication gaps </w:t>
      </w:r>
    </w:p>
    <w:p w14:paraId="0B2B070B" w14:textId="77777777" w:rsidR="004112B0" w:rsidRPr="00CB3906" w:rsidRDefault="00000000" w:rsidP="00B069A5">
      <w:pPr>
        <w:numPr>
          <w:ilvl w:val="0"/>
          <w:numId w:val="3"/>
        </w:numPr>
        <w:spacing w:line="360" w:lineRule="auto"/>
        <w:rPr>
          <w:szCs w:val="22"/>
        </w:rPr>
      </w:pPr>
      <w:r w:rsidRPr="00CB3906">
        <w:rPr>
          <w:szCs w:val="22"/>
        </w:rPr>
        <w:t xml:space="preserve">Unclear accountability </w:t>
      </w:r>
    </w:p>
    <w:p w14:paraId="0CB9F02B" w14:textId="77777777" w:rsidR="004112B0" w:rsidRPr="00CB3906" w:rsidRDefault="00000000" w:rsidP="00B069A5">
      <w:pPr>
        <w:numPr>
          <w:ilvl w:val="0"/>
          <w:numId w:val="3"/>
        </w:numPr>
        <w:spacing w:line="360" w:lineRule="auto"/>
        <w:rPr>
          <w:szCs w:val="22"/>
        </w:rPr>
      </w:pPr>
      <w:r w:rsidRPr="00CB3906">
        <w:rPr>
          <w:szCs w:val="22"/>
        </w:rPr>
        <w:t xml:space="preserve">Staffing pressures </w:t>
      </w:r>
    </w:p>
    <w:p w14:paraId="543F4A72" w14:textId="77777777" w:rsidR="004112B0" w:rsidRPr="00CB3906" w:rsidRDefault="00000000" w:rsidP="00B069A5">
      <w:pPr>
        <w:numPr>
          <w:ilvl w:val="0"/>
          <w:numId w:val="3"/>
        </w:numPr>
        <w:spacing w:line="360" w:lineRule="auto"/>
        <w:rPr>
          <w:szCs w:val="22"/>
        </w:rPr>
      </w:pPr>
      <w:r w:rsidRPr="00CB3906">
        <w:rPr>
          <w:szCs w:val="22"/>
        </w:rPr>
        <w:t xml:space="preserve">Fragmented decision-making </w:t>
      </w:r>
    </w:p>
    <w:p w14:paraId="1B17E823" w14:textId="77777777" w:rsidR="004112B0" w:rsidRPr="00CB3906" w:rsidRDefault="00000000" w:rsidP="00B069A5">
      <w:pPr>
        <w:numPr>
          <w:ilvl w:val="0"/>
          <w:numId w:val="3"/>
        </w:numPr>
        <w:spacing w:line="360" w:lineRule="auto"/>
        <w:rPr>
          <w:szCs w:val="22"/>
        </w:rPr>
      </w:pPr>
      <w:r w:rsidRPr="00CB3906">
        <w:rPr>
          <w:szCs w:val="22"/>
        </w:rPr>
        <w:t xml:space="preserve">Lack of digital safety alerts </w:t>
      </w:r>
    </w:p>
    <w:p w14:paraId="7F3148CC" w14:textId="77777777" w:rsidR="004112B0" w:rsidRPr="00B069A5" w:rsidRDefault="00000000" w:rsidP="00B069A5">
      <w:pPr>
        <w:spacing w:line="360" w:lineRule="auto"/>
        <w:rPr>
          <w:sz w:val="24"/>
          <w:szCs w:val="24"/>
        </w:rPr>
      </w:pPr>
      <w:r w:rsidRPr="00B069A5">
        <w:rPr>
          <w:b/>
          <w:bCs/>
          <w:sz w:val="24"/>
          <w:szCs w:val="24"/>
        </w:rPr>
        <w:t>Feedback Loops</w:t>
      </w:r>
    </w:p>
    <w:p w14:paraId="20C2C242" w14:textId="77777777" w:rsidR="004112B0" w:rsidRPr="00CB3906" w:rsidRDefault="00000000" w:rsidP="00B069A5">
      <w:pPr>
        <w:spacing w:line="360" w:lineRule="auto"/>
        <w:rPr>
          <w:szCs w:val="22"/>
        </w:rPr>
      </w:pPr>
      <w:r w:rsidRPr="00B069A5">
        <w:rPr>
          <w:b/>
          <w:bCs/>
          <w:sz w:val="24"/>
          <w:szCs w:val="24"/>
        </w:rPr>
        <w:t>Reinforcing Loop (Negative)</w:t>
      </w:r>
      <w:r w:rsidRPr="00CB3906">
        <w:rPr>
          <w:szCs w:val="22"/>
        </w:rPr>
        <w:br/>
        <w:t>Staff shortages → Increased workload → Reduced medication review → Medication omissions → Patient harm → Investigations → Reduced staff morale → Further workforce pressures.</w:t>
      </w:r>
    </w:p>
    <w:p w14:paraId="3758FE8C" w14:textId="7743BABA" w:rsidR="004112B0" w:rsidRPr="00CB3906" w:rsidRDefault="00000000" w:rsidP="00B069A5">
      <w:pPr>
        <w:spacing w:line="360" w:lineRule="auto"/>
        <w:rPr>
          <w:szCs w:val="22"/>
        </w:rPr>
      </w:pPr>
      <w:r w:rsidRPr="00B069A5">
        <w:rPr>
          <w:b/>
          <w:bCs/>
          <w:sz w:val="24"/>
          <w:szCs w:val="24"/>
        </w:rPr>
        <w:t>Balancing Loop (Desired)</w:t>
      </w:r>
      <w:r w:rsidRPr="00CB3906">
        <w:rPr>
          <w:szCs w:val="22"/>
        </w:rPr>
        <w:br/>
        <w:t>Improved governance → Enhanced medication monitoring → Early identification of omissions → Reduced patient harm → Improved safety outcomes.</w:t>
      </w:r>
    </w:p>
    <w:p w14:paraId="25CDBC85" w14:textId="6F0B95C7" w:rsidR="004112B0" w:rsidRPr="00B069A5" w:rsidRDefault="00065D48" w:rsidP="00B069A5">
      <w:pPr>
        <w:pStyle w:val="Heading2"/>
        <w:spacing w:line="360" w:lineRule="auto"/>
        <w:rPr>
          <w:b/>
          <w:bCs/>
        </w:rPr>
      </w:pPr>
      <w:bookmarkStart w:id="2" w:name="_Toc237300291"/>
      <w:r w:rsidRPr="00B069A5">
        <w:rPr>
          <w:b/>
          <w:bCs/>
        </w:rPr>
        <w:t>B. Centralisation or Decentralisation</w:t>
      </w:r>
      <w:bookmarkEnd w:id="2"/>
      <w:r w:rsidRPr="00B069A5">
        <w:rPr>
          <w:b/>
          <w:bCs/>
        </w:rPr>
        <w:t xml:space="preserve"> </w:t>
      </w:r>
    </w:p>
    <w:p w14:paraId="60C60D69" w14:textId="77777777" w:rsidR="004112B0" w:rsidRPr="00B069A5" w:rsidRDefault="00000000" w:rsidP="00B069A5">
      <w:pPr>
        <w:spacing w:line="360" w:lineRule="auto"/>
        <w:rPr>
          <w:b/>
          <w:bCs/>
          <w:sz w:val="24"/>
          <w:szCs w:val="24"/>
        </w:rPr>
      </w:pPr>
      <w:r w:rsidRPr="00B069A5">
        <w:rPr>
          <w:b/>
          <w:bCs/>
          <w:sz w:val="24"/>
          <w:szCs w:val="24"/>
        </w:rPr>
        <w:t>Organisational Structure and Decision-Making Context</w:t>
      </w:r>
    </w:p>
    <w:p w14:paraId="074E852C" w14:textId="33701771" w:rsidR="00A34E99" w:rsidRDefault="00A34E99" w:rsidP="00B069A5">
      <w:pPr>
        <w:spacing w:line="360" w:lineRule="auto"/>
        <w:jc w:val="both"/>
        <w:rPr>
          <w:szCs w:val="22"/>
        </w:rPr>
      </w:pPr>
      <w:r w:rsidRPr="00A34E99">
        <w:rPr>
          <w:szCs w:val="22"/>
        </w:rPr>
        <w:t xml:space="preserve">The Patient X case brings up pretty important questions about how organizational structures, like, influence patient safety , accountability and clinical choices. Even though the NHS is basically a nationally coordinated healthcare setup , with some fairly strong central oversight, the actual clinical decision-making inside hospitals is mostly decentralised across multidisciplinary teams, departments and different professional groups. </w:t>
      </w:r>
    </w:p>
    <w:p w14:paraId="11DB6474" w14:textId="38F0D509" w:rsidR="00A34E99" w:rsidRDefault="00A34E99" w:rsidP="00B069A5">
      <w:pPr>
        <w:spacing w:line="360" w:lineRule="auto"/>
        <w:rPr>
          <w:szCs w:val="22"/>
        </w:rPr>
      </w:pPr>
      <w:r w:rsidRPr="00A34E99">
        <w:rPr>
          <w:szCs w:val="22"/>
        </w:rPr>
        <w:t xml:space="preserve">Getting clear on whether the organisational structure, helped or instead got in the way of safe care is pretty critical, because the governance arrangements kind of steer communication routes, accountability mechanisms, escalation ways and leadership performance all at once (Mannion and Exworthy, 2023). </w:t>
      </w:r>
    </w:p>
    <w:p w14:paraId="2BD5B3C2" w14:textId="77777777" w:rsidR="002D4D01" w:rsidRDefault="002D4D01" w:rsidP="00B069A5">
      <w:pPr>
        <w:spacing w:line="360" w:lineRule="auto"/>
        <w:rPr>
          <w:b/>
          <w:bCs/>
          <w:sz w:val="24"/>
          <w:szCs w:val="24"/>
        </w:rPr>
      </w:pPr>
    </w:p>
    <w:p w14:paraId="6DE7CC22" w14:textId="77777777" w:rsidR="002D4D01" w:rsidRDefault="002D4D01" w:rsidP="00B069A5">
      <w:pPr>
        <w:spacing w:line="360" w:lineRule="auto"/>
        <w:rPr>
          <w:b/>
          <w:bCs/>
          <w:sz w:val="24"/>
          <w:szCs w:val="24"/>
        </w:rPr>
      </w:pPr>
    </w:p>
    <w:p w14:paraId="18BDC946" w14:textId="77777777" w:rsidR="002C7250" w:rsidRDefault="002C7250" w:rsidP="00B069A5">
      <w:pPr>
        <w:spacing w:line="360" w:lineRule="auto"/>
        <w:rPr>
          <w:b/>
          <w:bCs/>
          <w:sz w:val="24"/>
          <w:szCs w:val="24"/>
        </w:rPr>
      </w:pPr>
    </w:p>
    <w:p w14:paraId="4DEEAE22" w14:textId="1EC8CF1A" w:rsidR="004112B0" w:rsidRPr="00B069A5" w:rsidRDefault="00000000" w:rsidP="00B069A5">
      <w:pPr>
        <w:spacing w:line="360" w:lineRule="auto"/>
        <w:rPr>
          <w:b/>
          <w:bCs/>
          <w:sz w:val="24"/>
          <w:szCs w:val="24"/>
        </w:rPr>
      </w:pPr>
      <w:r w:rsidRPr="00B069A5">
        <w:rPr>
          <w:b/>
          <w:bCs/>
          <w:sz w:val="24"/>
          <w:szCs w:val="24"/>
        </w:rPr>
        <w:lastRenderedPageBreak/>
        <w:t>Centralisation within the NHS Context</w:t>
      </w:r>
    </w:p>
    <w:p w14:paraId="48E48135" w14:textId="77777777" w:rsidR="00246324" w:rsidRPr="00246324" w:rsidRDefault="00246324" w:rsidP="00246324">
      <w:pPr>
        <w:spacing w:line="360" w:lineRule="auto"/>
        <w:jc w:val="both"/>
        <w:rPr>
          <w:szCs w:val="22"/>
        </w:rPr>
      </w:pPr>
      <w:r w:rsidRPr="00246324">
        <w:rPr>
          <w:szCs w:val="22"/>
        </w:rPr>
        <w:t xml:space="preserve">Centralisation , in general, means the gathering of authority, decision-making, and policy steering at the higher levels of an organisation (Currie and Spyridonidis, 2020). Within the NHS this shows up quite clearly via nationally imposed clinical guidelines, patient safety standards regulatory scrutiny and performance targets that are set by NHS England , the Care Quality Commission (CQC) and other national organisations.  </w:t>
      </w:r>
    </w:p>
    <w:p w14:paraId="1A2F0511" w14:textId="1D15460D" w:rsidR="00246324" w:rsidRDefault="00246324" w:rsidP="00246324">
      <w:pPr>
        <w:spacing w:line="360" w:lineRule="auto"/>
        <w:jc w:val="both"/>
        <w:rPr>
          <w:szCs w:val="22"/>
        </w:rPr>
      </w:pPr>
      <w:r w:rsidRPr="00246324">
        <w:rPr>
          <w:szCs w:val="22"/>
        </w:rPr>
        <w:t>When it comes to running anticoagulant therapy, the whole area is basically organised through very centralised arrangements. Here, guidance from the National Institute for Health and Care Excellence (NICE) gives quite granular direction about anticoagulation management, while NHS Patient Safety Alerts point out that anticoagulants are high risk medicines that therefore need extra safeguards (NICE,</w:t>
      </w:r>
      <w:r w:rsidR="00B15074">
        <w:rPr>
          <w:szCs w:val="22"/>
        </w:rPr>
        <w:t xml:space="preserve"> </w:t>
      </w:r>
      <w:r w:rsidRPr="00246324">
        <w:rPr>
          <w:szCs w:val="22"/>
        </w:rPr>
        <w:t xml:space="preserve">2021; NHS England, 2023). </w:t>
      </w:r>
    </w:p>
    <w:p w14:paraId="6FA95BA7" w14:textId="0B6E3A8C" w:rsidR="00246324" w:rsidRPr="00246324" w:rsidRDefault="00246324" w:rsidP="00246324">
      <w:pPr>
        <w:spacing w:line="360" w:lineRule="auto"/>
        <w:jc w:val="both"/>
        <w:rPr>
          <w:szCs w:val="22"/>
        </w:rPr>
      </w:pPr>
      <w:r w:rsidRPr="00246324">
        <w:rPr>
          <w:szCs w:val="22"/>
        </w:rPr>
        <w:t>One advantage of centralisation is consistency, like it sort of makes everything more predictable.</w:t>
      </w:r>
      <w:r w:rsidR="002C7250">
        <w:rPr>
          <w:szCs w:val="22"/>
        </w:rPr>
        <w:t xml:space="preserve"> </w:t>
      </w:r>
      <w:r w:rsidRPr="00246324">
        <w:rPr>
          <w:szCs w:val="22"/>
        </w:rPr>
        <w:t xml:space="preserve">Research suggests that standardisation tends to improve patient safety outcomes, especially in </w:t>
      </w:r>
      <w:proofErr w:type="gramStart"/>
      <w:r w:rsidRPr="00246324">
        <w:rPr>
          <w:szCs w:val="22"/>
        </w:rPr>
        <w:t>high risk</w:t>
      </w:r>
      <w:proofErr w:type="gramEnd"/>
      <w:r w:rsidRPr="00246324">
        <w:rPr>
          <w:szCs w:val="22"/>
        </w:rPr>
        <w:t xml:space="preserve"> clinical areas such as medication management and surgical </w:t>
      </w:r>
      <w:proofErr w:type="gramStart"/>
      <w:r w:rsidRPr="00246324">
        <w:rPr>
          <w:szCs w:val="22"/>
        </w:rPr>
        <w:t>care ,</w:t>
      </w:r>
      <w:proofErr w:type="gramEnd"/>
      <w:r w:rsidRPr="00246324">
        <w:rPr>
          <w:szCs w:val="22"/>
        </w:rPr>
        <w:t xml:space="preserve"> (Braithwaite et al., 2021).  </w:t>
      </w:r>
    </w:p>
    <w:p w14:paraId="69771D6D" w14:textId="0A299204" w:rsidR="00246324" w:rsidRDefault="00246324" w:rsidP="00246324">
      <w:pPr>
        <w:spacing w:line="360" w:lineRule="auto"/>
        <w:jc w:val="both"/>
        <w:rPr>
          <w:szCs w:val="22"/>
        </w:rPr>
      </w:pPr>
      <w:r w:rsidRPr="00246324">
        <w:rPr>
          <w:szCs w:val="22"/>
        </w:rPr>
        <w:t>However, the Patient X case shows a major drawback of centralisation. Even though policies were there, they did not stop the adverse outcome from happening. Overly strong trust in policy compliance can give a false sense of security, and that false comfort can hide weaknesses in local day to day operational systems (Mannion and Davies, 2023).</w:t>
      </w:r>
    </w:p>
    <w:p w14:paraId="5340096C" w14:textId="35F09454" w:rsidR="004112B0" w:rsidRPr="00B069A5" w:rsidRDefault="00000000" w:rsidP="00246324">
      <w:pPr>
        <w:spacing w:line="360" w:lineRule="auto"/>
        <w:jc w:val="both"/>
        <w:rPr>
          <w:b/>
          <w:bCs/>
          <w:sz w:val="24"/>
          <w:szCs w:val="24"/>
        </w:rPr>
      </w:pPr>
      <w:r w:rsidRPr="00B069A5">
        <w:rPr>
          <w:b/>
          <w:bCs/>
          <w:sz w:val="24"/>
          <w:szCs w:val="24"/>
        </w:rPr>
        <w:t>Decentralisation within the Case Study</w:t>
      </w:r>
    </w:p>
    <w:p w14:paraId="1D8B301D" w14:textId="77777777" w:rsidR="00246324" w:rsidRPr="00246324" w:rsidRDefault="00246324" w:rsidP="00246324">
      <w:pPr>
        <w:spacing w:line="360" w:lineRule="auto"/>
        <w:jc w:val="both"/>
        <w:rPr>
          <w:szCs w:val="22"/>
        </w:rPr>
      </w:pPr>
      <w:r w:rsidRPr="00246324">
        <w:rPr>
          <w:szCs w:val="22"/>
        </w:rPr>
        <w:t>Decentralisation is basically about handing out authority , and letting decision-making happen nearer to the frontline teams who are actually responsible for patient care (Exworthy and Powell, 2022). In Patient X’s situation, the call on things like medication review, procedure timing, clinical observation and care plan design was done by a mix of different professionals working across separate departments, kind of in a split way.</w:t>
      </w:r>
    </w:p>
    <w:p w14:paraId="561BC67A" w14:textId="491544CD" w:rsidR="00246324" w:rsidRDefault="00246324" w:rsidP="00246324">
      <w:pPr>
        <w:spacing w:line="360" w:lineRule="auto"/>
        <w:jc w:val="both"/>
        <w:rPr>
          <w:szCs w:val="22"/>
        </w:rPr>
      </w:pPr>
      <w:r w:rsidRPr="00246324">
        <w:rPr>
          <w:szCs w:val="22"/>
        </w:rPr>
        <w:t xml:space="preserve">This decentralised setup can bring a handful of benefits. Frontline clinicians usually know the fine details of each patient’s individual context and </w:t>
      </w:r>
      <w:r w:rsidR="002D4D01" w:rsidRPr="00246324">
        <w:rPr>
          <w:szCs w:val="22"/>
        </w:rPr>
        <w:t>there</w:t>
      </w:r>
      <w:r w:rsidRPr="00246324">
        <w:rPr>
          <w:szCs w:val="22"/>
        </w:rPr>
        <w:t xml:space="preserve"> often the ones most ready to make prompt decisions. It can also increase responsiveness, add a bit more adaptability , and support professional autonomy, which matters a lot in healthcare spaces that are inherently complex (Braithwaite et al., 2021).</w:t>
      </w:r>
    </w:p>
    <w:p w14:paraId="058489B9" w14:textId="77777777" w:rsidR="00246324" w:rsidRPr="00246324" w:rsidRDefault="00246324" w:rsidP="00246324">
      <w:pPr>
        <w:spacing w:line="360" w:lineRule="auto"/>
        <w:jc w:val="both"/>
        <w:rPr>
          <w:szCs w:val="22"/>
        </w:rPr>
      </w:pPr>
      <w:r w:rsidRPr="00246324">
        <w:rPr>
          <w:szCs w:val="22"/>
        </w:rPr>
        <w:t>Research keeps pointing in this direction, it increasingly suggests that decentralised healthcare systems need strong integration mechanisms so things do not split up into bits and pieces, and so there is no doubt about who is responsible (Best et al., 2023). Without actual coordination, decisions that are spread out can lead to real gaps in accountability , especially when care is transferred, or just during those handover transitions.</w:t>
      </w:r>
    </w:p>
    <w:p w14:paraId="5357CA94" w14:textId="27C9AFAC" w:rsidR="004112B0" w:rsidRPr="00B069A5" w:rsidRDefault="00000000" w:rsidP="00246324">
      <w:pPr>
        <w:spacing w:line="360" w:lineRule="auto"/>
        <w:jc w:val="both"/>
        <w:rPr>
          <w:b/>
          <w:bCs/>
          <w:sz w:val="24"/>
          <w:szCs w:val="24"/>
        </w:rPr>
      </w:pPr>
      <w:r w:rsidRPr="00B069A5">
        <w:rPr>
          <w:b/>
          <w:bCs/>
          <w:sz w:val="24"/>
          <w:szCs w:val="24"/>
        </w:rPr>
        <w:t>Critical Evaluation of Crisis Management and Accountability</w:t>
      </w:r>
    </w:p>
    <w:p w14:paraId="786EBD3C" w14:textId="77777777" w:rsidR="00246324" w:rsidRPr="00246324" w:rsidRDefault="00246324" w:rsidP="00246324">
      <w:pPr>
        <w:spacing w:line="360" w:lineRule="auto"/>
        <w:jc w:val="both"/>
        <w:rPr>
          <w:szCs w:val="22"/>
        </w:rPr>
      </w:pPr>
      <w:r w:rsidRPr="00246324">
        <w:rPr>
          <w:szCs w:val="22"/>
        </w:rPr>
        <w:t xml:space="preserve">A critical analysis suggests that neither centralisation nor decentralisation on its own really manages to explain the incident. It seems, more or less, that the adverse outcome came about because weaknesses tied to both approaches sort of collided, at the same time, in practice.  </w:t>
      </w:r>
    </w:p>
    <w:p w14:paraId="083C8822" w14:textId="77777777" w:rsidR="00246324" w:rsidRPr="00246324" w:rsidRDefault="00246324" w:rsidP="00246324">
      <w:pPr>
        <w:spacing w:line="360" w:lineRule="auto"/>
        <w:jc w:val="both"/>
        <w:rPr>
          <w:szCs w:val="22"/>
        </w:rPr>
      </w:pPr>
      <w:r w:rsidRPr="00246324">
        <w:rPr>
          <w:szCs w:val="22"/>
        </w:rPr>
        <w:lastRenderedPageBreak/>
        <w:t xml:space="preserve">Organisational leaders might have imagined that just meeting the existing policies would be enough, to cope with anticoagulant-related risks. That idea mirrors what Waring and Bishop (2022) describe as a “compliance based safety culture”, where the organisation leans quite a lot on policy design and documentation while quietly underestimating the actual implementation hurdles.  </w:t>
      </w:r>
    </w:p>
    <w:p w14:paraId="4C1A679B" w14:textId="77777777" w:rsidR="00246324" w:rsidRDefault="00246324" w:rsidP="00246324">
      <w:pPr>
        <w:spacing w:line="360" w:lineRule="auto"/>
        <w:jc w:val="both"/>
        <w:rPr>
          <w:szCs w:val="22"/>
        </w:rPr>
      </w:pPr>
      <w:r w:rsidRPr="00246324">
        <w:rPr>
          <w:szCs w:val="22"/>
        </w:rPr>
        <w:t>The HSSIB investigation found that juggling thrombosis risk, bleeding risk and also the procedural considerations, needs ongoing multidisciplinary reassessment. Yet the system appeared to depend mainly on individual clinicians remembering to revisit decisions rather than having solid organisational safeguards in place (HSSIB, 2024).</w:t>
      </w:r>
    </w:p>
    <w:p w14:paraId="4EDDE7E4" w14:textId="59CDED6D" w:rsidR="004112B0" w:rsidRPr="00B069A5" w:rsidRDefault="00000000" w:rsidP="00246324">
      <w:pPr>
        <w:spacing w:line="360" w:lineRule="auto"/>
        <w:jc w:val="both"/>
        <w:rPr>
          <w:b/>
          <w:bCs/>
          <w:sz w:val="24"/>
          <w:szCs w:val="24"/>
        </w:rPr>
      </w:pPr>
      <w:r w:rsidRPr="00B069A5">
        <w:rPr>
          <w:b/>
          <w:bCs/>
          <w:sz w:val="24"/>
          <w:szCs w:val="24"/>
        </w:rPr>
        <w:t>Numerical Evidence and Performance Considerations</w:t>
      </w:r>
    </w:p>
    <w:p w14:paraId="1C658C75" w14:textId="77777777" w:rsidR="00246324" w:rsidRPr="00246324" w:rsidRDefault="00246324" w:rsidP="00246324">
      <w:pPr>
        <w:spacing w:line="360" w:lineRule="auto"/>
        <w:jc w:val="both"/>
        <w:rPr>
          <w:szCs w:val="22"/>
        </w:rPr>
      </w:pPr>
      <w:r w:rsidRPr="00246324">
        <w:rPr>
          <w:szCs w:val="22"/>
        </w:rPr>
        <w:t>Evidence from NHS patient safety reports, does show that medication-related dangers linked to fragmented systems can be pretty big, and not in a small way. Elliott et al. (2021) estimated that about 66 million potentially clinically significant medication errors occur each year across England, which is a lot, even when you try to think “it’s probably not that much” right.</w:t>
      </w:r>
    </w:p>
    <w:p w14:paraId="64FCA63B" w14:textId="77777777" w:rsidR="00246324" w:rsidRDefault="00246324" w:rsidP="00246324">
      <w:pPr>
        <w:spacing w:line="360" w:lineRule="auto"/>
        <w:jc w:val="both"/>
        <w:rPr>
          <w:szCs w:val="22"/>
        </w:rPr>
      </w:pPr>
      <w:r w:rsidRPr="00246324">
        <w:rPr>
          <w:szCs w:val="22"/>
        </w:rPr>
        <w:t>Also, the NHS workforce statistics keep pointing to ongoing staffing pressures. In 2024, NHS vacancy rates stayed quite high across nursing, medical and pharmacy roles, which then feeds into heavier workload expectations , and it also limits the chances for proactive medicine review (NHS England, 2024). There is also research that shows a clear link, between workforce shortages, breakdowns in communication , and bad patient outcomes (West et al., 2022).</w:t>
      </w:r>
    </w:p>
    <w:p w14:paraId="134C4219" w14:textId="77777777" w:rsidR="002D4D01" w:rsidRDefault="00000000" w:rsidP="002D4D01">
      <w:pPr>
        <w:spacing w:line="360" w:lineRule="auto"/>
        <w:jc w:val="both"/>
        <w:rPr>
          <w:b/>
          <w:bCs/>
          <w:sz w:val="24"/>
          <w:szCs w:val="24"/>
        </w:rPr>
      </w:pPr>
      <w:r w:rsidRPr="00B069A5">
        <w:rPr>
          <w:b/>
          <w:bCs/>
          <w:sz w:val="24"/>
          <w:szCs w:val="24"/>
        </w:rPr>
        <w:t>Which Structure Better Supports Patient Safety?</w:t>
      </w:r>
      <w:bookmarkStart w:id="3" w:name="_Toc237300292"/>
    </w:p>
    <w:p w14:paraId="19822A40" w14:textId="472E400F" w:rsidR="002D4D01" w:rsidRDefault="00246324" w:rsidP="002D4D01">
      <w:pPr>
        <w:spacing w:line="360" w:lineRule="auto"/>
        <w:jc w:val="both"/>
        <w:rPr>
          <w:szCs w:val="22"/>
        </w:rPr>
      </w:pPr>
      <w:r w:rsidRPr="00246324">
        <w:rPr>
          <w:szCs w:val="22"/>
        </w:rPr>
        <w:t xml:space="preserve">A </w:t>
      </w:r>
      <w:r w:rsidR="002D4D01" w:rsidRPr="00246324">
        <w:rPr>
          <w:szCs w:val="22"/>
        </w:rPr>
        <w:t>kind of</w:t>
      </w:r>
      <w:r w:rsidRPr="00246324">
        <w:rPr>
          <w:szCs w:val="22"/>
        </w:rPr>
        <w:t xml:space="preserve"> simplistic line of thought might claim that more centralisation would’ve stopped the whole incident, just because stricter control mechanisms. But then again, other people may say that greater decentralisation would’ve helped clinicians react more astutely to shifting patient </w:t>
      </w:r>
      <w:r w:rsidR="002D4D01" w:rsidRPr="00246324">
        <w:rPr>
          <w:szCs w:val="22"/>
        </w:rPr>
        <w:t>situations. Neither</w:t>
      </w:r>
      <w:r w:rsidRPr="00246324">
        <w:rPr>
          <w:szCs w:val="22"/>
        </w:rPr>
        <w:t xml:space="preserve"> of these angles really lands, not completely.</w:t>
      </w:r>
    </w:p>
    <w:p w14:paraId="0F477AC2" w14:textId="43B53369" w:rsidR="00246324" w:rsidRPr="002D4D01" w:rsidRDefault="00246324" w:rsidP="002D4D01">
      <w:pPr>
        <w:spacing w:line="360" w:lineRule="auto"/>
        <w:jc w:val="both"/>
        <w:rPr>
          <w:b/>
          <w:bCs/>
          <w:sz w:val="24"/>
          <w:szCs w:val="24"/>
        </w:rPr>
      </w:pPr>
      <w:r w:rsidRPr="00246324">
        <w:rPr>
          <w:szCs w:val="22"/>
        </w:rPr>
        <w:t>What’s more, current healthcare publications tend to nudge towards a hybrid governance setup, like a blend of centralised standards together with decentralised day to day choices (Best et al., 2023). In the Patient X situation, it becomes pretty clear that when centralised policy rules are paired with fragmented, decentralised care routines, patient safety can quietly get undermined.</w:t>
      </w:r>
    </w:p>
    <w:p w14:paraId="443D2849" w14:textId="77777777" w:rsidR="00246324" w:rsidRPr="00246324" w:rsidRDefault="00246324" w:rsidP="00246324">
      <w:pPr>
        <w:pStyle w:val="Heading2"/>
        <w:spacing w:line="360" w:lineRule="auto"/>
        <w:rPr>
          <w:rFonts w:ascii="Calibri" w:eastAsia="Calibri" w:hAnsi="Calibri" w:cs="Cordia New"/>
          <w:color w:val="auto"/>
          <w:sz w:val="22"/>
          <w:szCs w:val="22"/>
        </w:rPr>
      </w:pPr>
    </w:p>
    <w:p w14:paraId="2407E0AE" w14:textId="2918322E" w:rsidR="004112B0" w:rsidRPr="00B069A5" w:rsidRDefault="00065D48" w:rsidP="00246324">
      <w:pPr>
        <w:pStyle w:val="Heading2"/>
        <w:spacing w:line="360" w:lineRule="auto"/>
        <w:rPr>
          <w:b/>
          <w:bCs/>
        </w:rPr>
      </w:pPr>
      <w:r w:rsidRPr="00B069A5">
        <w:rPr>
          <w:b/>
          <w:bCs/>
        </w:rPr>
        <w:t>C. Leadership Theories and Application to the Case Study</w:t>
      </w:r>
      <w:bookmarkEnd w:id="3"/>
      <w:r w:rsidRPr="00B069A5">
        <w:rPr>
          <w:b/>
          <w:bCs/>
        </w:rPr>
        <w:t xml:space="preserve"> </w:t>
      </w:r>
    </w:p>
    <w:p w14:paraId="5D4328B5" w14:textId="1969F730" w:rsidR="004112B0" w:rsidRPr="00B069A5" w:rsidRDefault="00000000" w:rsidP="00B069A5">
      <w:pPr>
        <w:spacing w:line="360" w:lineRule="auto"/>
        <w:rPr>
          <w:b/>
          <w:bCs/>
          <w:sz w:val="24"/>
          <w:szCs w:val="24"/>
        </w:rPr>
      </w:pPr>
      <w:r w:rsidRPr="00B069A5">
        <w:rPr>
          <w:b/>
          <w:bCs/>
          <w:sz w:val="24"/>
          <w:szCs w:val="24"/>
        </w:rPr>
        <w:t>Leadership and Patient Safety: A Critical Perspective</w:t>
      </w:r>
    </w:p>
    <w:p w14:paraId="501CC3C8" w14:textId="76F9B09E" w:rsidR="00246324" w:rsidRPr="00246324" w:rsidRDefault="00246324" w:rsidP="00246324">
      <w:pPr>
        <w:spacing w:line="360" w:lineRule="auto"/>
        <w:jc w:val="both"/>
        <w:rPr>
          <w:szCs w:val="22"/>
        </w:rPr>
      </w:pPr>
      <w:r w:rsidRPr="00246324">
        <w:rPr>
          <w:szCs w:val="22"/>
        </w:rPr>
        <w:t xml:space="preserve">Leadership is getting seen as one of the most influential determinants of patient safety, organisational performance, and healthcare quality, which </w:t>
      </w:r>
      <w:r w:rsidR="002D4D01" w:rsidRPr="00246324">
        <w:rPr>
          <w:szCs w:val="22"/>
        </w:rPr>
        <w:t>I</w:t>
      </w:r>
      <w:r w:rsidRPr="00246324">
        <w:rPr>
          <w:szCs w:val="22"/>
        </w:rPr>
        <w:t xml:space="preserve"> mean it really matters. While clinical competence is still essential, evidence suggests that many serious patient safety incidents come out of leadership failures that involve communication , governance, culture, and accountability , not just technical errors (West et al., 2022). The Patient </w:t>
      </w:r>
      <w:r w:rsidRPr="00246324">
        <w:rPr>
          <w:szCs w:val="22"/>
        </w:rPr>
        <w:lastRenderedPageBreak/>
        <w:t>X case shows this in a pretty direct way. Even if the immediate event was basically a failure to restart anticoagulation therapy, the deeper causes point to weaknesses in leadership oversight, coordination, and organisational learning.</w:t>
      </w:r>
    </w:p>
    <w:p w14:paraId="34C12BF8" w14:textId="1AD8A02E" w:rsidR="00246324" w:rsidRDefault="00246324" w:rsidP="00246324">
      <w:pPr>
        <w:spacing w:line="360" w:lineRule="auto"/>
        <w:jc w:val="both"/>
        <w:rPr>
          <w:szCs w:val="22"/>
        </w:rPr>
      </w:pPr>
      <w:r w:rsidRPr="00246324">
        <w:rPr>
          <w:szCs w:val="22"/>
        </w:rPr>
        <w:t xml:space="preserve">From a systems view, leadership shouldn’t be treated only as what senior executives do, but more like a shared ongoing process shaping behaviours, decision making, and the safety culture across the whole organisation (Storey and Holti, 2023). </w:t>
      </w:r>
    </w:p>
    <w:p w14:paraId="29AE6B5A" w14:textId="0D594538" w:rsidR="004112B0" w:rsidRPr="00B069A5" w:rsidRDefault="00000000" w:rsidP="00246324">
      <w:pPr>
        <w:spacing w:line="360" w:lineRule="auto"/>
        <w:jc w:val="both"/>
        <w:rPr>
          <w:b/>
          <w:bCs/>
          <w:sz w:val="24"/>
          <w:szCs w:val="24"/>
        </w:rPr>
      </w:pPr>
      <w:r w:rsidRPr="00B069A5">
        <w:rPr>
          <w:b/>
          <w:bCs/>
          <w:sz w:val="24"/>
          <w:szCs w:val="24"/>
        </w:rPr>
        <w:t>Transformational Leadership</w:t>
      </w:r>
    </w:p>
    <w:p w14:paraId="07685D70" w14:textId="77777777" w:rsidR="00246324" w:rsidRPr="00246324" w:rsidRDefault="00246324" w:rsidP="00246324">
      <w:pPr>
        <w:spacing w:line="360" w:lineRule="auto"/>
        <w:jc w:val="both"/>
        <w:rPr>
          <w:szCs w:val="22"/>
        </w:rPr>
      </w:pPr>
      <w:r w:rsidRPr="00246324">
        <w:rPr>
          <w:szCs w:val="22"/>
        </w:rPr>
        <w:t>Leadership is increasingly seen as one of the most influential determinants, of patient safety organisational performance and overall healthcare quality. Even though clinical competence is still essential, evidence kind of shows that many serious patient safety incidents come from leadership failures around communication , governance, culture and accountability, more than from technical mistakes alone (West et al., 2022). The Patient X case basically proves this. While the immediate episode seemed to involve a failure to restart anticoagulation therapy, the underlying drivers point to gaps in leadership oversight, coordination and organisational learning.</w:t>
      </w:r>
    </w:p>
    <w:p w14:paraId="7BF4D5F3" w14:textId="4585598F" w:rsidR="00246324" w:rsidRPr="00246324" w:rsidRDefault="00246324" w:rsidP="00246324">
      <w:pPr>
        <w:spacing w:line="360" w:lineRule="auto"/>
        <w:jc w:val="both"/>
        <w:rPr>
          <w:szCs w:val="22"/>
        </w:rPr>
      </w:pPr>
      <w:r w:rsidRPr="00246324">
        <w:rPr>
          <w:szCs w:val="22"/>
        </w:rPr>
        <w:t xml:space="preserve">Importantly, transformational leadership should push the organisation to learn early from emerging risks, not just come in after harm already happened. In Patient X, those repeated procedural delays </w:t>
      </w:r>
      <w:r w:rsidR="002D4D01" w:rsidRPr="00246324">
        <w:rPr>
          <w:szCs w:val="22"/>
        </w:rPr>
        <w:t>kind of</w:t>
      </w:r>
      <w:r w:rsidRPr="00246324">
        <w:rPr>
          <w:szCs w:val="22"/>
        </w:rPr>
        <w:t xml:space="preserve"> should hav</w:t>
      </w:r>
      <w:r w:rsidR="00B15074">
        <w:rPr>
          <w:szCs w:val="22"/>
        </w:rPr>
        <w:t>e</w:t>
      </w:r>
      <w:r w:rsidRPr="00246324">
        <w:rPr>
          <w:szCs w:val="22"/>
        </w:rPr>
        <w:t>,</w:t>
      </w:r>
      <w:r w:rsidR="00B15074">
        <w:rPr>
          <w:szCs w:val="22"/>
        </w:rPr>
        <w:t xml:space="preserve"> </w:t>
      </w:r>
      <w:r w:rsidRPr="00246324">
        <w:rPr>
          <w:szCs w:val="22"/>
        </w:rPr>
        <w:t xml:space="preserve">led to a </w:t>
      </w:r>
      <w:proofErr w:type="gramStart"/>
      <w:r w:rsidRPr="00246324">
        <w:rPr>
          <w:szCs w:val="22"/>
        </w:rPr>
        <w:t>tea</w:t>
      </w:r>
      <w:r w:rsidR="00B15074">
        <w:rPr>
          <w:szCs w:val="22"/>
        </w:rPr>
        <w:t xml:space="preserve">m </w:t>
      </w:r>
      <w:r w:rsidRPr="00246324">
        <w:rPr>
          <w:szCs w:val="22"/>
        </w:rPr>
        <w:t>based</w:t>
      </w:r>
      <w:proofErr w:type="gramEnd"/>
      <w:r w:rsidRPr="00246324">
        <w:rPr>
          <w:szCs w:val="22"/>
        </w:rPr>
        <w:t xml:space="preserve"> discussion and a recheck of the anticoagulation management plan. </w:t>
      </w:r>
    </w:p>
    <w:p w14:paraId="643648A1" w14:textId="4B891CFD" w:rsidR="004112B0" w:rsidRPr="00B069A5" w:rsidRDefault="00000000" w:rsidP="00246324">
      <w:pPr>
        <w:spacing w:line="360" w:lineRule="auto"/>
        <w:jc w:val="both"/>
        <w:rPr>
          <w:b/>
          <w:bCs/>
          <w:sz w:val="24"/>
          <w:szCs w:val="24"/>
        </w:rPr>
      </w:pPr>
      <w:r w:rsidRPr="00B069A5">
        <w:rPr>
          <w:b/>
          <w:bCs/>
          <w:sz w:val="24"/>
          <w:szCs w:val="24"/>
        </w:rPr>
        <w:t>Transactional Leadership</w:t>
      </w:r>
    </w:p>
    <w:p w14:paraId="7FC54CB4" w14:textId="610EC306" w:rsidR="00246324" w:rsidRPr="00246324" w:rsidRDefault="00246324" w:rsidP="00246324">
      <w:pPr>
        <w:spacing w:line="360" w:lineRule="auto"/>
        <w:jc w:val="both"/>
        <w:rPr>
          <w:szCs w:val="22"/>
        </w:rPr>
      </w:pPr>
      <w:r w:rsidRPr="00246324">
        <w:rPr>
          <w:szCs w:val="22"/>
        </w:rPr>
        <w:t>Transactional leadership is kind of grounded in structured authority , performance tracking, compliance and sticking to the known procedures (Northouse, 2022). In practice, leaders set expectations, watch how people do, and step in when standards do not quite get met</w:t>
      </w:r>
      <w:r w:rsidR="00793264">
        <w:rPr>
          <w:szCs w:val="22"/>
        </w:rPr>
        <w:t>.</w:t>
      </w:r>
      <w:r w:rsidRPr="00246324">
        <w:rPr>
          <w:szCs w:val="22"/>
        </w:rPr>
        <w:t xml:space="preserve"> </w:t>
      </w:r>
    </w:p>
    <w:p w14:paraId="13CF5A8F" w14:textId="2B637A12" w:rsidR="00246324" w:rsidRPr="00246324" w:rsidRDefault="00246324" w:rsidP="00246324">
      <w:pPr>
        <w:spacing w:line="360" w:lineRule="auto"/>
        <w:jc w:val="both"/>
        <w:rPr>
          <w:szCs w:val="22"/>
        </w:rPr>
      </w:pPr>
      <w:r w:rsidRPr="00246324">
        <w:rPr>
          <w:szCs w:val="22"/>
        </w:rPr>
        <w:t xml:space="preserve">Healthcare organisations often lean on transactional leadership a lot because patient safety is frequently tied to steady compliance with clinical guidelines, protocols, and also the regulatory requirements (Mannion and Exworthy, 2023). </w:t>
      </w:r>
    </w:p>
    <w:p w14:paraId="651BC247" w14:textId="19AA0A8D" w:rsidR="00246324" w:rsidRDefault="00246324" w:rsidP="00246324">
      <w:pPr>
        <w:spacing w:line="360" w:lineRule="auto"/>
        <w:jc w:val="both"/>
        <w:rPr>
          <w:szCs w:val="22"/>
        </w:rPr>
      </w:pPr>
      <w:r w:rsidRPr="00246324">
        <w:rPr>
          <w:szCs w:val="22"/>
        </w:rPr>
        <w:t xml:space="preserve">At first glance, Patient X’s case looks like a failure of transactional leadership. National guidance on anticoagulant management was already in place, and healthcare professionals were basically expected to follow the established safety procedures (NICE, 2021). Still, even with these safeguards, the patient’s anticoagulation stayed suspended for ten days without any real review, which is pretty concerning  But if you dig a bit deeper , it seems the issue was not that there were no rules, rather there was too much confidence placed in a rule based approach. </w:t>
      </w:r>
    </w:p>
    <w:p w14:paraId="46069A7D" w14:textId="77777777" w:rsidR="00246324" w:rsidRPr="00246324" w:rsidRDefault="00246324" w:rsidP="00246324">
      <w:pPr>
        <w:spacing w:line="360" w:lineRule="auto"/>
        <w:jc w:val="both"/>
        <w:rPr>
          <w:szCs w:val="22"/>
        </w:rPr>
      </w:pPr>
      <w:r w:rsidRPr="00246324">
        <w:rPr>
          <w:szCs w:val="22"/>
        </w:rPr>
        <w:t>This exposes a significant limitation of transactional leadership. While approaches grounded in compliance can increase standardisation a bit, they are often  less effective  in more convoluted moments, where adaptive  decision making is needed (Heifetz and Linsky, 2017). With Patient X, the condition kept moving, so continuous reappraisal mattered more than plain protocol keeping.</w:t>
      </w:r>
    </w:p>
    <w:p w14:paraId="16F45446" w14:textId="79610A64" w:rsidR="00246324" w:rsidRDefault="00246324" w:rsidP="00246324">
      <w:pPr>
        <w:spacing w:line="360" w:lineRule="auto"/>
        <w:jc w:val="both"/>
        <w:rPr>
          <w:szCs w:val="22"/>
        </w:rPr>
      </w:pPr>
      <w:r w:rsidRPr="00246324">
        <w:rPr>
          <w:szCs w:val="22"/>
        </w:rPr>
        <w:lastRenderedPageBreak/>
        <w:t>Overall, the case shows that procedural compliance, though necessary, is not by itself adequate to secure patient safety in complex healthcare systems.</w:t>
      </w:r>
    </w:p>
    <w:p w14:paraId="68054BC2" w14:textId="4451F36C" w:rsidR="004112B0" w:rsidRPr="00B069A5" w:rsidRDefault="00000000" w:rsidP="00246324">
      <w:pPr>
        <w:spacing w:line="360" w:lineRule="auto"/>
        <w:jc w:val="both"/>
        <w:rPr>
          <w:b/>
          <w:bCs/>
          <w:sz w:val="24"/>
          <w:szCs w:val="24"/>
        </w:rPr>
      </w:pPr>
      <w:r w:rsidRPr="00B069A5">
        <w:rPr>
          <w:b/>
          <w:bCs/>
          <w:sz w:val="24"/>
          <w:szCs w:val="24"/>
        </w:rPr>
        <w:t>Situational Leadership</w:t>
      </w:r>
    </w:p>
    <w:p w14:paraId="0460A02D" w14:textId="77732AFD" w:rsidR="00246324" w:rsidRPr="00246324" w:rsidRDefault="00246324" w:rsidP="00246324">
      <w:pPr>
        <w:spacing w:line="360" w:lineRule="auto"/>
        <w:jc w:val="both"/>
        <w:rPr>
          <w:szCs w:val="22"/>
        </w:rPr>
      </w:pPr>
      <w:r w:rsidRPr="00246324">
        <w:rPr>
          <w:szCs w:val="22"/>
        </w:rPr>
        <w:t xml:space="preserve">Situational leadership proposes that effective leadership depends on adapting leadership styles depending on specific circumstances, organisational conditions, and the workforce needs (Hersey, Blanchard and Johnson, 2013). It’s basically less about one rigid plan and more about adjusting what you do, when things shift, even if it feels a bit uncomfortable. </w:t>
      </w:r>
    </w:p>
    <w:p w14:paraId="6CD79884" w14:textId="77777777" w:rsidR="00246324" w:rsidRPr="00246324" w:rsidRDefault="00246324" w:rsidP="00246324">
      <w:pPr>
        <w:spacing w:line="360" w:lineRule="auto"/>
        <w:jc w:val="both"/>
        <w:rPr>
          <w:szCs w:val="22"/>
        </w:rPr>
      </w:pPr>
      <w:r w:rsidRPr="00246324">
        <w:rPr>
          <w:szCs w:val="22"/>
        </w:rPr>
        <w:t xml:space="preserve">The HSSIB investigation found that procedural delays seriously changed the risk profile connected with withholding anticoagulation. So, in practice, leadership responses needed to swing or adapt as new information came in. Not just “wait and see” but actually pivot.  </w:t>
      </w:r>
    </w:p>
    <w:p w14:paraId="03030200" w14:textId="77777777" w:rsidR="00246324" w:rsidRDefault="00246324" w:rsidP="00246324">
      <w:pPr>
        <w:spacing w:line="360" w:lineRule="auto"/>
        <w:jc w:val="both"/>
        <w:rPr>
          <w:szCs w:val="22"/>
        </w:rPr>
      </w:pPr>
      <w:r w:rsidRPr="00246324">
        <w:rPr>
          <w:szCs w:val="22"/>
        </w:rPr>
        <w:t>Critically, healthcare leaders now operate in environments that are marked by uncertainty, complexity, and yes unpredictability too. Situational leadership still gives a useful sort of frame for coping with these challenges because it encourages flexibility and responsiveness instead of sticking rigidly to, already predetermined processes, (Storey and Holti, 2023).</w:t>
      </w:r>
    </w:p>
    <w:p w14:paraId="0864BB4A" w14:textId="5CFA224E" w:rsidR="004112B0" w:rsidRPr="00B069A5" w:rsidRDefault="00000000" w:rsidP="00246324">
      <w:pPr>
        <w:spacing w:line="360" w:lineRule="auto"/>
        <w:jc w:val="both"/>
        <w:rPr>
          <w:b/>
          <w:bCs/>
          <w:sz w:val="24"/>
          <w:szCs w:val="24"/>
        </w:rPr>
      </w:pPr>
      <w:r w:rsidRPr="00B069A5">
        <w:rPr>
          <w:b/>
          <w:bCs/>
          <w:sz w:val="24"/>
          <w:szCs w:val="24"/>
        </w:rPr>
        <w:t>Were Leaders Reactive or Proactive?</w:t>
      </w:r>
    </w:p>
    <w:p w14:paraId="6136D2B5" w14:textId="77777777" w:rsidR="00246324" w:rsidRPr="00246324" w:rsidRDefault="00246324" w:rsidP="00246324">
      <w:pPr>
        <w:spacing w:line="360" w:lineRule="auto"/>
        <w:jc w:val="both"/>
        <w:rPr>
          <w:szCs w:val="22"/>
        </w:rPr>
      </w:pPr>
      <w:r w:rsidRPr="00246324">
        <w:rPr>
          <w:szCs w:val="22"/>
        </w:rPr>
        <w:t xml:space="preserve">One of the most significant things coming out of the case is that leadership seems to have been mostly reactive, not really proactive or so it appears. Proactive leadership is about catching risks ahead of time before harm shows up , setting up preventative safeguards, and then keeping an eye on how the system is performing, over and over (West et al., 2022). Reactive leadership, on the other hand , just deals with issues once they’re already visible, sort of after the fact.  </w:t>
      </w:r>
    </w:p>
    <w:p w14:paraId="367226B6" w14:textId="7C7BF754" w:rsidR="00246324" w:rsidRDefault="00246324" w:rsidP="00246324">
      <w:pPr>
        <w:spacing w:line="360" w:lineRule="auto"/>
        <w:jc w:val="both"/>
        <w:rPr>
          <w:szCs w:val="22"/>
        </w:rPr>
      </w:pPr>
      <w:r w:rsidRPr="00246324">
        <w:rPr>
          <w:szCs w:val="22"/>
        </w:rPr>
        <w:t xml:space="preserve">This result is especially worrying because today’s patient safety frameworks stress anticipation, resilience and early recognition of risk, rather than focusing only on after-event reviews (Braithwaite et al., 2021). </w:t>
      </w:r>
    </w:p>
    <w:p w14:paraId="73C49DBC" w14:textId="162221AA" w:rsidR="004112B0" w:rsidRPr="00B069A5" w:rsidRDefault="00000000" w:rsidP="00246324">
      <w:pPr>
        <w:spacing w:line="360" w:lineRule="auto"/>
        <w:jc w:val="both"/>
        <w:rPr>
          <w:b/>
          <w:bCs/>
          <w:sz w:val="24"/>
          <w:szCs w:val="24"/>
        </w:rPr>
      </w:pPr>
      <w:r w:rsidRPr="00B069A5">
        <w:rPr>
          <w:b/>
          <w:bCs/>
          <w:sz w:val="24"/>
          <w:szCs w:val="24"/>
        </w:rPr>
        <w:t>Leadership Effectiveness and Organisational Outcomes</w:t>
      </w:r>
    </w:p>
    <w:p w14:paraId="6BD7B1A9" w14:textId="77777777" w:rsidR="000C3D79" w:rsidRPr="000C3D79" w:rsidRDefault="000C3D79" w:rsidP="000C3D79">
      <w:pPr>
        <w:spacing w:line="360" w:lineRule="auto"/>
        <w:jc w:val="both"/>
        <w:rPr>
          <w:szCs w:val="22"/>
        </w:rPr>
      </w:pPr>
      <w:r w:rsidRPr="000C3D79">
        <w:rPr>
          <w:szCs w:val="22"/>
        </w:rPr>
        <w:t>Staff engagement and organisational culture are widely recognised indicators of leadership effectiveness. NHS workforce research demonstrates that organisations characterised by supportive leadership report better patient safety outcomes, lower staff burnout and stronger quality improvement performance (West et al., 2022).</w:t>
      </w:r>
    </w:p>
    <w:p w14:paraId="0BFCDAB6" w14:textId="58FCDB3A" w:rsidR="000C3D79" w:rsidRPr="000C3D79" w:rsidRDefault="000C3D79" w:rsidP="000C3D79">
      <w:pPr>
        <w:spacing w:line="360" w:lineRule="auto"/>
        <w:jc w:val="both"/>
        <w:rPr>
          <w:szCs w:val="22"/>
        </w:rPr>
      </w:pPr>
      <w:r w:rsidRPr="000C3D79">
        <w:rPr>
          <w:szCs w:val="22"/>
        </w:rPr>
        <w:t xml:space="preserve">The Patient X case suggests weaknesses across several dimensions of leadership </w:t>
      </w:r>
      <w:r w:rsidR="002D4D01" w:rsidRPr="000C3D79">
        <w:rPr>
          <w:szCs w:val="22"/>
        </w:rPr>
        <w:t>effectiveness: Limited</w:t>
      </w:r>
      <w:r w:rsidRPr="000C3D79">
        <w:rPr>
          <w:szCs w:val="22"/>
        </w:rPr>
        <w:t xml:space="preserve"> multidisciplinary coordination.</w:t>
      </w:r>
      <w:r w:rsidR="00B15074">
        <w:rPr>
          <w:szCs w:val="22"/>
        </w:rPr>
        <w:t xml:space="preserve"> </w:t>
      </w:r>
      <w:r w:rsidRPr="000C3D79">
        <w:rPr>
          <w:szCs w:val="22"/>
        </w:rPr>
        <w:t xml:space="preserve">Insufficient ownership of medication management </w:t>
      </w:r>
      <w:r w:rsidR="002D4D01" w:rsidRPr="000C3D79">
        <w:rPr>
          <w:szCs w:val="22"/>
        </w:rPr>
        <w:t xml:space="preserve">decisions. </w:t>
      </w:r>
      <w:r w:rsidRPr="000C3D79">
        <w:rPr>
          <w:szCs w:val="22"/>
        </w:rPr>
        <w:t>This distinction aligns with contemporary patient safety theory, which argues that adverse events typically arise from poorly designed systems rather than isolated professional incompetence (Reason, 2000).</w:t>
      </w:r>
    </w:p>
    <w:p w14:paraId="28E7B1F5" w14:textId="77777777" w:rsidR="00B15074" w:rsidRDefault="00B15074" w:rsidP="00B069A5">
      <w:pPr>
        <w:spacing w:line="360" w:lineRule="auto"/>
        <w:jc w:val="both"/>
        <w:rPr>
          <w:b/>
          <w:bCs/>
          <w:sz w:val="24"/>
          <w:szCs w:val="24"/>
        </w:rPr>
      </w:pPr>
    </w:p>
    <w:p w14:paraId="569BF80A" w14:textId="77777777" w:rsidR="0056046B" w:rsidRDefault="0056046B" w:rsidP="00B069A5">
      <w:pPr>
        <w:spacing w:line="360" w:lineRule="auto"/>
        <w:jc w:val="both"/>
        <w:rPr>
          <w:b/>
          <w:bCs/>
          <w:sz w:val="24"/>
          <w:szCs w:val="24"/>
        </w:rPr>
      </w:pPr>
    </w:p>
    <w:p w14:paraId="57233CD3" w14:textId="233580D4" w:rsidR="004112B0" w:rsidRPr="00B069A5" w:rsidRDefault="00000000" w:rsidP="00B069A5">
      <w:pPr>
        <w:spacing w:line="360" w:lineRule="auto"/>
        <w:jc w:val="both"/>
        <w:rPr>
          <w:b/>
          <w:bCs/>
          <w:sz w:val="24"/>
          <w:szCs w:val="24"/>
        </w:rPr>
      </w:pPr>
      <w:r w:rsidRPr="00B069A5">
        <w:rPr>
          <w:b/>
          <w:bCs/>
          <w:sz w:val="24"/>
          <w:szCs w:val="24"/>
        </w:rPr>
        <w:lastRenderedPageBreak/>
        <w:t>What Could Have Been Done Differently?</w:t>
      </w:r>
    </w:p>
    <w:p w14:paraId="44D5D5EA" w14:textId="0D31D22D" w:rsidR="000C3D79" w:rsidRDefault="000C3D79" w:rsidP="00B069A5">
      <w:pPr>
        <w:pStyle w:val="Heading2"/>
        <w:spacing w:line="360" w:lineRule="auto"/>
        <w:rPr>
          <w:rFonts w:ascii="Calibri" w:eastAsia="Calibri" w:hAnsi="Calibri" w:cs="Cordia New"/>
          <w:color w:val="auto"/>
          <w:sz w:val="22"/>
          <w:szCs w:val="22"/>
        </w:rPr>
      </w:pPr>
      <w:bookmarkStart w:id="4" w:name="_Toc237300293"/>
      <w:r w:rsidRPr="000C3D79">
        <w:rPr>
          <w:rFonts w:ascii="Calibri" w:eastAsia="Calibri" w:hAnsi="Calibri" w:cs="Cordia New"/>
          <w:color w:val="auto"/>
          <w:sz w:val="22"/>
          <w:szCs w:val="22"/>
        </w:rPr>
        <w:t xml:space="preserve">A critical evaluation suggests that, a few alternative leadership styles might have made harm less likely. For </w:t>
      </w:r>
      <w:proofErr w:type="gramStart"/>
      <w:r w:rsidRPr="000C3D79">
        <w:rPr>
          <w:rFonts w:ascii="Calibri" w:eastAsia="Calibri" w:hAnsi="Calibri" w:cs="Cordia New"/>
          <w:color w:val="auto"/>
          <w:sz w:val="22"/>
          <w:szCs w:val="22"/>
        </w:rPr>
        <w:t>instance</w:t>
      </w:r>
      <w:proofErr w:type="gramEnd"/>
      <w:r w:rsidR="00B15074">
        <w:rPr>
          <w:rFonts w:ascii="Calibri" w:eastAsia="Calibri" w:hAnsi="Calibri" w:cs="Cordia New"/>
          <w:color w:val="auto"/>
          <w:sz w:val="22"/>
          <w:szCs w:val="22"/>
        </w:rPr>
        <w:t xml:space="preserve"> </w:t>
      </w:r>
      <w:r w:rsidRPr="000C3D79">
        <w:rPr>
          <w:rFonts w:ascii="Calibri" w:eastAsia="Calibri" w:hAnsi="Calibri" w:cs="Cordia New"/>
          <w:color w:val="auto"/>
          <w:sz w:val="22"/>
          <w:szCs w:val="22"/>
        </w:rPr>
        <w:t>transformational leadership principles could have strengthened shared accountability and multidisciplinary collaboration, though in practice things can get a bit tangled. On top of that, distributed leadership could have given more agency to pharmacists, nurses and other healthcare staff to voice escalation, including concerns about prolonged medication interruption (Bolden, 2021). At the end emotionally intelligent leadership probably would have improved communication, situational awareness and overall team coordination during those uncertain periods, which in turn supports safer, more adaptive clinical decision-making (Goleman, Boyatzis and McKee, 2019).</w:t>
      </w:r>
    </w:p>
    <w:p w14:paraId="5EBF9D72" w14:textId="7A002547" w:rsidR="00E36810" w:rsidRPr="00B069A5" w:rsidRDefault="00065D48" w:rsidP="00B069A5">
      <w:pPr>
        <w:pStyle w:val="Heading2"/>
        <w:spacing w:line="360" w:lineRule="auto"/>
        <w:rPr>
          <w:b/>
          <w:bCs/>
        </w:rPr>
      </w:pPr>
      <w:r w:rsidRPr="00B069A5">
        <w:rPr>
          <w:b/>
          <w:bCs/>
        </w:rPr>
        <w:t>D</w:t>
      </w:r>
      <w:r w:rsidR="00E36810" w:rsidRPr="00B069A5">
        <w:rPr>
          <w:b/>
          <w:bCs/>
        </w:rPr>
        <w:t>. Improvement and Lessons Learned</w:t>
      </w:r>
      <w:bookmarkEnd w:id="4"/>
    </w:p>
    <w:p w14:paraId="7807F69A" w14:textId="77777777" w:rsidR="00E36810" w:rsidRPr="00B069A5" w:rsidRDefault="00E36810" w:rsidP="00B069A5">
      <w:pPr>
        <w:spacing w:line="360" w:lineRule="auto"/>
        <w:rPr>
          <w:b/>
          <w:bCs/>
          <w:sz w:val="24"/>
          <w:szCs w:val="24"/>
        </w:rPr>
      </w:pPr>
      <w:r w:rsidRPr="00B069A5">
        <w:rPr>
          <w:b/>
          <w:bCs/>
          <w:sz w:val="24"/>
          <w:szCs w:val="24"/>
        </w:rPr>
        <w:t>1. Problem: Lack of regular reassessment of anticoagulation</w:t>
      </w:r>
    </w:p>
    <w:p w14:paraId="44E32D38" w14:textId="373AAD34" w:rsidR="000C3D79" w:rsidRDefault="00E36810" w:rsidP="00B069A5">
      <w:pPr>
        <w:spacing w:line="360" w:lineRule="auto"/>
        <w:jc w:val="both"/>
      </w:pPr>
      <w:r>
        <w:t>Problem:</w:t>
      </w:r>
      <w:r>
        <w:br/>
      </w:r>
      <w:r w:rsidR="000C3D79" w:rsidRPr="000C3D79">
        <w:t xml:space="preserve">The first call to pause apixaban was clinically pretty sound, since Patient X had significant nose bleeding, and yeah that matters. Still, the whole thing </w:t>
      </w:r>
      <w:r w:rsidR="002D4D01" w:rsidRPr="000C3D79">
        <w:t>kind of</w:t>
      </w:r>
      <w:r w:rsidR="000C3D79" w:rsidRPr="000C3D79">
        <w:t xml:space="preserve"> shifted once the bleeding stopped, and the procedure </w:t>
      </w:r>
      <w:r w:rsidR="002D4D01" w:rsidRPr="000C3D79">
        <w:t>ended</w:t>
      </w:r>
      <w:r w:rsidR="000C3D79" w:rsidRPr="000C3D79">
        <w:t xml:space="preserve"> up being postponed. After that, the choice to keep withholding apixaban was not really revisited in a consistent way. So, the patient basically stayed without anticoagulation for 10 days, which nudged his risk of thromboembolic problems upward.</w:t>
      </w:r>
    </w:p>
    <w:p w14:paraId="449094D5" w14:textId="3CEB9BBF" w:rsidR="000C3D79" w:rsidRDefault="00E36810" w:rsidP="000C3D79">
      <w:pPr>
        <w:spacing w:line="360" w:lineRule="auto"/>
        <w:jc w:val="both"/>
      </w:pPr>
      <w:r>
        <w:t>Evidence/Data:</w:t>
      </w:r>
      <w:r>
        <w:br/>
      </w:r>
      <w:r w:rsidR="000C3D79" w:rsidRPr="000C3D79">
        <w:t xml:space="preserve">The HSSIB investigation found that there wasn’t really any reassessment of the ongoing decision to pause apixaban, even though the procedure did not go ahead the way it was supposed to. It also mentioned that the current 2024 British Society for Haematology guidance basically says you should pause apixaban for roughly 2 days prior to a planned procedure that has a bleeding risk attached. </w:t>
      </w:r>
    </w:p>
    <w:p w14:paraId="42E3D748" w14:textId="0840CC78" w:rsidR="000C3D79" w:rsidRDefault="00E36810" w:rsidP="000C3D79">
      <w:pPr>
        <w:spacing w:line="360" w:lineRule="auto"/>
      </w:pPr>
      <w:r>
        <w:t>Improvement:</w:t>
      </w:r>
      <w:r>
        <w:br/>
      </w:r>
      <w:r w:rsidR="000C3D79" w:rsidRPr="000C3D79">
        <w:t xml:space="preserve">Hospitals should put in place a time limited anticoagulation check process to lower the dangers that come with a prolonged break in </w:t>
      </w:r>
      <w:proofErr w:type="gramStart"/>
      <w:r w:rsidR="000C3D79" w:rsidRPr="000C3D79">
        <w:t>high</w:t>
      </w:r>
      <w:r w:rsidR="002C7250">
        <w:t xml:space="preserve"> </w:t>
      </w:r>
      <w:r w:rsidR="000C3D79" w:rsidRPr="000C3D79">
        <w:t>risk</w:t>
      </w:r>
      <w:proofErr w:type="gramEnd"/>
      <w:r w:rsidR="000C3D79" w:rsidRPr="000C3D79">
        <w:t xml:space="preserve"> medications. When anticoagulation is stopped, the prescribing clinician needs to write down in a clear way the medical reason for holding treatment, the expected length of that interruption, the patient’s own clotting versus bleeding risks, the exact date or a time window for re assessment, and who the professional is that will restart therapy. </w:t>
      </w:r>
    </w:p>
    <w:p w14:paraId="5B7684FB" w14:textId="42D36559" w:rsidR="00E36810" w:rsidRPr="00B069A5" w:rsidRDefault="00E36810" w:rsidP="000C3D79">
      <w:pPr>
        <w:spacing w:line="360" w:lineRule="auto"/>
        <w:rPr>
          <w:b/>
          <w:bCs/>
          <w:sz w:val="24"/>
          <w:szCs w:val="24"/>
        </w:rPr>
      </w:pPr>
      <w:r w:rsidRPr="00B069A5">
        <w:rPr>
          <w:b/>
          <w:bCs/>
          <w:sz w:val="24"/>
          <w:szCs w:val="24"/>
        </w:rPr>
        <w:t>2. Problem: Weak governance and unclear accountability</w:t>
      </w:r>
    </w:p>
    <w:p w14:paraId="585CD2D5" w14:textId="77777777" w:rsidR="000C3D79" w:rsidRDefault="00E36810" w:rsidP="00B069A5">
      <w:pPr>
        <w:spacing w:line="360" w:lineRule="auto"/>
        <w:jc w:val="both"/>
      </w:pPr>
      <w:r>
        <w:t>Problem:</w:t>
      </w:r>
      <w:r>
        <w:br/>
      </w:r>
      <w:r w:rsidR="000C3D79" w:rsidRPr="000C3D79">
        <w:t xml:space="preserve">Governance needs a clear sense of who is responsible for making sure that the major clinical decisions actually get carried on through. Here, responsibility for Patient X’s anticoagulation was kind of spread out between the emergency department, the acute medical ward, the respiratory team and the post procedure team, and it was </w:t>
      </w:r>
      <w:r w:rsidR="000C3D79" w:rsidRPr="000C3D79">
        <w:lastRenderedPageBreak/>
        <w:t>all a bit muddled. The procedure got delayed, the patient stayed on a different ward, and the duty for checking the medication wasn’t defined enough, so nobody really owned the follow through.</w:t>
      </w:r>
    </w:p>
    <w:p w14:paraId="47743F2A" w14:textId="77777777" w:rsidR="000C3D79" w:rsidRDefault="00E36810" w:rsidP="00B069A5">
      <w:pPr>
        <w:spacing w:line="360" w:lineRule="auto"/>
        <w:jc w:val="both"/>
      </w:pPr>
      <w:r>
        <w:t>Evidence/Data:</w:t>
      </w:r>
      <w:r>
        <w:br/>
      </w:r>
      <w:r w:rsidR="000C3D79" w:rsidRPr="000C3D79">
        <w:t>HSSIB identified a bunch of organisational factors, like workforce challenges , there was also limited specialist support, and in general a mismatch between the demand and the capacity inside the respiratory service. These things sort of added up, causing delays in transferring the patient, and also in getting the specialist input back again.</w:t>
      </w:r>
    </w:p>
    <w:p w14:paraId="018D097B" w14:textId="26F916C7" w:rsidR="000C3D79" w:rsidRDefault="00E36810" w:rsidP="000C3D79">
      <w:pPr>
        <w:spacing w:line="360" w:lineRule="auto"/>
        <w:jc w:val="both"/>
      </w:pPr>
      <w:r>
        <w:t>Improvement:</w:t>
      </w:r>
      <w:r>
        <w:br/>
      </w:r>
      <w:r w:rsidR="000C3D79" w:rsidRPr="000C3D79">
        <w:t xml:space="preserve">HSSIB pointed out a lot of organisational factors, like workforce challenges, there was also limited specialist support, and in general a mismatch between what people needed and what the respiratory service could actually handle. </w:t>
      </w:r>
    </w:p>
    <w:p w14:paraId="00B042D1" w14:textId="55E65D10" w:rsidR="00E36810" w:rsidRPr="00B069A5" w:rsidRDefault="00E36810" w:rsidP="000C3D79">
      <w:pPr>
        <w:spacing w:line="360" w:lineRule="auto"/>
        <w:jc w:val="both"/>
        <w:rPr>
          <w:b/>
          <w:bCs/>
          <w:sz w:val="24"/>
          <w:szCs w:val="24"/>
        </w:rPr>
      </w:pPr>
      <w:r w:rsidRPr="00B069A5">
        <w:rPr>
          <w:b/>
          <w:bCs/>
          <w:sz w:val="24"/>
          <w:szCs w:val="24"/>
        </w:rPr>
        <w:t>3. Problem: Electronic prescribing system did not provide adequate safety feedback</w:t>
      </w:r>
    </w:p>
    <w:p w14:paraId="04FFEB1A" w14:textId="77777777" w:rsidR="00E36810" w:rsidRDefault="00E36810" w:rsidP="00B069A5">
      <w:pPr>
        <w:spacing w:line="360" w:lineRule="auto"/>
        <w:jc w:val="both"/>
      </w:pPr>
      <w:r>
        <w:t>Problem:</w:t>
      </w:r>
      <w:r>
        <w:br/>
        <w:t>The ePMA system clearly showed that apixaban had been paused, but it did not prompt staff to review whether the medication should remain paused.</w:t>
      </w:r>
    </w:p>
    <w:p w14:paraId="4440EDF8" w14:textId="52086435" w:rsidR="000C3D79" w:rsidRDefault="00E36810" w:rsidP="00B069A5">
      <w:pPr>
        <w:spacing w:line="360" w:lineRule="auto"/>
        <w:jc w:val="both"/>
      </w:pPr>
      <w:r>
        <w:t>Evidence/Data:</w:t>
      </w:r>
      <w:r>
        <w:br/>
      </w:r>
      <w:r w:rsidR="000C3D79" w:rsidRPr="000C3D79">
        <w:t xml:space="preserve">HSSIB found that the ePMA system was missing a prompt for the medical team to look over a medication that got paused and it did not push staff to say, in a clear way how long that medicine was supposed to stay </w:t>
      </w:r>
      <w:proofErr w:type="gramStart"/>
      <w:r w:rsidR="000C3D79" w:rsidRPr="000C3D79">
        <w:t>paused .</w:t>
      </w:r>
      <w:proofErr w:type="gramEnd"/>
      <w:r w:rsidR="000C3D79" w:rsidRPr="000C3D79">
        <w:t xml:space="preserve"> </w:t>
      </w:r>
    </w:p>
    <w:p w14:paraId="16B212E0" w14:textId="2A637309" w:rsidR="00E36810" w:rsidRDefault="00E36810" w:rsidP="00B069A5">
      <w:pPr>
        <w:spacing w:line="360" w:lineRule="auto"/>
        <w:jc w:val="both"/>
      </w:pPr>
      <w:r>
        <w:t>Improvement:</w:t>
      </w:r>
      <w:r>
        <w:br/>
        <w:t>The ePMA system should be redesigned to provide a closed-loop safety system:</w:t>
      </w:r>
    </w:p>
    <w:p w14:paraId="488AD7D8" w14:textId="77777777" w:rsidR="00E36810" w:rsidRDefault="00E36810" w:rsidP="00B069A5">
      <w:pPr>
        <w:spacing w:line="360" w:lineRule="auto"/>
        <w:jc w:val="both"/>
      </w:pPr>
      <w:r>
        <w:t>Apixaban paused → reason documented → review date automatically generated → alert to responsible clinician → procedure completed → restart decision documented → medication administered → system confirms completion.</w:t>
      </w:r>
    </w:p>
    <w:p w14:paraId="0D2F8AEC" w14:textId="77777777" w:rsidR="00E36810" w:rsidRPr="00B069A5" w:rsidRDefault="00E36810" w:rsidP="00B069A5">
      <w:pPr>
        <w:spacing w:line="360" w:lineRule="auto"/>
        <w:rPr>
          <w:b/>
          <w:bCs/>
          <w:sz w:val="24"/>
          <w:szCs w:val="24"/>
        </w:rPr>
      </w:pPr>
      <w:r w:rsidRPr="00B069A5">
        <w:rPr>
          <w:b/>
          <w:bCs/>
          <w:sz w:val="24"/>
          <w:szCs w:val="24"/>
        </w:rPr>
        <w:t>4. Problem: Poor communication between teams</w:t>
      </w:r>
    </w:p>
    <w:p w14:paraId="73F12E30" w14:textId="77777777" w:rsidR="00E36810" w:rsidRDefault="00E36810" w:rsidP="00B069A5">
      <w:pPr>
        <w:spacing w:line="360" w:lineRule="auto"/>
        <w:jc w:val="both"/>
      </w:pPr>
      <w:r>
        <w:t>Problem:</w:t>
      </w:r>
      <w:r>
        <w:br/>
        <w:t>Patient X moved between different clinical teams while waiting for his procedure. Information about his anticoagulation plan was not consistently carried forward. The post-procedure care plan did not mention restarting apixaban.</w:t>
      </w:r>
    </w:p>
    <w:p w14:paraId="0685D8F5" w14:textId="77777777" w:rsidR="00E36810" w:rsidRDefault="00E36810" w:rsidP="00B069A5">
      <w:pPr>
        <w:spacing w:line="360" w:lineRule="auto"/>
        <w:jc w:val="both"/>
      </w:pPr>
      <w:r>
        <w:t>Evidence/Data:</w:t>
      </w:r>
      <w:r>
        <w:br/>
        <w:t>HSSIB found that the respiratory team's post-procedure documentation did not include guidance about restarting apixaban. Furthermore, the post-procedure documentation did not contain prompts encouraging clinicians to consider anticoagulation.</w:t>
      </w:r>
    </w:p>
    <w:p w14:paraId="4AFBAAB9" w14:textId="1578B019" w:rsidR="005B0A67" w:rsidRDefault="00E36810" w:rsidP="005B0A67">
      <w:pPr>
        <w:spacing w:line="360" w:lineRule="auto"/>
      </w:pPr>
      <w:r>
        <w:lastRenderedPageBreak/>
        <w:t>Improvement:</w:t>
      </w:r>
      <w:r>
        <w:br/>
      </w:r>
      <w:r w:rsidR="005B0A67" w:rsidRPr="005B0A67">
        <w:t xml:space="preserve">Hospitals should try to put in place a sort of standardised procedure-to-ward handover process, to help keep care consistent when a patient sort of moves between departments. The handover ought to spell out, which medicines have been paused, then the clinical reasoning behind why they were stopped in the first </w:t>
      </w:r>
      <w:proofErr w:type="gramStart"/>
      <w:r w:rsidR="005B0A67" w:rsidRPr="005B0A67">
        <w:t>place ,</w:t>
      </w:r>
      <w:proofErr w:type="gramEnd"/>
      <w:r w:rsidR="005B0A67" w:rsidRPr="005B0A67">
        <w:t xml:space="preserve"> also the patients bleeding and thrombotic risks, plus a note on whether the procedure has actually been completed. </w:t>
      </w:r>
    </w:p>
    <w:p w14:paraId="04D03D00" w14:textId="77777777" w:rsidR="002078AF" w:rsidRDefault="002078AF" w:rsidP="005B0A67">
      <w:pPr>
        <w:spacing w:line="360" w:lineRule="auto"/>
        <w:rPr>
          <w:b/>
          <w:bCs/>
          <w:sz w:val="24"/>
          <w:szCs w:val="24"/>
        </w:rPr>
      </w:pPr>
    </w:p>
    <w:p w14:paraId="17C7E3F4" w14:textId="1E5D6B7C" w:rsidR="00E36810" w:rsidRPr="00B069A5" w:rsidRDefault="00E36810" w:rsidP="005B0A67">
      <w:pPr>
        <w:spacing w:line="360" w:lineRule="auto"/>
        <w:rPr>
          <w:b/>
          <w:bCs/>
          <w:sz w:val="24"/>
          <w:szCs w:val="24"/>
        </w:rPr>
      </w:pPr>
      <w:r w:rsidRPr="00B069A5">
        <w:rPr>
          <w:b/>
          <w:bCs/>
          <w:sz w:val="24"/>
          <w:szCs w:val="24"/>
        </w:rPr>
        <w:t>5. Problem: Workforce pressure and competing priorities</w:t>
      </w:r>
    </w:p>
    <w:p w14:paraId="6A80D377" w14:textId="77777777" w:rsidR="00E36810" w:rsidRDefault="00E36810" w:rsidP="00B069A5">
      <w:pPr>
        <w:spacing w:line="360" w:lineRule="auto"/>
        <w:jc w:val="both"/>
      </w:pPr>
      <w:r>
        <w:t>Problem:</w:t>
      </w:r>
      <w:r>
        <w:br/>
        <w:t>Staff shortages and workload pressures contributed to missed tasks. The doctor responsible for restarting apixaban intended to prescribe it after reviewing the blood results, but this did not happen.</w:t>
      </w:r>
    </w:p>
    <w:p w14:paraId="5DC0644E" w14:textId="465E2DED" w:rsidR="005B0A67" w:rsidRDefault="00E36810" w:rsidP="00B069A5">
      <w:pPr>
        <w:spacing w:line="360" w:lineRule="auto"/>
        <w:jc w:val="both"/>
      </w:pPr>
      <w:r>
        <w:t>Evidence/Data:</w:t>
      </w:r>
      <w:r>
        <w:br/>
      </w:r>
      <w:r w:rsidR="005B0A67" w:rsidRPr="005B0A67">
        <w:t xml:space="preserve">HSSIB reported that the doctor usually wrote tasks on a crowded paper handover sheet , and then moved them over to the electronic system. That process made it easier for bits of information to be overlooked or simply skipped. With Patient X being clinically stable, and no action point given to the on-call team, his medicines were not looked </w:t>
      </w:r>
      <w:proofErr w:type="gramStart"/>
      <w:r w:rsidR="005B0A67" w:rsidRPr="005B0A67">
        <w:t>at ,</w:t>
      </w:r>
      <w:proofErr w:type="gramEnd"/>
      <w:r w:rsidR="005B0A67" w:rsidRPr="005B0A67">
        <w:t xml:space="preserve"> or reviewed.</w:t>
      </w:r>
    </w:p>
    <w:p w14:paraId="2FD30BE5" w14:textId="0F34201B" w:rsidR="00E36810" w:rsidRDefault="00E36810" w:rsidP="00B069A5">
      <w:pPr>
        <w:spacing w:line="360" w:lineRule="auto"/>
        <w:jc w:val="both"/>
      </w:pPr>
      <w:r>
        <w:t>Improvement:</w:t>
      </w:r>
      <w:r>
        <w:br/>
        <w:t>High-risk medication tasks should not depend solely on memory, handwritten notes or individual staff members. Hospitals should use electronic task allocation, structured handovers and pharmacist-led medication reconciliation. Weekend safety processes should also ensure that unresolved high-risk medication decisions are actively handed over.</w:t>
      </w:r>
    </w:p>
    <w:p w14:paraId="4E7C253C" w14:textId="77777777" w:rsidR="00E36810" w:rsidRPr="00B069A5" w:rsidRDefault="00E36810" w:rsidP="00B069A5">
      <w:pPr>
        <w:spacing w:line="360" w:lineRule="auto"/>
        <w:rPr>
          <w:b/>
          <w:bCs/>
          <w:sz w:val="24"/>
          <w:szCs w:val="24"/>
        </w:rPr>
      </w:pPr>
      <w:r w:rsidRPr="00B069A5">
        <w:rPr>
          <w:b/>
          <w:bCs/>
          <w:sz w:val="24"/>
          <w:szCs w:val="24"/>
        </w:rPr>
        <w:t>6. Problem: Outdated and inaccessible clinical guidance</w:t>
      </w:r>
    </w:p>
    <w:p w14:paraId="0BAD4EDC" w14:textId="77777777" w:rsidR="00E36810" w:rsidRDefault="00E36810" w:rsidP="00B069A5">
      <w:pPr>
        <w:spacing w:line="360" w:lineRule="auto"/>
        <w:jc w:val="both"/>
      </w:pPr>
      <w:r>
        <w:t>Problem:</w:t>
      </w:r>
      <w:r>
        <w:br/>
        <w:t>Clinical governance depends on staff having access to current evidence-based guidance. In this case, some local guidance on anticoagulation was overdue for review and did not reflect updated national guidance.</w:t>
      </w:r>
    </w:p>
    <w:p w14:paraId="12B6FC28" w14:textId="77777777" w:rsidR="00E36810" w:rsidRDefault="00E36810" w:rsidP="00B069A5">
      <w:pPr>
        <w:spacing w:line="360" w:lineRule="auto"/>
        <w:jc w:val="both"/>
      </w:pPr>
      <w:r>
        <w:t>Evidence/Data:</w:t>
      </w:r>
      <w:r>
        <w:br/>
        <w:t>HSSIB found that some local guidance was outdated, difficult to access through Trust computer systems, and not known to some staff.</w:t>
      </w:r>
    </w:p>
    <w:p w14:paraId="10F440C8" w14:textId="77777777" w:rsidR="00E36810" w:rsidRDefault="00E36810" w:rsidP="00B069A5">
      <w:pPr>
        <w:spacing w:line="360" w:lineRule="auto"/>
        <w:jc w:val="both"/>
      </w:pPr>
      <w:r>
        <w:t>Improvement:</w:t>
      </w:r>
      <w:r>
        <w:br/>
        <w:t>The organisation should establish a formal policy review cycle, ensuring that anticoagulation guidance reflects current national recommendations. Guidance should be accessible directly through the EPR/ePMA system and supported by brief staff education.</w:t>
      </w:r>
    </w:p>
    <w:p w14:paraId="495FDFB9" w14:textId="7588FDEE" w:rsidR="00E36810" w:rsidRDefault="00E36810" w:rsidP="00B069A5">
      <w:pPr>
        <w:spacing w:line="360" w:lineRule="auto"/>
      </w:pPr>
      <w:r>
        <w:t>Healthcare organisations should therefore use data-driven governance to monitor:</w:t>
      </w:r>
      <w:r>
        <w:br/>
        <w:t xml:space="preserve">• Paused anticoagulants </w:t>
      </w:r>
      <w:r w:rsidR="00B069A5">
        <w:t>-</w:t>
      </w:r>
      <w:r>
        <w:t xml:space="preserve"> number and duration of paused medications</w:t>
      </w:r>
      <w:r>
        <w:br/>
      </w:r>
      <w:r>
        <w:lastRenderedPageBreak/>
        <w:t xml:space="preserve">• Delayed procedures </w:t>
      </w:r>
      <w:r w:rsidR="00B069A5">
        <w:t>-</w:t>
      </w:r>
      <w:r>
        <w:t xml:space="preserve"> procedures delayed beyond planned date</w:t>
      </w:r>
      <w:r>
        <w:br/>
        <w:t xml:space="preserve">• Restart compliance </w:t>
      </w:r>
      <w:r w:rsidR="00B069A5">
        <w:t>-</w:t>
      </w:r>
      <w:r>
        <w:t xml:space="preserve"> percentage restarted within the documented timeframe</w:t>
      </w:r>
      <w:r>
        <w:br/>
        <w:t xml:space="preserve">• Medication incidents </w:t>
      </w:r>
      <w:r w:rsidR="00B069A5">
        <w:t>-</w:t>
      </w:r>
      <w:r>
        <w:t xml:space="preserve"> number of anticoagulation-related incidents</w:t>
      </w:r>
      <w:r>
        <w:br/>
        <w:t xml:space="preserve">• ePMA alerts </w:t>
      </w:r>
      <w:r w:rsidR="00B069A5">
        <w:t>-</w:t>
      </w:r>
      <w:r>
        <w:t xml:space="preserve"> percentage of high-risk paused medicines reviewed</w:t>
      </w:r>
      <w:r>
        <w:br/>
        <w:t xml:space="preserve">• Handover quality </w:t>
      </w:r>
      <w:r w:rsidR="00B069A5">
        <w:t>-</w:t>
      </w:r>
      <w:r>
        <w:t xml:space="preserve"> documentation of medication plans during transfers</w:t>
      </w:r>
      <w:r>
        <w:br/>
        <w:t xml:space="preserve">• Staff compliance </w:t>
      </w:r>
      <w:r w:rsidR="00B069A5">
        <w:t>-</w:t>
      </w:r>
      <w:r>
        <w:t xml:space="preserve"> completion of anticoagulation training</w:t>
      </w:r>
    </w:p>
    <w:p w14:paraId="5D22C06E" w14:textId="77777777" w:rsidR="00E36810" w:rsidRDefault="00E36810" w:rsidP="00B069A5">
      <w:pPr>
        <w:spacing w:line="360" w:lineRule="auto"/>
        <w:rPr>
          <w:b/>
          <w:bCs/>
          <w:szCs w:val="22"/>
        </w:rPr>
      </w:pPr>
    </w:p>
    <w:p w14:paraId="33A55D92" w14:textId="54C03A3B" w:rsidR="004112B0" w:rsidRPr="00246324" w:rsidRDefault="00065D48" w:rsidP="00246324">
      <w:pPr>
        <w:pStyle w:val="Heading1"/>
        <w:rPr>
          <w:b/>
          <w:bCs/>
        </w:rPr>
      </w:pPr>
      <w:bookmarkStart w:id="5" w:name="_Toc237300294"/>
      <w:r w:rsidRPr="00246324">
        <w:rPr>
          <w:b/>
          <w:bCs/>
        </w:rPr>
        <w:t>3. Recommendations</w:t>
      </w:r>
      <w:bookmarkEnd w:id="5"/>
      <w:r w:rsidRPr="00246324">
        <w:rPr>
          <w:b/>
          <w:bCs/>
        </w:rPr>
        <w:t xml:space="preserve"> </w:t>
      </w:r>
    </w:p>
    <w:p w14:paraId="6A0372CB" w14:textId="77777777" w:rsidR="004112B0" w:rsidRPr="00B069A5" w:rsidRDefault="00000000" w:rsidP="00B069A5">
      <w:pPr>
        <w:spacing w:line="360" w:lineRule="auto"/>
        <w:rPr>
          <w:b/>
          <w:bCs/>
          <w:sz w:val="24"/>
          <w:szCs w:val="24"/>
        </w:rPr>
      </w:pPr>
      <w:r w:rsidRPr="00B069A5">
        <w:rPr>
          <w:b/>
          <w:bCs/>
          <w:sz w:val="24"/>
          <w:szCs w:val="24"/>
        </w:rPr>
        <w:t>Introduction</w:t>
      </w:r>
    </w:p>
    <w:p w14:paraId="31D3C567" w14:textId="77777777" w:rsidR="005B0A67" w:rsidRDefault="005B0A67" w:rsidP="00B069A5">
      <w:pPr>
        <w:spacing w:line="360" w:lineRule="auto"/>
        <w:rPr>
          <w:szCs w:val="22"/>
        </w:rPr>
      </w:pPr>
      <w:r w:rsidRPr="005B0A67">
        <w:rPr>
          <w:szCs w:val="22"/>
        </w:rPr>
        <w:t>When we look at Patient X’s case, it seems clear that the adverse outcome wasn’t tied to one clinical mistake alone, but more like a chain of linked failures spanning leadership, governance, communication systems, accountability structures, and medication safety processes . So really, to get better we need a whole systems approach, not just one or two isolated corrective actions. The next recommendations are based on evidence, they line up with current patient safety literature , and they’re built to strengthen organisational resilience, improve patient outcomes and help stop similar incidents from happening again .</w:t>
      </w:r>
    </w:p>
    <w:p w14:paraId="75C228C3" w14:textId="16861B58" w:rsidR="004112B0" w:rsidRPr="00B069A5" w:rsidRDefault="00000000" w:rsidP="00B069A5">
      <w:pPr>
        <w:spacing w:line="360" w:lineRule="auto"/>
        <w:rPr>
          <w:b/>
          <w:bCs/>
          <w:sz w:val="24"/>
          <w:szCs w:val="24"/>
        </w:rPr>
      </w:pPr>
      <w:r w:rsidRPr="00B069A5">
        <w:rPr>
          <w:b/>
          <w:bCs/>
          <w:sz w:val="24"/>
          <w:szCs w:val="24"/>
        </w:rPr>
        <w:t>Recommendation 1: Adopt Transformational and Compassionate Leadership as the Dominant Leadership Approach</w:t>
      </w:r>
    </w:p>
    <w:p w14:paraId="01BA77A4" w14:textId="77777777" w:rsidR="005B0A67" w:rsidRPr="005B0A67" w:rsidRDefault="005B0A67" w:rsidP="005B0A67">
      <w:pPr>
        <w:spacing w:line="360" w:lineRule="auto"/>
        <w:rPr>
          <w:szCs w:val="22"/>
        </w:rPr>
      </w:pPr>
      <w:r w:rsidRPr="005B0A67">
        <w:rPr>
          <w:szCs w:val="22"/>
        </w:rPr>
        <w:t>The organisation should strengthen transformational leadership practices while embedding compassionate leadership principles across all levels of management.</w:t>
      </w:r>
    </w:p>
    <w:p w14:paraId="698C8293" w14:textId="77777777" w:rsidR="005B0A67" w:rsidRPr="005B0A67" w:rsidRDefault="005B0A67" w:rsidP="005B0A67">
      <w:pPr>
        <w:spacing w:line="360" w:lineRule="auto"/>
        <w:rPr>
          <w:szCs w:val="22"/>
        </w:rPr>
      </w:pPr>
      <w:r w:rsidRPr="005B0A67">
        <w:rPr>
          <w:szCs w:val="22"/>
        </w:rPr>
        <w:t>Transformational leadership promotes shared vision, staff engagement and proactive problem-solving, while compassionate leadership encourages psychological safety, collaboration and organisational learning (West et al., 2022). The Patient X case demonstrated a lack of collective ownership and proactive risk management, suggesting that leadership approaches were predominantly reactive.</w:t>
      </w:r>
    </w:p>
    <w:p w14:paraId="49BB8BB0" w14:textId="77777777" w:rsidR="004112B0" w:rsidRPr="00B069A5" w:rsidRDefault="00000000" w:rsidP="00B069A5">
      <w:pPr>
        <w:spacing w:line="360" w:lineRule="auto"/>
        <w:rPr>
          <w:b/>
          <w:bCs/>
          <w:sz w:val="24"/>
          <w:szCs w:val="24"/>
        </w:rPr>
      </w:pPr>
      <w:r w:rsidRPr="00B069A5">
        <w:rPr>
          <w:b/>
          <w:bCs/>
          <w:sz w:val="24"/>
          <w:szCs w:val="24"/>
        </w:rPr>
        <w:t>Recommendation 2: Strengthen Governance Through Real-Time Medication Safety Monitoring</w:t>
      </w:r>
    </w:p>
    <w:p w14:paraId="3AEAB9AD" w14:textId="77777777" w:rsidR="004112B0" w:rsidRPr="00CB3906" w:rsidRDefault="00000000" w:rsidP="00B069A5">
      <w:pPr>
        <w:spacing w:line="360" w:lineRule="auto"/>
        <w:jc w:val="both"/>
        <w:rPr>
          <w:szCs w:val="22"/>
        </w:rPr>
      </w:pPr>
      <w:r w:rsidRPr="00CB3906">
        <w:rPr>
          <w:szCs w:val="22"/>
        </w:rPr>
        <w:t>The organisation should introduce a comprehensive medication governance framework supported by digital safety monitoring systems.</w:t>
      </w:r>
    </w:p>
    <w:p w14:paraId="59E1FA69" w14:textId="77777777" w:rsidR="004112B0" w:rsidRPr="00CB3906" w:rsidRDefault="00000000" w:rsidP="00B069A5">
      <w:pPr>
        <w:spacing w:line="360" w:lineRule="auto"/>
        <w:jc w:val="both"/>
        <w:rPr>
          <w:szCs w:val="22"/>
        </w:rPr>
      </w:pPr>
      <w:r w:rsidRPr="00CB3906">
        <w:rPr>
          <w:szCs w:val="22"/>
        </w:rPr>
        <w:t>High-risk medications, particularly anticoagulants, should be subject to enhanced monitoring and escalation procedures. Electronic prescribing systems should automatically generate alerts when:</w:t>
      </w:r>
    </w:p>
    <w:p w14:paraId="4D5082CF" w14:textId="77777777" w:rsidR="004112B0" w:rsidRPr="00CB3906" w:rsidRDefault="00000000" w:rsidP="00B069A5">
      <w:pPr>
        <w:numPr>
          <w:ilvl w:val="0"/>
          <w:numId w:val="6"/>
        </w:numPr>
        <w:spacing w:line="360" w:lineRule="auto"/>
        <w:rPr>
          <w:szCs w:val="22"/>
        </w:rPr>
      </w:pPr>
      <w:r w:rsidRPr="00CB3906">
        <w:rPr>
          <w:szCs w:val="22"/>
        </w:rPr>
        <w:t xml:space="preserve">Anticoagulants are withheld beyond approved timeframes. </w:t>
      </w:r>
    </w:p>
    <w:p w14:paraId="24B711EC" w14:textId="77777777" w:rsidR="004112B0" w:rsidRPr="00CB3906" w:rsidRDefault="00000000" w:rsidP="00B069A5">
      <w:pPr>
        <w:numPr>
          <w:ilvl w:val="0"/>
          <w:numId w:val="6"/>
        </w:numPr>
        <w:spacing w:line="360" w:lineRule="auto"/>
        <w:rPr>
          <w:szCs w:val="22"/>
        </w:rPr>
      </w:pPr>
      <w:r w:rsidRPr="00CB3906">
        <w:rPr>
          <w:szCs w:val="22"/>
        </w:rPr>
        <w:t xml:space="preserve">Medication reviews become overdue. </w:t>
      </w:r>
    </w:p>
    <w:p w14:paraId="1E375298" w14:textId="77777777" w:rsidR="004112B0" w:rsidRPr="00CB3906" w:rsidRDefault="00000000" w:rsidP="00B069A5">
      <w:pPr>
        <w:numPr>
          <w:ilvl w:val="0"/>
          <w:numId w:val="6"/>
        </w:numPr>
        <w:spacing w:line="360" w:lineRule="auto"/>
        <w:rPr>
          <w:szCs w:val="22"/>
        </w:rPr>
      </w:pPr>
      <w:r w:rsidRPr="00CB3906">
        <w:rPr>
          <w:szCs w:val="22"/>
        </w:rPr>
        <w:t xml:space="preserve">Procedures are delayed after treatment plans have been established. </w:t>
      </w:r>
    </w:p>
    <w:p w14:paraId="4B684C1D" w14:textId="77777777" w:rsidR="004112B0" w:rsidRPr="00CB3906" w:rsidRDefault="00000000" w:rsidP="00B069A5">
      <w:pPr>
        <w:numPr>
          <w:ilvl w:val="0"/>
          <w:numId w:val="6"/>
        </w:numPr>
        <w:spacing w:line="360" w:lineRule="auto"/>
        <w:rPr>
          <w:szCs w:val="22"/>
        </w:rPr>
      </w:pPr>
      <w:r w:rsidRPr="00CB3906">
        <w:rPr>
          <w:szCs w:val="22"/>
        </w:rPr>
        <w:lastRenderedPageBreak/>
        <w:t xml:space="preserve">Critical medications are omitted following discharge or transfer. </w:t>
      </w:r>
    </w:p>
    <w:p w14:paraId="7B3CC588" w14:textId="77777777" w:rsidR="004112B0" w:rsidRPr="00CB3906" w:rsidRDefault="00000000" w:rsidP="00B069A5">
      <w:pPr>
        <w:spacing w:line="360" w:lineRule="auto"/>
        <w:jc w:val="both"/>
        <w:rPr>
          <w:szCs w:val="22"/>
        </w:rPr>
      </w:pPr>
      <w:r w:rsidRPr="00CB3906">
        <w:rPr>
          <w:szCs w:val="22"/>
        </w:rPr>
        <w:t>Additionally, medication safety indicators should become a standing agenda item within governance and quality assurance meetings.</w:t>
      </w:r>
    </w:p>
    <w:p w14:paraId="6572D9CE" w14:textId="77777777" w:rsidR="004112B0" w:rsidRPr="00CB3906" w:rsidRDefault="00000000" w:rsidP="00B069A5">
      <w:pPr>
        <w:spacing w:line="360" w:lineRule="auto"/>
        <w:jc w:val="both"/>
        <w:rPr>
          <w:szCs w:val="22"/>
        </w:rPr>
      </w:pPr>
      <w:r w:rsidRPr="00CB3906">
        <w:rPr>
          <w:szCs w:val="22"/>
        </w:rPr>
        <w:t>Moving from retrospective incident investigation to proactive risk detection would align with modern patient safety principles and reduce reliance on human memory alone (WHO, 2024).</w:t>
      </w:r>
    </w:p>
    <w:p w14:paraId="538B4B8C" w14:textId="77777777" w:rsidR="004112B0" w:rsidRPr="00B069A5" w:rsidRDefault="00000000" w:rsidP="00B069A5">
      <w:pPr>
        <w:spacing w:line="360" w:lineRule="auto"/>
        <w:jc w:val="both"/>
        <w:rPr>
          <w:b/>
          <w:bCs/>
          <w:sz w:val="24"/>
          <w:szCs w:val="24"/>
        </w:rPr>
      </w:pPr>
      <w:r w:rsidRPr="00B069A5">
        <w:rPr>
          <w:b/>
          <w:bCs/>
          <w:sz w:val="24"/>
          <w:szCs w:val="24"/>
        </w:rPr>
        <w:t>Recommendation 3: Clarify Accountability Through Structured Multidisciplinary Care Coordination</w:t>
      </w:r>
    </w:p>
    <w:p w14:paraId="21DE2589" w14:textId="77777777" w:rsidR="004112B0" w:rsidRPr="00CB3906" w:rsidRDefault="00000000" w:rsidP="00B069A5">
      <w:pPr>
        <w:spacing w:line="360" w:lineRule="auto"/>
        <w:jc w:val="both"/>
        <w:rPr>
          <w:szCs w:val="22"/>
        </w:rPr>
      </w:pPr>
      <w:r w:rsidRPr="00CB3906">
        <w:rPr>
          <w:szCs w:val="22"/>
        </w:rPr>
        <w:t>A major weakness identified in the case was fragmented responsibility for anticoagulation management.</w:t>
      </w:r>
    </w:p>
    <w:p w14:paraId="6252C3EC" w14:textId="77777777" w:rsidR="004112B0" w:rsidRPr="00CB3906" w:rsidRDefault="00000000" w:rsidP="00B069A5">
      <w:pPr>
        <w:spacing w:line="360" w:lineRule="auto"/>
        <w:jc w:val="both"/>
        <w:rPr>
          <w:szCs w:val="22"/>
        </w:rPr>
      </w:pPr>
      <w:r w:rsidRPr="00CB3906">
        <w:rPr>
          <w:szCs w:val="22"/>
        </w:rPr>
        <w:t>The organisation should implement a named clinical ownership model for patients receiving high-risk medicines. Under this approach, one designated clinician retains overall responsibility for monitoring medication plans regardless of departmental transfers or procedural delays.</w:t>
      </w:r>
    </w:p>
    <w:p w14:paraId="1C3315B2" w14:textId="77777777" w:rsidR="004112B0" w:rsidRPr="00CB3906" w:rsidRDefault="00000000" w:rsidP="00B069A5">
      <w:pPr>
        <w:spacing w:line="360" w:lineRule="auto"/>
        <w:rPr>
          <w:szCs w:val="22"/>
        </w:rPr>
      </w:pPr>
      <w:r w:rsidRPr="00CB3906">
        <w:rPr>
          <w:szCs w:val="22"/>
        </w:rPr>
        <w:t>Multidisciplinary review meetings should be mandatory when significant treatment delays occur. These reviews should include:</w:t>
      </w:r>
    </w:p>
    <w:p w14:paraId="6ED402C9" w14:textId="77777777" w:rsidR="004112B0" w:rsidRPr="00CB3906" w:rsidRDefault="00000000" w:rsidP="00B069A5">
      <w:pPr>
        <w:numPr>
          <w:ilvl w:val="0"/>
          <w:numId w:val="7"/>
        </w:numPr>
        <w:spacing w:line="360" w:lineRule="auto"/>
        <w:rPr>
          <w:szCs w:val="22"/>
        </w:rPr>
      </w:pPr>
      <w:r w:rsidRPr="00CB3906">
        <w:rPr>
          <w:szCs w:val="22"/>
        </w:rPr>
        <w:t xml:space="preserve">Medical staff </w:t>
      </w:r>
    </w:p>
    <w:p w14:paraId="567BD0E7" w14:textId="77777777" w:rsidR="004112B0" w:rsidRPr="00CB3906" w:rsidRDefault="00000000" w:rsidP="00B069A5">
      <w:pPr>
        <w:numPr>
          <w:ilvl w:val="0"/>
          <w:numId w:val="7"/>
        </w:numPr>
        <w:spacing w:line="360" w:lineRule="auto"/>
        <w:rPr>
          <w:szCs w:val="22"/>
        </w:rPr>
      </w:pPr>
      <w:r w:rsidRPr="00CB3906">
        <w:rPr>
          <w:szCs w:val="22"/>
        </w:rPr>
        <w:t xml:space="preserve">Nursing staff </w:t>
      </w:r>
    </w:p>
    <w:p w14:paraId="670A1FBB" w14:textId="77777777" w:rsidR="004112B0" w:rsidRPr="00CB3906" w:rsidRDefault="00000000" w:rsidP="00B069A5">
      <w:pPr>
        <w:numPr>
          <w:ilvl w:val="0"/>
          <w:numId w:val="7"/>
        </w:numPr>
        <w:spacing w:line="360" w:lineRule="auto"/>
        <w:rPr>
          <w:szCs w:val="22"/>
        </w:rPr>
      </w:pPr>
      <w:r w:rsidRPr="00CB3906">
        <w:rPr>
          <w:szCs w:val="22"/>
        </w:rPr>
        <w:t xml:space="preserve">Pharmacists </w:t>
      </w:r>
    </w:p>
    <w:p w14:paraId="0A7045C5" w14:textId="77777777" w:rsidR="004112B0" w:rsidRPr="00CB3906" w:rsidRDefault="00000000" w:rsidP="00B069A5">
      <w:pPr>
        <w:numPr>
          <w:ilvl w:val="0"/>
          <w:numId w:val="7"/>
        </w:numPr>
        <w:spacing w:line="360" w:lineRule="auto"/>
        <w:rPr>
          <w:szCs w:val="22"/>
        </w:rPr>
      </w:pPr>
      <w:r w:rsidRPr="00CB3906">
        <w:rPr>
          <w:szCs w:val="22"/>
        </w:rPr>
        <w:t xml:space="preserve">Relevant specialists </w:t>
      </w:r>
    </w:p>
    <w:p w14:paraId="10313B36" w14:textId="77777777" w:rsidR="004112B0" w:rsidRPr="00CB3906" w:rsidRDefault="00000000" w:rsidP="00B069A5">
      <w:pPr>
        <w:spacing w:line="360" w:lineRule="auto"/>
        <w:rPr>
          <w:szCs w:val="22"/>
        </w:rPr>
      </w:pPr>
      <w:r w:rsidRPr="00CB3906">
        <w:rPr>
          <w:szCs w:val="22"/>
        </w:rPr>
        <w:t>Clear accountability structures would reduce ambiguity, strengthen communication and improve continuity of care.</w:t>
      </w:r>
    </w:p>
    <w:p w14:paraId="4BB93346" w14:textId="77777777" w:rsidR="004112B0" w:rsidRPr="00CB3906" w:rsidRDefault="00000000" w:rsidP="00B069A5">
      <w:pPr>
        <w:spacing w:line="360" w:lineRule="auto"/>
        <w:rPr>
          <w:szCs w:val="22"/>
        </w:rPr>
      </w:pPr>
      <w:r w:rsidRPr="00CB3906">
        <w:rPr>
          <w:szCs w:val="22"/>
        </w:rPr>
        <w:t>Research consistently demonstrates that multidisciplinary collaboration improves medication safety and reduces preventable adverse events (WHO, 2024).</w:t>
      </w:r>
    </w:p>
    <w:p w14:paraId="27073DAB" w14:textId="77777777" w:rsidR="004112B0" w:rsidRPr="00B069A5" w:rsidRDefault="00000000" w:rsidP="00B069A5">
      <w:pPr>
        <w:spacing w:line="360" w:lineRule="auto"/>
        <w:rPr>
          <w:b/>
          <w:bCs/>
          <w:sz w:val="24"/>
          <w:szCs w:val="24"/>
        </w:rPr>
      </w:pPr>
      <w:r w:rsidRPr="00B069A5">
        <w:rPr>
          <w:b/>
          <w:bCs/>
          <w:sz w:val="24"/>
          <w:szCs w:val="24"/>
        </w:rPr>
        <w:t>Recommendation 4: Improve Technical and Allocative Efficiency Through Digital Integration</w:t>
      </w:r>
    </w:p>
    <w:p w14:paraId="5BD59B9E" w14:textId="77777777" w:rsidR="004112B0" w:rsidRPr="00CB3906" w:rsidRDefault="00000000" w:rsidP="00B069A5">
      <w:pPr>
        <w:spacing w:line="360" w:lineRule="auto"/>
        <w:jc w:val="both"/>
        <w:rPr>
          <w:szCs w:val="22"/>
        </w:rPr>
      </w:pPr>
      <w:r w:rsidRPr="00CB3906">
        <w:rPr>
          <w:szCs w:val="22"/>
        </w:rPr>
        <w:t>Technical efficiency refers to maximising healthcare outcomes using available resources, while allocative efficiency involves directing resources towards interventions that provide the greatest benefit (OECD, 2023).</w:t>
      </w:r>
    </w:p>
    <w:p w14:paraId="2CBFD5B7" w14:textId="77777777" w:rsidR="004112B0" w:rsidRPr="00CB3906" w:rsidRDefault="00000000" w:rsidP="00B069A5">
      <w:pPr>
        <w:spacing w:line="360" w:lineRule="auto"/>
        <w:jc w:val="both"/>
        <w:rPr>
          <w:szCs w:val="22"/>
        </w:rPr>
      </w:pPr>
      <w:r w:rsidRPr="00CB3906">
        <w:rPr>
          <w:szCs w:val="22"/>
        </w:rPr>
        <w:t>The Patient X case revealed inefficiencies associated with fragmented communication and delayed clinical review processes.</w:t>
      </w:r>
    </w:p>
    <w:p w14:paraId="567694BC" w14:textId="77777777" w:rsidR="004112B0" w:rsidRPr="00CB3906" w:rsidRDefault="00000000" w:rsidP="00B069A5">
      <w:pPr>
        <w:spacing w:line="360" w:lineRule="auto"/>
        <w:rPr>
          <w:szCs w:val="22"/>
        </w:rPr>
      </w:pPr>
      <w:r w:rsidRPr="00CB3906">
        <w:rPr>
          <w:szCs w:val="22"/>
        </w:rPr>
        <w:t>The organisation should invest in:</w:t>
      </w:r>
    </w:p>
    <w:p w14:paraId="1E34E689" w14:textId="77777777" w:rsidR="004112B0" w:rsidRPr="00CB3906" w:rsidRDefault="00000000" w:rsidP="00B069A5">
      <w:pPr>
        <w:numPr>
          <w:ilvl w:val="0"/>
          <w:numId w:val="8"/>
        </w:numPr>
        <w:spacing w:line="360" w:lineRule="auto"/>
        <w:rPr>
          <w:szCs w:val="22"/>
        </w:rPr>
      </w:pPr>
      <w:r w:rsidRPr="00CB3906">
        <w:rPr>
          <w:szCs w:val="22"/>
        </w:rPr>
        <w:t xml:space="preserve">Integrated electronic health records </w:t>
      </w:r>
    </w:p>
    <w:p w14:paraId="6E7CE15F" w14:textId="77777777" w:rsidR="004112B0" w:rsidRPr="00CB3906" w:rsidRDefault="00000000" w:rsidP="00B069A5">
      <w:pPr>
        <w:numPr>
          <w:ilvl w:val="0"/>
          <w:numId w:val="8"/>
        </w:numPr>
        <w:spacing w:line="360" w:lineRule="auto"/>
        <w:rPr>
          <w:szCs w:val="22"/>
        </w:rPr>
      </w:pPr>
      <w:r w:rsidRPr="00CB3906">
        <w:rPr>
          <w:szCs w:val="22"/>
        </w:rPr>
        <w:t xml:space="preserve">Automated medication tracking systems </w:t>
      </w:r>
    </w:p>
    <w:p w14:paraId="47DEDDEA" w14:textId="77777777" w:rsidR="004112B0" w:rsidRPr="00CB3906" w:rsidRDefault="00000000" w:rsidP="00B069A5">
      <w:pPr>
        <w:numPr>
          <w:ilvl w:val="0"/>
          <w:numId w:val="8"/>
        </w:numPr>
        <w:spacing w:line="360" w:lineRule="auto"/>
        <w:rPr>
          <w:szCs w:val="22"/>
        </w:rPr>
      </w:pPr>
      <w:r w:rsidRPr="00CB3906">
        <w:rPr>
          <w:szCs w:val="22"/>
        </w:rPr>
        <w:t xml:space="preserve">Clinical decision-support software </w:t>
      </w:r>
    </w:p>
    <w:p w14:paraId="4BF44322" w14:textId="77777777" w:rsidR="004112B0" w:rsidRPr="00CB3906" w:rsidRDefault="00000000" w:rsidP="00B069A5">
      <w:pPr>
        <w:numPr>
          <w:ilvl w:val="0"/>
          <w:numId w:val="8"/>
        </w:numPr>
        <w:spacing w:line="360" w:lineRule="auto"/>
        <w:rPr>
          <w:szCs w:val="22"/>
        </w:rPr>
      </w:pPr>
      <w:r w:rsidRPr="00CB3906">
        <w:rPr>
          <w:szCs w:val="22"/>
        </w:rPr>
        <w:t xml:space="preserve">Digital escalation pathways </w:t>
      </w:r>
    </w:p>
    <w:p w14:paraId="74C0431E" w14:textId="77777777" w:rsidR="004112B0" w:rsidRPr="00CB3906" w:rsidRDefault="00000000" w:rsidP="00B069A5">
      <w:pPr>
        <w:numPr>
          <w:ilvl w:val="0"/>
          <w:numId w:val="8"/>
        </w:numPr>
        <w:spacing w:line="360" w:lineRule="auto"/>
        <w:rPr>
          <w:szCs w:val="22"/>
        </w:rPr>
      </w:pPr>
      <w:r w:rsidRPr="00CB3906">
        <w:rPr>
          <w:szCs w:val="22"/>
        </w:rPr>
        <w:lastRenderedPageBreak/>
        <w:t xml:space="preserve">Real-time patient safety dashboards </w:t>
      </w:r>
    </w:p>
    <w:p w14:paraId="0EDBD8F4" w14:textId="77777777" w:rsidR="004112B0" w:rsidRPr="00CB3906" w:rsidRDefault="00000000" w:rsidP="00B069A5">
      <w:pPr>
        <w:spacing w:line="360" w:lineRule="auto"/>
        <w:jc w:val="both"/>
        <w:rPr>
          <w:szCs w:val="22"/>
        </w:rPr>
      </w:pPr>
      <w:r w:rsidRPr="00CB3906">
        <w:rPr>
          <w:szCs w:val="22"/>
        </w:rPr>
        <w:t>These technologies would reduce duplication, enhance communication and support evidence-based decision-making.</w:t>
      </w:r>
    </w:p>
    <w:p w14:paraId="231EB048" w14:textId="77777777" w:rsidR="004112B0" w:rsidRPr="00CB3906" w:rsidRDefault="00000000" w:rsidP="00B069A5">
      <w:pPr>
        <w:spacing w:line="360" w:lineRule="auto"/>
        <w:jc w:val="both"/>
        <w:rPr>
          <w:szCs w:val="22"/>
        </w:rPr>
      </w:pPr>
      <w:r w:rsidRPr="00CB3906">
        <w:rPr>
          <w:szCs w:val="22"/>
        </w:rPr>
        <w:t>From an allocative perspective, investment in preventative patient safety systems is likely to be more cost-effective than managing avoidable complications such as stroke, prolonged hospitalisation and litigation costs.</w:t>
      </w:r>
    </w:p>
    <w:p w14:paraId="7AC50BB3" w14:textId="77777777" w:rsidR="004112B0" w:rsidRPr="00B069A5" w:rsidRDefault="00000000" w:rsidP="00B069A5">
      <w:pPr>
        <w:spacing w:line="360" w:lineRule="auto"/>
        <w:rPr>
          <w:b/>
          <w:bCs/>
          <w:sz w:val="24"/>
          <w:szCs w:val="24"/>
        </w:rPr>
      </w:pPr>
      <w:r w:rsidRPr="00B069A5">
        <w:rPr>
          <w:b/>
          <w:bCs/>
          <w:sz w:val="24"/>
          <w:szCs w:val="24"/>
        </w:rPr>
        <w:t>Recommendation 5: Embed Continuous Learning and Organisational Improvement</w:t>
      </w:r>
    </w:p>
    <w:p w14:paraId="745ED839" w14:textId="77777777" w:rsidR="004112B0" w:rsidRPr="00CB3906" w:rsidRDefault="00000000" w:rsidP="00B069A5">
      <w:pPr>
        <w:spacing w:line="360" w:lineRule="auto"/>
        <w:jc w:val="both"/>
        <w:rPr>
          <w:szCs w:val="22"/>
        </w:rPr>
      </w:pPr>
      <w:r w:rsidRPr="00CB3906">
        <w:rPr>
          <w:szCs w:val="22"/>
        </w:rPr>
        <w:t>Healthcare organisations should adopt learning-system principles that encourage continuous reflection, improvement and adaptation.</w:t>
      </w:r>
    </w:p>
    <w:p w14:paraId="7599E8D5" w14:textId="77777777" w:rsidR="004112B0" w:rsidRPr="00CB3906" w:rsidRDefault="00000000" w:rsidP="00B069A5">
      <w:pPr>
        <w:spacing w:line="360" w:lineRule="auto"/>
        <w:jc w:val="both"/>
        <w:rPr>
          <w:szCs w:val="22"/>
        </w:rPr>
      </w:pPr>
      <w:r w:rsidRPr="00CB3906">
        <w:rPr>
          <w:szCs w:val="22"/>
        </w:rPr>
        <w:t>Following significant incidents, organisations should conduct structured learning reviews focused on identifying system weaknesses rather than assigning blame. Lessons learned should be disseminated across departments and integrated into organisational policies, workforce training and quality improvement initiatives.</w:t>
      </w:r>
    </w:p>
    <w:p w14:paraId="2C862366" w14:textId="77777777" w:rsidR="004112B0" w:rsidRPr="00CB3906" w:rsidRDefault="00000000" w:rsidP="00B069A5">
      <w:pPr>
        <w:spacing w:line="360" w:lineRule="auto"/>
        <w:rPr>
          <w:szCs w:val="22"/>
        </w:rPr>
      </w:pPr>
      <w:r w:rsidRPr="00CB3906">
        <w:rPr>
          <w:szCs w:val="22"/>
        </w:rPr>
        <w:t>Leaders should establish mechanisms for:</w:t>
      </w:r>
    </w:p>
    <w:p w14:paraId="3108C8D0" w14:textId="77777777" w:rsidR="004112B0" w:rsidRPr="00CB3906" w:rsidRDefault="00000000" w:rsidP="00B069A5">
      <w:pPr>
        <w:numPr>
          <w:ilvl w:val="0"/>
          <w:numId w:val="9"/>
        </w:numPr>
        <w:spacing w:line="360" w:lineRule="auto"/>
        <w:rPr>
          <w:szCs w:val="22"/>
        </w:rPr>
      </w:pPr>
      <w:r w:rsidRPr="00CB3906">
        <w:rPr>
          <w:szCs w:val="22"/>
        </w:rPr>
        <w:t xml:space="preserve">Incident learning forums </w:t>
      </w:r>
    </w:p>
    <w:p w14:paraId="390C955A" w14:textId="77777777" w:rsidR="004112B0" w:rsidRPr="00CB3906" w:rsidRDefault="00000000" w:rsidP="00B069A5">
      <w:pPr>
        <w:numPr>
          <w:ilvl w:val="0"/>
          <w:numId w:val="9"/>
        </w:numPr>
        <w:spacing w:line="360" w:lineRule="auto"/>
        <w:rPr>
          <w:szCs w:val="22"/>
        </w:rPr>
      </w:pPr>
      <w:r w:rsidRPr="00CB3906">
        <w:rPr>
          <w:szCs w:val="22"/>
        </w:rPr>
        <w:t xml:space="preserve">Safety huddles </w:t>
      </w:r>
    </w:p>
    <w:p w14:paraId="32CA639B" w14:textId="77777777" w:rsidR="004112B0" w:rsidRPr="00CB3906" w:rsidRDefault="00000000" w:rsidP="00B069A5">
      <w:pPr>
        <w:numPr>
          <w:ilvl w:val="0"/>
          <w:numId w:val="9"/>
        </w:numPr>
        <w:spacing w:line="360" w:lineRule="auto"/>
        <w:rPr>
          <w:szCs w:val="22"/>
        </w:rPr>
      </w:pPr>
      <w:r w:rsidRPr="00CB3906">
        <w:rPr>
          <w:szCs w:val="22"/>
        </w:rPr>
        <w:t xml:space="preserve">Patient safety audits </w:t>
      </w:r>
    </w:p>
    <w:p w14:paraId="195BF6D8" w14:textId="77777777" w:rsidR="004112B0" w:rsidRPr="00CB3906" w:rsidRDefault="00000000" w:rsidP="00B069A5">
      <w:pPr>
        <w:numPr>
          <w:ilvl w:val="0"/>
          <w:numId w:val="9"/>
        </w:numPr>
        <w:spacing w:line="360" w:lineRule="auto"/>
        <w:rPr>
          <w:szCs w:val="22"/>
        </w:rPr>
      </w:pPr>
      <w:r w:rsidRPr="00CB3906">
        <w:rPr>
          <w:szCs w:val="22"/>
        </w:rPr>
        <w:t xml:space="preserve">Workforce feedback systems </w:t>
      </w:r>
    </w:p>
    <w:p w14:paraId="78198585" w14:textId="77777777" w:rsidR="004112B0" w:rsidRPr="00CB3906" w:rsidRDefault="00000000" w:rsidP="00B069A5">
      <w:pPr>
        <w:numPr>
          <w:ilvl w:val="0"/>
          <w:numId w:val="9"/>
        </w:numPr>
        <w:spacing w:line="360" w:lineRule="auto"/>
        <w:rPr>
          <w:szCs w:val="22"/>
        </w:rPr>
      </w:pPr>
      <w:r w:rsidRPr="00CB3906">
        <w:rPr>
          <w:szCs w:val="22"/>
        </w:rPr>
        <w:t xml:space="preserve">Near-miss reporting programmes </w:t>
      </w:r>
    </w:p>
    <w:p w14:paraId="06244358" w14:textId="77777777" w:rsidR="004112B0" w:rsidRPr="00CB3906" w:rsidRDefault="00000000" w:rsidP="00B069A5">
      <w:pPr>
        <w:spacing w:line="360" w:lineRule="auto"/>
        <w:rPr>
          <w:szCs w:val="22"/>
        </w:rPr>
      </w:pPr>
      <w:r w:rsidRPr="00CB3906">
        <w:rPr>
          <w:szCs w:val="22"/>
        </w:rPr>
        <w:t>According to Braithwaite et al. (2021), organisations capable of learning from both failures and successes demonstrate greater resilience and improved long-term performance.</w:t>
      </w:r>
    </w:p>
    <w:p w14:paraId="60777577" w14:textId="77777777" w:rsidR="004112B0" w:rsidRPr="00B069A5" w:rsidRDefault="00000000" w:rsidP="00B069A5">
      <w:pPr>
        <w:spacing w:line="360" w:lineRule="auto"/>
        <w:rPr>
          <w:b/>
          <w:bCs/>
          <w:sz w:val="24"/>
          <w:szCs w:val="24"/>
        </w:rPr>
      </w:pPr>
      <w:r w:rsidRPr="00B069A5">
        <w:rPr>
          <w:b/>
          <w:bCs/>
          <w:sz w:val="24"/>
          <w:szCs w:val="24"/>
        </w:rPr>
        <w:t>Recommendation 6: Promote Stakeholder Engagement and Co-Production</w:t>
      </w:r>
    </w:p>
    <w:p w14:paraId="61E22F52" w14:textId="77777777" w:rsidR="004112B0" w:rsidRPr="00CB3906" w:rsidRDefault="00000000" w:rsidP="00B069A5">
      <w:pPr>
        <w:spacing w:line="360" w:lineRule="auto"/>
        <w:jc w:val="both"/>
        <w:rPr>
          <w:szCs w:val="22"/>
        </w:rPr>
      </w:pPr>
      <w:r w:rsidRPr="00CB3906">
        <w:rPr>
          <w:szCs w:val="22"/>
        </w:rPr>
        <w:t>Patients and families should be recognised as active partners in patient safety rather than passive recipients of care.</w:t>
      </w:r>
    </w:p>
    <w:p w14:paraId="3D3E3581" w14:textId="77777777" w:rsidR="004112B0" w:rsidRPr="00CB3906" w:rsidRDefault="00000000" w:rsidP="00B069A5">
      <w:pPr>
        <w:spacing w:line="360" w:lineRule="auto"/>
        <w:jc w:val="both"/>
        <w:rPr>
          <w:szCs w:val="22"/>
        </w:rPr>
      </w:pPr>
      <w:r w:rsidRPr="00CB3906">
        <w:rPr>
          <w:szCs w:val="22"/>
        </w:rPr>
        <w:t>The Patient X case highlights the importance of involving patients in medication-related decisions and ensuring they understand treatment plans, medication changes and associated risks.</w:t>
      </w:r>
    </w:p>
    <w:p w14:paraId="1697721A" w14:textId="77777777" w:rsidR="004112B0" w:rsidRPr="00CB3906" w:rsidRDefault="00000000" w:rsidP="00B069A5">
      <w:pPr>
        <w:spacing w:line="360" w:lineRule="auto"/>
        <w:rPr>
          <w:szCs w:val="22"/>
        </w:rPr>
      </w:pPr>
      <w:r w:rsidRPr="00CB3906">
        <w:rPr>
          <w:szCs w:val="22"/>
        </w:rPr>
        <w:t>Healthcare organisations should strengthen co-production by:</w:t>
      </w:r>
    </w:p>
    <w:p w14:paraId="4B0119EC" w14:textId="77777777" w:rsidR="004112B0" w:rsidRPr="00CB3906" w:rsidRDefault="00000000" w:rsidP="00B069A5">
      <w:pPr>
        <w:numPr>
          <w:ilvl w:val="0"/>
          <w:numId w:val="10"/>
        </w:numPr>
        <w:spacing w:line="360" w:lineRule="auto"/>
        <w:rPr>
          <w:szCs w:val="22"/>
        </w:rPr>
      </w:pPr>
      <w:r w:rsidRPr="00CB3906">
        <w:rPr>
          <w:szCs w:val="22"/>
        </w:rPr>
        <w:t xml:space="preserve">Including patient representatives in governance committees. </w:t>
      </w:r>
    </w:p>
    <w:p w14:paraId="044C61B5" w14:textId="77777777" w:rsidR="004112B0" w:rsidRPr="00CB3906" w:rsidRDefault="00000000" w:rsidP="00B069A5">
      <w:pPr>
        <w:numPr>
          <w:ilvl w:val="0"/>
          <w:numId w:val="10"/>
        </w:numPr>
        <w:spacing w:line="360" w:lineRule="auto"/>
        <w:rPr>
          <w:szCs w:val="22"/>
        </w:rPr>
      </w:pPr>
      <w:r w:rsidRPr="00CB3906">
        <w:rPr>
          <w:szCs w:val="22"/>
        </w:rPr>
        <w:t xml:space="preserve">Developing patient-centred medication information resources. </w:t>
      </w:r>
    </w:p>
    <w:p w14:paraId="014D109C" w14:textId="77777777" w:rsidR="004112B0" w:rsidRPr="00CB3906" w:rsidRDefault="00000000" w:rsidP="00B069A5">
      <w:pPr>
        <w:numPr>
          <w:ilvl w:val="0"/>
          <w:numId w:val="10"/>
        </w:numPr>
        <w:spacing w:line="360" w:lineRule="auto"/>
        <w:rPr>
          <w:szCs w:val="22"/>
        </w:rPr>
      </w:pPr>
      <w:r w:rsidRPr="00CB3906">
        <w:rPr>
          <w:szCs w:val="22"/>
        </w:rPr>
        <w:t xml:space="preserve">Encouraging shared decision-making. </w:t>
      </w:r>
    </w:p>
    <w:p w14:paraId="0482D876" w14:textId="77777777" w:rsidR="004112B0" w:rsidRPr="00CB3906" w:rsidRDefault="00000000" w:rsidP="00B069A5">
      <w:pPr>
        <w:numPr>
          <w:ilvl w:val="0"/>
          <w:numId w:val="10"/>
        </w:numPr>
        <w:spacing w:line="360" w:lineRule="auto"/>
        <w:rPr>
          <w:szCs w:val="22"/>
        </w:rPr>
      </w:pPr>
      <w:r w:rsidRPr="00CB3906">
        <w:rPr>
          <w:szCs w:val="22"/>
        </w:rPr>
        <w:t xml:space="preserve">Supporting patient participation in safety improvement initiatives. </w:t>
      </w:r>
    </w:p>
    <w:p w14:paraId="7304285A" w14:textId="77777777" w:rsidR="002078AF" w:rsidRDefault="00000000" w:rsidP="00B069A5">
      <w:pPr>
        <w:spacing w:line="360" w:lineRule="auto"/>
        <w:rPr>
          <w:szCs w:val="22"/>
        </w:rPr>
      </w:pPr>
      <w:r w:rsidRPr="00CB3906">
        <w:rPr>
          <w:szCs w:val="22"/>
        </w:rPr>
        <w:lastRenderedPageBreak/>
        <w:t>Evidence suggests that organisations involving patients in care planning and service design achieve improved safety outcomes and greater public trust (Coulter, 2022).</w:t>
      </w:r>
    </w:p>
    <w:p w14:paraId="0375966E" w14:textId="77777777" w:rsidR="002C7250" w:rsidRDefault="002C7250" w:rsidP="00B069A5">
      <w:pPr>
        <w:spacing w:line="360" w:lineRule="auto"/>
        <w:rPr>
          <w:b/>
          <w:bCs/>
          <w:sz w:val="24"/>
          <w:szCs w:val="24"/>
        </w:rPr>
      </w:pPr>
    </w:p>
    <w:p w14:paraId="2D5CDC5F" w14:textId="2D7BDA61" w:rsidR="002078AF" w:rsidRPr="002078AF" w:rsidRDefault="00000000" w:rsidP="00B069A5">
      <w:pPr>
        <w:spacing w:line="360" w:lineRule="auto"/>
        <w:rPr>
          <w:szCs w:val="22"/>
        </w:rPr>
      </w:pPr>
      <w:r w:rsidRPr="00B069A5">
        <w:rPr>
          <w:b/>
          <w:bCs/>
          <w:sz w:val="24"/>
          <w:szCs w:val="24"/>
        </w:rPr>
        <w:t>Summary of Recommended Actions</w:t>
      </w:r>
    </w:p>
    <w:p w14:paraId="2F0C2BBF" w14:textId="026D121F" w:rsidR="004112B0" w:rsidRPr="002078AF" w:rsidRDefault="00000000" w:rsidP="00B069A5">
      <w:pPr>
        <w:spacing w:line="360" w:lineRule="auto"/>
        <w:rPr>
          <w:b/>
          <w:bCs/>
          <w:sz w:val="24"/>
          <w:szCs w:val="24"/>
        </w:rPr>
      </w:pPr>
      <w:r w:rsidRPr="00CB3906">
        <w:rPr>
          <w:szCs w:val="22"/>
        </w:rPr>
        <w:t>To sustain improvement, the organisation should:</w:t>
      </w:r>
    </w:p>
    <w:p w14:paraId="00F6FD1B" w14:textId="77777777" w:rsidR="004112B0" w:rsidRPr="00CB3906" w:rsidRDefault="00000000" w:rsidP="00B069A5">
      <w:pPr>
        <w:numPr>
          <w:ilvl w:val="0"/>
          <w:numId w:val="11"/>
        </w:numPr>
        <w:spacing w:line="360" w:lineRule="auto"/>
        <w:rPr>
          <w:szCs w:val="22"/>
        </w:rPr>
      </w:pPr>
      <w:r w:rsidRPr="00CB3906">
        <w:rPr>
          <w:szCs w:val="22"/>
        </w:rPr>
        <w:t xml:space="preserve">Implement transformational and compassionate leadership practices. </w:t>
      </w:r>
    </w:p>
    <w:p w14:paraId="1E58B510" w14:textId="77777777" w:rsidR="004112B0" w:rsidRPr="00CB3906" w:rsidRDefault="00000000" w:rsidP="00B069A5">
      <w:pPr>
        <w:numPr>
          <w:ilvl w:val="0"/>
          <w:numId w:val="11"/>
        </w:numPr>
        <w:spacing w:line="360" w:lineRule="auto"/>
        <w:rPr>
          <w:szCs w:val="22"/>
        </w:rPr>
      </w:pPr>
      <w:r w:rsidRPr="00CB3906">
        <w:rPr>
          <w:szCs w:val="22"/>
        </w:rPr>
        <w:t xml:space="preserve">Strengthen governance through digital medication safety monitoring. </w:t>
      </w:r>
    </w:p>
    <w:p w14:paraId="4C26E424" w14:textId="77777777" w:rsidR="004112B0" w:rsidRPr="00CB3906" w:rsidRDefault="00000000" w:rsidP="00B069A5">
      <w:pPr>
        <w:numPr>
          <w:ilvl w:val="0"/>
          <w:numId w:val="11"/>
        </w:numPr>
        <w:spacing w:line="360" w:lineRule="auto"/>
        <w:rPr>
          <w:szCs w:val="22"/>
        </w:rPr>
      </w:pPr>
      <w:r w:rsidRPr="00CB3906">
        <w:rPr>
          <w:szCs w:val="22"/>
        </w:rPr>
        <w:t xml:space="preserve">Establish clear accountability for high-risk medication management. </w:t>
      </w:r>
    </w:p>
    <w:p w14:paraId="0B0B250E" w14:textId="77777777" w:rsidR="004112B0" w:rsidRPr="00CB3906" w:rsidRDefault="00000000" w:rsidP="00B069A5">
      <w:pPr>
        <w:numPr>
          <w:ilvl w:val="0"/>
          <w:numId w:val="11"/>
        </w:numPr>
        <w:spacing w:line="360" w:lineRule="auto"/>
        <w:rPr>
          <w:szCs w:val="22"/>
        </w:rPr>
      </w:pPr>
      <w:r w:rsidRPr="00CB3906">
        <w:rPr>
          <w:szCs w:val="22"/>
        </w:rPr>
        <w:t xml:space="preserve">Improve technical and allocative efficiency through integrated technologies. </w:t>
      </w:r>
    </w:p>
    <w:p w14:paraId="459933BF" w14:textId="77777777" w:rsidR="004112B0" w:rsidRPr="00CB3906" w:rsidRDefault="00000000" w:rsidP="00B069A5">
      <w:pPr>
        <w:numPr>
          <w:ilvl w:val="0"/>
          <w:numId w:val="11"/>
        </w:numPr>
        <w:spacing w:line="360" w:lineRule="auto"/>
        <w:rPr>
          <w:szCs w:val="22"/>
        </w:rPr>
      </w:pPr>
      <w:r w:rsidRPr="00CB3906">
        <w:rPr>
          <w:szCs w:val="22"/>
        </w:rPr>
        <w:t xml:space="preserve">Develop a continuous learning and improvement culture. </w:t>
      </w:r>
    </w:p>
    <w:p w14:paraId="2162FFEE" w14:textId="77777777" w:rsidR="004112B0" w:rsidRPr="00CB3906" w:rsidRDefault="00000000" w:rsidP="00B069A5">
      <w:pPr>
        <w:numPr>
          <w:ilvl w:val="0"/>
          <w:numId w:val="11"/>
        </w:numPr>
        <w:spacing w:line="360" w:lineRule="auto"/>
        <w:rPr>
          <w:szCs w:val="22"/>
        </w:rPr>
      </w:pPr>
      <w:r w:rsidRPr="00CB3906">
        <w:rPr>
          <w:szCs w:val="22"/>
        </w:rPr>
        <w:t xml:space="preserve">Promote stakeholder engagement and patient co-production. </w:t>
      </w:r>
    </w:p>
    <w:p w14:paraId="6E010342" w14:textId="77777777" w:rsidR="004112B0" w:rsidRPr="00CB3906" w:rsidRDefault="00000000" w:rsidP="00B069A5">
      <w:pPr>
        <w:spacing w:line="360" w:lineRule="auto"/>
        <w:jc w:val="both"/>
        <w:rPr>
          <w:szCs w:val="22"/>
        </w:rPr>
      </w:pPr>
      <w:r w:rsidRPr="00CB3906">
        <w:rPr>
          <w:szCs w:val="22"/>
        </w:rPr>
        <w:t>Collectively, these recommendations address the leadership, governance and systems failures identified throughout the analysis and provide a practical framework for preventing future medication-related harm while improving organisational performance.</w:t>
      </w:r>
    </w:p>
    <w:p w14:paraId="37E6E4DA" w14:textId="304870DC" w:rsidR="004112B0" w:rsidRPr="00B069A5" w:rsidRDefault="00065D48" w:rsidP="00B069A5">
      <w:pPr>
        <w:pStyle w:val="Heading1"/>
        <w:spacing w:line="360" w:lineRule="auto"/>
        <w:rPr>
          <w:b/>
          <w:bCs/>
        </w:rPr>
      </w:pPr>
      <w:bookmarkStart w:id="6" w:name="_Toc237300295"/>
      <w:r w:rsidRPr="00B069A5">
        <w:rPr>
          <w:b/>
          <w:bCs/>
        </w:rPr>
        <w:t>4. Conclusion</w:t>
      </w:r>
      <w:bookmarkEnd w:id="6"/>
      <w:r w:rsidRPr="00B069A5">
        <w:rPr>
          <w:b/>
          <w:bCs/>
        </w:rPr>
        <w:t xml:space="preserve"> </w:t>
      </w:r>
    </w:p>
    <w:p w14:paraId="77C58B42" w14:textId="36FFAFBA" w:rsidR="000C3D79" w:rsidRPr="000C3D79" w:rsidRDefault="000C3D79" w:rsidP="000C3D79">
      <w:pPr>
        <w:spacing w:line="360" w:lineRule="auto"/>
        <w:jc w:val="both"/>
        <w:rPr>
          <w:szCs w:val="22"/>
        </w:rPr>
      </w:pPr>
      <w:r w:rsidRPr="000C3D79">
        <w:rPr>
          <w:szCs w:val="22"/>
        </w:rPr>
        <w:t xml:space="preserve">This report critically analysed the HSSIB Patient X case </w:t>
      </w:r>
      <w:r w:rsidR="002D4D01" w:rsidRPr="000C3D79">
        <w:rPr>
          <w:szCs w:val="22"/>
        </w:rPr>
        <w:t>kind of</w:t>
      </w:r>
      <w:r w:rsidRPr="000C3D79">
        <w:rPr>
          <w:szCs w:val="22"/>
        </w:rPr>
        <w:t xml:space="preserve"> through a lens of leadership, governance, organisational structure and systems thinking. The investigation showed that the patient’s death, after the prolonged interruption of Apixaban therapy, wasn’t really down to one single clinical mistake, more like a chain of multiple interconnected system failures. There were communication breakdowns, fragmented accountability, not enough governance oversight and leadership that didn’t quite steer things, all of it together. In the end, an initially appropriate clinical decision </w:t>
      </w:r>
      <w:r w:rsidR="002D4D01" w:rsidRPr="000C3D79">
        <w:rPr>
          <w:szCs w:val="22"/>
        </w:rPr>
        <w:t>kind of</w:t>
      </w:r>
      <w:r w:rsidRPr="000C3D79">
        <w:rPr>
          <w:szCs w:val="22"/>
        </w:rPr>
        <w:t xml:space="preserve"> shifted into a fatal patient safety incident.</w:t>
      </w:r>
    </w:p>
    <w:p w14:paraId="09DA5224" w14:textId="77777777" w:rsidR="000C3D79" w:rsidRDefault="000C3D79" w:rsidP="000C3D79">
      <w:pPr>
        <w:spacing w:line="360" w:lineRule="auto"/>
        <w:jc w:val="both"/>
        <w:rPr>
          <w:szCs w:val="22"/>
        </w:rPr>
      </w:pPr>
      <w:r w:rsidRPr="000C3D79">
        <w:rPr>
          <w:szCs w:val="22"/>
        </w:rPr>
        <w:t>Using systems thinking, the incident seemed to grow out of how organisational structures, workforce pressures, clinical processes and governance mechanisms interacted, bit by bit. The Rich Picture analysis pointed at communication gaps, procedural delays and unclear responsibilities as real vulnerabilities inside the whole setup. Also, the discussion around centralisation versus decentralisation, suggested that no single governance approach alone should be blamed. Rather, the problem sat in the way national safety frameworks weren’t integrated properly into local clinical decision-making processes , so the day to day practice didn’t fully align with the bigger expectations.</w:t>
      </w:r>
    </w:p>
    <w:p w14:paraId="0F5115BB" w14:textId="68F5F093" w:rsidR="002078AF" w:rsidRDefault="000C3D79" w:rsidP="000C3D79">
      <w:pPr>
        <w:spacing w:line="360" w:lineRule="auto"/>
        <w:rPr>
          <w:szCs w:val="22"/>
        </w:rPr>
      </w:pPr>
      <w:r w:rsidRPr="000C3D79">
        <w:rPr>
          <w:szCs w:val="22"/>
        </w:rPr>
        <w:t xml:space="preserve">The evaluation of leadership theories showed that transformational, transactional and situational leadership each provide valuable insights into the case. However, evidence suggested that leadership within the organisation was mostly reactive not proactive. Opportunities to identify and mitigate emerging risks were </w:t>
      </w:r>
      <w:r w:rsidRPr="000C3D79">
        <w:rPr>
          <w:szCs w:val="22"/>
        </w:rPr>
        <w:lastRenderedPageBreak/>
        <w:t>repeatedly missed , which points to weaknesses in organisational learning, multidisciplinary collaboration and the patient safety culture. These findings align with contemporary literature which argues that effective healthcare leadership has to go beyond operational management</w:t>
      </w:r>
      <w:r w:rsidR="002C7250">
        <w:rPr>
          <w:szCs w:val="22"/>
        </w:rPr>
        <w:t xml:space="preserve"> </w:t>
      </w:r>
      <w:r w:rsidRPr="000C3D79">
        <w:rPr>
          <w:szCs w:val="22"/>
        </w:rPr>
        <w:t xml:space="preserve">and the deliberate creation of psychologically safe environments that invite early risk escalation.  </w:t>
      </w:r>
    </w:p>
    <w:p w14:paraId="769B849D" w14:textId="16E2A142" w:rsidR="004112B0" w:rsidRPr="00CB3906" w:rsidRDefault="000C3D79" w:rsidP="000C3D79">
      <w:pPr>
        <w:spacing w:line="360" w:lineRule="auto"/>
        <w:rPr>
          <w:szCs w:val="22"/>
        </w:rPr>
      </w:pPr>
      <w:r w:rsidRPr="000C3D79">
        <w:rPr>
          <w:szCs w:val="22"/>
        </w:rPr>
        <w:t>Ultimately, the Patient X case serves as a strong reminder that safe and effective healthcare depends on the successful blending of leadership, governance, and systems thinking. Healthcare organisations that adopt proactive , learning oriented and patient centred approaches will be better placed to prevent avoidable harm, improve quality of care and support sustainable organisational improvement.</w:t>
      </w:r>
    </w:p>
    <w:p w14:paraId="667FA74D" w14:textId="77777777" w:rsidR="002C7250" w:rsidRDefault="002C7250" w:rsidP="00B069A5">
      <w:pPr>
        <w:pStyle w:val="Heading1"/>
        <w:spacing w:line="360" w:lineRule="auto"/>
        <w:rPr>
          <w:b/>
          <w:bCs/>
        </w:rPr>
      </w:pPr>
      <w:bookmarkStart w:id="7" w:name="_Toc237300296"/>
    </w:p>
    <w:p w14:paraId="68F071AA" w14:textId="77777777" w:rsidR="002C7250" w:rsidRDefault="002C7250" w:rsidP="00B069A5">
      <w:pPr>
        <w:pStyle w:val="Heading1"/>
        <w:spacing w:line="360" w:lineRule="auto"/>
        <w:rPr>
          <w:b/>
          <w:bCs/>
        </w:rPr>
      </w:pPr>
    </w:p>
    <w:p w14:paraId="629CDC77" w14:textId="77777777" w:rsidR="002C7250" w:rsidRDefault="002C7250" w:rsidP="00B069A5">
      <w:pPr>
        <w:pStyle w:val="Heading1"/>
        <w:spacing w:line="360" w:lineRule="auto"/>
        <w:rPr>
          <w:b/>
          <w:bCs/>
        </w:rPr>
      </w:pPr>
    </w:p>
    <w:p w14:paraId="634DCD00" w14:textId="77777777" w:rsidR="002C7250" w:rsidRDefault="002C7250" w:rsidP="00B069A5">
      <w:pPr>
        <w:pStyle w:val="Heading1"/>
        <w:spacing w:line="360" w:lineRule="auto"/>
        <w:rPr>
          <w:b/>
          <w:bCs/>
        </w:rPr>
      </w:pPr>
    </w:p>
    <w:p w14:paraId="37455CAF" w14:textId="77777777" w:rsidR="002C7250" w:rsidRDefault="002C7250" w:rsidP="00B069A5">
      <w:pPr>
        <w:pStyle w:val="Heading1"/>
        <w:spacing w:line="360" w:lineRule="auto"/>
        <w:rPr>
          <w:b/>
          <w:bCs/>
        </w:rPr>
      </w:pPr>
    </w:p>
    <w:p w14:paraId="04CF482F" w14:textId="77777777" w:rsidR="002C7250" w:rsidRDefault="002C7250" w:rsidP="00B069A5">
      <w:pPr>
        <w:pStyle w:val="Heading1"/>
        <w:spacing w:line="360" w:lineRule="auto"/>
        <w:rPr>
          <w:b/>
          <w:bCs/>
        </w:rPr>
      </w:pPr>
    </w:p>
    <w:p w14:paraId="63B79FEE" w14:textId="77777777" w:rsidR="002C7250" w:rsidRDefault="002C7250" w:rsidP="00B069A5">
      <w:pPr>
        <w:pStyle w:val="Heading1"/>
        <w:spacing w:line="360" w:lineRule="auto"/>
        <w:rPr>
          <w:b/>
          <w:bCs/>
        </w:rPr>
      </w:pPr>
    </w:p>
    <w:p w14:paraId="304BB3B1" w14:textId="77777777" w:rsidR="002C7250" w:rsidRDefault="002C7250" w:rsidP="00B069A5">
      <w:pPr>
        <w:pStyle w:val="Heading1"/>
        <w:spacing w:line="360" w:lineRule="auto"/>
        <w:rPr>
          <w:b/>
          <w:bCs/>
        </w:rPr>
      </w:pPr>
    </w:p>
    <w:p w14:paraId="2A4837FF" w14:textId="77777777" w:rsidR="002C7250" w:rsidRDefault="002C7250" w:rsidP="00B069A5">
      <w:pPr>
        <w:pStyle w:val="Heading1"/>
        <w:spacing w:line="360" w:lineRule="auto"/>
        <w:rPr>
          <w:b/>
          <w:bCs/>
        </w:rPr>
      </w:pPr>
    </w:p>
    <w:bookmarkEnd w:id="7"/>
    <w:p w14:paraId="473B6F40" w14:textId="47B2F136" w:rsidR="004112B0" w:rsidRPr="00B069A5" w:rsidRDefault="004112B0" w:rsidP="00B069A5">
      <w:pPr>
        <w:pStyle w:val="Heading1"/>
        <w:spacing w:line="360" w:lineRule="auto"/>
        <w:rPr>
          <w:b/>
          <w:bCs/>
        </w:rPr>
      </w:pPr>
    </w:p>
    <w:p w14:paraId="195B9F5D" w14:textId="5EED9649" w:rsidR="002C7250" w:rsidRDefault="002C7250" w:rsidP="00B069A5">
      <w:pPr>
        <w:spacing w:line="360" w:lineRule="auto"/>
        <w:rPr>
          <w:szCs w:val="22"/>
        </w:rPr>
      </w:pPr>
    </w:p>
    <w:p w14:paraId="17909B45" w14:textId="55BDB928" w:rsidR="002C7250" w:rsidRDefault="002C7250" w:rsidP="00B069A5">
      <w:pPr>
        <w:spacing w:line="360" w:lineRule="auto"/>
        <w:rPr>
          <w:szCs w:val="22"/>
        </w:rPr>
      </w:pPr>
    </w:p>
    <w:p w14:paraId="58497804" w14:textId="040E9438" w:rsidR="002C7250" w:rsidRPr="00B069A5" w:rsidRDefault="002C7250" w:rsidP="002C7250">
      <w:pPr>
        <w:pStyle w:val="Heading1"/>
        <w:spacing w:line="360" w:lineRule="auto"/>
        <w:rPr>
          <w:b/>
          <w:bCs/>
        </w:rPr>
      </w:pPr>
      <w:r w:rsidRPr="00B069A5">
        <w:rPr>
          <w:b/>
          <w:bCs/>
        </w:rPr>
        <w:lastRenderedPageBreak/>
        <w:t>Reference List</w:t>
      </w:r>
    </w:p>
    <w:p w14:paraId="4E27B999" w14:textId="12D9A877" w:rsidR="004112B0" w:rsidRPr="00CB3906" w:rsidRDefault="00000000" w:rsidP="00B069A5">
      <w:pPr>
        <w:spacing w:line="360" w:lineRule="auto"/>
        <w:rPr>
          <w:szCs w:val="22"/>
        </w:rPr>
      </w:pPr>
      <w:r w:rsidRPr="00CB3906">
        <w:rPr>
          <w:szCs w:val="22"/>
        </w:rPr>
        <w:t xml:space="preserve">Arnold, R.D. and Wade, J.P. (2015) ‘A definition of systems thinking: a systems approach’, </w:t>
      </w:r>
      <w:r w:rsidRPr="00CB3906">
        <w:rPr>
          <w:i/>
          <w:iCs/>
          <w:szCs w:val="22"/>
        </w:rPr>
        <w:t>Procedia Computer Science</w:t>
      </w:r>
      <w:r w:rsidRPr="00CB3906">
        <w:rPr>
          <w:szCs w:val="22"/>
        </w:rPr>
        <w:t>, 44, pp. 669</w:t>
      </w:r>
      <w:r w:rsidR="00B069A5">
        <w:rPr>
          <w:szCs w:val="22"/>
        </w:rPr>
        <w:t>-</w:t>
      </w:r>
      <w:r w:rsidRPr="00CB3906">
        <w:rPr>
          <w:szCs w:val="22"/>
        </w:rPr>
        <w:t>678.</w:t>
      </w:r>
    </w:p>
    <w:p w14:paraId="65080A22" w14:textId="326C28CF" w:rsidR="004112B0" w:rsidRPr="00CB3906" w:rsidRDefault="00000000" w:rsidP="00B069A5">
      <w:pPr>
        <w:spacing w:line="360" w:lineRule="auto"/>
        <w:rPr>
          <w:szCs w:val="22"/>
        </w:rPr>
      </w:pPr>
      <w:r w:rsidRPr="00CB3906">
        <w:rPr>
          <w:szCs w:val="22"/>
        </w:rPr>
        <w:t xml:space="preserve">Best, A., Greenhalgh, T., Lewis, S., Saul, J., Carroll, S. and Bitz, J. (2023) ‘Large-system transformation in healthcare: a realist review’, </w:t>
      </w:r>
      <w:r w:rsidRPr="00CB3906">
        <w:rPr>
          <w:i/>
          <w:iCs/>
          <w:szCs w:val="22"/>
        </w:rPr>
        <w:t>The Milbank Quarterly</w:t>
      </w:r>
      <w:r w:rsidRPr="00CB3906">
        <w:rPr>
          <w:szCs w:val="22"/>
        </w:rPr>
        <w:t>, 101(1), pp. 45</w:t>
      </w:r>
      <w:r w:rsidR="00B069A5">
        <w:rPr>
          <w:szCs w:val="22"/>
        </w:rPr>
        <w:t>-</w:t>
      </w:r>
      <w:r w:rsidRPr="00CB3906">
        <w:rPr>
          <w:szCs w:val="22"/>
        </w:rPr>
        <w:t>78.</w:t>
      </w:r>
    </w:p>
    <w:p w14:paraId="0079953E" w14:textId="424D01AE" w:rsidR="004112B0" w:rsidRPr="00CB3906" w:rsidRDefault="00000000" w:rsidP="00B069A5">
      <w:pPr>
        <w:spacing w:line="360" w:lineRule="auto"/>
        <w:rPr>
          <w:szCs w:val="22"/>
        </w:rPr>
      </w:pPr>
      <w:r w:rsidRPr="00CB3906">
        <w:rPr>
          <w:szCs w:val="22"/>
        </w:rPr>
        <w:t xml:space="preserve">Boamah, S.A., Hamadi, H.Y., Havaei, F., Smith, H. and Webb, F. (2022) ‘Effective leadership and patient safety outcomes in healthcare organisations: a systematic review’, </w:t>
      </w:r>
      <w:r w:rsidRPr="00CB3906">
        <w:rPr>
          <w:i/>
          <w:iCs/>
          <w:szCs w:val="22"/>
        </w:rPr>
        <w:t>Journal of Advanced Nursing</w:t>
      </w:r>
      <w:r w:rsidRPr="00CB3906">
        <w:rPr>
          <w:szCs w:val="22"/>
        </w:rPr>
        <w:t>, 78(8), pp. 2275</w:t>
      </w:r>
      <w:r w:rsidR="00B069A5">
        <w:rPr>
          <w:szCs w:val="22"/>
        </w:rPr>
        <w:t>-</w:t>
      </w:r>
      <w:r w:rsidRPr="00CB3906">
        <w:rPr>
          <w:szCs w:val="22"/>
        </w:rPr>
        <w:t>2290.</w:t>
      </w:r>
    </w:p>
    <w:p w14:paraId="535F2BA9" w14:textId="77777777" w:rsidR="004112B0" w:rsidRPr="00CB3906" w:rsidRDefault="00000000" w:rsidP="00B069A5">
      <w:pPr>
        <w:spacing w:line="360" w:lineRule="auto"/>
        <w:rPr>
          <w:szCs w:val="22"/>
        </w:rPr>
      </w:pPr>
      <w:r w:rsidRPr="00CB3906">
        <w:rPr>
          <w:szCs w:val="22"/>
        </w:rPr>
        <w:t xml:space="preserve">Bolden, R. (2021) </w:t>
      </w:r>
      <w:r w:rsidRPr="00CB3906">
        <w:rPr>
          <w:i/>
          <w:iCs/>
          <w:szCs w:val="22"/>
        </w:rPr>
        <w:t>Distributed Leadership in Health Care: Concepts and Practice</w:t>
      </w:r>
      <w:r w:rsidRPr="00CB3906">
        <w:rPr>
          <w:szCs w:val="22"/>
        </w:rPr>
        <w:t>. London: Routledge.</w:t>
      </w:r>
    </w:p>
    <w:p w14:paraId="051ADED2" w14:textId="66C76411" w:rsidR="004112B0" w:rsidRPr="00CB3906" w:rsidRDefault="00000000" w:rsidP="00B069A5">
      <w:pPr>
        <w:spacing w:line="360" w:lineRule="auto"/>
        <w:rPr>
          <w:szCs w:val="22"/>
        </w:rPr>
      </w:pPr>
      <w:r w:rsidRPr="00CB3906">
        <w:rPr>
          <w:szCs w:val="22"/>
        </w:rPr>
        <w:t xml:space="preserve">Braithwaite, J., Testa, L., Lamprell, G. and Herkes, J. (2021) ‘Built to adapt: complexity and healthcare system resilience’, </w:t>
      </w:r>
      <w:r w:rsidRPr="00CB3906">
        <w:rPr>
          <w:i/>
          <w:iCs/>
          <w:szCs w:val="22"/>
        </w:rPr>
        <w:t>International Journal for Quality in Health Care</w:t>
      </w:r>
      <w:r w:rsidRPr="00CB3906">
        <w:rPr>
          <w:szCs w:val="22"/>
        </w:rPr>
        <w:t>, 33(Suppl. 1), pp. 1</w:t>
      </w:r>
      <w:r w:rsidR="00B069A5">
        <w:rPr>
          <w:szCs w:val="22"/>
        </w:rPr>
        <w:t>-</w:t>
      </w:r>
      <w:r w:rsidRPr="00CB3906">
        <w:rPr>
          <w:szCs w:val="22"/>
        </w:rPr>
        <w:t>6.</w:t>
      </w:r>
    </w:p>
    <w:p w14:paraId="72E2D6DB" w14:textId="77777777" w:rsidR="004112B0" w:rsidRPr="00CB3906" w:rsidRDefault="00000000" w:rsidP="00B069A5">
      <w:pPr>
        <w:spacing w:line="360" w:lineRule="auto"/>
        <w:rPr>
          <w:szCs w:val="22"/>
        </w:rPr>
      </w:pPr>
      <w:r w:rsidRPr="00CB3906">
        <w:rPr>
          <w:szCs w:val="22"/>
        </w:rPr>
        <w:t xml:space="preserve">Coulter, A. (2022) </w:t>
      </w:r>
      <w:r w:rsidRPr="00CB3906">
        <w:rPr>
          <w:i/>
          <w:iCs/>
          <w:szCs w:val="22"/>
        </w:rPr>
        <w:t>Engaging Patients in Healthcare Improvement: A Review of Evidence</w:t>
      </w:r>
      <w:r w:rsidRPr="00CB3906">
        <w:rPr>
          <w:szCs w:val="22"/>
        </w:rPr>
        <w:t>. London: The King's Fund.</w:t>
      </w:r>
    </w:p>
    <w:p w14:paraId="03599516" w14:textId="77777777" w:rsidR="004112B0" w:rsidRPr="00CB3906" w:rsidRDefault="00000000" w:rsidP="00B069A5">
      <w:pPr>
        <w:spacing w:line="360" w:lineRule="auto"/>
        <w:rPr>
          <w:szCs w:val="22"/>
        </w:rPr>
      </w:pPr>
      <w:r w:rsidRPr="00CB3906">
        <w:rPr>
          <w:szCs w:val="22"/>
        </w:rPr>
        <w:t xml:space="preserve">Currie, G. and Spyridonidis, D. (2020) </w:t>
      </w:r>
      <w:r w:rsidRPr="00CB3906">
        <w:rPr>
          <w:i/>
          <w:iCs/>
          <w:szCs w:val="22"/>
        </w:rPr>
        <w:t>Management and Organisation in Healthcare</w:t>
      </w:r>
      <w:r w:rsidRPr="00CB3906">
        <w:rPr>
          <w:szCs w:val="22"/>
        </w:rPr>
        <w:t>. 3rd edn. London: Routledge.</w:t>
      </w:r>
    </w:p>
    <w:p w14:paraId="1EB9147B" w14:textId="3C7B7981" w:rsidR="004112B0" w:rsidRPr="00CB3906" w:rsidRDefault="00000000" w:rsidP="00B069A5">
      <w:pPr>
        <w:spacing w:line="360" w:lineRule="auto"/>
        <w:rPr>
          <w:szCs w:val="22"/>
        </w:rPr>
      </w:pPr>
      <w:r w:rsidRPr="00CB3906">
        <w:rPr>
          <w:szCs w:val="22"/>
        </w:rPr>
        <w:t xml:space="preserve">Elliott, R.A., Camacho, E., Campbell, F., Jankovic, D., Martyn-St James, M., Kaltenthaler, E., Wong, R., Sculpher, M., Faria, R., Elliott, R. and Payne, K. (2021) ‘Prevalence and economic burden of medication errors in the NHS in England’, </w:t>
      </w:r>
      <w:r w:rsidRPr="00CB3906">
        <w:rPr>
          <w:i/>
          <w:iCs/>
          <w:szCs w:val="22"/>
        </w:rPr>
        <w:t>BMJ Quality &amp; Safety</w:t>
      </w:r>
      <w:r w:rsidRPr="00CB3906">
        <w:rPr>
          <w:szCs w:val="22"/>
        </w:rPr>
        <w:t>, 30(2), pp. 96</w:t>
      </w:r>
      <w:r w:rsidR="00B069A5">
        <w:rPr>
          <w:szCs w:val="22"/>
        </w:rPr>
        <w:t>-</w:t>
      </w:r>
      <w:r w:rsidRPr="00CB3906">
        <w:rPr>
          <w:szCs w:val="22"/>
        </w:rPr>
        <w:t>105.</w:t>
      </w:r>
    </w:p>
    <w:p w14:paraId="3D5381F5" w14:textId="77777777" w:rsidR="004112B0" w:rsidRPr="00CB3906" w:rsidRDefault="00000000" w:rsidP="00B069A5">
      <w:pPr>
        <w:spacing w:line="360" w:lineRule="auto"/>
        <w:rPr>
          <w:szCs w:val="22"/>
        </w:rPr>
      </w:pPr>
      <w:r w:rsidRPr="00CB3906">
        <w:rPr>
          <w:szCs w:val="22"/>
        </w:rPr>
        <w:t xml:space="preserve">Exworthy, M. and Powell, M. (2022) </w:t>
      </w:r>
      <w:r w:rsidRPr="00CB3906">
        <w:rPr>
          <w:i/>
          <w:iCs/>
          <w:szCs w:val="22"/>
        </w:rPr>
        <w:t>Decentralisation and Health Governance in Modern Healthcare Systems</w:t>
      </w:r>
      <w:r w:rsidRPr="00CB3906">
        <w:rPr>
          <w:szCs w:val="22"/>
        </w:rPr>
        <w:t>. Bristol: Policy Press.</w:t>
      </w:r>
    </w:p>
    <w:p w14:paraId="47AD7496" w14:textId="77777777" w:rsidR="004112B0" w:rsidRPr="00CB3906" w:rsidRDefault="00000000" w:rsidP="00B069A5">
      <w:pPr>
        <w:spacing w:line="360" w:lineRule="auto"/>
        <w:rPr>
          <w:szCs w:val="22"/>
        </w:rPr>
      </w:pPr>
      <w:r w:rsidRPr="00CB3906">
        <w:rPr>
          <w:szCs w:val="22"/>
        </w:rPr>
        <w:t xml:space="preserve">Goleman, D., Boyatzis, R. and McKee, A. (2019) </w:t>
      </w:r>
      <w:r w:rsidRPr="00CB3906">
        <w:rPr>
          <w:i/>
          <w:iCs/>
          <w:szCs w:val="22"/>
        </w:rPr>
        <w:t>Primal Leadership: Unleashing the Power of Emotional Intelligence</w:t>
      </w:r>
      <w:r w:rsidRPr="00CB3906">
        <w:rPr>
          <w:szCs w:val="22"/>
        </w:rPr>
        <w:t>. Updated edn. Boston: Harvard Business Review Press.</w:t>
      </w:r>
    </w:p>
    <w:p w14:paraId="645E7D80" w14:textId="77777777" w:rsidR="004112B0" w:rsidRPr="00CB3906" w:rsidRDefault="00000000" w:rsidP="00B069A5">
      <w:pPr>
        <w:spacing w:line="360" w:lineRule="auto"/>
        <w:rPr>
          <w:szCs w:val="22"/>
        </w:rPr>
      </w:pPr>
      <w:r w:rsidRPr="00CB3906">
        <w:rPr>
          <w:szCs w:val="22"/>
        </w:rPr>
        <w:t xml:space="preserve">Griffiths, P., Saville, C., Ball, J. and Jones, J. (2023) ‘Nurse staffing, patient outcomes and patient safety: a systematic review of evidence’, </w:t>
      </w:r>
      <w:r w:rsidRPr="00CB3906">
        <w:rPr>
          <w:i/>
          <w:iCs/>
          <w:szCs w:val="22"/>
        </w:rPr>
        <w:t>International Journal of Nursing Studies</w:t>
      </w:r>
      <w:r w:rsidRPr="00CB3906">
        <w:rPr>
          <w:szCs w:val="22"/>
        </w:rPr>
        <w:t>, 141, 104457.</w:t>
      </w:r>
    </w:p>
    <w:p w14:paraId="18017DA1" w14:textId="77777777" w:rsidR="004112B0" w:rsidRPr="00CB3906" w:rsidRDefault="00000000" w:rsidP="00B069A5">
      <w:pPr>
        <w:spacing w:line="360" w:lineRule="auto"/>
        <w:rPr>
          <w:szCs w:val="22"/>
        </w:rPr>
      </w:pPr>
      <w:r w:rsidRPr="00CB3906">
        <w:rPr>
          <w:szCs w:val="22"/>
        </w:rPr>
        <w:t xml:space="preserve">Heifetz, R. and Linsky, M. (2017) </w:t>
      </w:r>
      <w:r w:rsidRPr="00CB3906">
        <w:rPr>
          <w:i/>
          <w:iCs/>
          <w:szCs w:val="22"/>
        </w:rPr>
        <w:t>Leadership on the Line: Staying Alive Through the Dangers of Change</w:t>
      </w:r>
      <w:r w:rsidRPr="00CB3906">
        <w:rPr>
          <w:szCs w:val="22"/>
        </w:rPr>
        <w:t>. Boston: Harvard Business School Press.</w:t>
      </w:r>
    </w:p>
    <w:p w14:paraId="0C3D5312" w14:textId="77777777" w:rsidR="004112B0" w:rsidRPr="00CB3906" w:rsidRDefault="00000000" w:rsidP="00B069A5">
      <w:pPr>
        <w:spacing w:line="360" w:lineRule="auto"/>
        <w:rPr>
          <w:szCs w:val="22"/>
        </w:rPr>
      </w:pPr>
      <w:r w:rsidRPr="00CB3906">
        <w:rPr>
          <w:szCs w:val="22"/>
        </w:rPr>
        <w:t xml:space="preserve">Hersey, P., Blanchard, K.H. and Johnson, D.E. (2013) </w:t>
      </w:r>
      <w:r w:rsidRPr="00CB3906">
        <w:rPr>
          <w:i/>
          <w:iCs/>
          <w:szCs w:val="22"/>
        </w:rPr>
        <w:t>Management of Organizational Behavior</w:t>
      </w:r>
      <w:r w:rsidRPr="00CB3906">
        <w:rPr>
          <w:szCs w:val="22"/>
        </w:rPr>
        <w:t>. 10th edn. Harlow: Pearson Education.</w:t>
      </w:r>
    </w:p>
    <w:p w14:paraId="27A89B41" w14:textId="77777777" w:rsidR="004112B0" w:rsidRPr="00CB3906" w:rsidRDefault="00000000" w:rsidP="00B069A5">
      <w:pPr>
        <w:spacing w:line="360" w:lineRule="auto"/>
        <w:rPr>
          <w:szCs w:val="22"/>
        </w:rPr>
      </w:pPr>
      <w:r w:rsidRPr="00CB3906">
        <w:rPr>
          <w:szCs w:val="22"/>
        </w:rPr>
        <w:t xml:space="preserve">Health Services Safety Investigations Body (HSSIB) (2024) </w:t>
      </w:r>
      <w:r w:rsidRPr="00CB3906">
        <w:rPr>
          <w:i/>
          <w:iCs/>
          <w:szCs w:val="22"/>
        </w:rPr>
        <w:t>Medication-related Harm Investigation: Patient X</w:t>
      </w:r>
      <w:r w:rsidRPr="00CB3906">
        <w:rPr>
          <w:szCs w:val="22"/>
        </w:rPr>
        <w:t xml:space="preserve">. Available at: </w:t>
      </w:r>
      <w:hyperlink r:id="rId10" w:history="1">
        <w:r w:rsidR="004112B0" w:rsidRPr="00CB3906">
          <w:rPr>
            <w:rStyle w:val="Hyperlink"/>
            <w:szCs w:val="22"/>
          </w:rPr>
          <w:t>https://www.hssib.org.uk/patient-safety-investigations/medication-related-harm/</w:t>
        </w:r>
      </w:hyperlink>
      <w:r w:rsidRPr="00CB3906">
        <w:rPr>
          <w:szCs w:val="22"/>
        </w:rPr>
        <w:t xml:space="preserve"> (Accessed: 23 June 2026).</w:t>
      </w:r>
    </w:p>
    <w:p w14:paraId="0A58CB8F" w14:textId="28D6C35C" w:rsidR="004112B0" w:rsidRPr="00CB3906" w:rsidRDefault="00000000" w:rsidP="00B069A5">
      <w:pPr>
        <w:spacing w:line="360" w:lineRule="auto"/>
        <w:rPr>
          <w:szCs w:val="22"/>
        </w:rPr>
      </w:pPr>
      <w:r w:rsidRPr="00CB3906">
        <w:rPr>
          <w:szCs w:val="22"/>
        </w:rPr>
        <w:t xml:space="preserve">Lavan, A.H., Gallagher, P. and O’Mahony, D. (2022) ‘Preventing medication-related harm in older patients’, </w:t>
      </w:r>
      <w:r w:rsidRPr="00CB3906">
        <w:rPr>
          <w:i/>
          <w:iCs/>
          <w:szCs w:val="22"/>
        </w:rPr>
        <w:t>Age and Ageing</w:t>
      </w:r>
      <w:r w:rsidRPr="00CB3906">
        <w:rPr>
          <w:szCs w:val="22"/>
        </w:rPr>
        <w:t>, 51(1), pp. 1</w:t>
      </w:r>
      <w:r w:rsidR="00B069A5">
        <w:rPr>
          <w:szCs w:val="22"/>
        </w:rPr>
        <w:t>-</w:t>
      </w:r>
      <w:r w:rsidRPr="00CB3906">
        <w:rPr>
          <w:szCs w:val="22"/>
        </w:rPr>
        <w:t>9.</w:t>
      </w:r>
    </w:p>
    <w:p w14:paraId="0B85D03E" w14:textId="77777777" w:rsidR="004112B0" w:rsidRPr="00CB3906" w:rsidRDefault="00000000" w:rsidP="00B069A5">
      <w:pPr>
        <w:spacing w:line="360" w:lineRule="auto"/>
        <w:rPr>
          <w:szCs w:val="22"/>
        </w:rPr>
      </w:pPr>
      <w:r w:rsidRPr="00CB3906">
        <w:rPr>
          <w:szCs w:val="22"/>
        </w:rPr>
        <w:t xml:space="preserve">Mannion, R. and Davies, H. (2023) </w:t>
      </w:r>
      <w:r w:rsidRPr="00CB3906">
        <w:rPr>
          <w:i/>
          <w:iCs/>
          <w:szCs w:val="22"/>
        </w:rPr>
        <w:t>Understanding Organisational Governance in Healthcare</w:t>
      </w:r>
      <w:r w:rsidRPr="00CB3906">
        <w:rPr>
          <w:szCs w:val="22"/>
        </w:rPr>
        <w:t>. London: Routledge.</w:t>
      </w:r>
    </w:p>
    <w:p w14:paraId="2792A335" w14:textId="77777777" w:rsidR="004112B0" w:rsidRPr="00CB3906" w:rsidRDefault="00000000" w:rsidP="00B069A5">
      <w:pPr>
        <w:spacing w:line="360" w:lineRule="auto"/>
        <w:rPr>
          <w:szCs w:val="22"/>
        </w:rPr>
      </w:pPr>
      <w:r w:rsidRPr="00CB3906">
        <w:rPr>
          <w:szCs w:val="22"/>
        </w:rPr>
        <w:lastRenderedPageBreak/>
        <w:t xml:space="preserve">Mannion, R. and Exworthy, M. (2023) </w:t>
      </w:r>
      <w:r w:rsidRPr="00CB3906">
        <w:rPr>
          <w:i/>
          <w:iCs/>
          <w:szCs w:val="22"/>
        </w:rPr>
        <w:t>Managing Health Services: Organisation, Leadership and Change</w:t>
      </w:r>
      <w:r w:rsidRPr="00CB3906">
        <w:rPr>
          <w:szCs w:val="22"/>
        </w:rPr>
        <w:t>. 3rd edn. London: Routledge.</w:t>
      </w:r>
    </w:p>
    <w:p w14:paraId="3F8BE313" w14:textId="77777777" w:rsidR="004112B0" w:rsidRPr="00CB3906" w:rsidRDefault="00000000" w:rsidP="00B069A5">
      <w:pPr>
        <w:spacing w:line="360" w:lineRule="auto"/>
        <w:rPr>
          <w:szCs w:val="22"/>
        </w:rPr>
      </w:pPr>
      <w:r w:rsidRPr="00CB3906">
        <w:rPr>
          <w:szCs w:val="22"/>
        </w:rPr>
        <w:t xml:space="preserve">National Institute for Health and Care Excellence (NICE) (2021) </w:t>
      </w:r>
      <w:r w:rsidRPr="00CB3906">
        <w:rPr>
          <w:i/>
          <w:iCs/>
          <w:szCs w:val="22"/>
        </w:rPr>
        <w:t>Atrial Fibrillation: Diagnosis and Management (NG196)</w:t>
      </w:r>
      <w:r w:rsidRPr="00CB3906">
        <w:rPr>
          <w:szCs w:val="22"/>
        </w:rPr>
        <w:t xml:space="preserve">. London: NICE. Available at: </w:t>
      </w:r>
      <w:hyperlink r:id="rId11" w:history="1">
        <w:r w:rsidR="004112B0" w:rsidRPr="00CB3906">
          <w:rPr>
            <w:rStyle w:val="Hyperlink"/>
            <w:szCs w:val="22"/>
          </w:rPr>
          <w:t>https://www.nice.org.uk/guidance/ng196</w:t>
        </w:r>
      </w:hyperlink>
      <w:r w:rsidRPr="00CB3906">
        <w:rPr>
          <w:szCs w:val="22"/>
        </w:rPr>
        <w:t xml:space="preserve"> (Accessed: 23 June 2026).</w:t>
      </w:r>
    </w:p>
    <w:p w14:paraId="749319EE" w14:textId="77777777" w:rsidR="004112B0" w:rsidRPr="00CB3906" w:rsidRDefault="00000000" w:rsidP="00B069A5">
      <w:pPr>
        <w:spacing w:line="360" w:lineRule="auto"/>
        <w:rPr>
          <w:szCs w:val="22"/>
        </w:rPr>
      </w:pPr>
      <w:r w:rsidRPr="00CB3906">
        <w:rPr>
          <w:szCs w:val="22"/>
        </w:rPr>
        <w:t xml:space="preserve">NHS England (2023) </w:t>
      </w:r>
      <w:r w:rsidRPr="00CB3906">
        <w:rPr>
          <w:i/>
          <w:iCs/>
          <w:szCs w:val="22"/>
        </w:rPr>
        <w:t>National Patient Safety Alert: Anticoagulant Safety</w:t>
      </w:r>
      <w:r w:rsidRPr="00CB3906">
        <w:rPr>
          <w:szCs w:val="22"/>
        </w:rPr>
        <w:t>. London: NHS England.</w:t>
      </w:r>
    </w:p>
    <w:p w14:paraId="4A56AAFC" w14:textId="77777777" w:rsidR="004112B0" w:rsidRPr="00CB3906" w:rsidRDefault="00000000" w:rsidP="00B069A5">
      <w:pPr>
        <w:spacing w:line="360" w:lineRule="auto"/>
        <w:rPr>
          <w:szCs w:val="22"/>
        </w:rPr>
      </w:pPr>
      <w:r w:rsidRPr="00CB3906">
        <w:rPr>
          <w:szCs w:val="22"/>
        </w:rPr>
        <w:t xml:space="preserve">NHS England (2024) </w:t>
      </w:r>
      <w:r w:rsidRPr="00CB3906">
        <w:rPr>
          <w:i/>
          <w:iCs/>
          <w:szCs w:val="22"/>
        </w:rPr>
        <w:t>Patient Safety Incident Response Framework (PSIRF)</w:t>
      </w:r>
      <w:r w:rsidRPr="00CB3906">
        <w:rPr>
          <w:szCs w:val="22"/>
        </w:rPr>
        <w:t>. London: NHS England.</w:t>
      </w:r>
    </w:p>
    <w:p w14:paraId="79EA5232" w14:textId="77777777" w:rsidR="004112B0" w:rsidRPr="00CB3906" w:rsidRDefault="00000000" w:rsidP="00B069A5">
      <w:pPr>
        <w:spacing w:line="360" w:lineRule="auto"/>
        <w:rPr>
          <w:szCs w:val="22"/>
        </w:rPr>
      </w:pPr>
      <w:r w:rsidRPr="00CB3906">
        <w:rPr>
          <w:szCs w:val="22"/>
        </w:rPr>
        <w:t xml:space="preserve">NHS England (2024) </w:t>
      </w:r>
      <w:r w:rsidRPr="00CB3906">
        <w:rPr>
          <w:i/>
          <w:iCs/>
          <w:szCs w:val="22"/>
        </w:rPr>
        <w:t>NHS Staff Survey and Workforce Statistics</w:t>
      </w:r>
      <w:r w:rsidRPr="00CB3906">
        <w:rPr>
          <w:szCs w:val="22"/>
        </w:rPr>
        <w:t>. London: NHS England.</w:t>
      </w:r>
    </w:p>
    <w:p w14:paraId="2D604166" w14:textId="77777777" w:rsidR="004112B0" w:rsidRPr="00CB3906" w:rsidRDefault="00000000" w:rsidP="00B069A5">
      <w:pPr>
        <w:spacing w:line="360" w:lineRule="auto"/>
        <w:rPr>
          <w:szCs w:val="22"/>
        </w:rPr>
      </w:pPr>
      <w:r w:rsidRPr="00CB3906">
        <w:rPr>
          <w:szCs w:val="22"/>
        </w:rPr>
        <w:t xml:space="preserve">Northouse, P.G. (2022) </w:t>
      </w:r>
      <w:r w:rsidRPr="00CB3906">
        <w:rPr>
          <w:i/>
          <w:iCs/>
          <w:szCs w:val="22"/>
        </w:rPr>
        <w:t>Leadership: Theory and Practice</w:t>
      </w:r>
      <w:r w:rsidRPr="00CB3906">
        <w:rPr>
          <w:szCs w:val="22"/>
        </w:rPr>
        <w:t>. 9th edn. Thousand Oaks, CA: Sage Publications.</w:t>
      </w:r>
    </w:p>
    <w:p w14:paraId="60B9BBFF" w14:textId="77777777" w:rsidR="004112B0" w:rsidRPr="00CB3906" w:rsidRDefault="00000000" w:rsidP="00B069A5">
      <w:pPr>
        <w:spacing w:line="360" w:lineRule="auto"/>
        <w:rPr>
          <w:szCs w:val="22"/>
        </w:rPr>
      </w:pPr>
      <w:r w:rsidRPr="00CB3906">
        <w:rPr>
          <w:szCs w:val="22"/>
        </w:rPr>
        <w:t xml:space="preserve">Organisation for Economic Co-operation and Development (OECD) (2023) </w:t>
      </w:r>
      <w:r w:rsidRPr="00CB3906">
        <w:rPr>
          <w:i/>
          <w:iCs/>
          <w:szCs w:val="22"/>
        </w:rPr>
        <w:t>Health at a Glance 2023: OECD Indicators</w:t>
      </w:r>
      <w:r w:rsidRPr="00CB3906">
        <w:rPr>
          <w:szCs w:val="22"/>
        </w:rPr>
        <w:t>. Paris: OECD Publishing.</w:t>
      </w:r>
    </w:p>
    <w:p w14:paraId="506E0C96" w14:textId="7E286C16" w:rsidR="004112B0" w:rsidRPr="00CB3906" w:rsidRDefault="00000000" w:rsidP="00B069A5">
      <w:pPr>
        <w:spacing w:line="360" w:lineRule="auto"/>
        <w:rPr>
          <w:szCs w:val="22"/>
        </w:rPr>
      </w:pPr>
      <w:r w:rsidRPr="00CB3906">
        <w:rPr>
          <w:szCs w:val="22"/>
        </w:rPr>
        <w:t xml:space="preserve">Reason, J. (2000) ‘Human error: models and management’, </w:t>
      </w:r>
      <w:r w:rsidRPr="00CB3906">
        <w:rPr>
          <w:i/>
          <w:iCs/>
          <w:szCs w:val="22"/>
        </w:rPr>
        <w:t>BMJ</w:t>
      </w:r>
      <w:r w:rsidRPr="00CB3906">
        <w:rPr>
          <w:szCs w:val="22"/>
        </w:rPr>
        <w:t>, 320(7237), pp. 768</w:t>
      </w:r>
      <w:r w:rsidR="00B069A5">
        <w:rPr>
          <w:szCs w:val="22"/>
        </w:rPr>
        <w:t>-</w:t>
      </w:r>
      <w:r w:rsidRPr="00CB3906">
        <w:rPr>
          <w:szCs w:val="22"/>
        </w:rPr>
        <w:t>770.</w:t>
      </w:r>
    </w:p>
    <w:p w14:paraId="28E5C65D" w14:textId="522B95A8" w:rsidR="004112B0" w:rsidRPr="00CB3906" w:rsidRDefault="00000000" w:rsidP="00B069A5">
      <w:pPr>
        <w:spacing w:line="360" w:lineRule="auto"/>
        <w:rPr>
          <w:szCs w:val="22"/>
        </w:rPr>
      </w:pPr>
      <w:r w:rsidRPr="00CB3906">
        <w:rPr>
          <w:szCs w:val="22"/>
        </w:rPr>
        <w:t xml:space="preserve">Steffel, J., Collins, R., Antz, M., Cornu, P., Desteghe, L., Haeusler, K.G., Oldgren, J., Reinecke, H., Roldán-Schilling, V., Rowell, N. and Camm, A.J. (2021) ‘2021 European Heart Rhythm Association practical guide on the use of non-vitamin K antagonist oral anticoagulants in patients with atrial fibrillation’, </w:t>
      </w:r>
      <w:r w:rsidRPr="00CB3906">
        <w:rPr>
          <w:i/>
          <w:iCs/>
          <w:szCs w:val="22"/>
        </w:rPr>
        <w:t>Europace</w:t>
      </w:r>
      <w:r w:rsidRPr="00CB3906">
        <w:rPr>
          <w:szCs w:val="22"/>
        </w:rPr>
        <w:t>, 23(10), pp. 1612</w:t>
      </w:r>
      <w:r w:rsidR="00B069A5">
        <w:rPr>
          <w:szCs w:val="22"/>
        </w:rPr>
        <w:t>-</w:t>
      </w:r>
      <w:r w:rsidRPr="00CB3906">
        <w:rPr>
          <w:szCs w:val="22"/>
        </w:rPr>
        <w:t>1676.</w:t>
      </w:r>
    </w:p>
    <w:p w14:paraId="11F79888" w14:textId="77777777" w:rsidR="004112B0" w:rsidRPr="00CB3906" w:rsidRDefault="00000000" w:rsidP="00B069A5">
      <w:pPr>
        <w:spacing w:line="360" w:lineRule="auto"/>
        <w:rPr>
          <w:szCs w:val="22"/>
        </w:rPr>
      </w:pPr>
      <w:r w:rsidRPr="00CB3906">
        <w:rPr>
          <w:szCs w:val="22"/>
        </w:rPr>
        <w:t xml:space="preserve">Storey, J. and Holti, R. (2023) </w:t>
      </w:r>
      <w:r w:rsidRPr="00CB3906">
        <w:rPr>
          <w:i/>
          <w:iCs/>
          <w:szCs w:val="22"/>
        </w:rPr>
        <w:t>Leadership in Healthcare: Contemporary Perspectives</w:t>
      </w:r>
      <w:r w:rsidRPr="00CB3906">
        <w:rPr>
          <w:szCs w:val="22"/>
        </w:rPr>
        <w:t>. London: Palgrave Macmillan.</w:t>
      </w:r>
    </w:p>
    <w:p w14:paraId="62A35C77" w14:textId="77777777" w:rsidR="004112B0" w:rsidRPr="00CB3906" w:rsidRDefault="00000000" w:rsidP="00B069A5">
      <w:pPr>
        <w:spacing w:line="360" w:lineRule="auto"/>
        <w:rPr>
          <w:szCs w:val="22"/>
        </w:rPr>
      </w:pPr>
      <w:r w:rsidRPr="00CB3906">
        <w:rPr>
          <w:szCs w:val="22"/>
        </w:rPr>
        <w:t xml:space="preserve">Waring, J. and Bishop, S. (2022) ‘Beyond compliance: patient safety culture and organisational learning in healthcare’, </w:t>
      </w:r>
      <w:r w:rsidRPr="00CB3906">
        <w:rPr>
          <w:i/>
          <w:iCs/>
          <w:szCs w:val="22"/>
        </w:rPr>
        <w:t>Social Science &amp; Medicine</w:t>
      </w:r>
      <w:r w:rsidRPr="00CB3906">
        <w:rPr>
          <w:szCs w:val="22"/>
        </w:rPr>
        <w:t>, 310, 115262.</w:t>
      </w:r>
    </w:p>
    <w:p w14:paraId="301F30E0" w14:textId="77777777" w:rsidR="004112B0" w:rsidRPr="00CB3906" w:rsidRDefault="00000000" w:rsidP="00B069A5">
      <w:pPr>
        <w:spacing w:line="360" w:lineRule="auto"/>
        <w:rPr>
          <w:szCs w:val="22"/>
        </w:rPr>
      </w:pPr>
      <w:r w:rsidRPr="00CB3906">
        <w:rPr>
          <w:szCs w:val="22"/>
        </w:rPr>
        <w:t xml:space="preserve">West, M., Eckert, R., Collins, B. and Chowla, R. (2022) </w:t>
      </w:r>
      <w:r w:rsidRPr="00CB3906">
        <w:rPr>
          <w:i/>
          <w:iCs/>
          <w:szCs w:val="22"/>
        </w:rPr>
        <w:t>Caring to Change: How Compassionate Leadership Can Stimulate Innovation in Health Care</w:t>
      </w:r>
      <w:r w:rsidRPr="00CB3906">
        <w:rPr>
          <w:szCs w:val="22"/>
        </w:rPr>
        <w:t>. London: The King's Fund.</w:t>
      </w:r>
    </w:p>
    <w:p w14:paraId="37A2CD94" w14:textId="77777777" w:rsidR="004112B0" w:rsidRPr="00CB3906" w:rsidRDefault="00000000" w:rsidP="00B069A5">
      <w:pPr>
        <w:spacing w:line="360" w:lineRule="auto"/>
        <w:rPr>
          <w:szCs w:val="22"/>
        </w:rPr>
      </w:pPr>
      <w:r w:rsidRPr="00CB3906">
        <w:rPr>
          <w:szCs w:val="22"/>
        </w:rPr>
        <w:t xml:space="preserve">World Health Organization (WHO) (2022) </w:t>
      </w:r>
      <w:r w:rsidRPr="00CB3906">
        <w:rPr>
          <w:i/>
          <w:iCs/>
          <w:szCs w:val="22"/>
        </w:rPr>
        <w:t>Medication Without Harm: WHO Global Patient Safety Challenge Progress Report</w:t>
      </w:r>
      <w:r w:rsidRPr="00CB3906">
        <w:rPr>
          <w:szCs w:val="22"/>
        </w:rPr>
        <w:t>. Geneva: World Health Organization.</w:t>
      </w:r>
    </w:p>
    <w:p w14:paraId="7BB57630" w14:textId="77777777" w:rsidR="004112B0" w:rsidRPr="00CB3906" w:rsidRDefault="00000000" w:rsidP="00B069A5">
      <w:pPr>
        <w:spacing w:line="360" w:lineRule="auto"/>
        <w:rPr>
          <w:szCs w:val="22"/>
        </w:rPr>
      </w:pPr>
      <w:r w:rsidRPr="00CB3906">
        <w:rPr>
          <w:szCs w:val="22"/>
        </w:rPr>
        <w:t xml:space="preserve">World Health Organization (WHO) (2024) </w:t>
      </w:r>
      <w:r w:rsidRPr="00CB3906">
        <w:rPr>
          <w:i/>
          <w:iCs/>
          <w:szCs w:val="22"/>
        </w:rPr>
        <w:t>Global Patient Safety Report 2024</w:t>
      </w:r>
      <w:r w:rsidRPr="00CB3906">
        <w:rPr>
          <w:szCs w:val="22"/>
        </w:rPr>
        <w:t>. Geneva: World Health Organization.</w:t>
      </w:r>
    </w:p>
    <w:p w14:paraId="7B83FDF4" w14:textId="77777777" w:rsidR="004112B0" w:rsidRPr="00CB3906" w:rsidRDefault="004112B0" w:rsidP="00B069A5">
      <w:pPr>
        <w:spacing w:line="360" w:lineRule="auto"/>
        <w:rPr>
          <w:szCs w:val="22"/>
        </w:rPr>
      </w:pPr>
    </w:p>
    <w:sectPr w:rsidR="004112B0" w:rsidRPr="00CB3906" w:rsidSect="00496C3A">
      <w:pgSz w:w="11906" w:h="16838"/>
      <w:pgMar w:top="794" w:right="720" w:bottom="816" w:left="1134"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EA6F4" w14:textId="77777777" w:rsidR="002F4923" w:rsidRDefault="002F4923">
      <w:pPr>
        <w:spacing w:after="0" w:line="240" w:lineRule="auto"/>
      </w:pPr>
      <w:r>
        <w:separator/>
      </w:r>
    </w:p>
  </w:endnote>
  <w:endnote w:type="continuationSeparator" w:id="0">
    <w:p w14:paraId="50946E57" w14:textId="77777777" w:rsidR="002F4923" w:rsidRDefault="002F49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7CC5F" w14:textId="77777777" w:rsidR="002F4923" w:rsidRDefault="002F4923">
      <w:pPr>
        <w:spacing w:after="0" w:line="240" w:lineRule="auto"/>
      </w:pPr>
      <w:r>
        <w:rPr>
          <w:color w:val="000000"/>
        </w:rPr>
        <w:separator/>
      </w:r>
    </w:p>
  </w:footnote>
  <w:footnote w:type="continuationSeparator" w:id="0">
    <w:p w14:paraId="43E871FE" w14:textId="77777777" w:rsidR="002F4923" w:rsidRDefault="002F49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1472A"/>
    <w:multiLevelType w:val="multilevel"/>
    <w:tmpl w:val="CC4E897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170C5695"/>
    <w:multiLevelType w:val="multilevel"/>
    <w:tmpl w:val="A2341A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22861DC5"/>
    <w:multiLevelType w:val="multilevel"/>
    <w:tmpl w:val="865612B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2F3B1843"/>
    <w:multiLevelType w:val="multilevel"/>
    <w:tmpl w:val="F9607EC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2F4D4D17"/>
    <w:multiLevelType w:val="multilevel"/>
    <w:tmpl w:val="5D06166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32093291"/>
    <w:multiLevelType w:val="hybridMultilevel"/>
    <w:tmpl w:val="5DB0AF3E"/>
    <w:lvl w:ilvl="0" w:tplc="161A3B9C">
      <w:start w:val="1"/>
      <w:numFmt w:val="upperLetter"/>
      <w:lvlText w:val="%1."/>
      <w:lvlJc w:val="left"/>
      <w:pPr>
        <w:ind w:left="580" w:hanging="360"/>
      </w:pPr>
      <w:rPr>
        <w:rFonts w:eastAsia="Calibri" w:cs="Cordia New" w:hint="default"/>
        <w:b/>
        <w:color w:val="0563C1"/>
        <w:u w:val="single"/>
      </w:rPr>
    </w:lvl>
    <w:lvl w:ilvl="1" w:tplc="40090019" w:tentative="1">
      <w:start w:val="1"/>
      <w:numFmt w:val="lowerLetter"/>
      <w:lvlText w:val="%2."/>
      <w:lvlJc w:val="left"/>
      <w:pPr>
        <w:ind w:left="1300" w:hanging="360"/>
      </w:pPr>
    </w:lvl>
    <w:lvl w:ilvl="2" w:tplc="4009001B" w:tentative="1">
      <w:start w:val="1"/>
      <w:numFmt w:val="lowerRoman"/>
      <w:lvlText w:val="%3."/>
      <w:lvlJc w:val="right"/>
      <w:pPr>
        <w:ind w:left="2020" w:hanging="180"/>
      </w:pPr>
    </w:lvl>
    <w:lvl w:ilvl="3" w:tplc="4009000F" w:tentative="1">
      <w:start w:val="1"/>
      <w:numFmt w:val="decimal"/>
      <w:lvlText w:val="%4."/>
      <w:lvlJc w:val="left"/>
      <w:pPr>
        <w:ind w:left="2740" w:hanging="360"/>
      </w:pPr>
    </w:lvl>
    <w:lvl w:ilvl="4" w:tplc="40090019" w:tentative="1">
      <w:start w:val="1"/>
      <w:numFmt w:val="lowerLetter"/>
      <w:lvlText w:val="%5."/>
      <w:lvlJc w:val="left"/>
      <w:pPr>
        <w:ind w:left="3460" w:hanging="360"/>
      </w:pPr>
    </w:lvl>
    <w:lvl w:ilvl="5" w:tplc="4009001B" w:tentative="1">
      <w:start w:val="1"/>
      <w:numFmt w:val="lowerRoman"/>
      <w:lvlText w:val="%6."/>
      <w:lvlJc w:val="right"/>
      <w:pPr>
        <w:ind w:left="4180" w:hanging="180"/>
      </w:pPr>
    </w:lvl>
    <w:lvl w:ilvl="6" w:tplc="4009000F" w:tentative="1">
      <w:start w:val="1"/>
      <w:numFmt w:val="decimal"/>
      <w:lvlText w:val="%7."/>
      <w:lvlJc w:val="left"/>
      <w:pPr>
        <w:ind w:left="4900" w:hanging="360"/>
      </w:pPr>
    </w:lvl>
    <w:lvl w:ilvl="7" w:tplc="40090019" w:tentative="1">
      <w:start w:val="1"/>
      <w:numFmt w:val="lowerLetter"/>
      <w:lvlText w:val="%8."/>
      <w:lvlJc w:val="left"/>
      <w:pPr>
        <w:ind w:left="5620" w:hanging="360"/>
      </w:pPr>
    </w:lvl>
    <w:lvl w:ilvl="8" w:tplc="4009001B" w:tentative="1">
      <w:start w:val="1"/>
      <w:numFmt w:val="lowerRoman"/>
      <w:lvlText w:val="%9."/>
      <w:lvlJc w:val="right"/>
      <w:pPr>
        <w:ind w:left="6340" w:hanging="180"/>
      </w:pPr>
    </w:lvl>
  </w:abstractNum>
  <w:abstractNum w:abstractNumId="6" w15:restartNumberingAfterBreak="0">
    <w:nsid w:val="324D7B9F"/>
    <w:multiLevelType w:val="multilevel"/>
    <w:tmpl w:val="C1A0C2F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4D7711AA"/>
    <w:multiLevelType w:val="multilevel"/>
    <w:tmpl w:val="A01CFBE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5FB034C4"/>
    <w:multiLevelType w:val="multilevel"/>
    <w:tmpl w:val="105CE9E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6C3D3E80"/>
    <w:multiLevelType w:val="multilevel"/>
    <w:tmpl w:val="E91C865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707F108A"/>
    <w:multiLevelType w:val="hybridMultilevel"/>
    <w:tmpl w:val="BD7CF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394CAE"/>
    <w:multiLevelType w:val="multilevel"/>
    <w:tmpl w:val="D7FC7EB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7B4E24CB"/>
    <w:multiLevelType w:val="multilevel"/>
    <w:tmpl w:val="620E4F7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834807968">
    <w:abstractNumId w:val="9"/>
  </w:num>
  <w:num w:numId="2" w16cid:durableId="544492854">
    <w:abstractNumId w:val="7"/>
  </w:num>
  <w:num w:numId="3" w16cid:durableId="1673290663">
    <w:abstractNumId w:val="2"/>
  </w:num>
  <w:num w:numId="4" w16cid:durableId="1626233577">
    <w:abstractNumId w:val="8"/>
  </w:num>
  <w:num w:numId="5" w16cid:durableId="1630281569">
    <w:abstractNumId w:val="11"/>
  </w:num>
  <w:num w:numId="6" w16cid:durableId="1726761085">
    <w:abstractNumId w:val="1"/>
  </w:num>
  <w:num w:numId="7" w16cid:durableId="2096782034">
    <w:abstractNumId w:val="4"/>
  </w:num>
  <w:num w:numId="8" w16cid:durableId="1064255226">
    <w:abstractNumId w:val="12"/>
  </w:num>
  <w:num w:numId="9" w16cid:durableId="1184903180">
    <w:abstractNumId w:val="3"/>
  </w:num>
  <w:num w:numId="10" w16cid:durableId="443614502">
    <w:abstractNumId w:val="0"/>
  </w:num>
  <w:num w:numId="11" w16cid:durableId="611326507">
    <w:abstractNumId w:val="6"/>
  </w:num>
  <w:num w:numId="12" w16cid:durableId="1181628728">
    <w:abstractNumId w:val="10"/>
  </w:num>
  <w:num w:numId="13" w16cid:durableId="13218104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2B0"/>
    <w:rsid w:val="00065D48"/>
    <w:rsid w:val="000B1BBD"/>
    <w:rsid w:val="000C3D79"/>
    <w:rsid w:val="0013414D"/>
    <w:rsid w:val="00153C4F"/>
    <w:rsid w:val="001D487B"/>
    <w:rsid w:val="002078AF"/>
    <w:rsid w:val="0021699E"/>
    <w:rsid w:val="00246324"/>
    <w:rsid w:val="002B2F73"/>
    <w:rsid w:val="002C7250"/>
    <w:rsid w:val="002D4D01"/>
    <w:rsid w:val="002F4923"/>
    <w:rsid w:val="004112B0"/>
    <w:rsid w:val="00496C3A"/>
    <w:rsid w:val="004E0AFB"/>
    <w:rsid w:val="0056046B"/>
    <w:rsid w:val="005B0A67"/>
    <w:rsid w:val="00660ECC"/>
    <w:rsid w:val="006B7072"/>
    <w:rsid w:val="006E3FA3"/>
    <w:rsid w:val="006F4145"/>
    <w:rsid w:val="007710A4"/>
    <w:rsid w:val="00793264"/>
    <w:rsid w:val="00873BF7"/>
    <w:rsid w:val="008E59BD"/>
    <w:rsid w:val="009912B6"/>
    <w:rsid w:val="00A03419"/>
    <w:rsid w:val="00A34E99"/>
    <w:rsid w:val="00AA69FC"/>
    <w:rsid w:val="00B069A5"/>
    <w:rsid w:val="00B15074"/>
    <w:rsid w:val="00B24ABB"/>
    <w:rsid w:val="00C51905"/>
    <w:rsid w:val="00CB3906"/>
    <w:rsid w:val="00CD7838"/>
    <w:rsid w:val="00DA7A35"/>
    <w:rsid w:val="00E36810"/>
    <w:rsid w:val="00E71EC4"/>
    <w:rsid w:val="00FB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86A00"/>
  <w15:docId w15:val="{138D7428-BD8B-6349-98D4-444DDB54E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ordia New"/>
        <w:kern w:val="3"/>
        <w:sz w:val="22"/>
        <w:szCs w:val="28"/>
        <w:lang w:val="en-IN" w:eastAsia="en-US" w:bidi="th-TH"/>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DengXian Light" w:hAnsi="Calibri Light" w:cs="Angsana New"/>
      <w:color w:val="2F5496"/>
      <w:sz w:val="40"/>
      <w:szCs w:val="50"/>
    </w:rPr>
  </w:style>
  <w:style w:type="paragraph" w:styleId="Heading2">
    <w:name w:val="heading 2"/>
    <w:basedOn w:val="Normal"/>
    <w:next w:val="Normal"/>
    <w:uiPriority w:val="9"/>
    <w:unhideWhenUsed/>
    <w:qFormat/>
    <w:pPr>
      <w:keepNext/>
      <w:keepLines/>
      <w:spacing w:before="160" w:after="80"/>
      <w:outlineLvl w:val="1"/>
    </w:pPr>
    <w:rPr>
      <w:rFonts w:ascii="Calibri Light" w:eastAsia="DengXian Light" w:hAnsi="Calibri Light" w:cs="Angsana New"/>
      <w:color w:val="2F5496"/>
      <w:sz w:val="32"/>
      <w:szCs w:val="40"/>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s="Angsana New"/>
      <w:color w:val="2F5496"/>
      <w:sz w:val="28"/>
      <w:szCs w:val="35"/>
    </w:rPr>
  </w:style>
  <w:style w:type="paragraph" w:styleId="Heading4">
    <w:name w:val="heading 4"/>
    <w:basedOn w:val="Normal"/>
    <w:next w:val="Normal"/>
    <w:uiPriority w:val="9"/>
    <w:semiHidden/>
    <w:unhideWhenUsed/>
    <w:qFormat/>
    <w:pPr>
      <w:keepNext/>
      <w:keepLines/>
      <w:spacing w:before="80" w:after="40"/>
      <w:outlineLvl w:val="3"/>
    </w:pPr>
    <w:rPr>
      <w:rFonts w:eastAsia="DengXian Light" w:cs="Angsana New"/>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s="Angsana New"/>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DengXian Light" w:cs="Angsana New"/>
      <w:i/>
      <w:iCs/>
      <w:color w:val="595959"/>
    </w:rPr>
  </w:style>
  <w:style w:type="paragraph" w:styleId="Heading7">
    <w:name w:val="heading 7"/>
    <w:basedOn w:val="Normal"/>
    <w:next w:val="Normal"/>
    <w:pPr>
      <w:keepNext/>
      <w:keepLines/>
      <w:spacing w:before="40" w:after="0"/>
      <w:outlineLvl w:val="6"/>
    </w:pPr>
    <w:rPr>
      <w:rFonts w:eastAsia="DengXian Light" w:cs="Angsana New"/>
      <w:color w:val="595959"/>
    </w:rPr>
  </w:style>
  <w:style w:type="paragraph" w:styleId="Heading8">
    <w:name w:val="heading 8"/>
    <w:basedOn w:val="Normal"/>
    <w:next w:val="Normal"/>
    <w:pPr>
      <w:keepNext/>
      <w:keepLines/>
      <w:spacing w:after="0"/>
      <w:outlineLvl w:val="7"/>
    </w:pPr>
    <w:rPr>
      <w:rFonts w:eastAsia="DengXian Light" w:cs="Angsana New"/>
      <w:i/>
      <w:iCs/>
      <w:color w:val="272727"/>
    </w:rPr>
  </w:style>
  <w:style w:type="paragraph" w:styleId="Heading9">
    <w:name w:val="heading 9"/>
    <w:basedOn w:val="Normal"/>
    <w:next w:val="Normal"/>
    <w:pPr>
      <w:keepNext/>
      <w:keepLines/>
      <w:spacing w:after="0"/>
      <w:outlineLvl w:val="8"/>
    </w:pPr>
    <w:rPr>
      <w:rFonts w:eastAsia="DengXian Light" w:cs="Angsana New"/>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DengXian Light" w:hAnsi="Calibri Light" w:cs="Angsana New"/>
      <w:color w:val="2F5496"/>
      <w:sz w:val="40"/>
      <w:szCs w:val="50"/>
    </w:rPr>
  </w:style>
  <w:style w:type="character" w:customStyle="1" w:styleId="Heading2Char">
    <w:name w:val="Heading 2 Char"/>
    <w:basedOn w:val="DefaultParagraphFont"/>
    <w:rPr>
      <w:rFonts w:ascii="Calibri Light" w:eastAsia="DengXian Light" w:hAnsi="Calibri Light" w:cs="Angsana New"/>
      <w:color w:val="2F5496"/>
      <w:sz w:val="32"/>
      <w:szCs w:val="40"/>
    </w:rPr>
  </w:style>
  <w:style w:type="character" w:customStyle="1" w:styleId="Heading3Char">
    <w:name w:val="Heading 3 Char"/>
    <w:basedOn w:val="DefaultParagraphFont"/>
    <w:rPr>
      <w:rFonts w:eastAsia="DengXian Light" w:cs="Angsana New"/>
      <w:color w:val="2F5496"/>
      <w:sz w:val="28"/>
      <w:szCs w:val="35"/>
    </w:rPr>
  </w:style>
  <w:style w:type="character" w:customStyle="1" w:styleId="Heading4Char">
    <w:name w:val="Heading 4 Char"/>
    <w:basedOn w:val="DefaultParagraphFont"/>
    <w:rPr>
      <w:rFonts w:eastAsia="DengXian Light" w:cs="Angsana New"/>
      <w:i/>
      <w:iCs/>
      <w:color w:val="2F5496"/>
    </w:rPr>
  </w:style>
  <w:style w:type="character" w:customStyle="1" w:styleId="Heading5Char">
    <w:name w:val="Heading 5 Char"/>
    <w:basedOn w:val="DefaultParagraphFont"/>
    <w:rPr>
      <w:rFonts w:eastAsia="DengXian Light" w:cs="Angsana New"/>
      <w:color w:val="2F5496"/>
    </w:rPr>
  </w:style>
  <w:style w:type="character" w:customStyle="1" w:styleId="Heading6Char">
    <w:name w:val="Heading 6 Char"/>
    <w:basedOn w:val="DefaultParagraphFont"/>
    <w:rPr>
      <w:rFonts w:eastAsia="DengXian Light" w:cs="Angsana New"/>
      <w:i/>
      <w:iCs/>
      <w:color w:val="595959"/>
    </w:rPr>
  </w:style>
  <w:style w:type="character" w:customStyle="1" w:styleId="Heading7Char">
    <w:name w:val="Heading 7 Char"/>
    <w:basedOn w:val="DefaultParagraphFont"/>
    <w:rPr>
      <w:rFonts w:eastAsia="DengXian Light" w:cs="Angsana New"/>
      <w:color w:val="595959"/>
    </w:rPr>
  </w:style>
  <w:style w:type="character" w:customStyle="1" w:styleId="Heading8Char">
    <w:name w:val="Heading 8 Char"/>
    <w:basedOn w:val="DefaultParagraphFont"/>
    <w:rPr>
      <w:rFonts w:eastAsia="DengXian Light" w:cs="Angsana New"/>
      <w:i/>
      <w:iCs/>
      <w:color w:val="272727"/>
    </w:rPr>
  </w:style>
  <w:style w:type="character" w:customStyle="1" w:styleId="Heading9Char">
    <w:name w:val="Heading 9 Char"/>
    <w:basedOn w:val="DefaultParagraphFont"/>
    <w:rPr>
      <w:rFonts w:eastAsia="DengXian Light" w:cs="Angsana New"/>
      <w:color w:val="272727"/>
    </w:rPr>
  </w:style>
  <w:style w:type="paragraph" w:styleId="Title">
    <w:name w:val="Title"/>
    <w:basedOn w:val="Normal"/>
    <w:next w:val="Normal"/>
    <w:uiPriority w:val="10"/>
    <w:qFormat/>
    <w:pPr>
      <w:spacing w:after="80" w:line="240" w:lineRule="auto"/>
      <w:contextualSpacing/>
    </w:pPr>
    <w:rPr>
      <w:rFonts w:ascii="Calibri Light" w:eastAsia="DengXian Light" w:hAnsi="Calibri Light" w:cs="Angsana New"/>
      <w:spacing w:val="-10"/>
      <w:sz w:val="56"/>
      <w:szCs w:val="71"/>
    </w:rPr>
  </w:style>
  <w:style w:type="character" w:customStyle="1" w:styleId="TitleChar">
    <w:name w:val="Title Char"/>
    <w:basedOn w:val="DefaultParagraphFont"/>
    <w:rPr>
      <w:rFonts w:ascii="Calibri Light" w:eastAsia="DengXian Light" w:hAnsi="Calibri Light" w:cs="Angsana New"/>
      <w:spacing w:val="-10"/>
      <w:kern w:val="3"/>
      <w:sz w:val="56"/>
      <w:szCs w:val="71"/>
    </w:rPr>
  </w:style>
  <w:style w:type="paragraph" w:styleId="Subtitle">
    <w:name w:val="Subtitle"/>
    <w:basedOn w:val="Normal"/>
    <w:next w:val="Normal"/>
    <w:uiPriority w:val="11"/>
    <w:qFormat/>
    <w:rPr>
      <w:rFonts w:eastAsia="DengXian Light" w:cs="Angsana New"/>
      <w:color w:val="595959"/>
      <w:spacing w:val="15"/>
      <w:sz w:val="28"/>
      <w:szCs w:val="35"/>
    </w:rPr>
  </w:style>
  <w:style w:type="character" w:customStyle="1" w:styleId="SubtitleChar">
    <w:name w:val="Subtitle Char"/>
    <w:basedOn w:val="DefaultParagraphFont"/>
    <w:rPr>
      <w:rFonts w:eastAsia="DengXian Light" w:cs="Angsana New"/>
      <w:color w:val="595959"/>
      <w:spacing w:val="15"/>
      <w:sz w:val="28"/>
      <w:szCs w:val="35"/>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unhideWhenUsed/>
    <w:qFormat/>
    <w:rsid w:val="00496C3A"/>
    <w:pPr>
      <w:suppressAutoHyphens w:val="0"/>
      <w:autoSpaceDN/>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bidi="ar-SA"/>
    </w:rPr>
  </w:style>
  <w:style w:type="paragraph" w:styleId="TOC1">
    <w:name w:val="toc 1"/>
    <w:basedOn w:val="Normal"/>
    <w:next w:val="Normal"/>
    <w:autoRedefine/>
    <w:uiPriority w:val="39"/>
    <w:unhideWhenUsed/>
    <w:rsid w:val="00065D48"/>
    <w:pPr>
      <w:tabs>
        <w:tab w:val="left" w:pos="660"/>
        <w:tab w:val="right" w:leader="dot" w:pos="10042"/>
      </w:tabs>
      <w:spacing w:before="120" w:after="0" w:line="480" w:lineRule="auto"/>
      <w:jc w:val="both"/>
    </w:pPr>
    <w:rPr>
      <w:rFonts w:asciiTheme="minorHAnsi" w:hAnsiTheme="minorHAnsi"/>
      <w:b/>
      <w:bCs/>
      <w:i/>
      <w:iCs/>
      <w:sz w:val="24"/>
      <w:szCs w:val="24"/>
    </w:rPr>
  </w:style>
  <w:style w:type="paragraph" w:styleId="TOC2">
    <w:name w:val="toc 2"/>
    <w:basedOn w:val="Normal"/>
    <w:next w:val="Normal"/>
    <w:autoRedefine/>
    <w:uiPriority w:val="39"/>
    <w:unhideWhenUsed/>
    <w:rsid w:val="00496C3A"/>
    <w:pPr>
      <w:spacing w:before="120" w:after="0"/>
      <w:ind w:left="220"/>
    </w:pPr>
    <w:rPr>
      <w:rFonts w:asciiTheme="minorHAnsi" w:hAnsiTheme="minorHAnsi"/>
      <w:b/>
      <w:bCs/>
      <w:szCs w:val="22"/>
    </w:rPr>
  </w:style>
  <w:style w:type="paragraph" w:styleId="TOC3">
    <w:name w:val="toc 3"/>
    <w:basedOn w:val="Normal"/>
    <w:next w:val="Normal"/>
    <w:autoRedefine/>
    <w:uiPriority w:val="39"/>
    <w:semiHidden/>
    <w:unhideWhenUsed/>
    <w:rsid w:val="00496C3A"/>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496C3A"/>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496C3A"/>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496C3A"/>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496C3A"/>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496C3A"/>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496C3A"/>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196" TargetMode="External"/><Relationship Id="rId5" Type="http://schemas.openxmlformats.org/officeDocument/2006/relationships/webSettings" Target="webSettings.xml"/><Relationship Id="rId10" Type="http://schemas.openxmlformats.org/officeDocument/2006/relationships/hyperlink" Target="https://www.hssib.org.uk/patient-safety-investigations/medication-related-har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951B8F-CB7E-EA4C-A5F6-21466CE7B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6721</Words>
  <Characters>38315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Jhanvi gajjar</dc:creator>
  <dc:description/>
  <cp:lastModifiedBy>Jhanvi gajjar</cp:lastModifiedBy>
  <cp:revision>2</cp:revision>
  <dcterms:created xsi:type="dcterms:W3CDTF">2026-08-11T11:26:00Z</dcterms:created>
  <dcterms:modified xsi:type="dcterms:W3CDTF">2026-08-11T11:26:00Z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b068ad26-573c-4578-a61b-4c2e4972d2e4</vt:lpwstr>
  </property>
</Properties>
</file>