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3AFE89" w14:textId="77777777" w:rsidR="003E36EF" w:rsidRPr="00246E7C" w:rsidRDefault="003E36EF" w:rsidP="003E36EF">
      <w:pPr>
        <w:spacing w:line="360" w:lineRule="auto"/>
        <w:jc w:val="center"/>
        <w:rPr>
          <w:rFonts w:ascii="Times New Roman" w:hAnsi="Times New Roman" w:cs="Times New Roman"/>
          <w:b/>
          <w:bCs/>
          <w:sz w:val="40"/>
          <w:szCs w:val="40"/>
        </w:rPr>
      </w:pPr>
    </w:p>
    <w:p w14:paraId="4A83E93F" w14:textId="77777777" w:rsidR="0052268F" w:rsidRDefault="0052268F" w:rsidP="003E36EF">
      <w:pPr>
        <w:spacing w:line="360" w:lineRule="auto"/>
        <w:jc w:val="center"/>
        <w:rPr>
          <w:rFonts w:ascii="Times New Roman" w:hAnsi="Times New Roman" w:cs="Times New Roman"/>
          <w:b/>
          <w:bCs/>
          <w:sz w:val="40"/>
          <w:szCs w:val="40"/>
        </w:rPr>
      </w:pPr>
    </w:p>
    <w:p w14:paraId="0043AC7C" w14:textId="13AC0D38" w:rsidR="001945A9" w:rsidRDefault="00E46D50" w:rsidP="003E36EF">
      <w:pPr>
        <w:spacing w:line="360" w:lineRule="auto"/>
        <w:jc w:val="center"/>
        <w:rPr>
          <w:rFonts w:ascii="Times New Roman" w:hAnsi="Times New Roman" w:cs="Times New Roman"/>
          <w:b/>
          <w:bCs/>
          <w:sz w:val="40"/>
          <w:szCs w:val="40"/>
        </w:rPr>
      </w:pPr>
      <w:r w:rsidRPr="00246E7C">
        <w:rPr>
          <w:rFonts w:ascii="Times New Roman" w:hAnsi="Times New Roman" w:cs="Times New Roman"/>
          <w:b/>
          <w:bCs/>
          <w:sz w:val="40"/>
          <w:szCs w:val="40"/>
        </w:rPr>
        <w:t>LCBB5005 Project Management</w:t>
      </w:r>
    </w:p>
    <w:p w14:paraId="3F3CB4F0" w14:textId="77777777" w:rsidR="001945A9" w:rsidRPr="00246E7C" w:rsidRDefault="001945A9" w:rsidP="001945A9">
      <w:pPr>
        <w:spacing w:line="360" w:lineRule="auto"/>
        <w:jc w:val="both"/>
        <w:rPr>
          <w:rFonts w:ascii="Times New Roman" w:hAnsi="Times New Roman" w:cs="Times New Roman"/>
          <w:sz w:val="24"/>
          <w:szCs w:val="24"/>
          <w:lang w:val="en-US"/>
        </w:rPr>
      </w:pPr>
    </w:p>
    <w:p w14:paraId="16F63541" w14:textId="77777777" w:rsidR="001945A9" w:rsidRPr="00246E7C" w:rsidRDefault="001945A9" w:rsidP="001945A9">
      <w:pPr>
        <w:spacing w:line="360" w:lineRule="auto"/>
        <w:jc w:val="both"/>
        <w:rPr>
          <w:rFonts w:ascii="Times New Roman" w:hAnsi="Times New Roman" w:cs="Times New Roman"/>
          <w:sz w:val="24"/>
          <w:szCs w:val="24"/>
          <w:lang w:val="en-US"/>
        </w:rPr>
      </w:pPr>
    </w:p>
    <w:p w14:paraId="7E65CD36" w14:textId="77777777" w:rsidR="001945A9" w:rsidRPr="00246E7C" w:rsidRDefault="001945A9" w:rsidP="001945A9">
      <w:pPr>
        <w:spacing w:line="360" w:lineRule="auto"/>
        <w:jc w:val="both"/>
        <w:rPr>
          <w:rFonts w:ascii="Times New Roman" w:hAnsi="Times New Roman" w:cs="Times New Roman"/>
          <w:sz w:val="24"/>
          <w:szCs w:val="24"/>
          <w:lang w:val="en-US"/>
        </w:rPr>
      </w:pPr>
    </w:p>
    <w:p w14:paraId="227E7F37" w14:textId="77777777" w:rsidR="001945A9" w:rsidRPr="00246E7C" w:rsidRDefault="001945A9" w:rsidP="001945A9">
      <w:pPr>
        <w:spacing w:line="360" w:lineRule="auto"/>
        <w:jc w:val="both"/>
        <w:rPr>
          <w:rFonts w:ascii="Times New Roman" w:hAnsi="Times New Roman" w:cs="Times New Roman"/>
          <w:sz w:val="24"/>
          <w:szCs w:val="24"/>
          <w:lang w:val="en-US"/>
        </w:rPr>
      </w:pPr>
    </w:p>
    <w:p w14:paraId="69E3185A" w14:textId="77777777" w:rsidR="001945A9" w:rsidRPr="00246E7C" w:rsidRDefault="001945A9" w:rsidP="001945A9">
      <w:pPr>
        <w:spacing w:line="360" w:lineRule="auto"/>
        <w:jc w:val="both"/>
        <w:rPr>
          <w:rFonts w:ascii="Times New Roman" w:hAnsi="Times New Roman" w:cs="Times New Roman"/>
          <w:sz w:val="24"/>
          <w:szCs w:val="24"/>
          <w:lang w:val="en-US"/>
        </w:rPr>
      </w:pPr>
    </w:p>
    <w:p w14:paraId="482A1773" w14:textId="77777777" w:rsidR="001945A9" w:rsidRPr="00246E7C" w:rsidRDefault="001945A9" w:rsidP="001945A9">
      <w:pPr>
        <w:spacing w:line="360" w:lineRule="auto"/>
        <w:jc w:val="both"/>
        <w:rPr>
          <w:rFonts w:ascii="Times New Roman" w:hAnsi="Times New Roman" w:cs="Times New Roman"/>
          <w:sz w:val="24"/>
          <w:szCs w:val="24"/>
          <w:lang w:val="en-US"/>
        </w:rPr>
      </w:pPr>
    </w:p>
    <w:p w14:paraId="11D2800E" w14:textId="77777777" w:rsidR="001945A9" w:rsidRPr="00246E7C" w:rsidRDefault="001945A9" w:rsidP="001945A9">
      <w:pPr>
        <w:spacing w:line="360" w:lineRule="auto"/>
        <w:jc w:val="both"/>
        <w:rPr>
          <w:rFonts w:ascii="Times New Roman" w:hAnsi="Times New Roman" w:cs="Times New Roman"/>
          <w:sz w:val="24"/>
          <w:szCs w:val="24"/>
          <w:lang w:val="en-US"/>
        </w:rPr>
      </w:pPr>
    </w:p>
    <w:p w14:paraId="5387546E" w14:textId="77777777" w:rsidR="001945A9" w:rsidRPr="00246E7C" w:rsidRDefault="001945A9" w:rsidP="001945A9">
      <w:pPr>
        <w:spacing w:line="360" w:lineRule="auto"/>
        <w:jc w:val="both"/>
        <w:rPr>
          <w:rFonts w:ascii="Times New Roman" w:hAnsi="Times New Roman" w:cs="Times New Roman"/>
          <w:sz w:val="24"/>
          <w:szCs w:val="24"/>
          <w:lang w:val="en-US"/>
        </w:rPr>
      </w:pPr>
    </w:p>
    <w:p w14:paraId="09BED469" w14:textId="77777777" w:rsidR="001945A9" w:rsidRPr="00246E7C" w:rsidRDefault="001945A9" w:rsidP="001945A9">
      <w:pPr>
        <w:spacing w:line="360" w:lineRule="auto"/>
        <w:jc w:val="both"/>
        <w:rPr>
          <w:rFonts w:ascii="Times New Roman" w:hAnsi="Times New Roman" w:cs="Times New Roman"/>
          <w:sz w:val="24"/>
          <w:szCs w:val="24"/>
          <w:lang w:val="en-US"/>
        </w:rPr>
      </w:pPr>
    </w:p>
    <w:p w14:paraId="78E76874" w14:textId="77777777" w:rsidR="001945A9" w:rsidRPr="00246E7C" w:rsidRDefault="001945A9" w:rsidP="001945A9">
      <w:pPr>
        <w:spacing w:line="360" w:lineRule="auto"/>
        <w:jc w:val="both"/>
        <w:rPr>
          <w:rFonts w:ascii="Times New Roman" w:hAnsi="Times New Roman" w:cs="Times New Roman"/>
          <w:sz w:val="24"/>
          <w:szCs w:val="24"/>
          <w:lang w:val="en-US"/>
        </w:rPr>
      </w:pPr>
    </w:p>
    <w:p w14:paraId="609F1FB4" w14:textId="77777777" w:rsidR="001945A9" w:rsidRPr="00246E7C" w:rsidRDefault="001945A9" w:rsidP="001945A9">
      <w:pPr>
        <w:spacing w:line="360" w:lineRule="auto"/>
        <w:jc w:val="both"/>
        <w:rPr>
          <w:rFonts w:ascii="Times New Roman" w:hAnsi="Times New Roman" w:cs="Times New Roman"/>
          <w:sz w:val="24"/>
          <w:szCs w:val="24"/>
          <w:lang w:val="en-US"/>
        </w:rPr>
      </w:pPr>
    </w:p>
    <w:p w14:paraId="53901614" w14:textId="77777777" w:rsidR="001945A9" w:rsidRPr="00246E7C" w:rsidRDefault="001945A9" w:rsidP="001945A9">
      <w:pPr>
        <w:spacing w:line="360" w:lineRule="auto"/>
        <w:jc w:val="both"/>
        <w:rPr>
          <w:rFonts w:ascii="Times New Roman" w:hAnsi="Times New Roman" w:cs="Times New Roman"/>
          <w:sz w:val="24"/>
          <w:szCs w:val="24"/>
          <w:lang w:val="en-US"/>
        </w:rPr>
      </w:pPr>
    </w:p>
    <w:p w14:paraId="59ABE75D" w14:textId="77777777" w:rsidR="001945A9" w:rsidRPr="00246E7C" w:rsidRDefault="001945A9" w:rsidP="001945A9">
      <w:pPr>
        <w:spacing w:line="360" w:lineRule="auto"/>
        <w:jc w:val="both"/>
        <w:rPr>
          <w:rFonts w:ascii="Times New Roman" w:hAnsi="Times New Roman" w:cs="Times New Roman"/>
          <w:sz w:val="24"/>
          <w:szCs w:val="24"/>
          <w:lang w:val="en-US"/>
        </w:rPr>
      </w:pPr>
    </w:p>
    <w:p w14:paraId="32D7BC6B" w14:textId="77777777" w:rsidR="001945A9" w:rsidRPr="00246E7C" w:rsidRDefault="001945A9" w:rsidP="001945A9">
      <w:pPr>
        <w:spacing w:line="360" w:lineRule="auto"/>
        <w:jc w:val="both"/>
        <w:rPr>
          <w:rFonts w:ascii="Times New Roman" w:hAnsi="Times New Roman" w:cs="Times New Roman"/>
          <w:sz w:val="24"/>
          <w:szCs w:val="24"/>
          <w:lang w:val="en-US"/>
        </w:rPr>
      </w:pPr>
    </w:p>
    <w:p w14:paraId="1964225A" w14:textId="77777777" w:rsidR="001945A9" w:rsidRPr="00246E7C" w:rsidRDefault="001945A9" w:rsidP="001945A9">
      <w:pPr>
        <w:spacing w:line="360" w:lineRule="auto"/>
        <w:jc w:val="both"/>
        <w:rPr>
          <w:rFonts w:ascii="Times New Roman" w:hAnsi="Times New Roman" w:cs="Times New Roman"/>
          <w:sz w:val="24"/>
          <w:szCs w:val="24"/>
          <w:lang w:val="en-US"/>
        </w:rPr>
      </w:pPr>
    </w:p>
    <w:p w14:paraId="31868321" w14:textId="77777777" w:rsidR="001945A9" w:rsidRPr="00246E7C" w:rsidRDefault="001945A9" w:rsidP="001945A9">
      <w:pPr>
        <w:spacing w:line="360" w:lineRule="auto"/>
        <w:jc w:val="both"/>
        <w:rPr>
          <w:rFonts w:ascii="Times New Roman" w:hAnsi="Times New Roman" w:cs="Times New Roman"/>
          <w:sz w:val="24"/>
          <w:szCs w:val="24"/>
          <w:lang w:val="en-US"/>
        </w:rPr>
      </w:pPr>
    </w:p>
    <w:p w14:paraId="106157D1" w14:textId="77777777" w:rsidR="001945A9" w:rsidRPr="00246E7C" w:rsidRDefault="001945A9" w:rsidP="001945A9">
      <w:pPr>
        <w:spacing w:line="360" w:lineRule="auto"/>
        <w:jc w:val="both"/>
        <w:rPr>
          <w:rFonts w:ascii="Times New Roman" w:hAnsi="Times New Roman" w:cs="Times New Roman"/>
          <w:sz w:val="24"/>
          <w:szCs w:val="24"/>
          <w:lang w:val="en-US"/>
        </w:rPr>
      </w:pPr>
    </w:p>
    <w:p w14:paraId="0172A3B4" w14:textId="77777777" w:rsidR="001945A9" w:rsidRPr="00246E7C" w:rsidRDefault="001945A9" w:rsidP="001945A9">
      <w:pPr>
        <w:spacing w:line="360" w:lineRule="auto"/>
        <w:jc w:val="both"/>
        <w:rPr>
          <w:rFonts w:ascii="Times New Roman" w:hAnsi="Times New Roman" w:cs="Times New Roman"/>
          <w:sz w:val="24"/>
          <w:szCs w:val="24"/>
          <w:lang w:val="en-US"/>
        </w:rPr>
      </w:pPr>
    </w:p>
    <w:p w14:paraId="3D33BBF0" w14:textId="50183876" w:rsidR="001945A9" w:rsidRDefault="00E46D50" w:rsidP="00246E7C">
      <w:pPr>
        <w:spacing w:line="360" w:lineRule="auto"/>
        <w:rPr>
          <w:rFonts w:ascii="Times New Roman" w:hAnsi="Times New Roman" w:cs="Times New Roman"/>
          <w:i/>
          <w:iCs/>
          <w:sz w:val="24"/>
          <w:szCs w:val="24"/>
          <w:lang w:val="en-US"/>
        </w:rPr>
      </w:pPr>
      <w:r w:rsidRPr="00246E7C">
        <w:rPr>
          <w:rFonts w:ascii="Times New Roman" w:hAnsi="Times New Roman" w:cs="Times New Roman"/>
          <w:i/>
          <w:iCs/>
          <w:sz w:val="24"/>
          <w:szCs w:val="24"/>
          <w:lang w:val="en-US"/>
        </w:rPr>
        <w:t>Student name:</w:t>
      </w:r>
    </w:p>
    <w:p w14:paraId="1C348534" w14:textId="3076D53F" w:rsidR="004C075B" w:rsidRPr="00246E7C" w:rsidRDefault="004C075B" w:rsidP="00246E7C">
      <w:pPr>
        <w:spacing w:line="360" w:lineRule="auto"/>
        <w:rPr>
          <w:rFonts w:ascii="Times New Roman" w:hAnsi="Times New Roman" w:cs="Times New Roman"/>
          <w:i/>
          <w:iCs/>
          <w:sz w:val="24"/>
          <w:szCs w:val="24"/>
          <w:lang w:val="en-US"/>
        </w:rPr>
      </w:pPr>
      <w:r>
        <w:rPr>
          <w:rFonts w:ascii="Times New Roman" w:hAnsi="Times New Roman" w:cs="Times New Roman"/>
          <w:i/>
          <w:iCs/>
          <w:sz w:val="24"/>
          <w:szCs w:val="24"/>
          <w:lang w:val="en-US"/>
        </w:rPr>
        <w:t>Sevila Gorahmedova</w:t>
      </w:r>
    </w:p>
    <w:p w14:paraId="47C429F4" w14:textId="71209EBC" w:rsidR="003E36EF" w:rsidRPr="00FB7722" w:rsidRDefault="00E46D50" w:rsidP="00FB7722">
      <w:pPr>
        <w:spacing w:line="360" w:lineRule="auto"/>
        <w:rPr>
          <w:rFonts w:ascii="Times New Roman" w:hAnsi="Times New Roman" w:cs="Times New Roman"/>
          <w:i/>
          <w:iCs/>
          <w:sz w:val="24"/>
          <w:szCs w:val="24"/>
          <w:lang w:val="en-US"/>
        </w:rPr>
      </w:pPr>
      <w:r w:rsidRPr="00246E7C">
        <w:rPr>
          <w:rFonts w:ascii="Times New Roman" w:hAnsi="Times New Roman" w:cs="Times New Roman"/>
          <w:i/>
          <w:iCs/>
          <w:sz w:val="24"/>
          <w:szCs w:val="24"/>
          <w:lang w:val="en-US"/>
        </w:rPr>
        <w:t>ID:</w:t>
      </w:r>
      <w:r w:rsidR="004C075B">
        <w:rPr>
          <w:rFonts w:ascii="Times New Roman" w:hAnsi="Times New Roman" w:cs="Times New Roman"/>
          <w:i/>
          <w:iCs/>
          <w:sz w:val="24"/>
          <w:szCs w:val="24"/>
          <w:lang w:val="en-US"/>
        </w:rPr>
        <w:t>2113595</w:t>
      </w:r>
    </w:p>
    <w:p w14:paraId="4B8A4A4F" w14:textId="77777777" w:rsidR="002C0D99" w:rsidRPr="00246E7C" w:rsidRDefault="00E46D50" w:rsidP="0052268F">
      <w:pPr>
        <w:pStyle w:val="1"/>
        <w:spacing w:line="360" w:lineRule="auto"/>
        <w:rPr>
          <w:rFonts w:cs="Times New Roman"/>
          <w:lang w:val="en-US"/>
        </w:rPr>
      </w:pPr>
      <w:bookmarkStart w:id="0" w:name="_Toc141885689"/>
      <w:r w:rsidRPr="00246E7C">
        <w:rPr>
          <w:rFonts w:cs="Times New Roman"/>
          <w:lang w:val="en-US"/>
        </w:rPr>
        <w:lastRenderedPageBreak/>
        <w:t>Introduction</w:t>
      </w:r>
      <w:bookmarkEnd w:id="0"/>
      <w:r w:rsidRPr="00246E7C">
        <w:rPr>
          <w:rFonts w:cs="Times New Roman"/>
          <w:lang w:val="en-US"/>
        </w:rPr>
        <w:t xml:space="preserve"> </w:t>
      </w:r>
    </w:p>
    <w:p w14:paraId="13519C48" w14:textId="0FC3625B" w:rsidR="001945A9" w:rsidRPr="00246E7C" w:rsidRDefault="00242A98" w:rsidP="0052268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The UK's Hinkley Point C nuclear power facility has become a symbol for climate change and sustainable energy. This nuclear power plant revived the UK's nuclear power industry, aiming to deliver low-carbon electricity to roughly six million people. The initiative predicted hundreds of new jobs, apprenticeships, and long-term economic benefits. However, the Hinkley Point C project's initial phase revealed significant challenges to success. This project became the world's most expensive nuclear power plant after delays and a projected cost of £25–£26 billion. These huge expenses and delays need a thorough project analysis. We evaluate Hinkley Point C logically and realistically. The initial project concept and the reasons of the massive cost and schedule overruns are our top priorities. We extensively assess project planning, execution, quality assurance, stakeholder engagement, and risk. This will be done by evaluating the methods and equipment used on the Hinkley Point C project through the lens of project management theory and practice. By analyzing the project from its inception through its completion, we can pinpoint the causes of its success or failure. Through a thorough analysis of the project's difficulties, we will identify the causes of the overruns and delays and provide a clear picture of what went wrong. We plan to evaluate and embrace project management concepts, processes and approaches with an eye toward the learning outcomes to contribute positively to future project settings.</w:t>
      </w:r>
    </w:p>
    <w:p w14:paraId="3CE538FE" w14:textId="77777777" w:rsidR="001945A9" w:rsidRPr="00246E7C" w:rsidRDefault="001945A9" w:rsidP="001945A9">
      <w:pPr>
        <w:spacing w:line="360" w:lineRule="auto"/>
        <w:jc w:val="both"/>
        <w:rPr>
          <w:rFonts w:ascii="Times New Roman" w:hAnsi="Times New Roman" w:cs="Times New Roman"/>
          <w:sz w:val="24"/>
          <w:szCs w:val="24"/>
          <w:lang w:val="en-US"/>
        </w:rPr>
      </w:pPr>
    </w:p>
    <w:p w14:paraId="40C84303" w14:textId="77777777" w:rsidR="001945A9" w:rsidRPr="00246E7C" w:rsidRDefault="001945A9" w:rsidP="001945A9">
      <w:pPr>
        <w:spacing w:line="360" w:lineRule="auto"/>
        <w:jc w:val="both"/>
        <w:rPr>
          <w:rFonts w:ascii="Times New Roman" w:hAnsi="Times New Roman" w:cs="Times New Roman"/>
          <w:sz w:val="24"/>
          <w:szCs w:val="24"/>
          <w:lang w:val="en-US"/>
        </w:rPr>
      </w:pPr>
    </w:p>
    <w:p w14:paraId="5DBFA2A7" w14:textId="77777777" w:rsidR="001945A9" w:rsidRPr="00246E7C" w:rsidRDefault="001945A9" w:rsidP="001945A9">
      <w:pPr>
        <w:spacing w:line="360" w:lineRule="auto"/>
        <w:jc w:val="both"/>
        <w:rPr>
          <w:rFonts w:ascii="Times New Roman" w:hAnsi="Times New Roman" w:cs="Times New Roman"/>
          <w:sz w:val="24"/>
          <w:szCs w:val="24"/>
          <w:lang w:val="en-US"/>
        </w:rPr>
      </w:pPr>
    </w:p>
    <w:p w14:paraId="1BCFD555" w14:textId="77777777" w:rsidR="001945A9" w:rsidRPr="00246E7C" w:rsidRDefault="001945A9" w:rsidP="001945A9">
      <w:pPr>
        <w:spacing w:line="360" w:lineRule="auto"/>
        <w:jc w:val="both"/>
        <w:rPr>
          <w:rFonts w:ascii="Times New Roman" w:hAnsi="Times New Roman" w:cs="Times New Roman"/>
          <w:sz w:val="24"/>
          <w:szCs w:val="24"/>
          <w:lang w:val="en-US"/>
        </w:rPr>
      </w:pPr>
    </w:p>
    <w:p w14:paraId="0F37F09A" w14:textId="77777777" w:rsidR="001945A9" w:rsidRPr="00246E7C" w:rsidRDefault="001945A9" w:rsidP="001945A9">
      <w:pPr>
        <w:spacing w:line="360" w:lineRule="auto"/>
        <w:jc w:val="both"/>
        <w:rPr>
          <w:rFonts w:ascii="Times New Roman" w:hAnsi="Times New Roman" w:cs="Times New Roman"/>
          <w:sz w:val="24"/>
          <w:szCs w:val="24"/>
          <w:lang w:val="en-US"/>
        </w:rPr>
      </w:pPr>
    </w:p>
    <w:p w14:paraId="70160BCD" w14:textId="77777777" w:rsidR="001945A9" w:rsidRPr="00246E7C" w:rsidRDefault="001945A9" w:rsidP="001945A9">
      <w:pPr>
        <w:spacing w:line="360" w:lineRule="auto"/>
        <w:jc w:val="both"/>
        <w:rPr>
          <w:rFonts w:ascii="Times New Roman" w:hAnsi="Times New Roman" w:cs="Times New Roman"/>
          <w:sz w:val="24"/>
          <w:szCs w:val="24"/>
          <w:lang w:val="en-US"/>
        </w:rPr>
      </w:pPr>
    </w:p>
    <w:p w14:paraId="5840D429" w14:textId="77777777" w:rsidR="00185B7A" w:rsidRPr="00246E7C" w:rsidRDefault="00185B7A" w:rsidP="001945A9">
      <w:pPr>
        <w:spacing w:line="360" w:lineRule="auto"/>
        <w:jc w:val="both"/>
        <w:rPr>
          <w:rFonts w:ascii="Times New Roman" w:hAnsi="Times New Roman" w:cs="Times New Roman"/>
          <w:sz w:val="24"/>
          <w:szCs w:val="24"/>
          <w:lang w:val="en-US"/>
        </w:rPr>
      </w:pPr>
    </w:p>
    <w:p w14:paraId="17898853" w14:textId="77777777" w:rsidR="00185B7A" w:rsidRPr="00246E7C" w:rsidRDefault="00185B7A" w:rsidP="001945A9">
      <w:pPr>
        <w:spacing w:line="360" w:lineRule="auto"/>
        <w:jc w:val="both"/>
        <w:rPr>
          <w:rFonts w:ascii="Times New Roman" w:hAnsi="Times New Roman" w:cs="Times New Roman"/>
          <w:sz w:val="24"/>
          <w:szCs w:val="24"/>
          <w:lang w:val="en-US"/>
        </w:rPr>
      </w:pPr>
    </w:p>
    <w:p w14:paraId="67B62CBB" w14:textId="77777777" w:rsidR="00185B7A" w:rsidRPr="00246E7C" w:rsidRDefault="00185B7A" w:rsidP="001945A9">
      <w:pPr>
        <w:spacing w:line="360" w:lineRule="auto"/>
        <w:jc w:val="both"/>
        <w:rPr>
          <w:rFonts w:ascii="Times New Roman" w:hAnsi="Times New Roman" w:cs="Times New Roman"/>
          <w:sz w:val="24"/>
          <w:szCs w:val="24"/>
          <w:lang w:val="en-US"/>
        </w:rPr>
      </w:pPr>
    </w:p>
    <w:p w14:paraId="176EF000" w14:textId="77777777" w:rsidR="00185B7A" w:rsidRPr="00246E7C" w:rsidRDefault="00185B7A" w:rsidP="001945A9">
      <w:pPr>
        <w:spacing w:line="360" w:lineRule="auto"/>
        <w:jc w:val="both"/>
        <w:rPr>
          <w:rFonts w:ascii="Times New Roman" w:hAnsi="Times New Roman" w:cs="Times New Roman"/>
          <w:sz w:val="24"/>
          <w:szCs w:val="24"/>
          <w:lang w:val="en-US"/>
        </w:rPr>
      </w:pPr>
    </w:p>
    <w:p w14:paraId="18CF98BB" w14:textId="4B3B57C8" w:rsidR="001945A9" w:rsidRPr="00246E7C" w:rsidRDefault="00E46D50" w:rsidP="003E36EF">
      <w:pPr>
        <w:pStyle w:val="1"/>
        <w:rPr>
          <w:rFonts w:cs="Times New Roman"/>
          <w:lang w:val="en-US"/>
        </w:rPr>
      </w:pPr>
      <w:bookmarkStart w:id="1" w:name="_Toc141885690"/>
      <w:r w:rsidRPr="00246E7C">
        <w:rPr>
          <w:rFonts w:cs="Times New Roman"/>
          <w:lang w:val="en-US"/>
        </w:rPr>
        <w:lastRenderedPageBreak/>
        <w:t>Main body</w:t>
      </w:r>
      <w:bookmarkEnd w:id="1"/>
      <w:r w:rsidRPr="00246E7C">
        <w:rPr>
          <w:rFonts w:cs="Times New Roman"/>
          <w:lang w:val="en-US"/>
        </w:rPr>
        <w:t xml:space="preserve"> </w:t>
      </w:r>
    </w:p>
    <w:p w14:paraId="2F06679B" w14:textId="24291E7E" w:rsidR="00C46819" w:rsidRPr="00246E7C" w:rsidRDefault="00E46D50" w:rsidP="00C46819">
      <w:pPr>
        <w:spacing w:line="360" w:lineRule="auto"/>
        <w:jc w:val="both"/>
        <w:rPr>
          <w:rFonts w:ascii="Times New Roman" w:hAnsi="Times New Roman" w:cs="Times New Roman"/>
          <w:b/>
          <w:bCs/>
          <w:sz w:val="24"/>
          <w:szCs w:val="24"/>
          <w:lang w:val="en-US"/>
        </w:rPr>
      </w:pPr>
      <w:r w:rsidRPr="00246E7C">
        <w:rPr>
          <w:rFonts w:ascii="Times New Roman" w:hAnsi="Times New Roman" w:cs="Times New Roman"/>
          <w:b/>
          <w:bCs/>
          <w:sz w:val="24"/>
          <w:szCs w:val="24"/>
          <w:lang w:val="en-US"/>
        </w:rPr>
        <w:t>Budget Management Review:</w:t>
      </w:r>
      <w:r w:rsidR="007256BF" w:rsidRPr="00246E7C">
        <w:rPr>
          <w:rFonts w:ascii="Times New Roman" w:hAnsi="Times New Roman" w:cs="Times New Roman"/>
          <w:b/>
          <w:bCs/>
          <w:sz w:val="24"/>
          <w:szCs w:val="24"/>
          <w:lang w:val="en-US"/>
        </w:rPr>
        <w:t xml:space="preserve"> </w:t>
      </w:r>
      <w:r w:rsidR="007256BF" w:rsidRPr="00246E7C">
        <w:rPr>
          <w:rFonts w:ascii="Times New Roman" w:hAnsi="Times New Roman" w:cs="Times New Roman"/>
          <w:sz w:val="24"/>
          <w:szCs w:val="24"/>
          <w:lang w:val="en-US"/>
        </w:rPr>
        <w:t>With an estimated starting cost of £25–£26 billion, the Hinkley Point C nuclear power station project symbolizes the aspiration to create low-carbon energy for millions of households</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Daniel and Daniel, 2019</w:t>
      </w:r>
      <w:r w:rsidR="00E47A2D"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Unfortunately, despite extensive preparation, the project had significant budget overruns for several reasons. Geological issues and structural changes were unanticipated technical hurdles requiring more human resources and money. Price increases were worsened by inflation and market shifts throughout the project's multi-year duration. In addition, the cost of adapting to new safety rules has increased. Overspending occurred mainly due to insufficient planning for unforeseen expenses and failure to conduct a thorough risk assessment before beginning the project</w:t>
      </w:r>
      <w:r w:rsidRPr="00246E7C">
        <w:rPr>
          <w:rFonts w:ascii="Times New Roman" w:hAnsi="Times New Roman" w:cs="Times New Roman"/>
          <w:sz w:val="24"/>
          <w:szCs w:val="24"/>
          <w:lang w:val="en-US"/>
        </w:rPr>
        <w:t>.</w:t>
      </w:r>
    </w:p>
    <w:p w14:paraId="4E12CAB0" w14:textId="7053A891" w:rsidR="00C46819" w:rsidRPr="00246E7C" w:rsidRDefault="00E46D50" w:rsidP="00C46819">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A few suggestions should be taken into account to better manage budgets for future massive projects</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Butcher et al., 2021</w:t>
      </w:r>
      <w:r w:rsidR="00E47A2D" w:rsidRPr="00246E7C">
        <w:rPr>
          <w:rFonts w:ascii="Times New Roman" w:hAnsi="Times New Roman" w:cs="Times New Roman"/>
          <w:sz w:val="24"/>
          <w:szCs w:val="24"/>
          <w:lang w:val="en-US"/>
        </w:rPr>
        <w:t>)</w:t>
      </w:r>
      <w:r w:rsidRPr="00246E7C">
        <w:rPr>
          <w:rFonts w:ascii="Times New Roman" w:hAnsi="Times New Roman" w:cs="Times New Roman"/>
          <w:sz w:val="24"/>
          <w:szCs w:val="24"/>
          <w:lang w:val="en-US"/>
        </w:rPr>
        <w:t>. One way to anticipate and prepare for budgetary issues is to do a comprehensive risk assessment at the outset of the project. Proactively addressing risks will allow the project to deploy resources more efficiently and set up contingency plans, reducing the likelihood of cost overruns. In addition, if you set up a thorough monitoring and evaluation process during the project's lifetime, you'll be able to spot any hiccups in the schedule and make any adjustments immediately. Expert financial advisers focusing on large-scale projects may help with budgeting, cost control, and risk management by providing invaluable insights into these areas.</w:t>
      </w:r>
    </w:p>
    <w:p w14:paraId="2D24AE92" w14:textId="3B523678" w:rsidR="00C46819" w:rsidRPr="00246E7C" w:rsidRDefault="00E46D50" w:rsidP="00C46819">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In addition, building some wiggle room in the budget is crucial to account for any modifications or unknowns that may crop up while the project is being carried out. This method reduces the likelihood of setbacks and extra expenditures by ensuring money is accessible when required. Large-scale projects may benefit from these suggestions for improved budget management, which will lessen the chance of costly overruns and increase the possibility of on-time completion.</w:t>
      </w:r>
    </w:p>
    <w:p w14:paraId="72D96561" w14:textId="34579A34" w:rsidR="00F9258E"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To better understand the role of thorough risk assessment and flexible budget management in completing large-scale initiatives, the Hinkley Point C project is a helpful case study. Stakeholders may set the way for more effective and successful large-scale initiatives by learning from the issues experienced during this project and implementing the suggested actions. Proactive and precise budget planning will continue to be vital to successful project delivery, benefitting stakeholders and the general public as society increasingly depends on complex infrastructure to satisfy its energy and environmental demands.</w:t>
      </w:r>
    </w:p>
    <w:p w14:paraId="332E2795" w14:textId="07C35B75" w:rsidR="00C46819" w:rsidRPr="00246E7C" w:rsidRDefault="00E46D50" w:rsidP="00C46819">
      <w:pPr>
        <w:spacing w:line="360" w:lineRule="auto"/>
        <w:jc w:val="both"/>
        <w:rPr>
          <w:rFonts w:ascii="Times New Roman" w:hAnsi="Times New Roman" w:cs="Times New Roman"/>
          <w:b/>
          <w:bCs/>
          <w:sz w:val="24"/>
          <w:szCs w:val="24"/>
          <w:lang w:val="en-US"/>
        </w:rPr>
      </w:pPr>
      <w:r w:rsidRPr="00246E7C">
        <w:rPr>
          <w:rFonts w:ascii="Times New Roman" w:hAnsi="Times New Roman" w:cs="Times New Roman"/>
          <w:b/>
          <w:bCs/>
          <w:sz w:val="24"/>
          <w:szCs w:val="24"/>
          <w:lang w:val="en-US"/>
        </w:rPr>
        <w:lastRenderedPageBreak/>
        <w:t>Time Management Review:</w:t>
      </w:r>
      <w:r w:rsidR="007256BF" w:rsidRPr="00246E7C">
        <w:rPr>
          <w:rFonts w:ascii="Times New Roman" w:hAnsi="Times New Roman" w:cs="Times New Roman"/>
          <w:b/>
          <w:bCs/>
          <w:sz w:val="24"/>
          <w:szCs w:val="24"/>
          <w:lang w:val="en-US"/>
        </w:rPr>
        <w:t xml:space="preserve"> </w:t>
      </w:r>
      <w:r w:rsidR="007256BF" w:rsidRPr="00246E7C">
        <w:rPr>
          <w:rFonts w:ascii="Times New Roman" w:hAnsi="Times New Roman" w:cs="Times New Roman"/>
          <w:sz w:val="24"/>
          <w:szCs w:val="24"/>
          <w:lang w:val="en-US"/>
        </w:rPr>
        <w:t>The Hinkley Point C project set out on a well-defined first project timetable to supply low-carbon power to millions of households by a specific date</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Glasson et al., 2021</w:t>
      </w:r>
      <w:r w:rsidR="00E47A2D"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Despite the team's careful preparation, there were significant delays in the project's implementation. Problems arose because of lengthy wait times for necessary government clearances and licenses, complicated property acquisition, and engineering obstacles. Having a realistic and adaptable schedule is essential for large-scale projects, as shown by this experience. An adaptable schedule provides for modifications and contingencies to keep the project on track despite unexpected problems and uncertainty. Robust project monitoring systems are crucial for efficient time management. Early detection of possible delays is facilitated by regular progress assessments, milestone monitoring, and performance reviews, allowing for rapid remedial steps. To improve time management and ensure successful project delivery, as demonstrated by Hinkley Point C, it is recommended that future projects include detailed planning with contingency strategies, streamlined regulatory processes, early land acquisition, an embrace of technological advancements, and regular stakeholder communication.</w:t>
      </w:r>
    </w:p>
    <w:p w14:paraId="0BA628A6" w14:textId="7B412255" w:rsidR="00F9258E"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The Hinkley Point C project is an instructive illustration of the need for careful scheduling in initiatives of this size. Sustainable infrastructure and energy solutions are in high demand, and timely completion of these projects is essential to ensuring a positive impact on the environment and people's quality of life</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Dyrda and Morrison, 2021</w:t>
      </w:r>
      <w:r w:rsidR="00E47A2D" w:rsidRPr="00246E7C">
        <w:rPr>
          <w:rFonts w:ascii="Times New Roman" w:hAnsi="Times New Roman" w:cs="Times New Roman"/>
          <w:sz w:val="24"/>
          <w:szCs w:val="24"/>
          <w:lang w:val="en-US"/>
        </w:rPr>
        <w:t>)</w:t>
      </w:r>
      <w:r w:rsidRPr="00246E7C">
        <w:rPr>
          <w:rFonts w:ascii="Times New Roman" w:hAnsi="Times New Roman" w:cs="Times New Roman"/>
          <w:sz w:val="24"/>
          <w:szCs w:val="24"/>
          <w:lang w:val="en-US"/>
        </w:rPr>
        <w:t>. Stakeholders may improve their capacity to negotiate complexity, reduce delays, and reach lofty project objectives by studying the lessons learned from the Hinkley Point C experience and putting them into practice. Future initiatives will be more likely to succeed and have a lasting effect if they place a premium on realism in terms of timetables, proactivity in terms of planning, and transparency in terms of communication with all stakeholders. To realize large-scale projects that will impact our energy environment for centuries in a sustainable and low-carbon way, time management remains a critical component.</w:t>
      </w:r>
    </w:p>
    <w:p w14:paraId="6CF212E6" w14:textId="2A54334F" w:rsidR="003E36EF" w:rsidRPr="00246E7C" w:rsidRDefault="00E46D50" w:rsidP="003E36EF">
      <w:pPr>
        <w:spacing w:line="360" w:lineRule="auto"/>
        <w:jc w:val="both"/>
        <w:rPr>
          <w:rFonts w:ascii="Times New Roman" w:hAnsi="Times New Roman" w:cs="Times New Roman"/>
          <w:b/>
          <w:bCs/>
          <w:sz w:val="24"/>
          <w:szCs w:val="24"/>
          <w:lang w:val="en-US"/>
        </w:rPr>
      </w:pPr>
      <w:r w:rsidRPr="00246E7C">
        <w:rPr>
          <w:rFonts w:ascii="Times New Roman" w:hAnsi="Times New Roman" w:cs="Times New Roman"/>
          <w:b/>
          <w:bCs/>
          <w:sz w:val="24"/>
          <w:szCs w:val="24"/>
          <w:lang w:val="en-US"/>
        </w:rPr>
        <w:t>Quality Control Review:</w:t>
      </w:r>
      <w:r w:rsidR="007256BF" w:rsidRPr="00246E7C">
        <w:rPr>
          <w:rFonts w:ascii="Times New Roman" w:hAnsi="Times New Roman" w:cs="Times New Roman"/>
          <w:b/>
          <w:bCs/>
          <w:sz w:val="24"/>
          <w:szCs w:val="24"/>
          <w:lang w:val="en-US"/>
        </w:rPr>
        <w:t xml:space="preserve"> </w:t>
      </w:r>
      <w:r w:rsidR="007256BF" w:rsidRPr="00246E7C">
        <w:rPr>
          <w:rFonts w:ascii="Times New Roman" w:hAnsi="Times New Roman" w:cs="Times New Roman"/>
          <w:sz w:val="24"/>
          <w:szCs w:val="24"/>
          <w:lang w:val="en-US"/>
        </w:rPr>
        <w:t>Adhering to rigorous quality and safety requirements throughout the Hinkley Point C project has become essential. Problems arose in maintaining quality standards because of over-reliance on experimental technologies like European Pressurized Reactors (EPR)</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Carpenter and Energy, 2019</w:t>
      </w:r>
      <w:r w:rsidR="00E47A2D"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xml:space="preserve">. To solve this problem, these cutting-edge technologies required extensive testing and validation to guarantee their compatibility and dependability within the parameters of the project. Professionals with expertise in construction and safety checks were crucial in ensuring quality standards were met. Quality control may be improved by integrating systems for ongoing quality assurance into each building stage. Integral parts of </w:t>
      </w:r>
      <w:r w:rsidR="007256BF" w:rsidRPr="00246E7C">
        <w:rPr>
          <w:rFonts w:ascii="Times New Roman" w:hAnsi="Times New Roman" w:cs="Times New Roman"/>
          <w:sz w:val="24"/>
          <w:szCs w:val="24"/>
          <w:lang w:val="en-US"/>
        </w:rPr>
        <w:lastRenderedPageBreak/>
        <w:t>the project's structure must include frequent audits, strict inspection regimes, and periodic peer reviews. The Hinkley Point C project is a prime example of how a proactive approach to quality control can help future projects successfully navigate the complexities of new technologies and evolving safety standards, thereby reducing risks and maximizing the likelihood of achieving project goals</w:t>
      </w:r>
      <w:r w:rsidR="00E47A2D" w:rsidRPr="00246E7C">
        <w:rPr>
          <w:rFonts w:ascii="Times New Roman" w:hAnsi="Times New Roman" w:cs="Times New Roman"/>
          <w:sz w:val="24"/>
          <w:szCs w:val="24"/>
          <w:lang w:val="en-US"/>
        </w:rPr>
        <w:t xml:space="preserve"> (</w:t>
      </w:r>
      <w:r w:rsidR="00E47A2D" w:rsidRPr="00246E7C">
        <w:rPr>
          <w:rFonts w:ascii="Times New Roman" w:hAnsi="Times New Roman" w:cs="Times New Roman"/>
          <w:sz w:val="24"/>
          <w:szCs w:val="24"/>
        </w:rPr>
        <w:t>Aldama-Bustos et al., 2019</w:t>
      </w:r>
      <w:r w:rsidR="00E47A2D"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w:t>
      </w:r>
    </w:p>
    <w:p w14:paraId="296F074A" w14:textId="145BB566" w:rsidR="003E36EF" w:rsidRPr="00246E7C" w:rsidRDefault="00E46D50" w:rsidP="003E36EF">
      <w:pPr>
        <w:spacing w:line="360" w:lineRule="auto"/>
        <w:jc w:val="both"/>
        <w:rPr>
          <w:rFonts w:ascii="Times New Roman" w:hAnsi="Times New Roman" w:cs="Times New Roman"/>
          <w:b/>
          <w:bCs/>
          <w:sz w:val="24"/>
          <w:szCs w:val="24"/>
          <w:lang w:val="en-US"/>
        </w:rPr>
      </w:pPr>
      <w:r w:rsidRPr="00246E7C">
        <w:rPr>
          <w:rFonts w:ascii="Times New Roman" w:hAnsi="Times New Roman" w:cs="Times New Roman"/>
          <w:b/>
          <w:bCs/>
          <w:sz w:val="24"/>
          <w:szCs w:val="24"/>
          <w:lang w:val="en-US"/>
        </w:rPr>
        <w:t>Stakeholder Management Review:</w:t>
      </w:r>
      <w:r w:rsidR="007256BF" w:rsidRPr="00246E7C">
        <w:rPr>
          <w:rFonts w:ascii="Times New Roman" w:hAnsi="Times New Roman" w:cs="Times New Roman"/>
          <w:b/>
          <w:bCs/>
          <w:sz w:val="24"/>
          <w:szCs w:val="24"/>
          <w:lang w:val="en-US"/>
        </w:rPr>
        <w:t xml:space="preserve"> </w:t>
      </w:r>
      <w:r w:rsidR="007256BF" w:rsidRPr="00246E7C">
        <w:rPr>
          <w:rFonts w:ascii="Times New Roman" w:hAnsi="Times New Roman" w:cs="Times New Roman"/>
          <w:sz w:val="24"/>
          <w:szCs w:val="24"/>
          <w:lang w:val="en-US"/>
        </w:rPr>
        <w:t>The success of the Hinkley Point C project hinged on the team's ability to manage its many stakeholder groups effectively, yet this didn't prove easy at times</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Bryant, 2021</w:t>
      </w:r>
      <w:r w:rsidR="00582291"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The first crucial stage was identifying essential players, such as government agencies, investors, communities, and environmental organizations. However, interacting with these parties added its own set of challenges. However, resolving the worries of local communities and environmental organizations required careful attention and sensitivity, including working closely with government authorities and investors.</w:t>
      </w:r>
    </w:p>
    <w:p w14:paraId="392001E6" w14:textId="17F6EADB"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Disagreements and fights amongst interested parties surfaced as a significant roadblock. Conflicting priorities and interests slowed down the process. As a result, the project needed a thorough stakeholder engagement plan that prioritized open communication and frequent check-ins. Allowing all parties involved to express their opinions and provide input, transparent lines of communication help build trust and mutual understanding.</w:t>
      </w:r>
    </w:p>
    <w:p w14:paraId="392AC1A5" w14:textId="1877FAB2" w:rsidR="00C46819"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Proactive stakeholder management is the key to success in future initiatives. As early as possible in a project's lifetime, a strategy for engaging stakeholders should be crafted with their requirements and expectations in mind. Potential disputes may be avoided, and cooperation can be improved by holding regular engagement and consultation sessions. Sharing information about the project's status, potential dangers, and development will encourage participation from all parties. In addition, better decisions that align with the interests of local communities and environmental organizations may be made if impact studies are conducted to understand their concerns.</w:t>
      </w:r>
    </w:p>
    <w:p w14:paraId="385396DB" w14:textId="37D7C32E"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Future projects will be better able to traverse complicated stakeholder interactions if these suggestions are implemented; this will lead to better project execution, happier stakeholders, and more long-term success, as shown in the Hinkley Point C project. In addition to improving project results, bolstering stakeholder management will help foster a long-lasting, win-win partnership between programs and the communities they serve</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Besse et al., 2022</w:t>
      </w:r>
      <w:r w:rsidR="00582291" w:rsidRPr="00246E7C">
        <w:rPr>
          <w:rFonts w:ascii="Times New Roman" w:hAnsi="Times New Roman" w:cs="Times New Roman"/>
          <w:sz w:val="24"/>
          <w:szCs w:val="24"/>
          <w:lang w:val="en-US"/>
        </w:rPr>
        <w:t>)</w:t>
      </w:r>
      <w:r w:rsidRPr="00246E7C">
        <w:rPr>
          <w:rFonts w:ascii="Times New Roman" w:hAnsi="Times New Roman" w:cs="Times New Roman"/>
          <w:sz w:val="24"/>
          <w:szCs w:val="24"/>
          <w:lang w:val="en-US"/>
        </w:rPr>
        <w:t>.</w:t>
      </w:r>
    </w:p>
    <w:p w14:paraId="1B1AE3BD" w14:textId="01DE141B" w:rsidR="003E36EF" w:rsidRPr="00246E7C" w:rsidRDefault="00E46D50" w:rsidP="003E36EF">
      <w:pPr>
        <w:spacing w:line="360" w:lineRule="auto"/>
        <w:jc w:val="both"/>
        <w:rPr>
          <w:rFonts w:ascii="Times New Roman" w:hAnsi="Times New Roman" w:cs="Times New Roman"/>
          <w:b/>
          <w:bCs/>
          <w:sz w:val="24"/>
          <w:szCs w:val="24"/>
          <w:lang w:val="en-US"/>
        </w:rPr>
      </w:pPr>
      <w:r w:rsidRPr="00246E7C">
        <w:rPr>
          <w:rFonts w:ascii="Times New Roman" w:hAnsi="Times New Roman" w:cs="Times New Roman"/>
          <w:b/>
          <w:bCs/>
          <w:sz w:val="24"/>
          <w:szCs w:val="24"/>
          <w:lang w:val="en-US"/>
        </w:rPr>
        <w:t>Risk Assessment Review:</w:t>
      </w:r>
      <w:r w:rsidR="007256BF" w:rsidRPr="00246E7C">
        <w:rPr>
          <w:rFonts w:ascii="Times New Roman" w:hAnsi="Times New Roman" w:cs="Times New Roman"/>
          <w:b/>
          <w:bCs/>
          <w:sz w:val="24"/>
          <w:szCs w:val="24"/>
          <w:lang w:val="en-US"/>
        </w:rPr>
        <w:t xml:space="preserve"> </w:t>
      </w:r>
      <w:r w:rsidR="007256BF" w:rsidRPr="00246E7C">
        <w:rPr>
          <w:rFonts w:ascii="Times New Roman" w:hAnsi="Times New Roman" w:cs="Times New Roman"/>
          <w:sz w:val="24"/>
          <w:szCs w:val="24"/>
          <w:lang w:val="en-US"/>
        </w:rPr>
        <w:t>Numerous threats were posed to the success of the Hinkley Point C project, necessitating thorough risk assessment and control measures</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Terlikowski et al., 2019</w:t>
      </w:r>
      <w:r w:rsidR="00582291"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Project hazards included legislative unknowns, geological and environmental difficulties, and technical complications; their identification was an essential first step. Due to changing legislation, emerging regulatory uncertainties and compliance concerns posed possible delays and cost repercussions. Unexpected soil conditions and ecological concerns were only two of the geological and environmental issues that required meticulous planning and flexible solutions. The introduction of new, unproven technology, along with practical technical limitations, raised the danger level</w:t>
      </w:r>
      <w:r w:rsidRPr="00246E7C">
        <w:rPr>
          <w:rFonts w:ascii="Times New Roman" w:hAnsi="Times New Roman" w:cs="Times New Roman"/>
          <w:sz w:val="24"/>
          <w:szCs w:val="24"/>
          <w:lang w:val="en-US"/>
        </w:rPr>
        <w:t>.</w:t>
      </w:r>
    </w:p>
    <w:p w14:paraId="719F896C" w14:textId="24AB3961"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However, more attention was needed to these difficulties during the project's risk assessment, which resulted in insufficient mitigation measures. Threats may have been avoided or their effects mitigated with better risk management. Timely reactions and changes may have been possible with periodic risk evaluations throughout the project's duration</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Грабовый and Березка, 2021</w:t>
      </w:r>
      <w:r w:rsidR="00582291" w:rsidRPr="00246E7C">
        <w:rPr>
          <w:rFonts w:ascii="Times New Roman" w:hAnsi="Times New Roman" w:cs="Times New Roman"/>
          <w:sz w:val="24"/>
          <w:szCs w:val="24"/>
          <w:lang w:val="en-US"/>
        </w:rPr>
        <w:t>)</w:t>
      </w:r>
      <w:r w:rsidRPr="00246E7C">
        <w:rPr>
          <w:rFonts w:ascii="Times New Roman" w:hAnsi="Times New Roman" w:cs="Times New Roman"/>
          <w:sz w:val="24"/>
          <w:szCs w:val="24"/>
          <w:lang w:val="en-US"/>
        </w:rPr>
        <w:t>.</w:t>
      </w:r>
    </w:p>
    <w:p w14:paraId="1067E42E" w14:textId="1BB24289"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A more all-encompassing strategy is required to improve risk assessment in future projects. It is essential to consider all possible avenues and external influences when identifying and assessing potential dangers. Experts and stakeholders in the field should be consulted throughout the risk assessment process. Timely interventions and proactive management would result from maintaining accurate risk registers and implementing effective mitigation solutions for all identified hazards. In addition, making risk assessment an ongoing part of project management would foster flexibility and resilience, allowing projects to be carried out successfully despite unknowns.</w:t>
      </w:r>
    </w:p>
    <w:p w14:paraId="7CA97A92" w14:textId="1FB5A29C"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If these suggestions are implemented, future projects will be less likely to have significant delays, budget overruns, and possible setbacks. The review of the Hinkley Point C project shows that a thorough approach to risk assessment improves project results and helps ensure the long-term viability of large-scale initiatives.</w:t>
      </w:r>
    </w:p>
    <w:p w14:paraId="738ED2D6" w14:textId="77777777" w:rsidR="003E36EF" w:rsidRPr="00246E7C" w:rsidRDefault="003E36EF" w:rsidP="003E36EF">
      <w:pPr>
        <w:spacing w:line="360" w:lineRule="auto"/>
        <w:jc w:val="both"/>
        <w:rPr>
          <w:rFonts w:ascii="Times New Roman" w:hAnsi="Times New Roman" w:cs="Times New Roman"/>
          <w:sz w:val="24"/>
          <w:szCs w:val="24"/>
          <w:lang w:val="en-US"/>
        </w:rPr>
      </w:pPr>
    </w:p>
    <w:p w14:paraId="35C11E98" w14:textId="77777777" w:rsidR="007256BF" w:rsidRPr="00246E7C" w:rsidRDefault="007256BF" w:rsidP="003E36EF">
      <w:pPr>
        <w:spacing w:line="360" w:lineRule="auto"/>
        <w:jc w:val="both"/>
        <w:rPr>
          <w:rFonts w:ascii="Times New Roman" w:hAnsi="Times New Roman" w:cs="Times New Roman"/>
          <w:sz w:val="24"/>
          <w:szCs w:val="24"/>
          <w:lang w:val="en-US"/>
        </w:rPr>
      </w:pPr>
    </w:p>
    <w:p w14:paraId="54CD59B6" w14:textId="77777777" w:rsidR="00185B7A" w:rsidRPr="00246E7C" w:rsidRDefault="00185B7A" w:rsidP="003E36EF">
      <w:pPr>
        <w:spacing w:line="360" w:lineRule="auto"/>
        <w:jc w:val="both"/>
        <w:rPr>
          <w:rFonts w:ascii="Times New Roman" w:hAnsi="Times New Roman" w:cs="Times New Roman"/>
          <w:sz w:val="24"/>
          <w:szCs w:val="24"/>
          <w:lang w:val="en-US"/>
        </w:rPr>
      </w:pPr>
    </w:p>
    <w:p w14:paraId="493B483D" w14:textId="77777777" w:rsidR="003E36EF" w:rsidRPr="00246E7C" w:rsidRDefault="00E46D50" w:rsidP="00F9258E">
      <w:pPr>
        <w:pStyle w:val="1"/>
        <w:rPr>
          <w:rFonts w:cs="Times New Roman"/>
          <w:lang w:val="en-US"/>
        </w:rPr>
      </w:pPr>
      <w:bookmarkStart w:id="2" w:name="_Toc141885691"/>
      <w:r w:rsidRPr="00246E7C">
        <w:rPr>
          <w:rFonts w:cs="Times New Roman"/>
          <w:lang w:val="en-US"/>
        </w:rPr>
        <w:t>Recommendations</w:t>
      </w:r>
      <w:bookmarkEnd w:id="2"/>
      <w:r w:rsidRPr="00246E7C">
        <w:rPr>
          <w:rFonts w:cs="Times New Roman"/>
          <w:lang w:val="en-US"/>
        </w:rPr>
        <w:t xml:space="preserve"> </w:t>
      </w:r>
    </w:p>
    <w:p w14:paraId="31889EA3" w14:textId="42B79ED8"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Integration of Project Management Methodologies:</w:t>
      </w:r>
      <w:r w:rsidR="007256BF" w:rsidRPr="00246E7C">
        <w:rPr>
          <w:rFonts w:ascii="Times New Roman" w:hAnsi="Times New Roman" w:cs="Times New Roman"/>
          <w:sz w:val="24"/>
          <w:szCs w:val="24"/>
          <w:lang w:val="en-US"/>
        </w:rPr>
        <w:t xml:space="preserve"> Future initiatives should consider merging diverse project management approaches to increase the likelihood of success of large-scale projects like Hinkley Point C</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Sainati et al., 2019</w:t>
      </w:r>
      <w:r w:rsidR="00582291"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To successfully address complex and ever-changing difficulties, a framework that combines components of conventional project management, agile techniques, and other appropriate approaches is necessary.</w:t>
      </w:r>
    </w:p>
    <w:p w14:paraId="762D36B0" w14:textId="3F7FBCE6"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Stakeholder Engagement and Communication:</w:t>
      </w:r>
      <w:r w:rsidR="007256BF" w:rsidRPr="00246E7C">
        <w:rPr>
          <w:rFonts w:ascii="Times New Roman" w:hAnsi="Times New Roman" w:cs="Times New Roman"/>
          <w:sz w:val="24"/>
          <w:szCs w:val="24"/>
          <w:lang w:val="en-US"/>
        </w:rPr>
        <w:t xml:space="preserve"> In light of everything we've learned about stakeholder management so far, we need to emphasize open lines of communication and thorough stakeholder involvement. Building confidence, reducing the potential for conflict, and ensuring project alignment with varied interests may all be accomplished via open lines of communication with all stakeholders, including local populations, environmental organizations, investors, and government authorities</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Castor et al., 2020</w:t>
      </w:r>
      <w:r w:rsidR="00582291"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w:t>
      </w:r>
    </w:p>
    <w:p w14:paraId="4287F913" w14:textId="780712D5"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Continuous Learning and Feedback Mechanisms:</w:t>
      </w:r>
      <w:r w:rsidR="007256BF" w:rsidRPr="00246E7C">
        <w:rPr>
          <w:rFonts w:ascii="Times New Roman" w:hAnsi="Times New Roman" w:cs="Times New Roman"/>
          <w:sz w:val="24"/>
          <w:szCs w:val="24"/>
          <w:lang w:val="en-US"/>
        </w:rPr>
        <w:t xml:space="preserve"> A constant learning and feedback culture should be fostered among project teams to prevent repeated overruns and delays. Project managers and teams will be able to discover best practices, learn from failures, and enhance future projects via regular reviews, post-mortems, and knowledge-sharing sessions.</w:t>
      </w:r>
    </w:p>
    <w:p w14:paraId="3D93085B" w14:textId="0334C7DE"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Expert Review and Validation of Project Plans:</w:t>
      </w:r>
      <w:r w:rsidR="007256BF" w:rsidRPr="00246E7C">
        <w:rPr>
          <w:rFonts w:ascii="Times New Roman" w:hAnsi="Times New Roman" w:cs="Times New Roman"/>
          <w:sz w:val="24"/>
          <w:szCs w:val="24"/>
          <w:lang w:val="en-US"/>
        </w:rPr>
        <w:t xml:space="preserve"> Expert evaluations and validations of project plans before execution may reveal flaws in cost and time estimations, quality control procedures, risk assessments, and management strategies. The advice of outside experts may be invaluable when trying to improve the efficiency and effectiveness of a project's execution.</w:t>
      </w:r>
    </w:p>
    <w:p w14:paraId="1BB88468" w14:textId="2EFA5BEF"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Collaborative Risk Management Workshops:</w:t>
      </w:r>
      <w:r w:rsidR="007256BF" w:rsidRPr="00246E7C">
        <w:rPr>
          <w:rFonts w:ascii="Times New Roman" w:hAnsi="Times New Roman" w:cs="Times New Roman"/>
          <w:sz w:val="24"/>
          <w:szCs w:val="24"/>
          <w:lang w:val="en-US"/>
        </w:rPr>
        <w:t xml:space="preserve"> Risks to a project may be better understood when stakeholders work together to identify and assess them in a workshop setting. More robust risk management procedures may be the outcome of workshops exploring interdependencies between risks and developing detailed plans to reduce such dependencies.</w:t>
      </w:r>
    </w:p>
    <w:p w14:paraId="5FE44049" w14:textId="44F3CAD7" w:rsidR="00C46819" w:rsidRPr="00246E7C" w:rsidRDefault="00E46D50" w:rsidP="003E36EF">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Adherence to Sustainable Practices:</w:t>
      </w:r>
      <w:r w:rsidR="007256BF" w:rsidRPr="00246E7C">
        <w:rPr>
          <w:rFonts w:ascii="Times New Roman" w:hAnsi="Times New Roman" w:cs="Times New Roman"/>
          <w:sz w:val="24"/>
          <w:szCs w:val="24"/>
          <w:lang w:val="en-US"/>
        </w:rPr>
        <w:t xml:space="preserve"> Large-scale initiatives should be planned and carried out with sustainability in mind</w:t>
      </w:r>
      <w:r w:rsidR="00582291" w:rsidRPr="00246E7C">
        <w:rPr>
          <w:rFonts w:ascii="Times New Roman" w:hAnsi="Times New Roman" w:cs="Times New Roman"/>
          <w:sz w:val="24"/>
          <w:szCs w:val="24"/>
          <w:lang w:val="en-US"/>
        </w:rPr>
        <w:t xml:space="preserve"> (</w:t>
      </w:r>
      <w:r w:rsidR="00582291" w:rsidRPr="00246E7C">
        <w:rPr>
          <w:rFonts w:ascii="Times New Roman" w:hAnsi="Times New Roman" w:cs="Times New Roman"/>
          <w:sz w:val="24"/>
          <w:szCs w:val="24"/>
        </w:rPr>
        <w:t>Wang et al., 2020</w:t>
      </w:r>
      <w:r w:rsidR="00582291"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Long-term economic and environmental advantages may result from giving high priority to sustainable practices, renewable energy sources, and environmentally responsible methods.</w:t>
      </w:r>
    </w:p>
    <w:p w14:paraId="55B875CE" w14:textId="5505A65E" w:rsidR="003E36EF" w:rsidRPr="00246E7C" w:rsidRDefault="00E46D50" w:rsidP="003E36EF">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Utilization of Project Management Software:</w:t>
      </w:r>
      <w:r w:rsidR="007256BF" w:rsidRPr="00246E7C">
        <w:rPr>
          <w:rFonts w:ascii="Times New Roman" w:hAnsi="Times New Roman" w:cs="Times New Roman"/>
          <w:sz w:val="24"/>
          <w:szCs w:val="24"/>
          <w:lang w:val="en-US"/>
        </w:rPr>
        <w:t xml:space="preserve"> Planning, monitoring, and reporting on a project may be simplified with the help of cutting-edge software</w:t>
      </w:r>
      <w:r w:rsidR="006E735F" w:rsidRPr="00246E7C">
        <w:rPr>
          <w:rFonts w:ascii="Times New Roman" w:hAnsi="Times New Roman" w:cs="Times New Roman"/>
          <w:sz w:val="24"/>
          <w:szCs w:val="24"/>
          <w:lang w:val="en-US"/>
        </w:rPr>
        <w:t xml:space="preserve"> (</w:t>
      </w:r>
      <w:r w:rsidR="006E735F" w:rsidRPr="00246E7C">
        <w:rPr>
          <w:rFonts w:ascii="Times New Roman" w:hAnsi="Times New Roman" w:cs="Times New Roman"/>
          <w:sz w:val="24"/>
          <w:szCs w:val="24"/>
        </w:rPr>
        <w:t>Wealer et al., 2021</w:t>
      </w:r>
      <w:r w:rsidR="006E735F" w:rsidRPr="00246E7C">
        <w:rPr>
          <w:rFonts w:ascii="Times New Roman" w:hAnsi="Times New Roman" w:cs="Times New Roman"/>
          <w:sz w:val="24"/>
          <w:szCs w:val="24"/>
          <w:lang w:val="en-US"/>
        </w:rPr>
        <w:t>)</w:t>
      </w:r>
      <w:r w:rsidR="007256BF" w:rsidRPr="00246E7C">
        <w:rPr>
          <w:rFonts w:ascii="Times New Roman" w:hAnsi="Times New Roman" w:cs="Times New Roman"/>
          <w:sz w:val="24"/>
          <w:szCs w:val="24"/>
          <w:lang w:val="en-US"/>
        </w:rPr>
        <w:t>. These resources allow for continuous monitoring of a project's development, which improves decision-making and expedites corrective action when deviations arise.</w:t>
      </w:r>
    </w:p>
    <w:p w14:paraId="405C3EB3" w14:textId="0335DEC9" w:rsidR="003E36EF" w:rsidRPr="00246E7C" w:rsidRDefault="00E46D50" w:rsidP="00CE17A0">
      <w:pPr>
        <w:pStyle w:val="a3"/>
        <w:numPr>
          <w:ilvl w:val="0"/>
          <w:numId w:val="10"/>
        </w:numPr>
        <w:spacing w:line="360" w:lineRule="auto"/>
        <w:jc w:val="both"/>
        <w:rPr>
          <w:rFonts w:ascii="Times New Roman" w:hAnsi="Times New Roman" w:cs="Times New Roman"/>
          <w:sz w:val="24"/>
          <w:szCs w:val="24"/>
          <w:lang w:val="en-US"/>
        </w:rPr>
      </w:pPr>
      <w:r w:rsidRPr="00246E7C">
        <w:rPr>
          <w:rFonts w:ascii="Times New Roman" w:hAnsi="Times New Roman" w:cs="Times New Roman"/>
          <w:b/>
          <w:bCs/>
          <w:sz w:val="24"/>
          <w:szCs w:val="24"/>
          <w:lang w:val="en-US"/>
        </w:rPr>
        <w:t>Comprehensive Lessons Learned Repository:</w:t>
      </w:r>
      <w:r w:rsidR="007256BF" w:rsidRPr="00246E7C">
        <w:rPr>
          <w:rFonts w:ascii="Times New Roman" w:hAnsi="Times New Roman" w:cs="Times New Roman"/>
          <w:sz w:val="24"/>
          <w:szCs w:val="24"/>
          <w:lang w:val="en-US"/>
        </w:rPr>
        <w:t xml:space="preserve"> The knowledge gained from prior projects, such as Hinkley Point C, may be used by compiling it in one convenient location. Enhancing project performance and results by allowing teams to draw on prior successes, methods, and lessons learned</w:t>
      </w:r>
      <w:r w:rsidRPr="00246E7C">
        <w:rPr>
          <w:rFonts w:ascii="Times New Roman" w:hAnsi="Times New Roman" w:cs="Times New Roman"/>
          <w:sz w:val="24"/>
          <w:szCs w:val="24"/>
          <w:lang w:val="en-US"/>
        </w:rPr>
        <w:t>.</w:t>
      </w:r>
    </w:p>
    <w:p w14:paraId="2DDE271B" w14:textId="15F26795" w:rsidR="003E36EF"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Project managers and stakeholders may significantly enhance the delivery of large-scale projects by implementing these pertinent ideas and creating a culture of excellence in project management</w:t>
      </w:r>
      <w:r w:rsidR="006E735F" w:rsidRPr="00246E7C">
        <w:rPr>
          <w:rFonts w:ascii="Times New Roman" w:hAnsi="Times New Roman" w:cs="Times New Roman"/>
          <w:sz w:val="24"/>
          <w:szCs w:val="24"/>
          <w:lang w:val="en-US"/>
        </w:rPr>
        <w:t xml:space="preserve"> (</w:t>
      </w:r>
      <w:r w:rsidR="006E735F" w:rsidRPr="00246E7C">
        <w:rPr>
          <w:rFonts w:ascii="Times New Roman" w:hAnsi="Times New Roman" w:cs="Times New Roman"/>
          <w:sz w:val="24"/>
          <w:szCs w:val="24"/>
        </w:rPr>
        <w:t>Gungor and Sari, 2022</w:t>
      </w:r>
      <w:r w:rsidR="006E735F" w:rsidRPr="00246E7C">
        <w:rPr>
          <w:rFonts w:ascii="Times New Roman" w:hAnsi="Times New Roman" w:cs="Times New Roman"/>
          <w:sz w:val="24"/>
          <w:szCs w:val="24"/>
          <w:lang w:val="en-US"/>
        </w:rPr>
        <w:t>)</w:t>
      </w:r>
      <w:r w:rsidRPr="00246E7C">
        <w:rPr>
          <w:rFonts w:ascii="Times New Roman" w:hAnsi="Times New Roman" w:cs="Times New Roman"/>
          <w:sz w:val="24"/>
          <w:szCs w:val="24"/>
          <w:lang w:val="en-US"/>
        </w:rPr>
        <w:t>. The future of the UK's sustainable energy sector and its capacity to undertake and execute large-scale projects will benefit from lessons from the Hinkley Point C experience.</w:t>
      </w:r>
    </w:p>
    <w:p w14:paraId="3E8EF4A0" w14:textId="77777777" w:rsidR="003E36EF" w:rsidRPr="00246E7C" w:rsidRDefault="00E46D50">
      <w:pPr>
        <w:rPr>
          <w:rFonts w:ascii="Times New Roman" w:hAnsi="Times New Roman" w:cs="Times New Roman"/>
          <w:sz w:val="24"/>
          <w:szCs w:val="24"/>
          <w:lang w:val="en-US"/>
        </w:rPr>
      </w:pPr>
      <w:r w:rsidRPr="00246E7C">
        <w:rPr>
          <w:rFonts w:ascii="Times New Roman" w:hAnsi="Times New Roman" w:cs="Times New Roman"/>
          <w:sz w:val="24"/>
          <w:szCs w:val="24"/>
          <w:lang w:val="en-US"/>
        </w:rPr>
        <w:br w:type="page"/>
      </w:r>
    </w:p>
    <w:p w14:paraId="0D4B7259" w14:textId="77777777" w:rsidR="003E36EF" w:rsidRPr="00246E7C" w:rsidRDefault="00E46D50" w:rsidP="00F9258E">
      <w:pPr>
        <w:pStyle w:val="1"/>
        <w:rPr>
          <w:rFonts w:cs="Times New Roman"/>
          <w:lang w:val="en-US"/>
        </w:rPr>
      </w:pPr>
      <w:bookmarkStart w:id="3" w:name="_Toc141885692"/>
      <w:r w:rsidRPr="00246E7C">
        <w:rPr>
          <w:rFonts w:cs="Times New Roman"/>
          <w:lang w:val="en-US"/>
        </w:rPr>
        <w:t>Conclusion</w:t>
      </w:r>
      <w:bookmarkEnd w:id="3"/>
      <w:r w:rsidRPr="00246E7C">
        <w:rPr>
          <w:rFonts w:cs="Times New Roman"/>
          <w:lang w:val="en-US"/>
        </w:rPr>
        <w:t xml:space="preserve"> </w:t>
      </w:r>
    </w:p>
    <w:p w14:paraId="226E7A1B" w14:textId="56E5F9B2" w:rsidR="001945A9" w:rsidRPr="00246E7C" w:rsidRDefault="00E46D50" w:rsidP="003E36E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lang w:val="en-US"/>
        </w:rPr>
        <w:t>Hinkley Point C's triumphs and failures have been illuminated via critical analysis, illuminating the fundamentals of project management. The original concept for the project had lofty objectives, including reviving the UK's nuclear power sector and providing low-carbon energy to millions of households. However, the evaluation revealed severe budget and schedule overruns and complexity in quality control, stakeholder management, and risk assessment. The research showed that more accurate cost projections, thorough risk analyses, and preventative risk management measures are required. Time management must also be adaptable and flexible to account for surprises and setbacks. Maintaining support and cooperation throughout a project's lifespan relies heavily on effective stakeholder involvement, open communication, and dispute resolution. Emerging technologies need stringent quality control methods to prevent expensive rework and potential safety problems. Implementing a collaborative strategy, integrating diverse project management approaches, and implementing sustainable practices are vital to improving future large-scale projects and building on the lessons acquired from Hinkley Point C. Better decisions may be made with the help of stakeholder input and outside validation of project plans. Project teams can adapt and develop on the fly with the help of regular evaluations, ongoing learning, and feedback channels. If the United Kingdom takes these suggestions to heart, it may become a world leader in the timely and environmentally responsible completion of massive construction projects. The trajectory of the Hinkley Point C project demonstrates the significance of risk assessment, stakeholder participation, and basic project management principles in ensuring the project's long-term success. The evaluation's findings will be essential in creating future initiatives that address today's difficulties and contribute to a brighter and more sustainable tomorrow as the country moves toward a low-carbon future.</w:t>
      </w:r>
    </w:p>
    <w:p w14:paraId="034F1303" w14:textId="77777777" w:rsidR="00F9258E" w:rsidRPr="00246E7C" w:rsidRDefault="00F9258E" w:rsidP="003E36EF">
      <w:pPr>
        <w:spacing w:line="360" w:lineRule="auto"/>
        <w:jc w:val="both"/>
        <w:rPr>
          <w:rFonts w:ascii="Times New Roman" w:hAnsi="Times New Roman" w:cs="Times New Roman"/>
          <w:sz w:val="24"/>
          <w:szCs w:val="24"/>
          <w:lang w:val="en-US"/>
        </w:rPr>
      </w:pPr>
    </w:p>
    <w:p w14:paraId="0B990C38" w14:textId="77777777" w:rsidR="00F9258E" w:rsidRPr="00246E7C" w:rsidRDefault="00F9258E" w:rsidP="003E36EF">
      <w:pPr>
        <w:spacing w:line="360" w:lineRule="auto"/>
        <w:jc w:val="both"/>
        <w:rPr>
          <w:rFonts w:ascii="Times New Roman" w:hAnsi="Times New Roman" w:cs="Times New Roman"/>
          <w:sz w:val="24"/>
          <w:szCs w:val="24"/>
          <w:lang w:val="en-US"/>
        </w:rPr>
      </w:pPr>
    </w:p>
    <w:p w14:paraId="097687AE" w14:textId="77777777" w:rsidR="00F9258E" w:rsidRPr="00246E7C" w:rsidRDefault="00F9258E" w:rsidP="003E36EF">
      <w:pPr>
        <w:spacing w:line="360" w:lineRule="auto"/>
        <w:jc w:val="both"/>
        <w:rPr>
          <w:rFonts w:ascii="Times New Roman" w:hAnsi="Times New Roman" w:cs="Times New Roman"/>
          <w:sz w:val="24"/>
          <w:szCs w:val="24"/>
          <w:lang w:val="en-US"/>
        </w:rPr>
      </w:pPr>
    </w:p>
    <w:p w14:paraId="233FE5AF" w14:textId="77777777" w:rsidR="00F9258E" w:rsidRPr="00246E7C" w:rsidRDefault="00F9258E" w:rsidP="003E36EF">
      <w:pPr>
        <w:spacing w:line="360" w:lineRule="auto"/>
        <w:jc w:val="both"/>
        <w:rPr>
          <w:rFonts w:ascii="Times New Roman" w:hAnsi="Times New Roman" w:cs="Times New Roman"/>
          <w:sz w:val="24"/>
          <w:szCs w:val="24"/>
          <w:lang w:val="en-US"/>
        </w:rPr>
      </w:pPr>
    </w:p>
    <w:p w14:paraId="655B4018" w14:textId="77777777" w:rsidR="00F9258E" w:rsidRPr="00246E7C" w:rsidRDefault="00F9258E" w:rsidP="003E36EF">
      <w:pPr>
        <w:spacing w:line="360" w:lineRule="auto"/>
        <w:jc w:val="both"/>
        <w:rPr>
          <w:rFonts w:ascii="Times New Roman" w:hAnsi="Times New Roman" w:cs="Times New Roman"/>
          <w:sz w:val="24"/>
          <w:szCs w:val="24"/>
          <w:lang w:val="en-US"/>
        </w:rPr>
      </w:pPr>
    </w:p>
    <w:p w14:paraId="78B6C3A3" w14:textId="77777777" w:rsidR="00F9258E" w:rsidRPr="00246E7C" w:rsidRDefault="00F9258E" w:rsidP="003E36EF">
      <w:pPr>
        <w:spacing w:line="360" w:lineRule="auto"/>
        <w:jc w:val="both"/>
        <w:rPr>
          <w:rFonts w:ascii="Times New Roman" w:hAnsi="Times New Roman" w:cs="Times New Roman"/>
          <w:sz w:val="24"/>
          <w:szCs w:val="24"/>
          <w:lang w:val="en-US"/>
        </w:rPr>
      </w:pPr>
    </w:p>
    <w:p w14:paraId="167C4C23" w14:textId="77777777" w:rsidR="00F9258E" w:rsidRPr="00246E7C" w:rsidRDefault="00F9258E" w:rsidP="003E36EF">
      <w:pPr>
        <w:spacing w:line="360" w:lineRule="auto"/>
        <w:jc w:val="both"/>
        <w:rPr>
          <w:rFonts w:ascii="Times New Roman" w:hAnsi="Times New Roman" w:cs="Times New Roman"/>
          <w:sz w:val="24"/>
          <w:szCs w:val="24"/>
          <w:lang w:val="en-US"/>
        </w:rPr>
      </w:pPr>
    </w:p>
    <w:p w14:paraId="3981A15F" w14:textId="77777777" w:rsidR="00F9258E" w:rsidRPr="00246E7C" w:rsidRDefault="00E46D50" w:rsidP="00F9258E">
      <w:pPr>
        <w:pStyle w:val="1"/>
        <w:rPr>
          <w:rFonts w:cs="Times New Roman"/>
          <w:lang w:val="en-US"/>
        </w:rPr>
      </w:pPr>
      <w:bookmarkStart w:id="4" w:name="_Toc141885693"/>
      <w:r w:rsidRPr="00246E7C">
        <w:rPr>
          <w:rFonts w:cs="Times New Roman"/>
          <w:lang w:val="en-US"/>
        </w:rPr>
        <w:t>References</w:t>
      </w:r>
      <w:bookmarkEnd w:id="4"/>
      <w:r w:rsidRPr="00246E7C">
        <w:rPr>
          <w:rFonts w:cs="Times New Roman"/>
          <w:lang w:val="en-US"/>
        </w:rPr>
        <w:t xml:space="preserve"> </w:t>
      </w:r>
    </w:p>
    <w:p w14:paraId="43B11C1B"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Aldama-Bustos, G., Tromans, I.J., Strasser, F., Garrard, G., Green, G., Rivers, L., Douglas, J., Musson, R.M., Hunt, S., Lessi-Cheimariou, A. and Daví, M., 2019. A streamlined approach for the seismic hazard assessment of a new nuclear power plant in the UK. </w:t>
      </w:r>
      <w:r w:rsidRPr="00246E7C">
        <w:rPr>
          <w:rFonts w:ascii="Times New Roman" w:hAnsi="Times New Roman" w:cs="Times New Roman"/>
          <w:i/>
          <w:iCs/>
          <w:sz w:val="24"/>
          <w:szCs w:val="24"/>
        </w:rPr>
        <w:t>Bulletin of earthquake engineering</w:t>
      </w:r>
      <w:r w:rsidRPr="00246E7C">
        <w:rPr>
          <w:rFonts w:ascii="Times New Roman" w:hAnsi="Times New Roman" w:cs="Times New Roman"/>
          <w:sz w:val="24"/>
          <w:szCs w:val="24"/>
        </w:rPr>
        <w:t>, </w:t>
      </w:r>
      <w:r w:rsidRPr="00246E7C">
        <w:rPr>
          <w:rFonts w:ascii="Times New Roman" w:hAnsi="Times New Roman" w:cs="Times New Roman"/>
          <w:i/>
          <w:iCs/>
          <w:sz w:val="24"/>
          <w:szCs w:val="24"/>
        </w:rPr>
        <w:t>17</w:t>
      </w:r>
      <w:r w:rsidRPr="00246E7C">
        <w:rPr>
          <w:rFonts w:ascii="Times New Roman" w:hAnsi="Times New Roman" w:cs="Times New Roman"/>
          <w:sz w:val="24"/>
          <w:szCs w:val="24"/>
        </w:rPr>
        <w:t>, pp.37-54.</w:t>
      </w:r>
    </w:p>
    <w:p w14:paraId="7C9010BF"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Besse, M.E., Julia, A., Gody, A. and Veronese, T.P., 2022, October. Human Factors integration program into the equipment design of a nuclear power plant. In </w:t>
      </w:r>
      <w:r w:rsidRPr="00246E7C">
        <w:rPr>
          <w:rFonts w:ascii="Times New Roman" w:hAnsi="Times New Roman" w:cs="Times New Roman"/>
          <w:i/>
          <w:iCs/>
          <w:sz w:val="24"/>
          <w:szCs w:val="24"/>
        </w:rPr>
        <w:t>Congrès Lambda Mu 23 «Innovations et maîtrise des risques pour un avenir durable»-23e Congrès de Maîtrise des Risques et de Sûreté de Fonctionnement, Institut pour la Maîtrise des Risques</w:t>
      </w:r>
      <w:r w:rsidRPr="00246E7C">
        <w:rPr>
          <w:rFonts w:ascii="Times New Roman" w:hAnsi="Times New Roman" w:cs="Times New Roman"/>
          <w:sz w:val="24"/>
          <w:szCs w:val="24"/>
        </w:rPr>
        <w:t>.</w:t>
      </w:r>
    </w:p>
    <w:p w14:paraId="3DDF6087"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Bryant, P.A., 2021. Communicating radiation risk: the role of public engagement in reaching ALARA. </w:t>
      </w:r>
      <w:r w:rsidRPr="00246E7C">
        <w:rPr>
          <w:rFonts w:ascii="Times New Roman" w:hAnsi="Times New Roman" w:cs="Times New Roman"/>
          <w:i/>
          <w:iCs/>
          <w:sz w:val="24"/>
          <w:szCs w:val="24"/>
        </w:rPr>
        <w:t>Journal of Radiological Protection</w:t>
      </w:r>
      <w:r w:rsidRPr="00246E7C">
        <w:rPr>
          <w:rFonts w:ascii="Times New Roman" w:hAnsi="Times New Roman" w:cs="Times New Roman"/>
          <w:sz w:val="24"/>
          <w:szCs w:val="24"/>
        </w:rPr>
        <w:t>, </w:t>
      </w:r>
      <w:r w:rsidRPr="00246E7C">
        <w:rPr>
          <w:rFonts w:ascii="Times New Roman" w:hAnsi="Times New Roman" w:cs="Times New Roman"/>
          <w:i/>
          <w:iCs/>
          <w:sz w:val="24"/>
          <w:szCs w:val="24"/>
        </w:rPr>
        <w:t>41</w:t>
      </w:r>
      <w:r w:rsidRPr="00246E7C">
        <w:rPr>
          <w:rFonts w:ascii="Times New Roman" w:hAnsi="Times New Roman" w:cs="Times New Roman"/>
          <w:sz w:val="24"/>
          <w:szCs w:val="24"/>
        </w:rPr>
        <w:t>(2), p.S1.</w:t>
      </w:r>
    </w:p>
    <w:p w14:paraId="3D86FFAC"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Butcher, A., Stork, A.L., Verdon, J.P., Kendall, J.M., Plenkers, K., Booth, F., Boneham, M. and Koe, A., 2021. Evaluating rock mass disturbance within open-pit excavations using seismic methods: A case study from the Hinkley Point C nuclear power station. </w:t>
      </w:r>
      <w:r w:rsidRPr="00246E7C">
        <w:rPr>
          <w:rFonts w:ascii="Times New Roman" w:hAnsi="Times New Roman" w:cs="Times New Roman"/>
          <w:i/>
          <w:iCs/>
          <w:sz w:val="24"/>
          <w:szCs w:val="24"/>
        </w:rPr>
        <w:t>Journal of Rock Mechanics and Geotechnical Engineering</w:t>
      </w:r>
      <w:r w:rsidRPr="00246E7C">
        <w:rPr>
          <w:rFonts w:ascii="Times New Roman" w:hAnsi="Times New Roman" w:cs="Times New Roman"/>
          <w:sz w:val="24"/>
          <w:szCs w:val="24"/>
        </w:rPr>
        <w:t>, </w:t>
      </w:r>
      <w:r w:rsidRPr="00246E7C">
        <w:rPr>
          <w:rFonts w:ascii="Times New Roman" w:hAnsi="Times New Roman" w:cs="Times New Roman"/>
          <w:i/>
          <w:iCs/>
          <w:sz w:val="24"/>
          <w:szCs w:val="24"/>
        </w:rPr>
        <w:t>13</w:t>
      </w:r>
      <w:r w:rsidRPr="00246E7C">
        <w:rPr>
          <w:rFonts w:ascii="Times New Roman" w:hAnsi="Times New Roman" w:cs="Times New Roman"/>
          <w:sz w:val="24"/>
          <w:szCs w:val="24"/>
        </w:rPr>
        <w:t>(3), pp.500-512.</w:t>
      </w:r>
    </w:p>
    <w:p w14:paraId="7F0B4126"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Carpenter, A. and Energy, M.N., 2019. Investigating surface deformation surrounding Hinkley Point C using InSAR.</w:t>
      </w:r>
    </w:p>
    <w:p w14:paraId="6DCF3C92"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Castor, J., Bacha, K. and Nerini, F.F., 2020. SDGs in action: A novel framework for assessing energy projects against the sustainable development goals. </w:t>
      </w:r>
      <w:r w:rsidRPr="00246E7C">
        <w:rPr>
          <w:rFonts w:ascii="Times New Roman" w:hAnsi="Times New Roman" w:cs="Times New Roman"/>
          <w:i/>
          <w:iCs/>
          <w:sz w:val="24"/>
          <w:szCs w:val="24"/>
        </w:rPr>
        <w:t>Energy research &amp; social science</w:t>
      </w:r>
      <w:r w:rsidRPr="00246E7C">
        <w:rPr>
          <w:rFonts w:ascii="Times New Roman" w:hAnsi="Times New Roman" w:cs="Times New Roman"/>
          <w:sz w:val="24"/>
          <w:szCs w:val="24"/>
        </w:rPr>
        <w:t>, </w:t>
      </w:r>
      <w:r w:rsidRPr="00246E7C">
        <w:rPr>
          <w:rFonts w:ascii="Times New Roman" w:hAnsi="Times New Roman" w:cs="Times New Roman"/>
          <w:i/>
          <w:iCs/>
          <w:sz w:val="24"/>
          <w:szCs w:val="24"/>
        </w:rPr>
        <w:t>68</w:t>
      </w:r>
      <w:r w:rsidRPr="00246E7C">
        <w:rPr>
          <w:rFonts w:ascii="Times New Roman" w:hAnsi="Times New Roman" w:cs="Times New Roman"/>
          <w:sz w:val="24"/>
          <w:szCs w:val="24"/>
        </w:rPr>
        <w:t>, p.101556.</w:t>
      </w:r>
    </w:p>
    <w:p w14:paraId="4253B14A"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Daniel, E. and Daniel, P.A., 2019. Megaprojects as complex adaptive systems: The Hinkley point C case. </w:t>
      </w:r>
      <w:r w:rsidRPr="00246E7C">
        <w:rPr>
          <w:rFonts w:ascii="Times New Roman" w:hAnsi="Times New Roman" w:cs="Times New Roman"/>
          <w:i/>
          <w:iCs/>
          <w:sz w:val="24"/>
          <w:szCs w:val="24"/>
        </w:rPr>
        <w:t>International Journal of Project Management</w:t>
      </w:r>
      <w:r w:rsidRPr="00246E7C">
        <w:rPr>
          <w:rFonts w:ascii="Times New Roman" w:hAnsi="Times New Roman" w:cs="Times New Roman"/>
          <w:sz w:val="24"/>
          <w:szCs w:val="24"/>
        </w:rPr>
        <w:t>, </w:t>
      </w:r>
      <w:r w:rsidRPr="00246E7C">
        <w:rPr>
          <w:rFonts w:ascii="Times New Roman" w:hAnsi="Times New Roman" w:cs="Times New Roman"/>
          <w:i/>
          <w:iCs/>
          <w:sz w:val="24"/>
          <w:szCs w:val="24"/>
        </w:rPr>
        <w:t>37</w:t>
      </w:r>
      <w:r w:rsidRPr="00246E7C">
        <w:rPr>
          <w:rFonts w:ascii="Times New Roman" w:hAnsi="Times New Roman" w:cs="Times New Roman"/>
          <w:sz w:val="24"/>
          <w:szCs w:val="24"/>
        </w:rPr>
        <w:t>(8), pp.1017-1033.</w:t>
      </w:r>
    </w:p>
    <w:p w14:paraId="1FC52E4A"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Dyrda, J. and Morrison, R., 2021. Overview of the Hinkley Point C EPR Project ‘J0’and Beyond. In </w:t>
      </w:r>
      <w:r w:rsidRPr="00246E7C">
        <w:rPr>
          <w:rFonts w:ascii="Times New Roman" w:hAnsi="Times New Roman" w:cs="Times New Roman"/>
          <w:i/>
          <w:iCs/>
          <w:sz w:val="24"/>
          <w:szCs w:val="24"/>
        </w:rPr>
        <w:t>EPJ Web of Conferences</w:t>
      </w:r>
      <w:r w:rsidRPr="00246E7C">
        <w:rPr>
          <w:rFonts w:ascii="Times New Roman" w:hAnsi="Times New Roman" w:cs="Times New Roman"/>
          <w:sz w:val="24"/>
          <w:szCs w:val="24"/>
        </w:rPr>
        <w:t> (Vol. 247, p. 20001). EDP Sciences.</w:t>
      </w:r>
    </w:p>
    <w:p w14:paraId="6A8D8E85"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Glasson, J., Durning, B., Broderick, M. and Welch, K., 2021. Monitoring and auditing the local socio-economic and environmental impacts of the early stage construction of Hinkley Point C Nuclear Power Station, UK. </w:t>
      </w:r>
      <w:r w:rsidRPr="00246E7C">
        <w:rPr>
          <w:rFonts w:ascii="Times New Roman" w:hAnsi="Times New Roman" w:cs="Times New Roman"/>
          <w:i/>
          <w:iCs/>
          <w:sz w:val="24"/>
          <w:szCs w:val="24"/>
        </w:rPr>
        <w:t>Impact Assessment and Project Appraisal</w:t>
      </w:r>
      <w:r w:rsidRPr="00246E7C">
        <w:rPr>
          <w:rFonts w:ascii="Times New Roman" w:hAnsi="Times New Roman" w:cs="Times New Roman"/>
          <w:sz w:val="24"/>
          <w:szCs w:val="24"/>
        </w:rPr>
        <w:t>, </w:t>
      </w:r>
      <w:r w:rsidRPr="00246E7C">
        <w:rPr>
          <w:rFonts w:ascii="Times New Roman" w:hAnsi="Times New Roman" w:cs="Times New Roman"/>
          <w:i/>
          <w:iCs/>
          <w:sz w:val="24"/>
          <w:szCs w:val="24"/>
        </w:rPr>
        <w:t>39</w:t>
      </w:r>
      <w:r w:rsidRPr="00246E7C">
        <w:rPr>
          <w:rFonts w:ascii="Times New Roman" w:hAnsi="Times New Roman" w:cs="Times New Roman"/>
          <w:sz w:val="24"/>
          <w:szCs w:val="24"/>
        </w:rPr>
        <w:t>(2), pp.84-95.</w:t>
      </w:r>
    </w:p>
    <w:p w14:paraId="53A162A6" w14:textId="77777777" w:rsidR="00246E7C" w:rsidRPr="00246E7C" w:rsidRDefault="00246E7C" w:rsidP="006E735F">
      <w:pPr>
        <w:spacing w:line="360" w:lineRule="auto"/>
        <w:jc w:val="both"/>
        <w:rPr>
          <w:rFonts w:ascii="Times New Roman" w:hAnsi="Times New Roman" w:cs="Times New Roman"/>
          <w:sz w:val="24"/>
          <w:szCs w:val="24"/>
          <w:lang w:val="en-US"/>
        </w:rPr>
      </w:pPr>
      <w:r w:rsidRPr="00246E7C">
        <w:rPr>
          <w:rFonts w:ascii="Times New Roman" w:hAnsi="Times New Roman" w:cs="Times New Roman"/>
          <w:sz w:val="24"/>
          <w:szCs w:val="24"/>
        </w:rPr>
        <w:t>Gungor, G. and Sari, R., 2022. Nuclear power and climate policy integration in developed and developing countries. </w:t>
      </w:r>
      <w:r w:rsidRPr="00246E7C">
        <w:rPr>
          <w:rFonts w:ascii="Times New Roman" w:hAnsi="Times New Roman" w:cs="Times New Roman"/>
          <w:i/>
          <w:iCs/>
          <w:sz w:val="24"/>
          <w:szCs w:val="24"/>
        </w:rPr>
        <w:t>Renewable and Sustainable Energy Reviews</w:t>
      </w:r>
      <w:r w:rsidRPr="00246E7C">
        <w:rPr>
          <w:rFonts w:ascii="Times New Roman" w:hAnsi="Times New Roman" w:cs="Times New Roman"/>
          <w:sz w:val="24"/>
          <w:szCs w:val="24"/>
        </w:rPr>
        <w:t>, </w:t>
      </w:r>
      <w:r w:rsidRPr="00246E7C">
        <w:rPr>
          <w:rFonts w:ascii="Times New Roman" w:hAnsi="Times New Roman" w:cs="Times New Roman"/>
          <w:i/>
          <w:iCs/>
          <w:sz w:val="24"/>
          <w:szCs w:val="24"/>
        </w:rPr>
        <w:t>169</w:t>
      </w:r>
      <w:r w:rsidRPr="00246E7C">
        <w:rPr>
          <w:rFonts w:ascii="Times New Roman" w:hAnsi="Times New Roman" w:cs="Times New Roman"/>
          <w:sz w:val="24"/>
          <w:szCs w:val="24"/>
        </w:rPr>
        <w:t>, p.112839.</w:t>
      </w:r>
    </w:p>
    <w:p w14:paraId="71526E71"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Sainati, T., Locatelli, G. and Smith, N., 2019. Project financing in nuclear new build, why not? The legal and regulatory barriers. </w:t>
      </w:r>
      <w:r w:rsidRPr="00246E7C">
        <w:rPr>
          <w:rFonts w:ascii="Times New Roman" w:hAnsi="Times New Roman" w:cs="Times New Roman"/>
          <w:i/>
          <w:iCs/>
          <w:sz w:val="24"/>
          <w:szCs w:val="24"/>
        </w:rPr>
        <w:t>Energy policy</w:t>
      </w:r>
      <w:r w:rsidRPr="00246E7C">
        <w:rPr>
          <w:rFonts w:ascii="Times New Roman" w:hAnsi="Times New Roman" w:cs="Times New Roman"/>
          <w:sz w:val="24"/>
          <w:szCs w:val="24"/>
        </w:rPr>
        <w:t>, </w:t>
      </w:r>
      <w:r w:rsidRPr="00246E7C">
        <w:rPr>
          <w:rFonts w:ascii="Times New Roman" w:hAnsi="Times New Roman" w:cs="Times New Roman"/>
          <w:i/>
          <w:iCs/>
          <w:sz w:val="24"/>
          <w:szCs w:val="24"/>
        </w:rPr>
        <w:t>129</w:t>
      </w:r>
      <w:r w:rsidRPr="00246E7C">
        <w:rPr>
          <w:rFonts w:ascii="Times New Roman" w:hAnsi="Times New Roman" w:cs="Times New Roman"/>
          <w:sz w:val="24"/>
          <w:szCs w:val="24"/>
        </w:rPr>
        <w:t>, pp.111-119.</w:t>
      </w:r>
    </w:p>
    <w:p w14:paraId="0263D3B9"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Terlikowski, P., Paska, J., Pawlak, K., Kaliński, J. and Urbanek, D., 2019. Modern financial models of nuclear power plants. </w:t>
      </w:r>
      <w:r w:rsidRPr="00246E7C">
        <w:rPr>
          <w:rFonts w:ascii="Times New Roman" w:hAnsi="Times New Roman" w:cs="Times New Roman"/>
          <w:i/>
          <w:iCs/>
          <w:sz w:val="24"/>
          <w:szCs w:val="24"/>
        </w:rPr>
        <w:t>Progress in Nuclear Energy</w:t>
      </w:r>
      <w:r w:rsidRPr="00246E7C">
        <w:rPr>
          <w:rFonts w:ascii="Times New Roman" w:hAnsi="Times New Roman" w:cs="Times New Roman"/>
          <w:sz w:val="24"/>
          <w:szCs w:val="24"/>
        </w:rPr>
        <w:t>, </w:t>
      </w:r>
      <w:r w:rsidRPr="00246E7C">
        <w:rPr>
          <w:rFonts w:ascii="Times New Roman" w:hAnsi="Times New Roman" w:cs="Times New Roman"/>
          <w:i/>
          <w:iCs/>
          <w:sz w:val="24"/>
          <w:szCs w:val="24"/>
        </w:rPr>
        <w:t>110</w:t>
      </w:r>
      <w:r w:rsidRPr="00246E7C">
        <w:rPr>
          <w:rFonts w:ascii="Times New Roman" w:hAnsi="Times New Roman" w:cs="Times New Roman"/>
          <w:sz w:val="24"/>
          <w:szCs w:val="24"/>
        </w:rPr>
        <w:t>, pp.30-33.</w:t>
      </w:r>
    </w:p>
    <w:p w14:paraId="4ABE1E9F" w14:textId="77777777" w:rsidR="00246E7C" w:rsidRPr="00246E7C" w:rsidRDefault="00246E7C" w:rsidP="006E735F">
      <w:pPr>
        <w:spacing w:line="360" w:lineRule="auto"/>
        <w:jc w:val="both"/>
        <w:rPr>
          <w:rFonts w:ascii="Times New Roman" w:hAnsi="Times New Roman" w:cs="Times New Roman"/>
          <w:sz w:val="24"/>
          <w:szCs w:val="24"/>
        </w:rPr>
      </w:pPr>
      <w:r w:rsidRPr="00246E7C">
        <w:rPr>
          <w:rFonts w:ascii="Times New Roman" w:hAnsi="Times New Roman" w:cs="Times New Roman"/>
          <w:sz w:val="24"/>
          <w:szCs w:val="24"/>
        </w:rPr>
        <w:t>Wang, Y., Gu, J. and Wu, J., 2020. Explaining local residents’ acceptance of rebuilding nuclear power plants: The roles of perceived general benefit and perceived local benefit. </w:t>
      </w:r>
      <w:r w:rsidRPr="00246E7C">
        <w:rPr>
          <w:rFonts w:ascii="Times New Roman" w:hAnsi="Times New Roman" w:cs="Times New Roman"/>
          <w:i/>
          <w:iCs/>
          <w:sz w:val="24"/>
          <w:szCs w:val="24"/>
        </w:rPr>
        <w:t>Energy Policy</w:t>
      </w:r>
      <w:r w:rsidRPr="00246E7C">
        <w:rPr>
          <w:rFonts w:ascii="Times New Roman" w:hAnsi="Times New Roman" w:cs="Times New Roman"/>
          <w:sz w:val="24"/>
          <w:szCs w:val="24"/>
        </w:rPr>
        <w:t>, </w:t>
      </w:r>
      <w:r w:rsidRPr="00246E7C">
        <w:rPr>
          <w:rFonts w:ascii="Times New Roman" w:hAnsi="Times New Roman" w:cs="Times New Roman"/>
          <w:i/>
          <w:iCs/>
          <w:sz w:val="24"/>
          <w:szCs w:val="24"/>
        </w:rPr>
        <w:t>140</w:t>
      </w:r>
      <w:r w:rsidRPr="00246E7C">
        <w:rPr>
          <w:rFonts w:ascii="Times New Roman" w:hAnsi="Times New Roman" w:cs="Times New Roman"/>
          <w:sz w:val="24"/>
          <w:szCs w:val="24"/>
        </w:rPr>
        <w:t>, p.111410.</w:t>
      </w:r>
    </w:p>
    <w:p w14:paraId="7AA99F5D"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Wealer, B., Bauer, S., Hirschhausen, C.V., Kemfert, C. and Göke, L., 2021. Investing into third generation nuclear power plants-Review of recent trends and analysis of future investments using Monte Carlo Simulation. </w:t>
      </w:r>
      <w:r w:rsidRPr="00246E7C">
        <w:rPr>
          <w:rFonts w:ascii="Times New Roman" w:hAnsi="Times New Roman" w:cs="Times New Roman"/>
          <w:i/>
          <w:iCs/>
          <w:sz w:val="24"/>
          <w:szCs w:val="24"/>
        </w:rPr>
        <w:t>Renewable and Sustainable Energy Reviews</w:t>
      </w:r>
      <w:r w:rsidRPr="00246E7C">
        <w:rPr>
          <w:rFonts w:ascii="Times New Roman" w:hAnsi="Times New Roman" w:cs="Times New Roman"/>
          <w:sz w:val="24"/>
          <w:szCs w:val="24"/>
        </w:rPr>
        <w:t>, </w:t>
      </w:r>
      <w:r w:rsidRPr="00246E7C">
        <w:rPr>
          <w:rFonts w:ascii="Times New Roman" w:hAnsi="Times New Roman" w:cs="Times New Roman"/>
          <w:i/>
          <w:iCs/>
          <w:sz w:val="24"/>
          <w:szCs w:val="24"/>
        </w:rPr>
        <w:t>143</w:t>
      </w:r>
      <w:r w:rsidRPr="00246E7C">
        <w:rPr>
          <w:rFonts w:ascii="Times New Roman" w:hAnsi="Times New Roman" w:cs="Times New Roman"/>
          <w:sz w:val="24"/>
          <w:szCs w:val="24"/>
        </w:rPr>
        <w:t>, p.110836.</w:t>
      </w:r>
    </w:p>
    <w:p w14:paraId="5853AF51" w14:textId="77777777" w:rsidR="00246E7C" w:rsidRPr="00246E7C" w:rsidRDefault="00246E7C" w:rsidP="006E735F">
      <w:pPr>
        <w:spacing w:line="360" w:lineRule="auto"/>
        <w:jc w:val="both"/>
        <w:rPr>
          <w:rFonts w:ascii="Times New Roman" w:hAnsi="Times New Roman" w:cs="Times New Roman"/>
          <w:i/>
          <w:iCs/>
          <w:sz w:val="24"/>
          <w:szCs w:val="24"/>
        </w:rPr>
      </w:pPr>
      <w:r w:rsidRPr="00246E7C">
        <w:rPr>
          <w:rFonts w:ascii="Times New Roman" w:hAnsi="Times New Roman" w:cs="Times New Roman"/>
          <w:sz w:val="24"/>
          <w:szCs w:val="24"/>
        </w:rPr>
        <w:t>Грабовый, П. and Березка, В., 2021. Risk modeling at the pre-investment phase of nuclear powerplant construction on the international market. </w:t>
      </w:r>
      <w:r w:rsidRPr="00246E7C">
        <w:rPr>
          <w:rFonts w:ascii="Times New Roman" w:hAnsi="Times New Roman" w:cs="Times New Roman"/>
          <w:i/>
          <w:iCs/>
          <w:sz w:val="24"/>
          <w:szCs w:val="24"/>
        </w:rPr>
        <w:t>Недвижимость: экономика, управление</w:t>
      </w:r>
      <w:r w:rsidRPr="00246E7C">
        <w:rPr>
          <w:rFonts w:ascii="Times New Roman" w:hAnsi="Times New Roman" w:cs="Times New Roman"/>
          <w:sz w:val="24"/>
          <w:szCs w:val="24"/>
        </w:rPr>
        <w:t>, (1), pp.59-69.</w:t>
      </w:r>
    </w:p>
    <w:sectPr w:rsidR="00246E7C" w:rsidRPr="00246E7C">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EB50A" w14:textId="77777777" w:rsidR="008F6F50" w:rsidRDefault="008F6F50" w:rsidP="00582291">
      <w:pPr>
        <w:spacing w:after="0" w:line="240" w:lineRule="auto"/>
      </w:pPr>
      <w:r>
        <w:separator/>
      </w:r>
    </w:p>
  </w:endnote>
  <w:endnote w:type="continuationSeparator" w:id="0">
    <w:p w14:paraId="6703E51C" w14:textId="77777777" w:rsidR="008F6F50" w:rsidRDefault="008F6F50" w:rsidP="00582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9019111"/>
      <w:docPartObj>
        <w:docPartGallery w:val="Page Numbers (Bottom of Page)"/>
        <w:docPartUnique/>
      </w:docPartObj>
    </w:sdtPr>
    <w:sdtEndPr>
      <w:rPr>
        <w:noProof/>
      </w:rPr>
    </w:sdtEndPr>
    <w:sdtContent>
      <w:p w14:paraId="33F28B33" w14:textId="31E694B6" w:rsidR="00FB7722" w:rsidRDefault="00FB7722">
        <w:pPr>
          <w:pStyle w:val="a8"/>
          <w:jc w:val="center"/>
        </w:pPr>
        <w:r>
          <w:fldChar w:fldCharType="begin"/>
        </w:r>
        <w:r>
          <w:instrText xml:space="preserve"> PAGE   \* MERGEFORMAT </w:instrText>
        </w:r>
        <w:r>
          <w:fldChar w:fldCharType="separate"/>
        </w:r>
        <w:r w:rsidR="00C1224B">
          <w:rPr>
            <w:noProof/>
          </w:rPr>
          <w:t>11</w:t>
        </w:r>
        <w:r>
          <w:rPr>
            <w:noProof/>
          </w:rPr>
          <w:fldChar w:fldCharType="end"/>
        </w:r>
      </w:p>
    </w:sdtContent>
  </w:sdt>
  <w:p w14:paraId="5BD5EB18" w14:textId="77777777" w:rsidR="00CB2C1D" w:rsidRDefault="00CB2C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2D3CF" w14:textId="77777777" w:rsidR="008F6F50" w:rsidRDefault="008F6F50" w:rsidP="00582291">
      <w:pPr>
        <w:spacing w:after="0" w:line="240" w:lineRule="auto"/>
      </w:pPr>
      <w:r>
        <w:separator/>
      </w:r>
    </w:p>
  </w:footnote>
  <w:footnote w:type="continuationSeparator" w:id="0">
    <w:p w14:paraId="3215755D" w14:textId="77777777" w:rsidR="008F6F50" w:rsidRDefault="008F6F50" w:rsidP="005822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94873"/>
    <w:multiLevelType w:val="hybridMultilevel"/>
    <w:tmpl w:val="72488F16"/>
    <w:lvl w:ilvl="0" w:tplc="F88E26BE">
      <w:start w:val="1"/>
      <w:numFmt w:val="decimal"/>
      <w:lvlText w:val="%1."/>
      <w:lvlJc w:val="left"/>
      <w:pPr>
        <w:ind w:left="720" w:hanging="360"/>
      </w:pPr>
      <w:rPr>
        <w:rFonts w:hint="default"/>
      </w:rPr>
    </w:lvl>
    <w:lvl w:ilvl="1" w:tplc="9C0AC0A6" w:tentative="1">
      <w:start w:val="1"/>
      <w:numFmt w:val="lowerLetter"/>
      <w:lvlText w:val="%2."/>
      <w:lvlJc w:val="left"/>
      <w:pPr>
        <w:ind w:left="1440" w:hanging="360"/>
      </w:pPr>
    </w:lvl>
    <w:lvl w:ilvl="2" w:tplc="59E8A890" w:tentative="1">
      <w:start w:val="1"/>
      <w:numFmt w:val="lowerRoman"/>
      <w:lvlText w:val="%3."/>
      <w:lvlJc w:val="right"/>
      <w:pPr>
        <w:ind w:left="2160" w:hanging="180"/>
      </w:pPr>
    </w:lvl>
    <w:lvl w:ilvl="3" w:tplc="3E162158" w:tentative="1">
      <w:start w:val="1"/>
      <w:numFmt w:val="decimal"/>
      <w:lvlText w:val="%4."/>
      <w:lvlJc w:val="left"/>
      <w:pPr>
        <w:ind w:left="2880" w:hanging="360"/>
      </w:pPr>
    </w:lvl>
    <w:lvl w:ilvl="4" w:tplc="A66024E0" w:tentative="1">
      <w:start w:val="1"/>
      <w:numFmt w:val="lowerLetter"/>
      <w:lvlText w:val="%5."/>
      <w:lvlJc w:val="left"/>
      <w:pPr>
        <w:ind w:left="3600" w:hanging="360"/>
      </w:pPr>
    </w:lvl>
    <w:lvl w:ilvl="5" w:tplc="29C846CE" w:tentative="1">
      <w:start w:val="1"/>
      <w:numFmt w:val="lowerRoman"/>
      <w:lvlText w:val="%6."/>
      <w:lvlJc w:val="right"/>
      <w:pPr>
        <w:ind w:left="4320" w:hanging="180"/>
      </w:pPr>
    </w:lvl>
    <w:lvl w:ilvl="6" w:tplc="C15690EC" w:tentative="1">
      <w:start w:val="1"/>
      <w:numFmt w:val="decimal"/>
      <w:lvlText w:val="%7."/>
      <w:lvlJc w:val="left"/>
      <w:pPr>
        <w:ind w:left="5040" w:hanging="360"/>
      </w:pPr>
    </w:lvl>
    <w:lvl w:ilvl="7" w:tplc="21423706" w:tentative="1">
      <w:start w:val="1"/>
      <w:numFmt w:val="lowerLetter"/>
      <w:lvlText w:val="%8."/>
      <w:lvlJc w:val="left"/>
      <w:pPr>
        <w:ind w:left="5760" w:hanging="360"/>
      </w:pPr>
    </w:lvl>
    <w:lvl w:ilvl="8" w:tplc="46C455C2" w:tentative="1">
      <w:start w:val="1"/>
      <w:numFmt w:val="lowerRoman"/>
      <w:lvlText w:val="%9."/>
      <w:lvlJc w:val="right"/>
      <w:pPr>
        <w:ind w:left="6480" w:hanging="180"/>
      </w:pPr>
    </w:lvl>
  </w:abstractNum>
  <w:abstractNum w:abstractNumId="1" w15:restartNumberingAfterBreak="0">
    <w:nsid w:val="113F5B00"/>
    <w:multiLevelType w:val="hybridMultilevel"/>
    <w:tmpl w:val="C5CCAE90"/>
    <w:lvl w:ilvl="0" w:tplc="D7B83FF2">
      <w:start w:val="1"/>
      <w:numFmt w:val="decimal"/>
      <w:lvlText w:val="%1."/>
      <w:lvlJc w:val="left"/>
      <w:pPr>
        <w:ind w:left="720" w:hanging="360"/>
      </w:pPr>
      <w:rPr>
        <w:rFonts w:hint="default"/>
      </w:rPr>
    </w:lvl>
    <w:lvl w:ilvl="1" w:tplc="A1EE967C" w:tentative="1">
      <w:start w:val="1"/>
      <w:numFmt w:val="lowerLetter"/>
      <w:lvlText w:val="%2."/>
      <w:lvlJc w:val="left"/>
      <w:pPr>
        <w:ind w:left="1440" w:hanging="360"/>
      </w:pPr>
    </w:lvl>
    <w:lvl w:ilvl="2" w:tplc="88A467F8" w:tentative="1">
      <w:start w:val="1"/>
      <w:numFmt w:val="lowerRoman"/>
      <w:lvlText w:val="%3."/>
      <w:lvlJc w:val="right"/>
      <w:pPr>
        <w:ind w:left="2160" w:hanging="180"/>
      </w:pPr>
    </w:lvl>
    <w:lvl w:ilvl="3" w:tplc="EFD4523E" w:tentative="1">
      <w:start w:val="1"/>
      <w:numFmt w:val="decimal"/>
      <w:lvlText w:val="%4."/>
      <w:lvlJc w:val="left"/>
      <w:pPr>
        <w:ind w:left="2880" w:hanging="360"/>
      </w:pPr>
    </w:lvl>
    <w:lvl w:ilvl="4" w:tplc="6D0A6FD4" w:tentative="1">
      <w:start w:val="1"/>
      <w:numFmt w:val="lowerLetter"/>
      <w:lvlText w:val="%5."/>
      <w:lvlJc w:val="left"/>
      <w:pPr>
        <w:ind w:left="3600" w:hanging="360"/>
      </w:pPr>
    </w:lvl>
    <w:lvl w:ilvl="5" w:tplc="B65EBCD4" w:tentative="1">
      <w:start w:val="1"/>
      <w:numFmt w:val="lowerRoman"/>
      <w:lvlText w:val="%6."/>
      <w:lvlJc w:val="right"/>
      <w:pPr>
        <w:ind w:left="4320" w:hanging="180"/>
      </w:pPr>
    </w:lvl>
    <w:lvl w:ilvl="6" w:tplc="ACA84D14" w:tentative="1">
      <w:start w:val="1"/>
      <w:numFmt w:val="decimal"/>
      <w:lvlText w:val="%7."/>
      <w:lvlJc w:val="left"/>
      <w:pPr>
        <w:ind w:left="5040" w:hanging="360"/>
      </w:pPr>
    </w:lvl>
    <w:lvl w:ilvl="7" w:tplc="4B66F038" w:tentative="1">
      <w:start w:val="1"/>
      <w:numFmt w:val="lowerLetter"/>
      <w:lvlText w:val="%8."/>
      <w:lvlJc w:val="left"/>
      <w:pPr>
        <w:ind w:left="5760" w:hanging="360"/>
      </w:pPr>
    </w:lvl>
    <w:lvl w:ilvl="8" w:tplc="38C4067A" w:tentative="1">
      <w:start w:val="1"/>
      <w:numFmt w:val="lowerRoman"/>
      <w:lvlText w:val="%9."/>
      <w:lvlJc w:val="right"/>
      <w:pPr>
        <w:ind w:left="6480" w:hanging="180"/>
      </w:pPr>
    </w:lvl>
  </w:abstractNum>
  <w:abstractNum w:abstractNumId="2" w15:restartNumberingAfterBreak="0">
    <w:nsid w:val="12090FC2"/>
    <w:multiLevelType w:val="hybridMultilevel"/>
    <w:tmpl w:val="5F6295C4"/>
    <w:lvl w:ilvl="0" w:tplc="DC3A3252">
      <w:start w:val="1"/>
      <w:numFmt w:val="bullet"/>
      <w:lvlText w:val=""/>
      <w:lvlJc w:val="left"/>
      <w:pPr>
        <w:ind w:left="720" w:hanging="360"/>
      </w:pPr>
      <w:rPr>
        <w:rFonts w:ascii="Wingdings" w:hAnsi="Wingdings" w:hint="default"/>
      </w:rPr>
    </w:lvl>
    <w:lvl w:ilvl="1" w:tplc="EE26D538" w:tentative="1">
      <w:start w:val="1"/>
      <w:numFmt w:val="bullet"/>
      <w:lvlText w:val="o"/>
      <w:lvlJc w:val="left"/>
      <w:pPr>
        <w:ind w:left="1440" w:hanging="360"/>
      </w:pPr>
      <w:rPr>
        <w:rFonts w:ascii="Courier New" w:hAnsi="Courier New" w:cs="Courier New" w:hint="default"/>
      </w:rPr>
    </w:lvl>
    <w:lvl w:ilvl="2" w:tplc="6770AF7C" w:tentative="1">
      <w:start w:val="1"/>
      <w:numFmt w:val="bullet"/>
      <w:lvlText w:val=""/>
      <w:lvlJc w:val="left"/>
      <w:pPr>
        <w:ind w:left="2160" w:hanging="360"/>
      </w:pPr>
      <w:rPr>
        <w:rFonts w:ascii="Wingdings" w:hAnsi="Wingdings" w:hint="default"/>
      </w:rPr>
    </w:lvl>
    <w:lvl w:ilvl="3" w:tplc="D9CA91DC" w:tentative="1">
      <w:start w:val="1"/>
      <w:numFmt w:val="bullet"/>
      <w:lvlText w:val=""/>
      <w:lvlJc w:val="left"/>
      <w:pPr>
        <w:ind w:left="2880" w:hanging="360"/>
      </w:pPr>
      <w:rPr>
        <w:rFonts w:ascii="Symbol" w:hAnsi="Symbol" w:hint="default"/>
      </w:rPr>
    </w:lvl>
    <w:lvl w:ilvl="4" w:tplc="3E023956" w:tentative="1">
      <w:start w:val="1"/>
      <w:numFmt w:val="bullet"/>
      <w:lvlText w:val="o"/>
      <w:lvlJc w:val="left"/>
      <w:pPr>
        <w:ind w:left="3600" w:hanging="360"/>
      </w:pPr>
      <w:rPr>
        <w:rFonts w:ascii="Courier New" w:hAnsi="Courier New" w:cs="Courier New" w:hint="default"/>
      </w:rPr>
    </w:lvl>
    <w:lvl w:ilvl="5" w:tplc="010CA3E8" w:tentative="1">
      <w:start w:val="1"/>
      <w:numFmt w:val="bullet"/>
      <w:lvlText w:val=""/>
      <w:lvlJc w:val="left"/>
      <w:pPr>
        <w:ind w:left="4320" w:hanging="360"/>
      </w:pPr>
      <w:rPr>
        <w:rFonts w:ascii="Wingdings" w:hAnsi="Wingdings" w:hint="default"/>
      </w:rPr>
    </w:lvl>
    <w:lvl w:ilvl="6" w:tplc="AD286E2E" w:tentative="1">
      <w:start w:val="1"/>
      <w:numFmt w:val="bullet"/>
      <w:lvlText w:val=""/>
      <w:lvlJc w:val="left"/>
      <w:pPr>
        <w:ind w:left="5040" w:hanging="360"/>
      </w:pPr>
      <w:rPr>
        <w:rFonts w:ascii="Symbol" w:hAnsi="Symbol" w:hint="default"/>
      </w:rPr>
    </w:lvl>
    <w:lvl w:ilvl="7" w:tplc="3A645D8C" w:tentative="1">
      <w:start w:val="1"/>
      <w:numFmt w:val="bullet"/>
      <w:lvlText w:val="o"/>
      <w:lvlJc w:val="left"/>
      <w:pPr>
        <w:ind w:left="5760" w:hanging="360"/>
      </w:pPr>
      <w:rPr>
        <w:rFonts w:ascii="Courier New" w:hAnsi="Courier New" w:cs="Courier New" w:hint="default"/>
      </w:rPr>
    </w:lvl>
    <w:lvl w:ilvl="8" w:tplc="1A9EA64C" w:tentative="1">
      <w:start w:val="1"/>
      <w:numFmt w:val="bullet"/>
      <w:lvlText w:val=""/>
      <w:lvlJc w:val="left"/>
      <w:pPr>
        <w:ind w:left="6480" w:hanging="360"/>
      </w:pPr>
      <w:rPr>
        <w:rFonts w:ascii="Wingdings" w:hAnsi="Wingdings" w:hint="default"/>
      </w:rPr>
    </w:lvl>
  </w:abstractNum>
  <w:abstractNum w:abstractNumId="3" w15:restartNumberingAfterBreak="0">
    <w:nsid w:val="15A62EC7"/>
    <w:multiLevelType w:val="hybridMultilevel"/>
    <w:tmpl w:val="7ED05258"/>
    <w:lvl w:ilvl="0" w:tplc="925AFF7E">
      <w:start w:val="1"/>
      <w:numFmt w:val="bullet"/>
      <w:lvlText w:val=""/>
      <w:lvlJc w:val="left"/>
      <w:pPr>
        <w:ind w:left="720" w:hanging="360"/>
      </w:pPr>
      <w:rPr>
        <w:rFonts w:ascii="Wingdings" w:hAnsi="Wingdings" w:hint="default"/>
      </w:rPr>
    </w:lvl>
    <w:lvl w:ilvl="1" w:tplc="240C4A3C" w:tentative="1">
      <w:start w:val="1"/>
      <w:numFmt w:val="bullet"/>
      <w:lvlText w:val="o"/>
      <w:lvlJc w:val="left"/>
      <w:pPr>
        <w:ind w:left="1440" w:hanging="360"/>
      </w:pPr>
      <w:rPr>
        <w:rFonts w:ascii="Courier New" w:hAnsi="Courier New" w:cs="Courier New" w:hint="default"/>
      </w:rPr>
    </w:lvl>
    <w:lvl w:ilvl="2" w:tplc="60A2974E" w:tentative="1">
      <w:start w:val="1"/>
      <w:numFmt w:val="bullet"/>
      <w:lvlText w:val=""/>
      <w:lvlJc w:val="left"/>
      <w:pPr>
        <w:ind w:left="2160" w:hanging="360"/>
      </w:pPr>
      <w:rPr>
        <w:rFonts w:ascii="Wingdings" w:hAnsi="Wingdings" w:hint="default"/>
      </w:rPr>
    </w:lvl>
    <w:lvl w:ilvl="3" w:tplc="124C2A38" w:tentative="1">
      <w:start w:val="1"/>
      <w:numFmt w:val="bullet"/>
      <w:lvlText w:val=""/>
      <w:lvlJc w:val="left"/>
      <w:pPr>
        <w:ind w:left="2880" w:hanging="360"/>
      </w:pPr>
      <w:rPr>
        <w:rFonts w:ascii="Symbol" w:hAnsi="Symbol" w:hint="default"/>
      </w:rPr>
    </w:lvl>
    <w:lvl w:ilvl="4" w:tplc="190A171E" w:tentative="1">
      <w:start w:val="1"/>
      <w:numFmt w:val="bullet"/>
      <w:lvlText w:val="o"/>
      <w:lvlJc w:val="left"/>
      <w:pPr>
        <w:ind w:left="3600" w:hanging="360"/>
      </w:pPr>
      <w:rPr>
        <w:rFonts w:ascii="Courier New" w:hAnsi="Courier New" w:cs="Courier New" w:hint="default"/>
      </w:rPr>
    </w:lvl>
    <w:lvl w:ilvl="5" w:tplc="1F567FC2" w:tentative="1">
      <w:start w:val="1"/>
      <w:numFmt w:val="bullet"/>
      <w:lvlText w:val=""/>
      <w:lvlJc w:val="left"/>
      <w:pPr>
        <w:ind w:left="4320" w:hanging="360"/>
      </w:pPr>
      <w:rPr>
        <w:rFonts w:ascii="Wingdings" w:hAnsi="Wingdings" w:hint="default"/>
      </w:rPr>
    </w:lvl>
    <w:lvl w:ilvl="6" w:tplc="96B87D12" w:tentative="1">
      <w:start w:val="1"/>
      <w:numFmt w:val="bullet"/>
      <w:lvlText w:val=""/>
      <w:lvlJc w:val="left"/>
      <w:pPr>
        <w:ind w:left="5040" w:hanging="360"/>
      </w:pPr>
      <w:rPr>
        <w:rFonts w:ascii="Symbol" w:hAnsi="Symbol" w:hint="default"/>
      </w:rPr>
    </w:lvl>
    <w:lvl w:ilvl="7" w:tplc="A40A8826" w:tentative="1">
      <w:start w:val="1"/>
      <w:numFmt w:val="bullet"/>
      <w:lvlText w:val="o"/>
      <w:lvlJc w:val="left"/>
      <w:pPr>
        <w:ind w:left="5760" w:hanging="360"/>
      </w:pPr>
      <w:rPr>
        <w:rFonts w:ascii="Courier New" w:hAnsi="Courier New" w:cs="Courier New" w:hint="default"/>
      </w:rPr>
    </w:lvl>
    <w:lvl w:ilvl="8" w:tplc="C3D44760" w:tentative="1">
      <w:start w:val="1"/>
      <w:numFmt w:val="bullet"/>
      <w:lvlText w:val=""/>
      <w:lvlJc w:val="left"/>
      <w:pPr>
        <w:ind w:left="6480" w:hanging="360"/>
      </w:pPr>
      <w:rPr>
        <w:rFonts w:ascii="Wingdings" w:hAnsi="Wingdings" w:hint="default"/>
      </w:rPr>
    </w:lvl>
  </w:abstractNum>
  <w:abstractNum w:abstractNumId="4" w15:restartNumberingAfterBreak="0">
    <w:nsid w:val="2EF659BA"/>
    <w:multiLevelType w:val="hybridMultilevel"/>
    <w:tmpl w:val="08388D48"/>
    <w:lvl w:ilvl="0" w:tplc="ED267324">
      <w:start w:val="1"/>
      <w:numFmt w:val="bullet"/>
      <w:lvlText w:val="o"/>
      <w:lvlJc w:val="left"/>
      <w:pPr>
        <w:ind w:left="720" w:hanging="360"/>
      </w:pPr>
      <w:rPr>
        <w:rFonts w:ascii="Courier New" w:hAnsi="Courier New" w:cs="Courier New" w:hint="default"/>
      </w:rPr>
    </w:lvl>
    <w:lvl w:ilvl="1" w:tplc="9DC885EA" w:tentative="1">
      <w:start w:val="1"/>
      <w:numFmt w:val="bullet"/>
      <w:lvlText w:val="o"/>
      <w:lvlJc w:val="left"/>
      <w:pPr>
        <w:ind w:left="1440" w:hanging="360"/>
      </w:pPr>
      <w:rPr>
        <w:rFonts w:ascii="Courier New" w:hAnsi="Courier New" w:cs="Courier New" w:hint="default"/>
      </w:rPr>
    </w:lvl>
    <w:lvl w:ilvl="2" w:tplc="E3C6C69E" w:tentative="1">
      <w:start w:val="1"/>
      <w:numFmt w:val="bullet"/>
      <w:lvlText w:val=""/>
      <w:lvlJc w:val="left"/>
      <w:pPr>
        <w:ind w:left="2160" w:hanging="360"/>
      </w:pPr>
      <w:rPr>
        <w:rFonts w:ascii="Wingdings" w:hAnsi="Wingdings" w:hint="default"/>
      </w:rPr>
    </w:lvl>
    <w:lvl w:ilvl="3" w:tplc="3B98AAE0" w:tentative="1">
      <w:start w:val="1"/>
      <w:numFmt w:val="bullet"/>
      <w:lvlText w:val=""/>
      <w:lvlJc w:val="left"/>
      <w:pPr>
        <w:ind w:left="2880" w:hanging="360"/>
      </w:pPr>
      <w:rPr>
        <w:rFonts w:ascii="Symbol" w:hAnsi="Symbol" w:hint="default"/>
      </w:rPr>
    </w:lvl>
    <w:lvl w:ilvl="4" w:tplc="E4B45B08" w:tentative="1">
      <w:start w:val="1"/>
      <w:numFmt w:val="bullet"/>
      <w:lvlText w:val="o"/>
      <w:lvlJc w:val="left"/>
      <w:pPr>
        <w:ind w:left="3600" w:hanging="360"/>
      </w:pPr>
      <w:rPr>
        <w:rFonts w:ascii="Courier New" w:hAnsi="Courier New" w:cs="Courier New" w:hint="default"/>
      </w:rPr>
    </w:lvl>
    <w:lvl w:ilvl="5" w:tplc="C0983654" w:tentative="1">
      <w:start w:val="1"/>
      <w:numFmt w:val="bullet"/>
      <w:lvlText w:val=""/>
      <w:lvlJc w:val="left"/>
      <w:pPr>
        <w:ind w:left="4320" w:hanging="360"/>
      </w:pPr>
      <w:rPr>
        <w:rFonts w:ascii="Wingdings" w:hAnsi="Wingdings" w:hint="default"/>
      </w:rPr>
    </w:lvl>
    <w:lvl w:ilvl="6" w:tplc="C43CA3C2" w:tentative="1">
      <w:start w:val="1"/>
      <w:numFmt w:val="bullet"/>
      <w:lvlText w:val=""/>
      <w:lvlJc w:val="left"/>
      <w:pPr>
        <w:ind w:left="5040" w:hanging="360"/>
      </w:pPr>
      <w:rPr>
        <w:rFonts w:ascii="Symbol" w:hAnsi="Symbol" w:hint="default"/>
      </w:rPr>
    </w:lvl>
    <w:lvl w:ilvl="7" w:tplc="FC2815BA" w:tentative="1">
      <w:start w:val="1"/>
      <w:numFmt w:val="bullet"/>
      <w:lvlText w:val="o"/>
      <w:lvlJc w:val="left"/>
      <w:pPr>
        <w:ind w:left="5760" w:hanging="360"/>
      </w:pPr>
      <w:rPr>
        <w:rFonts w:ascii="Courier New" w:hAnsi="Courier New" w:cs="Courier New" w:hint="default"/>
      </w:rPr>
    </w:lvl>
    <w:lvl w:ilvl="8" w:tplc="01A6743C" w:tentative="1">
      <w:start w:val="1"/>
      <w:numFmt w:val="bullet"/>
      <w:lvlText w:val=""/>
      <w:lvlJc w:val="left"/>
      <w:pPr>
        <w:ind w:left="6480" w:hanging="360"/>
      </w:pPr>
      <w:rPr>
        <w:rFonts w:ascii="Wingdings" w:hAnsi="Wingdings" w:hint="default"/>
      </w:rPr>
    </w:lvl>
  </w:abstractNum>
  <w:abstractNum w:abstractNumId="5" w15:restartNumberingAfterBreak="0">
    <w:nsid w:val="33EF190D"/>
    <w:multiLevelType w:val="hybridMultilevel"/>
    <w:tmpl w:val="26028D48"/>
    <w:lvl w:ilvl="0" w:tplc="DCDC8D58">
      <w:start w:val="1"/>
      <w:numFmt w:val="decimal"/>
      <w:lvlText w:val="%1."/>
      <w:lvlJc w:val="left"/>
      <w:pPr>
        <w:ind w:left="720" w:hanging="360"/>
      </w:pPr>
      <w:rPr>
        <w:rFonts w:hint="default"/>
      </w:rPr>
    </w:lvl>
    <w:lvl w:ilvl="1" w:tplc="02B05638" w:tentative="1">
      <w:start w:val="1"/>
      <w:numFmt w:val="lowerLetter"/>
      <w:lvlText w:val="%2."/>
      <w:lvlJc w:val="left"/>
      <w:pPr>
        <w:ind w:left="1440" w:hanging="360"/>
      </w:pPr>
    </w:lvl>
    <w:lvl w:ilvl="2" w:tplc="3CC0FF04" w:tentative="1">
      <w:start w:val="1"/>
      <w:numFmt w:val="lowerRoman"/>
      <w:lvlText w:val="%3."/>
      <w:lvlJc w:val="right"/>
      <w:pPr>
        <w:ind w:left="2160" w:hanging="180"/>
      </w:pPr>
    </w:lvl>
    <w:lvl w:ilvl="3" w:tplc="C7EE8202" w:tentative="1">
      <w:start w:val="1"/>
      <w:numFmt w:val="decimal"/>
      <w:lvlText w:val="%4."/>
      <w:lvlJc w:val="left"/>
      <w:pPr>
        <w:ind w:left="2880" w:hanging="360"/>
      </w:pPr>
    </w:lvl>
    <w:lvl w:ilvl="4" w:tplc="E758D8B6" w:tentative="1">
      <w:start w:val="1"/>
      <w:numFmt w:val="lowerLetter"/>
      <w:lvlText w:val="%5."/>
      <w:lvlJc w:val="left"/>
      <w:pPr>
        <w:ind w:left="3600" w:hanging="360"/>
      </w:pPr>
    </w:lvl>
    <w:lvl w:ilvl="5" w:tplc="6CA8F920" w:tentative="1">
      <w:start w:val="1"/>
      <w:numFmt w:val="lowerRoman"/>
      <w:lvlText w:val="%6."/>
      <w:lvlJc w:val="right"/>
      <w:pPr>
        <w:ind w:left="4320" w:hanging="180"/>
      </w:pPr>
    </w:lvl>
    <w:lvl w:ilvl="6" w:tplc="CE8E9880" w:tentative="1">
      <w:start w:val="1"/>
      <w:numFmt w:val="decimal"/>
      <w:lvlText w:val="%7."/>
      <w:lvlJc w:val="left"/>
      <w:pPr>
        <w:ind w:left="5040" w:hanging="360"/>
      </w:pPr>
    </w:lvl>
    <w:lvl w:ilvl="7" w:tplc="ED3A8510" w:tentative="1">
      <w:start w:val="1"/>
      <w:numFmt w:val="lowerLetter"/>
      <w:lvlText w:val="%8."/>
      <w:lvlJc w:val="left"/>
      <w:pPr>
        <w:ind w:left="5760" w:hanging="360"/>
      </w:pPr>
    </w:lvl>
    <w:lvl w:ilvl="8" w:tplc="5E32314C" w:tentative="1">
      <w:start w:val="1"/>
      <w:numFmt w:val="lowerRoman"/>
      <w:lvlText w:val="%9."/>
      <w:lvlJc w:val="right"/>
      <w:pPr>
        <w:ind w:left="6480" w:hanging="180"/>
      </w:pPr>
    </w:lvl>
  </w:abstractNum>
  <w:abstractNum w:abstractNumId="6" w15:restartNumberingAfterBreak="0">
    <w:nsid w:val="3B1F5707"/>
    <w:multiLevelType w:val="hybridMultilevel"/>
    <w:tmpl w:val="43B61546"/>
    <w:lvl w:ilvl="0" w:tplc="1EF866CA">
      <w:start w:val="1"/>
      <w:numFmt w:val="decimal"/>
      <w:lvlText w:val="%1."/>
      <w:lvlJc w:val="left"/>
      <w:pPr>
        <w:ind w:left="720" w:hanging="360"/>
      </w:pPr>
      <w:rPr>
        <w:rFonts w:hint="default"/>
      </w:rPr>
    </w:lvl>
    <w:lvl w:ilvl="1" w:tplc="D70A4502" w:tentative="1">
      <w:start w:val="1"/>
      <w:numFmt w:val="lowerLetter"/>
      <w:lvlText w:val="%2."/>
      <w:lvlJc w:val="left"/>
      <w:pPr>
        <w:ind w:left="1440" w:hanging="360"/>
      </w:pPr>
    </w:lvl>
    <w:lvl w:ilvl="2" w:tplc="ED5227B4" w:tentative="1">
      <w:start w:val="1"/>
      <w:numFmt w:val="lowerRoman"/>
      <w:lvlText w:val="%3."/>
      <w:lvlJc w:val="right"/>
      <w:pPr>
        <w:ind w:left="2160" w:hanging="180"/>
      </w:pPr>
    </w:lvl>
    <w:lvl w:ilvl="3" w:tplc="9D86B666" w:tentative="1">
      <w:start w:val="1"/>
      <w:numFmt w:val="decimal"/>
      <w:lvlText w:val="%4."/>
      <w:lvlJc w:val="left"/>
      <w:pPr>
        <w:ind w:left="2880" w:hanging="360"/>
      </w:pPr>
    </w:lvl>
    <w:lvl w:ilvl="4" w:tplc="DEB670CA" w:tentative="1">
      <w:start w:val="1"/>
      <w:numFmt w:val="lowerLetter"/>
      <w:lvlText w:val="%5."/>
      <w:lvlJc w:val="left"/>
      <w:pPr>
        <w:ind w:left="3600" w:hanging="360"/>
      </w:pPr>
    </w:lvl>
    <w:lvl w:ilvl="5" w:tplc="8CCE3ADC" w:tentative="1">
      <w:start w:val="1"/>
      <w:numFmt w:val="lowerRoman"/>
      <w:lvlText w:val="%6."/>
      <w:lvlJc w:val="right"/>
      <w:pPr>
        <w:ind w:left="4320" w:hanging="180"/>
      </w:pPr>
    </w:lvl>
    <w:lvl w:ilvl="6" w:tplc="9E186EA8" w:tentative="1">
      <w:start w:val="1"/>
      <w:numFmt w:val="decimal"/>
      <w:lvlText w:val="%7."/>
      <w:lvlJc w:val="left"/>
      <w:pPr>
        <w:ind w:left="5040" w:hanging="360"/>
      </w:pPr>
    </w:lvl>
    <w:lvl w:ilvl="7" w:tplc="C0DC4342" w:tentative="1">
      <w:start w:val="1"/>
      <w:numFmt w:val="lowerLetter"/>
      <w:lvlText w:val="%8."/>
      <w:lvlJc w:val="left"/>
      <w:pPr>
        <w:ind w:left="5760" w:hanging="360"/>
      </w:pPr>
    </w:lvl>
    <w:lvl w:ilvl="8" w:tplc="C9BA71B8" w:tentative="1">
      <w:start w:val="1"/>
      <w:numFmt w:val="lowerRoman"/>
      <w:lvlText w:val="%9."/>
      <w:lvlJc w:val="right"/>
      <w:pPr>
        <w:ind w:left="6480" w:hanging="180"/>
      </w:pPr>
    </w:lvl>
  </w:abstractNum>
  <w:abstractNum w:abstractNumId="7" w15:restartNumberingAfterBreak="0">
    <w:nsid w:val="58AD2EAA"/>
    <w:multiLevelType w:val="hybridMultilevel"/>
    <w:tmpl w:val="FBA80B12"/>
    <w:lvl w:ilvl="0" w:tplc="B290B46A">
      <w:start w:val="1"/>
      <w:numFmt w:val="bullet"/>
      <w:lvlText w:val=""/>
      <w:lvlJc w:val="left"/>
      <w:pPr>
        <w:ind w:left="720" w:hanging="360"/>
      </w:pPr>
      <w:rPr>
        <w:rFonts w:ascii="Wingdings" w:hAnsi="Wingdings" w:hint="default"/>
      </w:rPr>
    </w:lvl>
    <w:lvl w:ilvl="1" w:tplc="DFDA3CA6" w:tentative="1">
      <w:start w:val="1"/>
      <w:numFmt w:val="bullet"/>
      <w:lvlText w:val="o"/>
      <w:lvlJc w:val="left"/>
      <w:pPr>
        <w:ind w:left="1440" w:hanging="360"/>
      </w:pPr>
      <w:rPr>
        <w:rFonts w:ascii="Courier New" w:hAnsi="Courier New" w:cs="Courier New" w:hint="default"/>
      </w:rPr>
    </w:lvl>
    <w:lvl w:ilvl="2" w:tplc="0D20CD94" w:tentative="1">
      <w:start w:val="1"/>
      <w:numFmt w:val="bullet"/>
      <w:lvlText w:val=""/>
      <w:lvlJc w:val="left"/>
      <w:pPr>
        <w:ind w:left="2160" w:hanging="360"/>
      </w:pPr>
      <w:rPr>
        <w:rFonts w:ascii="Wingdings" w:hAnsi="Wingdings" w:hint="default"/>
      </w:rPr>
    </w:lvl>
    <w:lvl w:ilvl="3" w:tplc="4BD23398" w:tentative="1">
      <w:start w:val="1"/>
      <w:numFmt w:val="bullet"/>
      <w:lvlText w:val=""/>
      <w:lvlJc w:val="left"/>
      <w:pPr>
        <w:ind w:left="2880" w:hanging="360"/>
      </w:pPr>
      <w:rPr>
        <w:rFonts w:ascii="Symbol" w:hAnsi="Symbol" w:hint="default"/>
      </w:rPr>
    </w:lvl>
    <w:lvl w:ilvl="4" w:tplc="E03A9D94" w:tentative="1">
      <w:start w:val="1"/>
      <w:numFmt w:val="bullet"/>
      <w:lvlText w:val="o"/>
      <w:lvlJc w:val="left"/>
      <w:pPr>
        <w:ind w:left="3600" w:hanging="360"/>
      </w:pPr>
      <w:rPr>
        <w:rFonts w:ascii="Courier New" w:hAnsi="Courier New" w:cs="Courier New" w:hint="default"/>
      </w:rPr>
    </w:lvl>
    <w:lvl w:ilvl="5" w:tplc="E48C7AF0" w:tentative="1">
      <w:start w:val="1"/>
      <w:numFmt w:val="bullet"/>
      <w:lvlText w:val=""/>
      <w:lvlJc w:val="left"/>
      <w:pPr>
        <w:ind w:left="4320" w:hanging="360"/>
      </w:pPr>
      <w:rPr>
        <w:rFonts w:ascii="Wingdings" w:hAnsi="Wingdings" w:hint="default"/>
      </w:rPr>
    </w:lvl>
    <w:lvl w:ilvl="6" w:tplc="ED7EA440" w:tentative="1">
      <w:start w:val="1"/>
      <w:numFmt w:val="bullet"/>
      <w:lvlText w:val=""/>
      <w:lvlJc w:val="left"/>
      <w:pPr>
        <w:ind w:left="5040" w:hanging="360"/>
      </w:pPr>
      <w:rPr>
        <w:rFonts w:ascii="Symbol" w:hAnsi="Symbol" w:hint="default"/>
      </w:rPr>
    </w:lvl>
    <w:lvl w:ilvl="7" w:tplc="DE32C80C" w:tentative="1">
      <w:start w:val="1"/>
      <w:numFmt w:val="bullet"/>
      <w:lvlText w:val="o"/>
      <w:lvlJc w:val="left"/>
      <w:pPr>
        <w:ind w:left="5760" w:hanging="360"/>
      </w:pPr>
      <w:rPr>
        <w:rFonts w:ascii="Courier New" w:hAnsi="Courier New" w:cs="Courier New" w:hint="default"/>
      </w:rPr>
    </w:lvl>
    <w:lvl w:ilvl="8" w:tplc="2FCC059E" w:tentative="1">
      <w:start w:val="1"/>
      <w:numFmt w:val="bullet"/>
      <w:lvlText w:val=""/>
      <w:lvlJc w:val="left"/>
      <w:pPr>
        <w:ind w:left="6480" w:hanging="360"/>
      </w:pPr>
      <w:rPr>
        <w:rFonts w:ascii="Wingdings" w:hAnsi="Wingdings" w:hint="default"/>
      </w:rPr>
    </w:lvl>
  </w:abstractNum>
  <w:abstractNum w:abstractNumId="8" w15:restartNumberingAfterBreak="0">
    <w:nsid w:val="5CF86064"/>
    <w:multiLevelType w:val="hybridMultilevel"/>
    <w:tmpl w:val="520CF032"/>
    <w:lvl w:ilvl="0" w:tplc="C4745184">
      <w:start w:val="1"/>
      <w:numFmt w:val="bullet"/>
      <w:lvlText w:val=""/>
      <w:lvlJc w:val="left"/>
      <w:pPr>
        <w:ind w:left="450" w:hanging="360"/>
      </w:pPr>
      <w:rPr>
        <w:rFonts w:ascii="Symbol" w:hAnsi="Symbol" w:hint="default"/>
      </w:rPr>
    </w:lvl>
    <w:lvl w:ilvl="1" w:tplc="9524F88C" w:tentative="1">
      <w:start w:val="1"/>
      <w:numFmt w:val="bullet"/>
      <w:lvlText w:val="o"/>
      <w:lvlJc w:val="left"/>
      <w:pPr>
        <w:ind w:left="1170" w:hanging="360"/>
      </w:pPr>
      <w:rPr>
        <w:rFonts w:ascii="Courier New" w:hAnsi="Courier New" w:cs="Courier New" w:hint="default"/>
      </w:rPr>
    </w:lvl>
    <w:lvl w:ilvl="2" w:tplc="AE127A80" w:tentative="1">
      <w:start w:val="1"/>
      <w:numFmt w:val="bullet"/>
      <w:lvlText w:val=""/>
      <w:lvlJc w:val="left"/>
      <w:pPr>
        <w:ind w:left="1890" w:hanging="360"/>
      </w:pPr>
      <w:rPr>
        <w:rFonts w:ascii="Wingdings" w:hAnsi="Wingdings" w:hint="default"/>
      </w:rPr>
    </w:lvl>
    <w:lvl w:ilvl="3" w:tplc="270200C6" w:tentative="1">
      <w:start w:val="1"/>
      <w:numFmt w:val="bullet"/>
      <w:lvlText w:val=""/>
      <w:lvlJc w:val="left"/>
      <w:pPr>
        <w:ind w:left="2610" w:hanging="360"/>
      </w:pPr>
      <w:rPr>
        <w:rFonts w:ascii="Symbol" w:hAnsi="Symbol" w:hint="default"/>
      </w:rPr>
    </w:lvl>
    <w:lvl w:ilvl="4" w:tplc="2ED896B6" w:tentative="1">
      <w:start w:val="1"/>
      <w:numFmt w:val="bullet"/>
      <w:lvlText w:val="o"/>
      <w:lvlJc w:val="left"/>
      <w:pPr>
        <w:ind w:left="3330" w:hanging="360"/>
      </w:pPr>
      <w:rPr>
        <w:rFonts w:ascii="Courier New" w:hAnsi="Courier New" w:cs="Courier New" w:hint="default"/>
      </w:rPr>
    </w:lvl>
    <w:lvl w:ilvl="5" w:tplc="70480D4A" w:tentative="1">
      <w:start w:val="1"/>
      <w:numFmt w:val="bullet"/>
      <w:lvlText w:val=""/>
      <w:lvlJc w:val="left"/>
      <w:pPr>
        <w:ind w:left="4050" w:hanging="360"/>
      </w:pPr>
      <w:rPr>
        <w:rFonts w:ascii="Wingdings" w:hAnsi="Wingdings" w:hint="default"/>
      </w:rPr>
    </w:lvl>
    <w:lvl w:ilvl="6" w:tplc="4DB81FAE" w:tentative="1">
      <w:start w:val="1"/>
      <w:numFmt w:val="bullet"/>
      <w:lvlText w:val=""/>
      <w:lvlJc w:val="left"/>
      <w:pPr>
        <w:ind w:left="4770" w:hanging="360"/>
      </w:pPr>
      <w:rPr>
        <w:rFonts w:ascii="Symbol" w:hAnsi="Symbol" w:hint="default"/>
      </w:rPr>
    </w:lvl>
    <w:lvl w:ilvl="7" w:tplc="D284C7EA" w:tentative="1">
      <w:start w:val="1"/>
      <w:numFmt w:val="bullet"/>
      <w:lvlText w:val="o"/>
      <w:lvlJc w:val="left"/>
      <w:pPr>
        <w:ind w:left="5490" w:hanging="360"/>
      </w:pPr>
      <w:rPr>
        <w:rFonts w:ascii="Courier New" w:hAnsi="Courier New" w:cs="Courier New" w:hint="default"/>
      </w:rPr>
    </w:lvl>
    <w:lvl w:ilvl="8" w:tplc="ED989FAC" w:tentative="1">
      <w:start w:val="1"/>
      <w:numFmt w:val="bullet"/>
      <w:lvlText w:val=""/>
      <w:lvlJc w:val="left"/>
      <w:pPr>
        <w:ind w:left="6210" w:hanging="360"/>
      </w:pPr>
      <w:rPr>
        <w:rFonts w:ascii="Wingdings" w:hAnsi="Wingdings" w:hint="default"/>
      </w:rPr>
    </w:lvl>
  </w:abstractNum>
  <w:abstractNum w:abstractNumId="9" w15:restartNumberingAfterBreak="0">
    <w:nsid w:val="5FDD5F38"/>
    <w:multiLevelType w:val="hybridMultilevel"/>
    <w:tmpl w:val="5B8C7B42"/>
    <w:lvl w:ilvl="0" w:tplc="801ACDE4">
      <w:start w:val="1"/>
      <w:numFmt w:val="bullet"/>
      <w:lvlText w:val=""/>
      <w:lvlJc w:val="left"/>
      <w:pPr>
        <w:ind w:left="720" w:hanging="360"/>
      </w:pPr>
      <w:rPr>
        <w:rFonts w:ascii="Wingdings" w:hAnsi="Wingdings" w:hint="default"/>
      </w:rPr>
    </w:lvl>
    <w:lvl w:ilvl="1" w:tplc="19E83494" w:tentative="1">
      <w:start w:val="1"/>
      <w:numFmt w:val="bullet"/>
      <w:lvlText w:val="o"/>
      <w:lvlJc w:val="left"/>
      <w:pPr>
        <w:ind w:left="1440" w:hanging="360"/>
      </w:pPr>
      <w:rPr>
        <w:rFonts w:ascii="Courier New" w:hAnsi="Courier New" w:cs="Courier New" w:hint="default"/>
      </w:rPr>
    </w:lvl>
    <w:lvl w:ilvl="2" w:tplc="62C0DC60" w:tentative="1">
      <w:start w:val="1"/>
      <w:numFmt w:val="bullet"/>
      <w:lvlText w:val=""/>
      <w:lvlJc w:val="left"/>
      <w:pPr>
        <w:ind w:left="2160" w:hanging="360"/>
      </w:pPr>
      <w:rPr>
        <w:rFonts w:ascii="Wingdings" w:hAnsi="Wingdings" w:hint="default"/>
      </w:rPr>
    </w:lvl>
    <w:lvl w:ilvl="3" w:tplc="EE90CAB8" w:tentative="1">
      <w:start w:val="1"/>
      <w:numFmt w:val="bullet"/>
      <w:lvlText w:val=""/>
      <w:lvlJc w:val="left"/>
      <w:pPr>
        <w:ind w:left="2880" w:hanging="360"/>
      </w:pPr>
      <w:rPr>
        <w:rFonts w:ascii="Symbol" w:hAnsi="Symbol" w:hint="default"/>
      </w:rPr>
    </w:lvl>
    <w:lvl w:ilvl="4" w:tplc="71ECC4FE" w:tentative="1">
      <w:start w:val="1"/>
      <w:numFmt w:val="bullet"/>
      <w:lvlText w:val="o"/>
      <w:lvlJc w:val="left"/>
      <w:pPr>
        <w:ind w:left="3600" w:hanging="360"/>
      </w:pPr>
      <w:rPr>
        <w:rFonts w:ascii="Courier New" w:hAnsi="Courier New" w:cs="Courier New" w:hint="default"/>
      </w:rPr>
    </w:lvl>
    <w:lvl w:ilvl="5" w:tplc="E464623A" w:tentative="1">
      <w:start w:val="1"/>
      <w:numFmt w:val="bullet"/>
      <w:lvlText w:val=""/>
      <w:lvlJc w:val="left"/>
      <w:pPr>
        <w:ind w:left="4320" w:hanging="360"/>
      </w:pPr>
      <w:rPr>
        <w:rFonts w:ascii="Wingdings" w:hAnsi="Wingdings" w:hint="default"/>
      </w:rPr>
    </w:lvl>
    <w:lvl w:ilvl="6" w:tplc="BDE0DE02" w:tentative="1">
      <w:start w:val="1"/>
      <w:numFmt w:val="bullet"/>
      <w:lvlText w:val=""/>
      <w:lvlJc w:val="left"/>
      <w:pPr>
        <w:ind w:left="5040" w:hanging="360"/>
      </w:pPr>
      <w:rPr>
        <w:rFonts w:ascii="Symbol" w:hAnsi="Symbol" w:hint="default"/>
      </w:rPr>
    </w:lvl>
    <w:lvl w:ilvl="7" w:tplc="A8928B4C" w:tentative="1">
      <w:start w:val="1"/>
      <w:numFmt w:val="bullet"/>
      <w:lvlText w:val="o"/>
      <w:lvlJc w:val="left"/>
      <w:pPr>
        <w:ind w:left="5760" w:hanging="360"/>
      </w:pPr>
      <w:rPr>
        <w:rFonts w:ascii="Courier New" w:hAnsi="Courier New" w:cs="Courier New" w:hint="default"/>
      </w:rPr>
    </w:lvl>
    <w:lvl w:ilvl="8" w:tplc="4CEEA39A" w:tentative="1">
      <w:start w:val="1"/>
      <w:numFmt w:val="bullet"/>
      <w:lvlText w:val=""/>
      <w:lvlJc w:val="left"/>
      <w:pPr>
        <w:ind w:left="6480" w:hanging="360"/>
      </w:pPr>
      <w:rPr>
        <w:rFonts w:ascii="Wingdings" w:hAnsi="Wingdings" w:hint="default"/>
      </w:rPr>
    </w:lvl>
  </w:abstractNum>
  <w:abstractNum w:abstractNumId="10" w15:restartNumberingAfterBreak="0">
    <w:nsid w:val="7B7E6304"/>
    <w:multiLevelType w:val="hybridMultilevel"/>
    <w:tmpl w:val="FAA07306"/>
    <w:lvl w:ilvl="0" w:tplc="4B626A18">
      <w:start w:val="1"/>
      <w:numFmt w:val="decimal"/>
      <w:lvlText w:val="%1."/>
      <w:lvlJc w:val="left"/>
      <w:pPr>
        <w:ind w:left="720" w:hanging="360"/>
      </w:pPr>
      <w:rPr>
        <w:rFonts w:hint="default"/>
      </w:rPr>
    </w:lvl>
    <w:lvl w:ilvl="1" w:tplc="817043A4" w:tentative="1">
      <w:start w:val="1"/>
      <w:numFmt w:val="lowerLetter"/>
      <w:lvlText w:val="%2."/>
      <w:lvlJc w:val="left"/>
      <w:pPr>
        <w:ind w:left="1440" w:hanging="360"/>
      </w:pPr>
    </w:lvl>
    <w:lvl w:ilvl="2" w:tplc="5324F7A4" w:tentative="1">
      <w:start w:val="1"/>
      <w:numFmt w:val="lowerRoman"/>
      <w:lvlText w:val="%3."/>
      <w:lvlJc w:val="right"/>
      <w:pPr>
        <w:ind w:left="2160" w:hanging="180"/>
      </w:pPr>
    </w:lvl>
    <w:lvl w:ilvl="3" w:tplc="E13AFDEC" w:tentative="1">
      <w:start w:val="1"/>
      <w:numFmt w:val="decimal"/>
      <w:lvlText w:val="%4."/>
      <w:lvlJc w:val="left"/>
      <w:pPr>
        <w:ind w:left="2880" w:hanging="360"/>
      </w:pPr>
    </w:lvl>
    <w:lvl w:ilvl="4" w:tplc="D92ACD6A" w:tentative="1">
      <w:start w:val="1"/>
      <w:numFmt w:val="lowerLetter"/>
      <w:lvlText w:val="%5."/>
      <w:lvlJc w:val="left"/>
      <w:pPr>
        <w:ind w:left="3600" w:hanging="360"/>
      </w:pPr>
    </w:lvl>
    <w:lvl w:ilvl="5" w:tplc="D48694FE" w:tentative="1">
      <w:start w:val="1"/>
      <w:numFmt w:val="lowerRoman"/>
      <w:lvlText w:val="%6."/>
      <w:lvlJc w:val="right"/>
      <w:pPr>
        <w:ind w:left="4320" w:hanging="180"/>
      </w:pPr>
    </w:lvl>
    <w:lvl w:ilvl="6" w:tplc="3AFADBA8" w:tentative="1">
      <w:start w:val="1"/>
      <w:numFmt w:val="decimal"/>
      <w:lvlText w:val="%7."/>
      <w:lvlJc w:val="left"/>
      <w:pPr>
        <w:ind w:left="5040" w:hanging="360"/>
      </w:pPr>
    </w:lvl>
    <w:lvl w:ilvl="7" w:tplc="42A64752" w:tentative="1">
      <w:start w:val="1"/>
      <w:numFmt w:val="lowerLetter"/>
      <w:lvlText w:val="%8."/>
      <w:lvlJc w:val="left"/>
      <w:pPr>
        <w:ind w:left="5760" w:hanging="360"/>
      </w:pPr>
    </w:lvl>
    <w:lvl w:ilvl="8" w:tplc="72C80790" w:tentative="1">
      <w:start w:val="1"/>
      <w:numFmt w:val="lowerRoman"/>
      <w:lvlText w:val="%9."/>
      <w:lvlJc w:val="right"/>
      <w:pPr>
        <w:ind w:left="6480" w:hanging="180"/>
      </w:pPr>
    </w:lvl>
  </w:abstractNum>
  <w:num w:numId="1" w16cid:durableId="615218392">
    <w:abstractNumId w:val="4"/>
  </w:num>
  <w:num w:numId="2" w16cid:durableId="350767846">
    <w:abstractNumId w:val="6"/>
  </w:num>
  <w:num w:numId="3" w16cid:durableId="1251692574">
    <w:abstractNumId w:val="7"/>
  </w:num>
  <w:num w:numId="4" w16cid:durableId="594558111">
    <w:abstractNumId w:val="9"/>
  </w:num>
  <w:num w:numId="5" w16cid:durableId="120463396">
    <w:abstractNumId w:val="0"/>
  </w:num>
  <w:num w:numId="6" w16cid:durableId="1758938992">
    <w:abstractNumId w:val="2"/>
  </w:num>
  <w:num w:numId="7" w16cid:durableId="513035538">
    <w:abstractNumId w:val="1"/>
  </w:num>
  <w:num w:numId="8" w16cid:durableId="38556057">
    <w:abstractNumId w:val="3"/>
  </w:num>
  <w:num w:numId="9" w16cid:durableId="666590059">
    <w:abstractNumId w:val="5"/>
  </w:num>
  <w:num w:numId="10" w16cid:durableId="1147823900">
    <w:abstractNumId w:val="8"/>
  </w:num>
  <w:num w:numId="11" w16cid:durableId="141945033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7"/>
  <w:removePersonalInformation/>
  <w:removeDateAndTime/>
  <w:proofState w:spelling="clean"/>
  <w:revisionView w:inkAnnotations="0"/>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E38"/>
    <w:rsid w:val="000B215B"/>
    <w:rsid w:val="00185B7A"/>
    <w:rsid w:val="001945A9"/>
    <w:rsid w:val="00242A98"/>
    <w:rsid w:val="00246E7C"/>
    <w:rsid w:val="002C0D99"/>
    <w:rsid w:val="00325E38"/>
    <w:rsid w:val="003E36EF"/>
    <w:rsid w:val="004C075B"/>
    <w:rsid w:val="0052268F"/>
    <w:rsid w:val="00582291"/>
    <w:rsid w:val="006E735F"/>
    <w:rsid w:val="007256BF"/>
    <w:rsid w:val="00836AE1"/>
    <w:rsid w:val="008F6F50"/>
    <w:rsid w:val="009E29CE"/>
    <w:rsid w:val="00B004A7"/>
    <w:rsid w:val="00C1224B"/>
    <w:rsid w:val="00C46819"/>
    <w:rsid w:val="00CB2C1D"/>
    <w:rsid w:val="00CE17A0"/>
    <w:rsid w:val="00E46D50"/>
    <w:rsid w:val="00E47A2D"/>
    <w:rsid w:val="00F9258E"/>
    <w:rsid w:val="00FB7722"/>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480425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36AE1"/>
    <w:pPr>
      <w:keepNext/>
      <w:keepLines/>
      <w:spacing w:before="240" w:after="0"/>
      <w:outlineLvl w:val="0"/>
    </w:pPr>
    <w:rPr>
      <w:rFonts w:ascii="Times New Roman" w:eastAsiaTheme="majorEastAsia" w:hAnsi="Times New Roman" w:cstheme="majorBidi"/>
      <w:color w:val="2E74B5" w:themeColor="accent1" w:themeShade="BF"/>
      <w:sz w:val="32"/>
      <w:szCs w:val="32"/>
    </w:rPr>
  </w:style>
  <w:style w:type="paragraph" w:styleId="2">
    <w:name w:val="heading 2"/>
    <w:basedOn w:val="a"/>
    <w:next w:val="a"/>
    <w:link w:val="20"/>
    <w:uiPriority w:val="9"/>
    <w:unhideWhenUsed/>
    <w:qFormat/>
    <w:rsid w:val="00836AE1"/>
    <w:pPr>
      <w:keepNext/>
      <w:keepLines/>
      <w:spacing w:before="40" w:after="0"/>
      <w:outlineLvl w:val="1"/>
    </w:pPr>
    <w:rPr>
      <w:rFonts w:ascii="Times New Roman" w:eastAsiaTheme="majorEastAsia" w:hAnsi="Times New Roman" w:cstheme="majorBidi"/>
      <w:color w:val="2E74B5" w:themeColor="accent1" w:themeShade="BF"/>
      <w:sz w:val="28"/>
      <w:szCs w:val="26"/>
    </w:rPr>
  </w:style>
  <w:style w:type="paragraph" w:styleId="3">
    <w:name w:val="heading 3"/>
    <w:basedOn w:val="a"/>
    <w:next w:val="a"/>
    <w:link w:val="30"/>
    <w:uiPriority w:val="9"/>
    <w:unhideWhenUsed/>
    <w:qFormat/>
    <w:rsid w:val="00B004A7"/>
    <w:pPr>
      <w:keepNext/>
      <w:keepLines/>
      <w:spacing w:before="40" w:after="0" w:line="240" w:lineRule="auto"/>
      <w:outlineLvl w:val="2"/>
    </w:pPr>
    <w:rPr>
      <w:rFonts w:ascii="Times New Roman" w:eastAsiaTheme="majorEastAsia" w:hAnsi="Times New Roman" w:cstheme="majorBidi"/>
      <w:color w:val="1F4D78" w:themeColor="accent1" w:themeShade="7F"/>
      <w:sz w:val="26"/>
      <w:szCs w:val="24"/>
      <w:lang w:val="en-US" w:eastAsia="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836AE1"/>
    <w:rPr>
      <w:rFonts w:ascii="Times New Roman" w:eastAsiaTheme="majorEastAsia" w:hAnsi="Times New Roman" w:cstheme="majorBidi"/>
      <w:color w:val="2E74B5" w:themeColor="accent1" w:themeShade="BF"/>
      <w:sz w:val="32"/>
      <w:szCs w:val="32"/>
    </w:rPr>
  </w:style>
  <w:style w:type="character" w:customStyle="1" w:styleId="20">
    <w:name w:val="Заглавие 2 Знак"/>
    <w:basedOn w:val="a0"/>
    <w:link w:val="2"/>
    <w:uiPriority w:val="9"/>
    <w:rsid w:val="00836AE1"/>
    <w:rPr>
      <w:rFonts w:ascii="Times New Roman" w:eastAsiaTheme="majorEastAsia" w:hAnsi="Times New Roman" w:cstheme="majorBidi"/>
      <w:color w:val="2E74B5" w:themeColor="accent1" w:themeShade="BF"/>
      <w:sz w:val="28"/>
      <w:szCs w:val="26"/>
    </w:rPr>
  </w:style>
  <w:style w:type="character" w:customStyle="1" w:styleId="30">
    <w:name w:val="Заглавие 3 Знак"/>
    <w:basedOn w:val="a0"/>
    <w:link w:val="3"/>
    <w:uiPriority w:val="9"/>
    <w:rsid w:val="00B004A7"/>
    <w:rPr>
      <w:rFonts w:ascii="Times New Roman" w:eastAsiaTheme="majorEastAsia" w:hAnsi="Times New Roman" w:cstheme="majorBidi"/>
      <w:color w:val="1F4D78" w:themeColor="accent1" w:themeShade="7F"/>
      <w:sz w:val="26"/>
      <w:szCs w:val="24"/>
      <w:lang w:val="en-US" w:eastAsia="en-GB"/>
    </w:rPr>
  </w:style>
  <w:style w:type="paragraph" w:styleId="a3">
    <w:name w:val="List Paragraph"/>
    <w:basedOn w:val="a"/>
    <w:uiPriority w:val="34"/>
    <w:qFormat/>
    <w:rsid w:val="003E36EF"/>
    <w:pPr>
      <w:ind w:left="720"/>
      <w:contextualSpacing/>
    </w:pPr>
  </w:style>
  <w:style w:type="paragraph" w:styleId="a4">
    <w:name w:val="TOC Heading"/>
    <w:basedOn w:val="1"/>
    <w:next w:val="a"/>
    <w:uiPriority w:val="39"/>
    <w:unhideWhenUsed/>
    <w:qFormat/>
    <w:rsid w:val="00F9258E"/>
    <w:pPr>
      <w:outlineLvl w:val="9"/>
    </w:pPr>
    <w:rPr>
      <w:rFonts w:asciiTheme="majorHAnsi" w:hAnsiTheme="majorHAnsi"/>
      <w:lang w:val="en-US" w:bidi="ar-SA"/>
    </w:rPr>
  </w:style>
  <w:style w:type="paragraph" w:styleId="11">
    <w:name w:val="toc 1"/>
    <w:basedOn w:val="a"/>
    <w:next w:val="a"/>
    <w:autoRedefine/>
    <w:uiPriority w:val="39"/>
    <w:unhideWhenUsed/>
    <w:rsid w:val="00F9258E"/>
    <w:pPr>
      <w:spacing w:after="100"/>
    </w:pPr>
  </w:style>
  <w:style w:type="character" w:styleId="a5">
    <w:name w:val="Hyperlink"/>
    <w:basedOn w:val="a0"/>
    <w:uiPriority w:val="99"/>
    <w:unhideWhenUsed/>
    <w:rsid w:val="00F9258E"/>
    <w:rPr>
      <w:color w:val="0563C1" w:themeColor="hyperlink"/>
      <w:u w:val="single"/>
    </w:rPr>
  </w:style>
  <w:style w:type="paragraph" w:styleId="a6">
    <w:name w:val="header"/>
    <w:basedOn w:val="a"/>
    <w:link w:val="a7"/>
    <w:uiPriority w:val="99"/>
    <w:unhideWhenUsed/>
    <w:rsid w:val="00582291"/>
    <w:pPr>
      <w:tabs>
        <w:tab w:val="center" w:pos="4680"/>
        <w:tab w:val="right" w:pos="9360"/>
      </w:tabs>
      <w:spacing w:after="0" w:line="240" w:lineRule="auto"/>
    </w:pPr>
  </w:style>
  <w:style w:type="character" w:customStyle="1" w:styleId="a7">
    <w:name w:val="Горен колонтитул Знак"/>
    <w:basedOn w:val="a0"/>
    <w:link w:val="a6"/>
    <w:uiPriority w:val="99"/>
    <w:rsid w:val="00582291"/>
  </w:style>
  <w:style w:type="paragraph" w:styleId="a8">
    <w:name w:val="footer"/>
    <w:basedOn w:val="a"/>
    <w:link w:val="a9"/>
    <w:uiPriority w:val="99"/>
    <w:unhideWhenUsed/>
    <w:rsid w:val="00582291"/>
    <w:pPr>
      <w:tabs>
        <w:tab w:val="center" w:pos="4680"/>
        <w:tab w:val="right" w:pos="9360"/>
      </w:tabs>
      <w:spacing w:after="0" w:line="240" w:lineRule="auto"/>
    </w:pPr>
  </w:style>
  <w:style w:type="character" w:customStyle="1" w:styleId="a9">
    <w:name w:val="Долен колонтитул Знак"/>
    <w:basedOn w:val="a0"/>
    <w:link w:val="a8"/>
    <w:uiPriority w:val="99"/>
    <w:rsid w:val="005822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2860A-62A2-4F76-A517-A12BC302EC8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3093</Words>
  <Characters>17631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2023-08-05T19:28:00Z</dcterms:created>
  <dcterms:modified xsi:type="dcterms:W3CDTF">2023-08-05T19:28:00Z</dcterms:modified>
</cp:coreProperties>
</file>