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76991" w14:textId="2C9B7D71" w:rsidR="00B95089" w:rsidRDefault="00B95089" w:rsidP="00B95089">
      <w:pPr>
        <w:rPr>
          <w:sz w:val="28"/>
          <w:u w:val="single"/>
        </w:rPr>
      </w:pPr>
      <w:r>
        <w:rPr>
          <w:sz w:val="28"/>
          <w:u w:val="single"/>
        </w:rPr>
        <w:t>What was</w:t>
      </w:r>
      <w:r w:rsidR="00FC192A">
        <w:rPr>
          <w:sz w:val="28"/>
          <w:u w:val="single"/>
        </w:rPr>
        <w:t xml:space="preserve"> the</w:t>
      </w:r>
      <w:r>
        <w:rPr>
          <w:sz w:val="28"/>
          <w:u w:val="single"/>
        </w:rPr>
        <w:t xml:space="preserve"> impact of contraceptive and abortifacients drugs on the ancient Roman society after the first century AD?</w:t>
      </w:r>
    </w:p>
    <w:p w14:paraId="511933CE" w14:textId="5EA9CCB2" w:rsidR="00906813" w:rsidRDefault="00906813"/>
    <w:p w14:paraId="562EE9B8" w14:textId="1BEDEA56" w:rsidR="00042BE5" w:rsidRDefault="00B95089" w:rsidP="00042BE5">
      <w:r>
        <w:t>The twenty-first century defi</w:t>
      </w:r>
      <w:r w:rsidR="00042BE5">
        <w:t>nitions</w:t>
      </w:r>
      <w:r>
        <w:t xml:space="preserve"> preventing pregnancy (contraceptives) and terminating pregnancy (abortifacients) as two separate areas of medicine, with opinions differing </w:t>
      </w:r>
      <w:r w:rsidR="00042BE5">
        <w:t xml:space="preserve">about both depending on culture or religion. The ancient physician Soranus was one of the first to make the distinction around the first century AD, “A </w:t>
      </w:r>
      <w:bookmarkStart w:id="0" w:name="_Hlk507179235"/>
      <w:r w:rsidR="00042BE5">
        <w:t>contraceptive differs from an abortive</w:t>
      </w:r>
      <w:bookmarkEnd w:id="0"/>
      <w:r w:rsidR="00042BE5">
        <w:t>, for the first does not let conception take place, while the latter destroys what has been conceived. Let us therefore call the one “abortive” and the other “contraceptive””</w:t>
      </w:r>
      <w:r w:rsidR="00042BE5">
        <w:rPr>
          <w:rStyle w:val="FootnoteReference"/>
        </w:rPr>
        <w:footnoteReference w:id="1"/>
      </w:r>
      <w:r w:rsidR="00042BE5">
        <w:t xml:space="preserve">. </w:t>
      </w:r>
      <w:r w:rsidR="008A5A4A">
        <w:t>However, the motivation and the popularity of such medicine is debatable, especially considering the obvious gap between different societal classes and the lifestyles which they had. By examining ancient writings from around and after the first century AD along with modern research, it will be decided whether there was any impact made by contraceptives and abortifacients and what kind of impact that may have been.</w:t>
      </w:r>
    </w:p>
    <w:p w14:paraId="315ADC0E" w14:textId="07F13F96" w:rsidR="002D7313" w:rsidRDefault="008920CA">
      <w:r>
        <w:t>T</w:t>
      </w:r>
      <w:r w:rsidR="009A3968">
        <w:t xml:space="preserve">he majority of the information existing concerning the subject of </w:t>
      </w:r>
      <w:r w:rsidR="00FC192A">
        <w:t xml:space="preserve">birth control </w:t>
      </w:r>
      <w:r w:rsidR="009A3968">
        <w:t>is derived from the elite class within the empire.</w:t>
      </w:r>
      <w:r w:rsidR="00FC192A">
        <w:t xml:space="preserve"> It is clear from many accounts of ancient writers that elite families preferred a small family, which means that some forms of birth control would have had to have been used. This is shown by the frequency and length of marriage during this </w:t>
      </w:r>
      <w:r>
        <w:t>period</w:t>
      </w:r>
      <w:r w:rsidR="00FC192A">
        <w:t xml:space="preserve">, elite Roman women </w:t>
      </w:r>
      <w:r w:rsidR="006A0990">
        <w:t xml:space="preserve">in particular </w:t>
      </w:r>
      <w:r w:rsidR="00FC192A">
        <w:t>were known to marry at a young age and would likely have multiple marriages throughout their lives.</w:t>
      </w:r>
      <w:r w:rsidR="00410CEB">
        <w:rPr>
          <w:rStyle w:val="FootnoteReference"/>
        </w:rPr>
        <w:footnoteReference w:id="2"/>
      </w:r>
      <w:r w:rsidR="00FC192A">
        <w:t xml:space="preserve"> </w:t>
      </w:r>
      <w:r w:rsidR="00374BAD">
        <w:t>T</w:t>
      </w:r>
      <w:r w:rsidR="006A0990">
        <w:t>his would give the assumption that they would have quite many pregnancies and children. However, examples like Agrippina the younger, who only had one natural child, counteracts this idea. This indicates that</w:t>
      </w:r>
      <w:r w:rsidR="008333F0">
        <w:t xml:space="preserve"> </w:t>
      </w:r>
      <w:r w:rsidR="005417EA">
        <w:t xml:space="preserve">there would have been fewer children born to upper-class women than expected, this means that contraceptive methods </w:t>
      </w:r>
      <w:r w:rsidR="00BC0A32">
        <w:t>could</w:t>
      </w:r>
      <w:r w:rsidR="005417EA">
        <w:t xml:space="preserve"> have been used to explain the lack of natural children born to upper-class women. </w:t>
      </w:r>
      <w:r w:rsidR="00613672">
        <w:t xml:space="preserve">these methods may have included exposure as well as contraceptive and abortive drugs. Exposure is known to have been widely used during the ancient Roman empire, for reasons like the child being ill or deformed or for being the wrong gender. </w:t>
      </w:r>
      <w:r w:rsidR="000153CF">
        <w:t>as well as this,</w:t>
      </w:r>
      <w:r w:rsidR="00613672">
        <w:t xml:space="preserve"> </w:t>
      </w:r>
      <w:r>
        <w:t>it</w:t>
      </w:r>
      <w:r w:rsidR="00613672">
        <w:t xml:space="preserve"> is estimated that around ten percent of infants in good health were killed</w:t>
      </w:r>
      <w:r w:rsidR="00613672">
        <w:rPr>
          <w:rStyle w:val="FootnoteReference"/>
        </w:rPr>
        <w:footnoteReference w:id="3"/>
      </w:r>
      <w:r w:rsidR="00613672">
        <w:t xml:space="preserve"> which </w:t>
      </w:r>
      <w:r w:rsidR="000153CF">
        <w:t>shows that it wasn’t just children that were unlikely to survive long-term that were discarded. The fact that this method was exercised shows the probability that if the romans were willing to kill a child after birth, then they were likely not against the idea of abortive and contraceptive drugs.</w:t>
      </w:r>
      <w:r w:rsidR="00682697">
        <w:t xml:space="preserve"> however, it </w:t>
      </w:r>
      <w:r>
        <w:t>must</w:t>
      </w:r>
      <w:r w:rsidR="00682697">
        <w:t xml:space="preserve"> be said that when it came to family limitation, it was usually the husband who made </w:t>
      </w:r>
      <w:r>
        <w:t>most of</w:t>
      </w:r>
      <w:r w:rsidR="00682697">
        <w:t xml:space="preserve"> the decisions</w:t>
      </w:r>
      <w:r w:rsidR="00033E12">
        <w:t xml:space="preserve"> and would have decided the number of children that would be born and kept, within the marriage. As well as this, it is also probable that infants that were ‘exposed’ were not counted in the number of children that a family had because they had not been recognised as part of the family.</w:t>
      </w:r>
      <w:r w:rsidR="00033E12">
        <w:rPr>
          <w:rStyle w:val="FootnoteReference"/>
        </w:rPr>
        <w:footnoteReference w:id="4"/>
      </w:r>
      <w:r w:rsidR="00374BAD">
        <w:t xml:space="preserve"> As well as this, the need for natural born children was not seen as an essential part of the Roman house-hold</w:t>
      </w:r>
      <w:r w:rsidR="002D7313">
        <w:t xml:space="preserve">. Because of the popularity of remarriage and adoption, a pater-familia could </w:t>
      </w:r>
      <w:r w:rsidR="00D13C54">
        <w:t>somewhat</w:t>
      </w:r>
      <w:r w:rsidR="002D7313">
        <w:t xml:space="preserve"> choose their ‘heir’ which meant that there w</w:t>
      </w:r>
      <w:r w:rsidR="00D13C54">
        <w:t xml:space="preserve">ere </w:t>
      </w:r>
      <w:r w:rsidR="002D7313">
        <w:t>many instances where a non-biological son would inherit the father’s position and wealth.</w:t>
      </w:r>
      <w:r w:rsidR="002D7313">
        <w:rPr>
          <w:rStyle w:val="FootnoteReference"/>
        </w:rPr>
        <w:footnoteReference w:id="5"/>
      </w:r>
      <w:r w:rsidR="008311B7">
        <w:t xml:space="preserve"> </w:t>
      </w:r>
      <w:r w:rsidR="00D13C54">
        <w:t>In the case of lower class families, there is less evidence of family limitation, probably because of the lack of wealth and influence that would be inherited.</w:t>
      </w:r>
      <w:r w:rsidR="00D13C54">
        <w:rPr>
          <w:rStyle w:val="FootnoteReference"/>
        </w:rPr>
        <w:footnoteReference w:id="6"/>
      </w:r>
      <w:r w:rsidR="00EA0803">
        <w:t xml:space="preserve"> </w:t>
      </w:r>
    </w:p>
    <w:p w14:paraId="70E27AE2" w14:textId="6D4D94D6" w:rsidR="00EF2806" w:rsidRDefault="003829F4">
      <w:r>
        <w:lastRenderedPageBreak/>
        <w:t>C</w:t>
      </w:r>
      <w:r w:rsidR="00EF2806">
        <w:t xml:space="preserve">onsidering the amount of written accounts concerning contraceptive and abortive drugs, </w:t>
      </w:r>
      <w:r w:rsidR="008920CA">
        <w:t>many of</w:t>
      </w:r>
      <w:r w:rsidR="00EF2806">
        <w:t xml:space="preserve"> it comes from </w:t>
      </w:r>
      <w:r w:rsidR="00E155D3">
        <w:t xml:space="preserve">the physician Soranus. In his works, he covers </w:t>
      </w:r>
      <w:r w:rsidR="008920CA">
        <w:t>a few</w:t>
      </w:r>
      <w:r w:rsidR="00E155D3">
        <w:t xml:space="preserve"> different methods to prevent conception or to abort a pregnancy. The concoctions do differ in their ingredients and the method in which to use them. However, there is some common ingredients that are mentioned frequently. For example</w:t>
      </w:r>
      <w:r>
        <w:t>, olive oil is used in multiple methods such as the “smearing the uterus with;” olive oil, honey, cedar resin, juice of a balsam tree mixed with white lead or alone.</w:t>
      </w:r>
      <w:r>
        <w:rPr>
          <w:rStyle w:val="FootnoteReference"/>
        </w:rPr>
        <w:footnoteReference w:id="7"/>
      </w:r>
      <w:r w:rsidR="000A467A">
        <w:t xml:space="preserve"> The purposes of using such </w:t>
      </w:r>
      <w:r w:rsidR="00C62038">
        <w:t xml:space="preserve">mixtures was to create an environment that would </w:t>
      </w:r>
      <w:r w:rsidR="003108D6">
        <w:t>be hostile to</w:t>
      </w:r>
      <w:r w:rsidR="00C62038">
        <w:t xml:space="preserve"> the sperm and therefore halt the meeting with the </w:t>
      </w:r>
      <w:r w:rsidR="000B0406">
        <w:t>egg, which means that a lot of these mixtures were applied as a pessary This could have meant that the entrance to the uterus had to be too cool and would block the sperm from entering the uterus or too warm and would then expel the uterus.</w:t>
      </w:r>
      <w:r w:rsidR="000B0406" w:rsidRPr="000B0406">
        <w:rPr>
          <w:rStyle w:val="FootnoteReference"/>
        </w:rPr>
        <w:t xml:space="preserve"> </w:t>
      </w:r>
      <w:r w:rsidR="000B0406">
        <w:rPr>
          <w:rStyle w:val="FootnoteReference"/>
        </w:rPr>
        <w:footnoteReference w:id="8"/>
      </w:r>
      <w:r w:rsidR="000B0406">
        <w:t xml:space="preserve"> </w:t>
      </w:r>
      <w:r w:rsidR="00190761">
        <w:t>These methods did have a chance of being effective because</w:t>
      </w:r>
      <w:r w:rsidR="00C4137B">
        <w:t>, according to modern research,</w:t>
      </w:r>
      <w:r w:rsidR="00190761">
        <w:t xml:space="preserve"> there is some properties </w:t>
      </w:r>
      <w:r w:rsidR="001D7C55">
        <w:t>within olives that can help prevent pregnancy because the it renders the sperm ‘unable’ to make it to the egg completely.</w:t>
      </w:r>
      <w:r w:rsidR="001D7C55">
        <w:rPr>
          <w:rStyle w:val="FootnoteReference"/>
        </w:rPr>
        <w:footnoteReference w:id="9"/>
      </w:r>
      <w:r w:rsidR="00C4137B">
        <w:t xml:space="preserve"> </w:t>
      </w:r>
      <w:r w:rsidR="0035594C">
        <w:t xml:space="preserve">As well as this other ingredients such as vinegar and brine are also known to be spermicidal which means that </w:t>
      </w:r>
      <w:r w:rsidR="000358E8">
        <w:t>there was more than one element in these remedies that had a chance of being successful.</w:t>
      </w:r>
      <w:r w:rsidR="000358E8">
        <w:rPr>
          <w:rStyle w:val="FootnoteReference"/>
        </w:rPr>
        <w:footnoteReference w:id="10"/>
      </w:r>
      <w:r w:rsidR="0035594C">
        <w:t xml:space="preserve"> </w:t>
      </w:r>
      <w:r w:rsidR="00C4137B">
        <w:t xml:space="preserve">This evidence does show that the pessary could have worked somewhat and that </w:t>
      </w:r>
      <w:r w:rsidR="004E34D8">
        <w:t xml:space="preserve">this would then have been used on a wide scale throughout the empire. However, the way in which the mixture was used may not have worked in the same way that </w:t>
      </w:r>
      <w:r w:rsidR="00AF462C">
        <w:t>it would work in modern medicine, because pessaries are very rarely used, if at all and the modern contraceptive drugs that include properties of olive oil are still in the trial stages.</w:t>
      </w:r>
      <w:r w:rsidR="009912EB">
        <w:t xml:space="preserve"> If they did work, it is safe to say that the impact could have been significant </w:t>
      </w:r>
      <w:r w:rsidR="00CC6223">
        <w:t>if it was one of the methods that were recommended by physicians such as Soranus. In his writings, however, there are several methods that are both not ‘medical’ and would not have been at all effective. These methods include “getting up immediately and squatting down to produce a sneezing fit” and “drink something cold”</w:t>
      </w:r>
      <w:r w:rsidR="00CC6223">
        <w:rPr>
          <w:rStyle w:val="FootnoteReference"/>
        </w:rPr>
        <w:footnoteReference w:id="11"/>
      </w:r>
      <w:r w:rsidR="00486FBE">
        <w:t xml:space="preserve"> which are known today as ineffective as a means of preventing </w:t>
      </w:r>
      <w:r w:rsidR="00CF7DD3">
        <w:t>pregnancy,</w:t>
      </w:r>
      <w:r w:rsidR="00486FBE">
        <w:t xml:space="preserve"> but it is possible that they would have been preferred methods which would mean that because of the lack of success</w:t>
      </w:r>
      <w:r w:rsidR="008920CA">
        <w:t>, contraceptives would not have had a positive or long-lasting impact.</w:t>
      </w:r>
      <w:r w:rsidR="00374BAD">
        <w:t xml:space="preserve"> </w:t>
      </w:r>
      <w:r w:rsidR="00142979">
        <w:t xml:space="preserve">Ineffective methods of preventing pregnancy was also mentioned in Pliny the elder’s natural history </w:t>
      </w:r>
      <w:r w:rsidR="0015658D">
        <w:t>that “the burning root of cabbage, myrtle, or tamarisk extinguished by the menstrual blood, about asses’ not conceiving for as many years as they have eaten grains of barley contaminated with it”</w:t>
      </w:r>
      <w:r w:rsidR="003A2C26">
        <w:rPr>
          <w:rStyle w:val="FootnoteReference"/>
        </w:rPr>
        <w:footnoteReference w:id="12"/>
      </w:r>
      <w:r w:rsidR="0015658D">
        <w:t xml:space="preserve"> which is a ritualistic method and if this sort of method was more popular than the drugs that could have worked then it is possible that contraception in general may have lost popularity, simply because it did not seem to work.</w:t>
      </w:r>
      <w:r w:rsidR="00F07F2D">
        <w:t xml:space="preserve"> In </w:t>
      </w:r>
      <w:r w:rsidR="00FF299F">
        <w:t>fact,</w:t>
      </w:r>
      <w:r w:rsidR="00F07F2D">
        <w:t xml:space="preserve"> there is evidence that </w:t>
      </w:r>
      <w:r w:rsidR="00C722E9">
        <w:t>the popularity of contraceptives did decrease towards the fourth century AD onwards because there is fewer written evidence concerning the practice.</w:t>
      </w:r>
      <w:r w:rsidR="00C722E9">
        <w:rPr>
          <w:rStyle w:val="FootnoteReference"/>
        </w:rPr>
        <w:footnoteReference w:id="13"/>
      </w:r>
    </w:p>
    <w:p w14:paraId="45B260AC" w14:textId="77C99E7A" w:rsidR="00F835DD" w:rsidRDefault="00F835DD">
      <w:r>
        <w:t>In the case of abortifacients,</w:t>
      </w:r>
      <w:r w:rsidR="00ED49A4">
        <w:t xml:space="preserve"> suppositories were used as the main non-surgical method. </w:t>
      </w:r>
      <w:r w:rsidR="000B7B6A">
        <w:t>The issue with this is that because suppositories were used for both as a contraceptive and as a</w:t>
      </w:r>
      <w:r w:rsidR="008C7896">
        <w:t>n</w:t>
      </w:r>
      <w:r w:rsidR="000B7B6A">
        <w:t xml:space="preserve"> abortifacient, there may have been some confusion as to what one should be used when. How</w:t>
      </w:r>
      <w:r w:rsidR="008C7896">
        <w:t>e</w:t>
      </w:r>
      <w:r w:rsidR="000B7B6A">
        <w:t>ver</w:t>
      </w:r>
      <w:r w:rsidR="008C7896">
        <w:t>,</w:t>
      </w:r>
      <w:r w:rsidR="000B7B6A">
        <w:t xml:space="preserve"> the mixtures are different because the abortifacient is made up of things like myrtle, sunflower seed, bitter lupines which would be applied while the woman was ‘given a drink’</w:t>
      </w:r>
      <w:r w:rsidR="000B7B6A">
        <w:rPr>
          <w:rStyle w:val="FootnoteReference"/>
        </w:rPr>
        <w:footnoteReference w:id="14"/>
      </w:r>
      <w:r w:rsidR="008C7896">
        <w:t xml:space="preserve">, so if the right advice was given by the physician, the confusion would have been less likely. </w:t>
      </w:r>
      <w:r w:rsidR="008F161D">
        <w:t xml:space="preserve">As well as this, </w:t>
      </w:r>
      <w:r w:rsidR="0038288F">
        <w:t xml:space="preserve">special </w:t>
      </w:r>
      <w:r w:rsidR="002F08F0">
        <w:t>protractive baths would have also been used alongside the suppositories</w:t>
      </w:r>
      <w:r w:rsidR="00873DC9">
        <w:t xml:space="preserve"> which have also need to be followed </w:t>
      </w:r>
      <w:r w:rsidR="00873DC9">
        <w:lastRenderedPageBreak/>
        <w:t>by the woman being ‘bled’ to induce a miscarriage.</w:t>
      </w:r>
      <w:r w:rsidR="00873DC9">
        <w:rPr>
          <w:rStyle w:val="FootnoteReference"/>
        </w:rPr>
        <w:footnoteReference w:id="15"/>
      </w:r>
      <w:r w:rsidR="006F17B0">
        <w:t xml:space="preserve"> The method itself is extensive and long-winded, which is possibly the </w:t>
      </w:r>
      <w:r w:rsidR="00FA70F6">
        <w:t>reason</w:t>
      </w:r>
      <w:r w:rsidR="006F17B0">
        <w:t xml:space="preserve"> contraception </w:t>
      </w:r>
      <w:r w:rsidR="004F4528">
        <w:t>was more highly recommended than abortion by physicians like Soranus, because it would work out cheaper and less time-consuming and lead to the same results.</w:t>
      </w:r>
      <w:r w:rsidR="004F4528">
        <w:rPr>
          <w:rStyle w:val="FootnoteReference"/>
        </w:rPr>
        <w:footnoteReference w:id="16"/>
      </w:r>
      <w:r w:rsidR="00FA70F6">
        <w:t xml:space="preserve"> </w:t>
      </w:r>
      <w:r w:rsidR="00864505">
        <w:t xml:space="preserve">As well as this the process contraception would be much less aggressive than that of abortion, </w:t>
      </w:r>
      <w:r w:rsidR="00094056">
        <w:t xml:space="preserve">because of the forcing a miscarriage, </w:t>
      </w:r>
      <w:r w:rsidR="007C6910">
        <w:t xml:space="preserve">Soranus said in his writings that </w:t>
      </w:r>
      <w:r w:rsidR="00094056">
        <w:t xml:space="preserve">“many different things have been mentioned by others; one must, however, </w:t>
      </w:r>
      <w:bookmarkStart w:id="1" w:name="_Hlk507178244"/>
      <w:r w:rsidR="00094056">
        <w:t>beware of things too powerful and of separating the embryo by means of something sharp, for danger arises that some adjacent parts could be damaged”</w:t>
      </w:r>
      <w:bookmarkEnd w:id="1"/>
      <w:r w:rsidR="00094056">
        <w:rPr>
          <w:rStyle w:val="FootnoteReference"/>
        </w:rPr>
        <w:footnoteReference w:id="17"/>
      </w:r>
      <w:r w:rsidR="00094056">
        <w:t xml:space="preserve">. This shows that as well as abortive drugs, </w:t>
      </w:r>
      <w:r w:rsidR="002B4C16">
        <w:t>abortions in general were dangerous and could do more harm than good.</w:t>
      </w:r>
      <w:r w:rsidR="00663DC4">
        <w:t xml:space="preserve"> As well as this, abortion was frowned upon to an extent because of moral reasons.</w:t>
      </w:r>
      <w:r w:rsidR="00A03A0C">
        <w:t xml:space="preserve"> There </w:t>
      </w:r>
      <w:r w:rsidR="00384484">
        <w:t>are</w:t>
      </w:r>
      <w:r w:rsidR="00A03A0C">
        <w:t xml:space="preserve"> also more ritualistic methods given by Pliny the elder like, tied round her neck in gazelle leather, she wears white flesh from a hyaena’s breast, seven hyaena’s hairs, and the genital organ of a stag”</w:t>
      </w:r>
      <w:r w:rsidR="00BC0A32">
        <w:t xml:space="preserve">, the uses of hyena parts are mentioned several times in </w:t>
      </w:r>
      <w:r w:rsidR="008564F7">
        <w:t>P</w:t>
      </w:r>
      <w:r w:rsidR="00BC0A32">
        <w:t>liny’s remedies, the reasoning behind this is not fully known.</w:t>
      </w:r>
      <w:r w:rsidR="00A03A0C">
        <w:rPr>
          <w:rStyle w:val="FootnoteReference"/>
        </w:rPr>
        <w:footnoteReference w:id="18"/>
      </w:r>
      <w:r w:rsidR="00254701">
        <w:t xml:space="preserve"> </w:t>
      </w:r>
      <w:r w:rsidR="00BC0A32">
        <w:t>Pliny’s methods</w:t>
      </w:r>
      <w:r w:rsidR="00254701">
        <w:t xml:space="preserve"> were said to induce a miscarriage</w:t>
      </w:r>
      <w:r w:rsidR="00BC0A32">
        <w:t xml:space="preserve"> by the object being worn by the woman for a certain amount of time</w:t>
      </w:r>
      <w:r w:rsidR="00254701">
        <w:t xml:space="preserve">. Because method’s like this are less invasive, it is possible that it was preferred and therefore, abortives would not have seemed </w:t>
      </w:r>
      <w:r w:rsidR="00D4024A">
        <w:t>that effective.</w:t>
      </w:r>
      <w:r w:rsidR="00254701">
        <w:t xml:space="preserve"> </w:t>
      </w:r>
      <w:r w:rsidR="00D4024A">
        <w:t xml:space="preserve">But, </w:t>
      </w:r>
      <w:r w:rsidR="00384484">
        <w:t>it</w:t>
      </w:r>
      <w:r w:rsidR="00663DC4">
        <w:t xml:space="preserve"> is stated in the Hippocratic oath that a physician could not do any harm to a patient, the saying </w:t>
      </w:r>
      <w:r w:rsidR="00663DC4" w:rsidRPr="00663DC4">
        <w:t>“similarly I will not give a woman a pessary to induce an abortion”</w:t>
      </w:r>
      <w:r w:rsidR="00663DC4">
        <w:rPr>
          <w:rStyle w:val="FootnoteReference"/>
        </w:rPr>
        <w:footnoteReference w:id="19"/>
      </w:r>
      <w:r w:rsidR="00663DC4">
        <w:t xml:space="preserve"> which shows that abortion </w:t>
      </w:r>
      <w:r w:rsidR="006D2CE1">
        <w:t>was</w:t>
      </w:r>
      <w:r w:rsidR="00663DC4">
        <w:t xml:space="preserve"> a form of harm towards the patient. This could be concerning the unborn baby itself, though it is more likely that the health of the mother was the only one being taken into consideration. This is evidenced</w:t>
      </w:r>
      <w:r w:rsidR="006D2CE1">
        <w:t xml:space="preserve"> by</w:t>
      </w:r>
      <w:r w:rsidR="00663DC4">
        <w:t xml:space="preserve"> </w:t>
      </w:r>
      <w:r w:rsidR="006D2CE1">
        <w:t>using</w:t>
      </w:r>
      <w:r w:rsidR="00663DC4">
        <w:t xml:space="preserve"> exposure, because it seems that the Roman society did not view a baby as a proper citizen until </w:t>
      </w:r>
      <w:r w:rsidR="006D2CE1">
        <w:t>the father claimed it</w:t>
      </w:r>
      <w:r w:rsidR="00663DC4">
        <w:t>.</w:t>
      </w:r>
      <w:r w:rsidR="00E449A3">
        <w:t xml:space="preserve"> </w:t>
      </w:r>
      <w:r w:rsidR="006D2CE1">
        <w:t>Since</w:t>
      </w:r>
      <w:r w:rsidR="00E449A3">
        <w:t xml:space="preserve"> it is only abortifacient pessaries being mentioned in this statement, it is probable that contraceptives </w:t>
      </w:r>
      <w:r w:rsidR="00D4024A">
        <w:t xml:space="preserve">and more ritual based methods </w:t>
      </w:r>
      <w:r w:rsidR="00E449A3">
        <w:t>were more accep</w:t>
      </w:r>
      <w:r w:rsidR="00D4024A">
        <w:t>table</w:t>
      </w:r>
      <w:r w:rsidR="00E449A3">
        <w:t xml:space="preserve"> because the didn’t seem to cause any harm to the people using them and therefore would be the most morally and medically suited </w:t>
      </w:r>
      <w:r w:rsidR="00F53CFC">
        <w:t>for</w:t>
      </w:r>
      <w:r w:rsidR="00E449A3">
        <w:t xml:space="preserve"> family limitation.</w:t>
      </w:r>
      <w:r w:rsidR="00D4024A">
        <w:t xml:space="preserve"> </w:t>
      </w:r>
      <w:r w:rsidR="00E449A3">
        <w:t xml:space="preserve">The work of Hippocrates as well as </w:t>
      </w:r>
      <w:r w:rsidR="006D2CE1">
        <w:t>the Hippocratic oath was viewed as very significant in the Roman empire, as well as other Greek influences.</w:t>
      </w:r>
      <w:r w:rsidR="00EA7E36">
        <w:rPr>
          <w:rStyle w:val="FootnoteReference"/>
        </w:rPr>
        <w:footnoteReference w:id="20"/>
      </w:r>
      <w:r w:rsidR="006D2CE1">
        <w:t xml:space="preserve">This means that </w:t>
      </w:r>
      <w:r w:rsidR="00EA7E36">
        <w:t xml:space="preserve">because abortifacients were viewed negatively by such a noteworthy Greek physician, </w:t>
      </w:r>
      <w:r w:rsidR="008B4657">
        <w:t>many</w:t>
      </w:r>
      <w:r w:rsidR="00EA7E36">
        <w:t xml:space="preserve"> Romans would take a similar view, although it can be interpreted differently according to the situation and the physician involved.</w:t>
      </w:r>
    </w:p>
    <w:p w14:paraId="371D441B" w14:textId="598BFACC" w:rsidR="004703AA" w:rsidRDefault="004703AA">
      <w:r>
        <w:t xml:space="preserve">In the case of Soranus, along with other medical experts of this period, </w:t>
      </w:r>
      <w:r w:rsidR="008B4657">
        <w:t>are said to have viewed in a more circumstantial way</w:t>
      </w:r>
      <w:r w:rsidR="00186F57">
        <w:rPr>
          <w:rStyle w:val="FootnoteReference"/>
        </w:rPr>
        <w:footnoteReference w:id="21"/>
      </w:r>
      <w:r w:rsidR="008B4657">
        <w:t xml:space="preserve">. For instance, it is possible that </w:t>
      </w:r>
      <w:r w:rsidR="001732BB">
        <w:t>a patient would need an abortion for her to remain in good health</w:t>
      </w:r>
      <w:r w:rsidR="00AE2F6E">
        <w:t>, this is shown by the statement “prescribes abortives, but with discrimination</w:t>
      </w:r>
      <w:r w:rsidR="00384484">
        <w:t>…. only</w:t>
      </w:r>
      <w:r w:rsidR="00AE2F6E">
        <w:t xml:space="preserve"> to prevent subsequent danger in parturition if the uterus is small and not capable </w:t>
      </w:r>
      <w:r w:rsidR="007A3687">
        <w:t>of accommodating</w:t>
      </w:r>
      <w:r w:rsidR="00AE2F6E">
        <w:t xml:space="preserve"> the complete development”</w:t>
      </w:r>
      <w:r w:rsidR="00AE2F6E">
        <w:rPr>
          <w:rStyle w:val="FootnoteReference"/>
        </w:rPr>
        <w:footnoteReference w:id="22"/>
      </w:r>
      <w:r w:rsidR="001732BB">
        <w:t xml:space="preserve">. Therefore, the causing of harm </w:t>
      </w:r>
      <w:r w:rsidR="006C07A0">
        <w:t xml:space="preserve">by using </w:t>
      </w:r>
      <w:r w:rsidR="001732BB">
        <w:t>an abortifacient</w:t>
      </w:r>
      <w:r w:rsidR="006C07A0">
        <w:t xml:space="preserve"> or another abortive method</w:t>
      </w:r>
      <w:r w:rsidR="001732BB">
        <w:t xml:space="preserve"> would mean that no further and possibly more life-threatening harm would come to the patient.</w:t>
      </w:r>
      <w:r w:rsidR="00186DDA">
        <w:t xml:space="preserve"> In fact, it appears to be that ancient physicians held the opinion that ‘spacing’ the number of pregnancies and therefore childbirth was essential for a woman’s health. It is stated that many Roman physicians thought that </w:t>
      </w:r>
      <w:r w:rsidR="00ED2F4E">
        <w:t>pregnancy in general “made women old before their time”</w:t>
      </w:r>
      <w:r w:rsidR="00ED2F4E">
        <w:rPr>
          <w:rStyle w:val="FootnoteReference"/>
        </w:rPr>
        <w:footnoteReference w:id="23"/>
      </w:r>
      <w:r w:rsidR="00ED2F4E">
        <w:t xml:space="preserve"> which may have led to the belief that the life-expectancy of the women would decrease with every pregnancy, even if it was a healthy gestation. </w:t>
      </w:r>
      <w:r w:rsidR="00280C1F">
        <w:t xml:space="preserve">Some emperor’s </w:t>
      </w:r>
      <w:r w:rsidR="00280C1F">
        <w:lastRenderedPageBreak/>
        <w:t>mothers can evidence this belief because they</w:t>
      </w:r>
      <w:r w:rsidR="00AF5DDC">
        <w:t xml:space="preserve"> did live </w:t>
      </w:r>
      <w:r w:rsidR="00710797">
        <w:t>well into their</w:t>
      </w:r>
      <w:r w:rsidR="00280C1F">
        <w:t xml:space="preserve"> son’s </w:t>
      </w:r>
      <w:r w:rsidR="00710797">
        <w:t>adult life</w:t>
      </w:r>
      <w:r w:rsidR="00AF5DDC">
        <w:t xml:space="preserve">, for example Agrippina, </w:t>
      </w:r>
      <w:r w:rsidR="00710797">
        <w:t xml:space="preserve">the emperor </w:t>
      </w:r>
      <w:r w:rsidR="00AF5DDC">
        <w:t xml:space="preserve">Nero’s mother, and </w:t>
      </w:r>
      <w:r w:rsidR="00710797">
        <w:t>the emperor Augustus’ mother, Atia.</w:t>
      </w:r>
      <w:r w:rsidR="00710797">
        <w:rPr>
          <w:rStyle w:val="FootnoteReference"/>
        </w:rPr>
        <w:footnoteReference w:id="24"/>
      </w:r>
      <w:r w:rsidR="00B60783">
        <w:t xml:space="preserve"> The fact that both these women </w:t>
      </w:r>
      <w:r w:rsidR="004F29FA">
        <w:t xml:space="preserve">had few </w:t>
      </w:r>
      <w:r w:rsidR="0009784B">
        <w:t>children and</w:t>
      </w:r>
      <w:r w:rsidR="004F29FA">
        <w:t xml:space="preserve"> quite a long life could have shown that the if a woman had fewer children then she would be healthier and therefore live longer. </w:t>
      </w:r>
      <w:r w:rsidR="008865F4">
        <w:t>Because</w:t>
      </w:r>
      <w:r w:rsidR="004F29FA">
        <w:t xml:space="preserve"> both these women also had multiple marriages, much like many other elite women during the Roman empire</w:t>
      </w:r>
      <w:r w:rsidR="008865F4">
        <w:t xml:space="preserve">, it is possible that contraceptives and abortifacients played a part in this. Of course, it is also just as possible that abstinence was the main factor which is the only method that is completely effective. </w:t>
      </w:r>
      <w:r w:rsidR="00982DA2">
        <w:t xml:space="preserve">There is also evidence that Roman physicians like Soranus did believe that </w:t>
      </w:r>
      <w:r w:rsidR="00AE2F6E">
        <w:t>contraceptive</w:t>
      </w:r>
      <w:r w:rsidR="002A490F">
        <w:t xml:space="preserve"> </w:t>
      </w:r>
      <w:r w:rsidR="00AE2F6E">
        <w:t xml:space="preserve">drugs could improve a woman’s health in ways other than that of fertility. </w:t>
      </w:r>
      <w:r w:rsidR="00E918B8">
        <w:t>F</w:t>
      </w:r>
      <w:r w:rsidR="00AE2F6E">
        <w:t xml:space="preserve">or example, it is said in his writings that </w:t>
      </w:r>
      <w:r w:rsidR="00F851F3" w:rsidRPr="00436758">
        <w:t>“these things not only prevent conception but destroy any already existing, in our opinion, moreover, the evil from these things is too great, since they damage and upset the stomach”</w:t>
      </w:r>
      <w:r w:rsidR="00436758">
        <w:rPr>
          <w:rStyle w:val="FootnoteReference"/>
        </w:rPr>
        <w:footnoteReference w:id="25"/>
      </w:r>
      <w:r w:rsidR="00E918B8">
        <w:t xml:space="preserve">. This gives the indication that </w:t>
      </w:r>
      <w:r w:rsidR="002A490F">
        <w:t xml:space="preserve">it was thought that contraceptives could prevent digestive issues as and possible treat </w:t>
      </w:r>
      <w:r w:rsidR="00523792">
        <w:t xml:space="preserve">illnesses that were there already. </w:t>
      </w:r>
      <w:r w:rsidR="00487B07">
        <w:t>Because the ingredients in some of the contraceptive such as honey are known to be a traditional way to prevent infection.</w:t>
      </w:r>
      <w:r w:rsidR="006D1F4B">
        <w:t xml:space="preserve"> This means that </w:t>
      </w:r>
      <w:r w:rsidR="00B86A1E">
        <w:t xml:space="preserve">drugs that could have been used as a contraceptive may have been </w:t>
      </w:r>
      <w:r w:rsidR="00FB5FDE">
        <w:t>prescribed</w:t>
      </w:r>
      <w:r w:rsidR="00B86A1E">
        <w:t xml:space="preserve"> for a different reason and </w:t>
      </w:r>
      <w:r w:rsidR="00FB5FDE">
        <w:t>the contraceptive element of the drug was merely a coincidence</w:t>
      </w:r>
      <w:r w:rsidR="00D956D3">
        <w:t xml:space="preserve"> of the treatment in some cases</w:t>
      </w:r>
      <w:r w:rsidR="00FB5FDE">
        <w:t>.</w:t>
      </w:r>
      <w:r w:rsidR="007F1BAE">
        <w:t xml:space="preserve"> </w:t>
      </w:r>
      <w:r w:rsidR="0054100C">
        <w:t>There is some evidence of this shown in Hippocrates writings from hundreds of years earlier as it is mentioned that vaginal suppositories were used to check a woman</w:t>
      </w:r>
      <w:r w:rsidR="00E97DF6">
        <w:t>’</w:t>
      </w:r>
      <w:r w:rsidR="0054100C">
        <w:t>s fertility</w:t>
      </w:r>
      <w:r w:rsidR="0054100C">
        <w:rPr>
          <w:rStyle w:val="FootnoteReference"/>
        </w:rPr>
        <w:footnoteReference w:id="26"/>
      </w:r>
      <w:r w:rsidR="00E97DF6">
        <w:t xml:space="preserve">. although this is linked to conception, it is noted that the link between a woman’s menstruation and her overall health is made in his account. This means that similar methods </w:t>
      </w:r>
      <w:r w:rsidR="00820FAF">
        <w:t xml:space="preserve">to ensure health </w:t>
      </w:r>
      <w:r w:rsidR="00E97DF6">
        <w:t>could have been used as far back as Hippocrates</w:t>
      </w:r>
      <w:r w:rsidR="00820FAF">
        <w:t xml:space="preserve">. </w:t>
      </w:r>
    </w:p>
    <w:p w14:paraId="31091F69" w14:textId="423C11BF" w:rsidR="00A3025C" w:rsidRDefault="00C1152E" w:rsidP="00A3025C">
      <w:r>
        <w:t>However, despite there being no formal laws against the use of cont</w:t>
      </w:r>
      <w:r w:rsidR="00854160">
        <w:t>r</w:t>
      </w:r>
      <w:r>
        <w:t>aceptives and abortifacients</w:t>
      </w:r>
      <w:r w:rsidR="00CC2773">
        <w:t xml:space="preserve">, there were laws concerning having children. There was the </w:t>
      </w:r>
      <w:r w:rsidR="00854160">
        <w:t>A</w:t>
      </w:r>
      <w:r w:rsidR="00CC2773">
        <w:t xml:space="preserve">ugustan legislation </w:t>
      </w:r>
      <w:r w:rsidR="00372555">
        <w:t xml:space="preserve">did state that widowed were required to be married and those who were </w:t>
      </w:r>
      <w:r w:rsidR="00854160">
        <w:t>childless,</w:t>
      </w:r>
      <w:r w:rsidR="00372555">
        <w:t xml:space="preserve"> and celibate would be punished. As well as this </w:t>
      </w:r>
      <w:r w:rsidR="00854160">
        <w:t>those who had children were rewarded.</w:t>
      </w:r>
      <w:r w:rsidR="00854160">
        <w:rPr>
          <w:rStyle w:val="FootnoteReference"/>
        </w:rPr>
        <w:footnoteReference w:id="27"/>
      </w:r>
      <w:r w:rsidR="00A3025C">
        <w:t xml:space="preserve"> This could mean that contraception and abortion were not necessarily accepted within the society. The writer Seneca the elder did write in one of his accounts that “fertility does not answer according to plan, follow a timetable” and that “nature does not adapt to fit human rules”</w:t>
      </w:r>
      <w:r w:rsidR="00A3025C">
        <w:rPr>
          <w:rStyle w:val="FootnoteReference"/>
        </w:rPr>
        <w:footnoteReference w:id="28"/>
      </w:r>
      <w:r w:rsidR="00A3025C">
        <w:t xml:space="preserve">. This could present the opinion that either </w:t>
      </w:r>
      <w:r w:rsidR="00A52A77">
        <w:t xml:space="preserve">the roman society should not try to control the natural process of reproduction </w:t>
      </w:r>
      <w:r w:rsidR="002624E2">
        <w:t>because it</w:t>
      </w:r>
      <w:r w:rsidR="00384484">
        <w:t xml:space="preserve"> is something that cannot be controlled regardless of what is done to prevent it, including contraceptive and abortive methods. It could also mean that it was his view that a person should not try to ‘play god’ by not allowing a woman to conceive because it is morally wrong. However, this is an unlikely opinion for a person with elite status to hold because exposure was readily used and was completely legal and holding the opinion of not wanting to end a life only to let the infant die after birth is counterproductive and hypocritical. The idea of ‘exposure’ in the modern mindset is very distressing and it is possible that it would take a toll on the parents, emotionally. The mother </w:t>
      </w:r>
      <w:r w:rsidR="00D532E6">
        <w:t>especially, because</w:t>
      </w:r>
      <w:r w:rsidR="00384484">
        <w:t xml:space="preserve"> it is probable that if the husband ordered for an infant to be exposed, she would have to do so whether she wanted to or not.</w:t>
      </w:r>
      <w:r w:rsidR="00384484">
        <w:rPr>
          <w:rStyle w:val="FootnoteReference"/>
        </w:rPr>
        <w:footnoteReference w:id="29"/>
      </w:r>
      <w:r w:rsidR="007A3687">
        <w:t xml:space="preserve"> This could mean that it would have been easier for the women to have the option of contraceptive and abortive drugs to prevent the emotional pain that they may have felt if their baby had to be exposed. However, it is impossible to know for sure whether the emotional connection between a parent and infant would be </w:t>
      </w:r>
      <w:r w:rsidR="006D2049">
        <w:t>like</w:t>
      </w:r>
      <w:r w:rsidR="007A3687">
        <w:t xml:space="preserve"> what it is today. While </w:t>
      </w:r>
      <w:r w:rsidR="007A3687">
        <w:lastRenderedPageBreak/>
        <w:t xml:space="preserve">the historical accounts do describe the method in a </w:t>
      </w:r>
      <w:r w:rsidR="006D2049">
        <w:t>neutral and unemotional</w:t>
      </w:r>
      <w:r w:rsidR="007A3687">
        <w:t xml:space="preserve"> </w:t>
      </w:r>
      <w:r w:rsidR="006D2049">
        <w:t xml:space="preserve">way, it does not mean that this method did not </w:t>
      </w:r>
      <w:r w:rsidR="00E14522">
        <w:t>cause emotional difficulties to</w:t>
      </w:r>
      <w:r w:rsidR="006D2049">
        <w:t xml:space="preserve"> the people carrying it out. </w:t>
      </w:r>
    </w:p>
    <w:p w14:paraId="4E5E4F8C" w14:textId="72BF8F0C" w:rsidR="00E14522" w:rsidRDefault="00E14522" w:rsidP="00A3025C">
      <w:r>
        <w:t xml:space="preserve">There is a theory among historians that the lack of children from elite marriage partnerships may not have happened by choice. </w:t>
      </w:r>
      <w:r w:rsidR="0003202D">
        <w:t>The idea is that it was racial decline within the Roman elite that caused less children being born</w:t>
      </w:r>
      <w:r w:rsidR="00582284">
        <w:rPr>
          <w:rStyle w:val="FootnoteReference"/>
        </w:rPr>
        <w:footnoteReference w:id="30"/>
      </w:r>
      <w:r w:rsidR="0003202D">
        <w:t>. This would have been because there were several instances of people with close blood-line being married, like cousins marrying and nieces marrying uncles. It is thought that the continued mixing of the bloodline would cause problems with fertility as well as illness. This theory is admittedly quite weak because most of the marriages were made for political and social gain which would mean that biological children may not have played a huge role in that decision, what with the popularity of adopting other elite individuals. Also</w:t>
      </w:r>
      <w:r w:rsidR="00582284">
        <w:t>,</w:t>
      </w:r>
      <w:r w:rsidR="0003202D">
        <w:t xml:space="preserve"> </w:t>
      </w:r>
      <w:r w:rsidR="003760F3">
        <w:t xml:space="preserve">it is estimated that the birth and death rates within the roman empire were quite steady, which shows almost no evidence of </w:t>
      </w:r>
      <w:r w:rsidR="00582284">
        <w:t>racial decline which would support such a theory.</w:t>
      </w:r>
      <w:r w:rsidR="00582284">
        <w:rPr>
          <w:rStyle w:val="FootnoteReference"/>
        </w:rPr>
        <w:footnoteReference w:id="31"/>
      </w:r>
      <w:r w:rsidR="00582284">
        <w:t xml:space="preserve"> </w:t>
      </w:r>
      <w:r w:rsidR="000934E9">
        <w:t xml:space="preserve">This means that </w:t>
      </w:r>
      <w:r w:rsidR="00167F63">
        <w:t>the small number of children in a marriage was likely to have been intentional, this could have been by abstinence and infidelity or by contraceptive and abortive methods and medicines. If contraceptives and abortifacients were used, it is likely that it was not very well recorded, either because people saw it as a private matter or it was not seen as important enough to write down</w:t>
      </w:r>
      <w:r w:rsidR="001F6BC1">
        <w:t>. It is also possible that if the method of preventing or terminating pregnancy was frowned upon, then no one would come forward with that information.</w:t>
      </w:r>
      <w:r w:rsidR="008564F7">
        <w:t xml:space="preserve"> In the case of the plebeian classes, there is very little evidence to suggest their using contraceptive drugs or abortifacients, this could be because they were not affordable to them, even though many of the ingredients were easily accessible</w:t>
      </w:r>
      <w:r w:rsidR="008564F7">
        <w:rPr>
          <w:rStyle w:val="FootnoteReference"/>
        </w:rPr>
        <w:footnoteReference w:id="32"/>
      </w:r>
      <w:r w:rsidR="008564F7">
        <w:t xml:space="preserve">. It is also probable that any usage would not have been recorded because there were </w:t>
      </w:r>
      <w:r w:rsidR="00C17B8B">
        <w:t>few</w:t>
      </w:r>
      <w:r w:rsidR="008564F7">
        <w:t xml:space="preserve"> lower</w:t>
      </w:r>
      <w:r w:rsidR="00C17B8B">
        <w:t>-</w:t>
      </w:r>
      <w:r w:rsidR="008564F7">
        <w:t xml:space="preserve"> class people who were literate and </w:t>
      </w:r>
      <w:r w:rsidR="006A181B">
        <w:t>members of the elite class would not likely write about them as they were not seen as important.</w:t>
      </w:r>
    </w:p>
    <w:p w14:paraId="39DFAD81" w14:textId="08C798EA" w:rsidR="0035594C" w:rsidRDefault="0035594C" w:rsidP="00A3025C">
      <w:r>
        <w:t xml:space="preserve">In conclusion, </w:t>
      </w:r>
      <w:r w:rsidR="00C50B58">
        <w:t>there are many factors that could have been involved in ‘family limitation’ in the Roman empire. Th</w:t>
      </w:r>
      <w:r w:rsidR="004B09AB">
        <w:t xml:space="preserve">is included the use of exposure and abstinence as well as contraceptive and abortifacient drugs and methods. It is shown in the historical evidence that </w:t>
      </w:r>
      <w:r w:rsidR="003D2532">
        <w:t>elite members of society were more likely to use such methods, as is shown by the small number of biological children despite the multiple marriages</w:t>
      </w:r>
      <w:r w:rsidR="00837A0F">
        <w:t>. However</w:t>
      </w:r>
      <w:r w:rsidR="00E93E16">
        <w:t>,</w:t>
      </w:r>
      <w:r w:rsidR="00837A0F">
        <w:t xml:space="preserve"> the lower classes may have also used </w:t>
      </w:r>
      <w:r w:rsidR="00E93E16">
        <w:t>them,</w:t>
      </w:r>
      <w:r w:rsidR="00837A0F">
        <w:t xml:space="preserve"> and it wasn’t recorded.</w:t>
      </w:r>
      <w:r w:rsidR="00E93E16">
        <w:t xml:space="preserve"> Also, the actual impact of the drugs and treatments are subject to</w:t>
      </w:r>
      <w:r w:rsidR="00C8437F">
        <w:t xml:space="preserve"> the popularity of the method at that time. for example, if some of the more ritualistic </w:t>
      </w:r>
      <w:r w:rsidR="00B66CEE">
        <w:t>then contraceptive methods may have decreased in po</w:t>
      </w:r>
      <w:r w:rsidR="00E25553">
        <w:t>p</w:t>
      </w:r>
      <w:r w:rsidR="00B66CEE">
        <w:t xml:space="preserve">ularity because </w:t>
      </w:r>
      <w:r w:rsidR="008734C3">
        <w:t xml:space="preserve">it did not seem to be working. But, some of the treatments are known to have elements that could work as a contraceptive or abortive and if they were used, they would not have caused adverse harm. It is shown in </w:t>
      </w:r>
      <w:r w:rsidR="00D532E6">
        <w:t>most of</w:t>
      </w:r>
      <w:r w:rsidR="008734C3">
        <w:t xml:space="preserve"> the ancient accounts that </w:t>
      </w:r>
      <w:r w:rsidR="0062272F">
        <w:t xml:space="preserve">contraceptives were preferred because they caused the least amount of harm and unlike abortifacients, were viewed as completely acceptable according to the Hippocratic oath. </w:t>
      </w:r>
      <w:r w:rsidR="00D532E6">
        <w:t>Overall, the impact of such drugs and treatments would have had a positive effect on a woman’s life if the right treatment was used at the right time, because it was deemed as important for pregnancies to be spread out because of the health risks that existed during the ancient times.</w:t>
      </w:r>
    </w:p>
    <w:p w14:paraId="1830123E" w14:textId="77777777" w:rsidR="00BC0A32" w:rsidRDefault="00BC0A32" w:rsidP="00A3025C"/>
    <w:p w14:paraId="039DCC6E" w14:textId="5FA2E12D" w:rsidR="00A40EA3" w:rsidRDefault="00A40EA3"/>
    <w:p w14:paraId="168F3700" w14:textId="5931B954" w:rsidR="00682697" w:rsidRDefault="00682697"/>
    <w:p w14:paraId="1BEC5FCA" w14:textId="77777777" w:rsidR="0099107E" w:rsidRDefault="0099107E" w:rsidP="00761798"/>
    <w:p w14:paraId="2A9FB985" w14:textId="578B73F5" w:rsidR="00761798" w:rsidRDefault="00761798" w:rsidP="00761798">
      <w:pPr>
        <w:rPr>
          <w:sz w:val="28"/>
          <w:szCs w:val="28"/>
          <w:u w:val="single"/>
        </w:rPr>
      </w:pPr>
      <w:r>
        <w:rPr>
          <w:sz w:val="28"/>
          <w:szCs w:val="28"/>
          <w:u w:val="single"/>
        </w:rPr>
        <w:lastRenderedPageBreak/>
        <w:t>Bibliography:</w:t>
      </w:r>
    </w:p>
    <w:p w14:paraId="4C9CFDE7" w14:textId="77777777" w:rsidR="00761798" w:rsidRDefault="00761798" w:rsidP="00761798">
      <w:pPr>
        <w:rPr>
          <w:sz w:val="24"/>
          <w:szCs w:val="24"/>
          <w:u w:val="single"/>
        </w:rPr>
      </w:pPr>
      <w:r>
        <w:rPr>
          <w:sz w:val="24"/>
          <w:szCs w:val="24"/>
          <w:u w:val="single"/>
        </w:rPr>
        <w:t>Primary sources:</w:t>
      </w:r>
    </w:p>
    <w:p w14:paraId="3DC577E9" w14:textId="1D2B3388" w:rsidR="00761798" w:rsidRDefault="00761798" w:rsidP="00761798">
      <w:pPr>
        <w:rPr>
          <w:szCs w:val="24"/>
        </w:rPr>
      </w:pPr>
      <w:r>
        <w:rPr>
          <w:szCs w:val="24"/>
        </w:rPr>
        <w:t xml:space="preserve">Pliny, the elder. Natural History, book XXVIII. W H S Jones (trans). 1938. Loeb Classical Library. Available at </w:t>
      </w:r>
      <w:hyperlink r:id="rId8" w:history="1">
        <w:r>
          <w:rPr>
            <w:rStyle w:val="Hyperlink"/>
            <w:szCs w:val="24"/>
          </w:rPr>
          <w:t>https://www-loebclassics-com.ezproxy.uwtsd.ac.uk/view/pliny_elder-natural_history</w:t>
        </w:r>
      </w:hyperlink>
      <w:r>
        <w:rPr>
          <w:szCs w:val="24"/>
        </w:rPr>
        <w:t>. [Accessed on: 12/2</w:t>
      </w:r>
      <w:r w:rsidR="00107CFE">
        <w:rPr>
          <w:szCs w:val="24"/>
        </w:rPr>
        <w:t>/</w:t>
      </w:r>
      <w:r>
        <w:rPr>
          <w:szCs w:val="24"/>
        </w:rPr>
        <w:t>2018].</w:t>
      </w:r>
    </w:p>
    <w:p w14:paraId="5B95FC2F" w14:textId="77777777" w:rsidR="00761798" w:rsidRDefault="00761798" w:rsidP="00761798">
      <w:r>
        <w:t xml:space="preserve">Seneca the Elder. Controversae. Michael Winterbottom (trans). 1974. Loeb Classical Library. Available at: </w:t>
      </w:r>
      <w:hyperlink r:id="rId9" w:history="1">
        <w:r>
          <w:rPr>
            <w:rStyle w:val="Hyperlink"/>
          </w:rPr>
          <w:t>https://www-loebclassics-com.ezproxy.uwtsd.ac.uk/view/seneca_elder-controversiae/1974</w:t>
        </w:r>
      </w:hyperlink>
      <w:r>
        <w:t>. [Accessed on: 11/2/2018].</w:t>
      </w:r>
    </w:p>
    <w:p w14:paraId="23F88F69" w14:textId="4A31AA89" w:rsidR="00761798" w:rsidRDefault="00761798" w:rsidP="00761798">
      <w:r>
        <w:t xml:space="preserve">Soranus of Ephesus. Soranus’ Gynaecology. Temkin, Owsei (trans). 1991. Available at: </w:t>
      </w:r>
      <w:hyperlink r:id="rId10" w:history="1">
        <w:r>
          <w:rPr>
            <w:rStyle w:val="Hyperlink"/>
          </w:rPr>
          <w:t>https://quod-lib-umich-edu.ezproxy.uwtsd.ac.uk/cgi/t/text/pageviewer</w:t>
        </w:r>
      </w:hyperlink>
      <w:r>
        <w:t>. [Accessed on: 11/2/2018].</w:t>
      </w:r>
    </w:p>
    <w:p w14:paraId="6E681FB6" w14:textId="5F4E412C" w:rsidR="00C50B58" w:rsidRDefault="00C50B58" w:rsidP="00761798">
      <w:r>
        <w:t>Hippocrates</w:t>
      </w:r>
      <w:r w:rsidR="004F7678">
        <w:t xml:space="preserve"> of Cos</w:t>
      </w:r>
      <w:r w:rsidR="00A71CAC">
        <w:t xml:space="preserve">. Barrenness.  </w:t>
      </w:r>
      <w:r w:rsidR="002B049C">
        <w:t xml:space="preserve">Unknown (trans). 2012. Available at: </w:t>
      </w:r>
      <w:hyperlink r:id="rId11" w:history="1">
        <w:r w:rsidR="00107CFE" w:rsidRPr="00BF59B5">
          <w:rPr>
            <w:rStyle w:val="Hyperlink"/>
          </w:rPr>
          <w:t>https://www-loebclassics-com.ezproxy.uwtsd.ac.uk/view/hippocrates_cosbarrenness/2012/pb_LCL520.331.xml?rskey=Bo83um&amp;result=1</w:t>
        </w:r>
      </w:hyperlink>
      <w:r w:rsidR="00107CFE">
        <w:t>. [Accessed on: 10/2/2018].</w:t>
      </w:r>
    </w:p>
    <w:p w14:paraId="21CA501A" w14:textId="77777777" w:rsidR="00761798" w:rsidRDefault="00761798" w:rsidP="00761798">
      <w:r>
        <w:rPr>
          <w:sz w:val="24"/>
          <w:szCs w:val="24"/>
          <w:u w:val="single"/>
        </w:rPr>
        <w:t>Modern scholarship:</w:t>
      </w:r>
    </w:p>
    <w:p w14:paraId="696FC2B2" w14:textId="77777777" w:rsidR="00761798" w:rsidRDefault="00761798" w:rsidP="00761798">
      <w:pPr>
        <w:rPr>
          <w:u w:val="single"/>
        </w:rPr>
      </w:pPr>
      <w:r>
        <w:rPr>
          <w:u w:val="single"/>
        </w:rPr>
        <w:t>Textbooks;</w:t>
      </w:r>
    </w:p>
    <w:p w14:paraId="7F8D0AEA" w14:textId="77777777" w:rsidR="00761798" w:rsidRDefault="00761798" w:rsidP="00761798">
      <w:r>
        <w:t xml:space="preserve">Riddle, J M. 1992. </w:t>
      </w:r>
      <w:r>
        <w:rPr>
          <w:i/>
        </w:rPr>
        <w:t xml:space="preserve">Contraception and Abortion from the Ancient World to the Renaissance. </w:t>
      </w:r>
      <w:r>
        <w:t>London, Cambridge, Massachusetts. Harvard University Press.</w:t>
      </w:r>
    </w:p>
    <w:p w14:paraId="60E8B48F" w14:textId="77777777" w:rsidR="00761798" w:rsidRDefault="00761798" w:rsidP="00761798">
      <w:r>
        <w:t xml:space="preserve">Riddle, J M. 1997. </w:t>
      </w:r>
      <w:r>
        <w:rPr>
          <w:i/>
        </w:rPr>
        <w:t>Eve’s Herbs; A History of Contraception and Abortion in the West.</w:t>
      </w:r>
      <w:r>
        <w:t xml:space="preserve"> London, Cambridge, Massachusetts. Harvard University Press.</w:t>
      </w:r>
    </w:p>
    <w:p w14:paraId="5A63AE09" w14:textId="01887544" w:rsidR="00761798" w:rsidRDefault="00761798" w:rsidP="00761798">
      <w:r>
        <w:t xml:space="preserve">McLaren, A. 1990. </w:t>
      </w:r>
      <w:r>
        <w:rPr>
          <w:i/>
        </w:rPr>
        <w:t>A History of Contraception; From Antiquity to the Present Day.</w:t>
      </w:r>
      <w:r>
        <w:t xml:space="preserve"> Oxford. Blackwell Publishing.</w:t>
      </w:r>
    </w:p>
    <w:p w14:paraId="6B07507F" w14:textId="2E3DACCF" w:rsidR="00447706" w:rsidRPr="00074864" w:rsidRDefault="00447706" w:rsidP="00761798">
      <w:r>
        <w:t xml:space="preserve">Veyne, P. 1987. </w:t>
      </w:r>
      <w:r>
        <w:rPr>
          <w:i/>
        </w:rPr>
        <w:t>The Roman empire</w:t>
      </w:r>
      <w:r w:rsidR="00074864">
        <w:t>, in P Aries and G Duby (ed.), A History of Private Life I. From Pagan Rome to Byzantium. London</w:t>
      </w:r>
      <w:r w:rsidR="003A6CDA">
        <w:t>: The Belknap press of Harvard University Press, 5-207</w:t>
      </w:r>
    </w:p>
    <w:p w14:paraId="3D18722D" w14:textId="77777777" w:rsidR="00761798" w:rsidRDefault="00761798" w:rsidP="00761798">
      <w:pPr>
        <w:rPr>
          <w:u w:val="single"/>
        </w:rPr>
      </w:pPr>
      <w:r>
        <w:rPr>
          <w:u w:val="single"/>
        </w:rPr>
        <w:t>E-Journals;</w:t>
      </w:r>
    </w:p>
    <w:p w14:paraId="6DE0F931" w14:textId="77777777" w:rsidR="00761798" w:rsidRDefault="00761798" w:rsidP="00761798">
      <w:r>
        <w:t xml:space="preserve">Frier, B W. 1994. Natural Fertility and Family Limitation in Roman Marriage. </w:t>
      </w:r>
      <w:r>
        <w:rPr>
          <w:i/>
        </w:rPr>
        <w:t xml:space="preserve">Classical Philology, Vol.89, No.4. </w:t>
      </w:r>
      <w:r>
        <w:t xml:space="preserve">The University of Chicago Press. Available at:  </w:t>
      </w:r>
      <w:hyperlink r:id="rId12" w:history="1">
        <w:r>
          <w:rPr>
            <w:rStyle w:val="Hyperlink"/>
          </w:rPr>
          <w:t>http://www.jstor.org/stable/270602</w:t>
        </w:r>
      </w:hyperlink>
      <w:r>
        <w:t>. [Accessed on: 14/2/2018].</w:t>
      </w:r>
    </w:p>
    <w:p w14:paraId="6AC4CCA0" w14:textId="77777777" w:rsidR="00761798" w:rsidRDefault="00761798" w:rsidP="00761798">
      <w:r>
        <w:t xml:space="preserve">Hopkins, K. 1965. Contraception in the Roman Empire. </w:t>
      </w:r>
      <w:r>
        <w:rPr>
          <w:i/>
        </w:rPr>
        <w:t xml:space="preserve">Comparisons Studies in Society and History, Vol.8, No.1. </w:t>
      </w:r>
      <w:r>
        <w:t xml:space="preserve">Cambridge University Press. Available at:  </w:t>
      </w:r>
      <w:hyperlink r:id="rId13" w:history="1">
        <w:r>
          <w:rPr>
            <w:rStyle w:val="Hyperlink"/>
          </w:rPr>
          <w:t>http://www.jstor.org/stable/177539</w:t>
        </w:r>
      </w:hyperlink>
      <w:r>
        <w:t>. [Accessed on: 13/2/2018].</w:t>
      </w:r>
    </w:p>
    <w:p w14:paraId="1AEB11D6" w14:textId="77777777" w:rsidR="00761798" w:rsidRDefault="00761798" w:rsidP="00761798">
      <w:r>
        <w:t xml:space="preserve">Riddle, J M. 1991. Oral contraceptives and Early-Term Abortifacients during Classical Antiquity and the Middle Ages. </w:t>
      </w:r>
      <w:r>
        <w:rPr>
          <w:i/>
        </w:rPr>
        <w:t>Past &amp; Present, No.132.</w:t>
      </w:r>
      <w:r>
        <w:t xml:space="preserve"> Oxford University Press on behalf of The Past and Present Society. Available at:  </w:t>
      </w:r>
      <w:hyperlink r:id="rId14" w:history="1">
        <w:r>
          <w:rPr>
            <w:rStyle w:val="Hyperlink"/>
          </w:rPr>
          <w:t>http://www.jstor.org/stable/650819</w:t>
        </w:r>
      </w:hyperlink>
      <w:r>
        <w:t>. [Accessed on: 13/2/2018].</w:t>
      </w:r>
    </w:p>
    <w:p w14:paraId="4717EE06" w14:textId="77777777" w:rsidR="00761798" w:rsidRDefault="00761798" w:rsidP="00761798">
      <w:r>
        <w:t xml:space="preserve">Tietze, C. 1965. History of Contraceptive Methods. </w:t>
      </w:r>
      <w:r>
        <w:rPr>
          <w:i/>
        </w:rPr>
        <w:t xml:space="preserve">The journal of Sex Research, Vol.1, No. 2. </w:t>
      </w:r>
      <w:r>
        <w:t xml:space="preserve">Taylor &amp; Francis Ltd. Available at:  </w:t>
      </w:r>
      <w:hyperlink r:id="rId15" w:history="1">
        <w:r>
          <w:rPr>
            <w:rStyle w:val="Hyperlink"/>
          </w:rPr>
          <w:t>http://www.jstor.org/stable/3811880</w:t>
        </w:r>
      </w:hyperlink>
      <w:r>
        <w:t xml:space="preserve">. [Accessed on: 14/2/2018]  </w:t>
      </w:r>
    </w:p>
    <w:p w14:paraId="7C132741" w14:textId="77777777" w:rsidR="00761798" w:rsidRDefault="00761798" w:rsidP="00761798">
      <w:r>
        <w:t xml:space="preserve">Engels, D. 1984. The Use of Historical Demography in Ancient History. </w:t>
      </w:r>
      <w:r>
        <w:rPr>
          <w:i/>
        </w:rPr>
        <w:t xml:space="preserve">The Classical Quarterly, Vol.34, No.2. </w:t>
      </w:r>
      <w:r>
        <w:t xml:space="preserve">Cambridge University on Behalf of The Classical Association. Available at: </w:t>
      </w:r>
      <w:hyperlink r:id="rId16" w:history="1">
        <w:r>
          <w:rPr>
            <w:rStyle w:val="Hyperlink"/>
          </w:rPr>
          <w:t>http://www.jstor.org/stable/638296</w:t>
        </w:r>
      </w:hyperlink>
      <w:r>
        <w:t>. [Accessed on: 14/2/2018].</w:t>
      </w:r>
    </w:p>
    <w:p w14:paraId="05D5E8F8" w14:textId="77777777" w:rsidR="00761798" w:rsidRDefault="00761798" w:rsidP="00761798"/>
    <w:p w14:paraId="7A572B69" w14:textId="76BAFEC8" w:rsidR="00761798" w:rsidRDefault="00761798" w:rsidP="00761798">
      <w:r>
        <w:t>Website</w:t>
      </w:r>
      <w:r w:rsidR="000729F5">
        <w:t>s</w:t>
      </w:r>
      <w:bookmarkStart w:id="2" w:name="_GoBack"/>
      <w:bookmarkEnd w:id="2"/>
      <w:r w:rsidR="00C50B58">
        <w:t>:</w:t>
      </w:r>
    </w:p>
    <w:p w14:paraId="5579720C" w14:textId="384925E5" w:rsidR="00C50B58" w:rsidRDefault="00C50B58" w:rsidP="00761798">
      <w:r>
        <w:t>Stegmann, H. Atia</w:t>
      </w:r>
      <w:r w:rsidR="00F8332F" w:rsidRPr="00F8332F">
        <w:t xml:space="preserve"> </w:t>
      </w:r>
      <w:r w:rsidR="00F8332F">
        <w:t xml:space="preserve">2006. Brill </w:t>
      </w:r>
      <w:r w:rsidR="00963B29">
        <w:t>N</w:t>
      </w:r>
      <w:r w:rsidR="00F8332F">
        <w:t xml:space="preserve">ew </w:t>
      </w:r>
      <w:r w:rsidR="00963B29">
        <w:t>P</w:t>
      </w:r>
      <w:r w:rsidR="00F8332F">
        <w:t>auly</w:t>
      </w:r>
      <w:r w:rsidR="00963B29">
        <w:t xml:space="preserve">. </w:t>
      </w:r>
      <w:hyperlink r:id="rId17" w:anchor="e206240" w:history="1">
        <w:r w:rsidR="00963B29" w:rsidRPr="00BF59B5">
          <w:rPr>
            <w:rStyle w:val="Hyperlink"/>
          </w:rPr>
          <w:t>http://referenceworks.brillonline.com.ezproxy.uwtsd.ac.uk/entries/brill-s-new-pauly/atia-e206230#e206240</w:t>
        </w:r>
      </w:hyperlink>
      <w:r w:rsidR="00963B29">
        <w:t xml:space="preserve">                                                                                                                            </w:t>
      </w:r>
      <w:r w:rsidR="00CF41F2">
        <w:t xml:space="preserve">  [</w:t>
      </w:r>
      <w:r w:rsidR="00963B29">
        <w:t>Accessed: 25</w:t>
      </w:r>
      <w:r w:rsidR="00963B29" w:rsidRPr="00963B29">
        <w:rPr>
          <w:vertAlign w:val="superscript"/>
        </w:rPr>
        <w:t>th</w:t>
      </w:r>
      <w:r w:rsidR="00963B29">
        <w:t xml:space="preserve"> March 2018]</w:t>
      </w:r>
    </w:p>
    <w:p w14:paraId="15982531" w14:textId="281ED8D8" w:rsidR="00C50B58" w:rsidRDefault="00C50B58" w:rsidP="00761798">
      <w:r>
        <w:t>King, H. Contraception</w:t>
      </w:r>
      <w:r w:rsidR="00F8332F">
        <w:t xml:space="preserve"> 2006. Brill </w:t>
      </w:r>
      <w:r w:rsidR="00963B29">
        <w:t>N</w:t>
      </w:r>
      <w:r w:rsidR="00F8332F">
        <w:t>ew Pauly</w:t>
      </w:r>
      <w:r w:rsidR="00963B29">
        <w:t xml:space="preserve">. </w:t>
      </w:r>
      <w:hyperlink r:id="rId18" w:history="1">
        <w:r w:rsidR="00963B29" w:rsidRPr="00BF59B5">
          <w:rPr>
            <w:rStyle w:val="Hyperlink"/>
          </w:rPr>
          <w:t>http://referenceworks.brillonline.com.ezproxy.uwtsd.ac.uk/entries/brill-s-new-pauly/contraception-e619800?s.num=11&amp;s.f.s2_parent=s.f.book.brill-s-new-pauly&amp;s.q=olive+oil+as+a+contraceptive</w:t>
        </w:r>
      </w:hyperlink>
      <w:r w:rsidR="00963B29">
        <w:t xml:space="preserve"> [Accessed: 25</w:t>
      </w:r>
      <w:r w:rsidR="00963B29" w:rsidRPr="00963B29">
        <w:rPr>
          <w:vertAlign w:val="superscript"/>
        </w:rPr>
        <w:t>th</w:t>
      </w:r>
      <w:r w:rsidR="00963B29">
        <w:t xml:space="preserve"> March 2018]</w:t>
      </w:r>
    </w:p>
    <w:p w14:paraId="17A45270" w14:textId="7E271AA6" w:rsidR="00C50B58" w:rsidRDefault="00C50B58" w:rsidP="00761798">
      <w:r>
        <w:t>Werner, E. Agrippina</w:t>
      </w:r>
      <w:r w:rsidR="00F8332F">
        <w:t xml:space="preserve"> 2006. Brill </w:t>
      </w:r>
      <w:r w:rsidR="00963B29">
        <w:t>N</w:t>
      </w:r>
      <w:r w:rsidR="00F8332F">
        <w:t>ew Pauly</w:t>
      </w:r>
      <w:r w:rsidR="0015730A">
        <w:t xml:space="preserve">. </w:t>
      </w:r>
      <w:hyperlink r:id="rId19" w:anchor="e108930" w:history="1">
        <w:r w:rsidR="0015730A" w:rsidRPr="00BF59B5">
          <w:rPr>
            <w:rStyle w:val="Hyperlink"/>
          </w:rPr>
          <w:t>http://referenceworks.brillonline.com.ezproxy.uwtsd.ac.uk/entries/brill-s-new-pauly/agrippina-e108900?s.num=0&amp;s.f.s2_parent=s.f.book.brill-s-new-pauly&amp;s.q=Agrippina#e108930</w:t>
        </w:r>
      </w:hyperlink>
      <w:r w:rsidR="00963B29">
        <w:t xml:space="preserve">            </w:t>
      </w:r>
      <w:r w:rsidR="0015730A">
        <w:t xml:space="preserve"> [Accessed: 25</w:t>
      </w:r>
      <w:r w:rsidR="0015730A" w:rsidRPr="0015730A">
        <w:rPr>
          <w:vertAlign w:val="superscript"/>
        </w:rPr>
        <w:t>th</w:t>
      </w:r>
      <w:r w:rsidR="0015730A">
        <w:t xml:space="preserve"> March 2018</w:t>
      </w:r>
      <w:r w:rsidR="00CD5EF2">
        <w:t>]</w:t>
      </w:r>
    </w:p>
    <w:p w14:paraId="7D29599F" w14:textId="0C68D8F5" w:rsidR="00761798" w:rsidRDefault="00C50B58" w:rsidP="00761798">
      <w:r>
        <w:t xml:space="preserve">Connor, L. Contraceptive pill </w:t>
      </w:r>
      <w:r w:rsidR="007A7D19">
        <w:t>made from olives can prevent pregnancy, scientists say</w:t>
      </w:r>
      <w:r w:rsidR="00963B29">
        <w:t xml:space="preserve"> 2017. Evening Standard. </w:t>
      </w:r>
      <w:hyperlink r:id="rId20" w:history="1">
        <w:r w:rsidR="00963B29" w:rsidRPr="00BF59B5">
          <w:rPr>
            <w:rStyle w:val="Hyperlink"/>
          </w:rPr>
          <w:t>https://www.standard.co.uk/lifestyle/health/contraceptive-pill-made-from-olives-can-prevent-pregnancy-scientists-claim-a3540656.htm</w:t>
        </w:r>
      </w:hyperlink>
      <w:r w:rsidR="00963B29">
        <w:t xml:space="preserve">                                                                         [Accessed: 30th March 2018]</w:t>
      </w:r>
    </w:p>
    <w:p w14:paraId="366019FB" w14:textId="77777777" w:rsidR="00761798" w:rsidRDefault="00761798" w:rsidP="00761798"/>
    <w:p w14:paraId="1FD17758" w14:textId="77777777" w:rsidR="00761798" w:rsidRDefault="00761798" w:rsidP="00761798"/>
    <w:p w14:paraId="41DC378C" w14:textId="77777777" w:rsidR="00761798" w:rsidRDefault="00761798" w:rsidP="00761798">
      <w:pPr>
        <w:rPr>
          <w:u w:val="single"/>
        </w:rPr>
      </w:pPr>
    </w:p>
    <w:p w14:paraId="384BC1C3" w14:textId="77777777" w:rsidR="00761798" w:rsidRDefault="00761798" w:rsidP="00761798"/>
    <w:p w14:paraId="4D552FC1" w14:textId="77777777" w:rsidR="00761798" w:rsidRDefault="00761798" w:rsidP="00761798"/>
    <w:p w14:paraId="24C1F866" w14:textId="77777777" w:rsidR="00761798" w:rsidRDefault="00761798"/>
    <w:sectPr w:rsidR="007617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170A1" w14:textId="77777777" w:rsidR="00720084" w:rsidRDefault="00720084" w:rsidP="00042BE5">
      <w:pPr>
        <w:spacing w:after="0" w:line="240" w:lineRule="auto"/>
      </w:pPr>
      <w:r>
        <w:separator/>
      </w:r>
    </w:p>
  </w:endnote>
  <w:endnote w:type="continuationSeparator" w:id="0">
    <w:p w14:paraId="771DF98F" w14:textId="77777777" w:rsidR="00720084" w:rsidRDefault="00720084" w:rsidP="00042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37A94" w14:textId="77777777" w:rsidR="00720084" w:rsidRDefault="00720084" w:rsidP="00042BE5">
      <w:pPr>
        <w:spacing w:after="0" w:line="240" w:lineRule="auto"/>
      </w:pPr>
      <w:r>
        <w:separator/>
      </w:r>
    </w:p>
  </w:footnote>
  <w:footnote w:type="continuationSeparator" w:id="0">
    <w:p w14:paraId="62B5FE78" w14:textId="77777777" w:rsidR="00720084" w:rsidRDefault="00720084" w:rsidP="00042BE5">
      <w:pPr>
        <w:spacing w:after="0" w:line="240" w:lineRule="auto"/>
      </w:pPr>
      <w:r>
        <w:continuationSeparator/>
      </w:r>
    </w:p>
  </w:footnote>
  <w:footnote w:id="1">
    <w:p w14:paraId="654578B8" w14:textId="3BEAE205" w:rsidR="002624E2" w:rsidRDefault="002624E2">
      <w:pPr>
        <w:pStyle w:val="FootnoteText"/>
      </w:pPr>
      <w:r>
        <w:rPr>
          <w:rStyle w:val="FootnoteReference"/>
        </w:rPr>
        <w:footnoteRef/>
      </w:r>
      <w:r>
        <w:t xml:space="preserve"> Soranus Gyn</w:t>
      </w:r>
    </w:p>
  </w:footnote>
  <w:footnote w:id="2">
    <w:p w14:paraId="5DAB627B" w14:textId="6C052B1E" w:rsidR="002624E2" w:rsidRDefault="002624E2">
      <w:pPr>
        <w:pStyle w:val="FootnoteText"/>
      </w:pPr>
      <w:r>
        <w:rPr>
          <w:rStyle w:val="FootnoteReference"/>
        </w:rPr>
        <w:footnoteRef/>
      </w:r>
      <w:r>
        <w:t xml:space="preserve"> Hopkins 1965</w:t>
      </w:r>
    </w:p>
  </w:footnote>
  <w:footnote w:id="3">
    <w:p w14:paraId="3C775D26" w14:textId="28D1ABB3" w:rsidR="002624E2" w:rsidRDefault="002624E2">
      <w:pPr>
        <w:pStyle w:val="FootnoteText"/>
      </w:pPr>
      <w:r>
        <w:rPr>
          <w:rStyle w:val="FootnoteReference"/>
        </w:rPr>
        <w:footnoteRef/>
      </w:r>
      <w:r>
        <w:t xml:space="preserve"> Engels 1984</w:t>
      </w:r>
    </w:p>
  </w:footnote>
  <w:footnote w:id="4">
    <w:p w14:paraId="4A2C08EF" w14:textId="67076C48" w:rsidR="002624E2" w:rsidRDefault="002624E2">
      <w:pPr>
        <w:pStyle w:val="FootnoteText"/>
      </w:pPr>
      <w:r>
        <w:rPr>
          <w:rStyle w:val="FootnoteReference"/>
        </w:rPr>
        <w:footnoteRef/>
      </w:r>
      <w:r>
        <w:t xml:space="preserve"> </w:t>
      </w:r>
      <w:r w:rsidR="007A3687">
        <w:t>Veyne 1987</w:t>
      </w:r>
    </w:p>
  </w:footnote>
  <w:footnote w:id="5">
    <w:p w14:paraId="6AA9BBC0" w14:textId="1BA692A4" w:rsidR="002624E2" w:rsidRDefault="002624E2">
      <w:pPr>
        <w:pStyle w:val="FootnoteText"/>
      </w:pPr>
      <w:r>
        <w:rPr>
          <w:rStyle w:val="FootnoteReference"/>
        </w:rPr>
        <w:footnoteRef/>
      </w:r>
      <w:r>
        <w:t xml:space="preserve"> Mc</w:t>
      </w:r>
      <w:r w:rsidR="000F3BB4">
        <w:t>L</w:t>
      </w:r>
      <w:r>
        <w:t>aren 1990</w:t>
      </w:r>
    </w:p>
  </w:footnote>
  <w:footnote w:id="6">
    <w:p w14:paraId="6C130FCE" w14:textId="18ACB07B" w:rsidR="002624E2" w:rsidRDefault="002624E2">
      <w:pPr>
        <w:pStyle w:val="FootnoteText"/>
      </w:pPr>
      <w:r>
        <w:rPr>
          <w:rStyle w:val="FootnoteReference"/>
        </w:rPr>
        <w:footnoteRef/>
      </w:r>
      <w:r>
        <w:t xml:space="preserve">  Hopkins 1965</w:t>
      </w:r>
    </w:p>
  </w:footnote>
  <w:footnote w:id="7">
    <w:p w14:paraId="3F0CCF6D" w14:textId="36E4DF91" w:rsidR="002624E2" w:rsidRDefault="002624E2">
      <w:pPr>
        <w:pStyle w:val="FootnoteText"/>
      </w:pPr>
      <w:r>
        <w:rPr>
          <w:rStyle w:val="FootnoteReference"/>
        </w:rPr>
        <w:footnoteRef/>
      </w:r>
      <w:r>
        <w:t xml:space="preserve"> Sor</w:t>
      </w:r>
      <w:r w:rsidR="0099107E">
        <w:t>,</w:t>
      </w:r>
      <w:r>
        <w:t xml:space="preserve"> Gyn</w:t>
      </w:r>
    </w:p>
  </w:footnote>
  <w:footnote w:id="8">
    <w:p w14:paraId="37F2A804" w14:textId="22F947EC" w:rsidR="002624E2" w:rsidRDefault="002624E2" w:rsidP="000B0406">
      <w:pPr>
        <w:pStyle w:val="FootnoteText"/>
      </w:pPr>
      <w:r>
        <w:rPr>
          <w:rStyle w:val="FootnoteReference"/>
        </w:rPr>
        <w:footnoteRef/>
      </w:r>
      <w:r>
        <w:t xml:space="preserve">  King</w:t>
      </w:r>
      <w:r w:rsidR="0017761B">
        <w:t xml:space="preserve"> 2006</w:t>
      </w:r>
    </w:p>
  </w:footnote>
  <w:footnote w:id="9">
    <w:p w14:paraId="71355562" w14:textId="10387E3D" w:rsidR="002624E2" w:rsidRDefault="002624E2">
      <w:pPr>
        <w:pStyle w:val="FootnoteText"/>
      </w:pPr>
      <w:r>
        <w:rPr>
          <w:rStyle w:val="FootnoteReference"/>
        </w:rPr>
        <w:footnoteRef/>
      </w:r>
      <w:r>
        <w:t xml:space="preserve"> </w:t>
      </w:r>
      <w:r w:rsidR="000358E8">
        <w:t>Friar 1994 and Connor 2017</w:t>
      </w:r>
    </w:p>
  </w:footnote>
  <w:footnote w:id="10">
    <w:p w14:paraId="5453D80B" w14:textId="7B2CD30C" w:rsidR="000358E8" w:rsidRDefault="000358E8">
      <w:pPr>
        <w:pStyle w:val="FootnoteText"/>
      </w:pPr>
      <w:r>
        <w:rPr>
          <w:rStyle w:val="FootnoteReference"/>
        </w:rPr>
        <w:footnoteRef/>
      </w:r>
      <w:r>
        <w:t xml:space="preserve"> Friar 1994</w:t>
      </w:r>
    </w:p>
  </w:footnote>
  <w:footnote w:id="11">
    <w:p w14:paraId="546D6943" w14:textId="5CA58AA6" w:rsidR="002624E2" w:rsidRDefault="002624E2">
      <w:pPr>
        <w:pStyle w:val="FootnoteText"/>
      </w:pPr>
      <w:r>
        <w:rPr>
          <w:rStyle w:val="FootnoteReference"/>
        </w:rPr>
        <w:footnoteRef/>
      </w:r>
      <w:r>
        <w:t xml:space="preserve"> Sor, Gyn</w:t>
      </w:r>
      <w:r w:rsidR="0099107E">
        <w:t xml:space="preserve">: </w:t>
      </w:r>
      <w:r>
        <w:t>64</w:t>
      </w:r>
    </w:p>
  </w:footnote>
  <w:footnote w:id="12">
    <w:p w14:paraId="733BE7AD" w14:textId="7B5E8553" w:rsidR="002624E2" w:rsidRDefault="002624E2">
      <w:pPr>
        <w:pStyle w:val="FootnoteText"/>
      </w:pPr>
      <w:r>
        <w:rPr>
          <w:rStyle w:val="FootnoteReference"/>
        </w:rPr>
        <w:footnoteRef/>
      </w:r>
      <w:r>
        <w:t xml:space="preserve"> </w:t>
      </w:r>
      <w:proofErr w:type="spellStart"/>
      <w:proofErr w:type="gramStart"/>
      <w:r>
        <w:t>Plin</w:t>
      </w:r>
      <w:proofErr w:type="spellEnd"/>
      <w:r>
        <w:t xml:space="preserve"> ,</w:t>
      </w:r>
      <w:proofErr w:type="gramEnd"/>
      <w:r>
        <w:t xml:space="preserve"> Nat </w:t>
      </w:r>
      <w:proofErr w:type="spellStart"/>
      <w:r>
        <w:t>hist</w:t>
      </w:r>
      <w:proofErr w:type="spellEnd"/>
    </w:p>
  </w:footnote>
  <w:footnote w:id="13">
    <w:p w14:paraId="12307E3C" w14:textId="7A25EBBF" w:rsidR="002624E2" w:rsidRDefault="002624E2">
      <w:pPr>
        <w:pStyle w:val="FootnoteText"/>
      </w:pPr>
      <w:r>
        <w:rPr>
          <w:rStyle w:val="FootnoteReference"/>
        </w:rPr>
        <w:footnoteRef/>
      </w:r>
      <w:r>
        <w:t xml:space="preserve"> Hopkins 1965</w:t>
      </w:r>
    </w:p>
  </w:footnote>
  <w:footnote w:id="14">
    <w:p w14:paraId="7917F44D" w14:textId="45B1CDE9" w:rsidR="002624E2" w:rsidRDefault="002624E2">
      <w:pPr>
        <w:pStyle w:val="FootnoteText"/>
      </w:pPr>
      <w:r>
        <w:rPr>
          <w:rStyle w:val="FootnoteReference"/>
        </w:rPr>
        <w:footnoteRef/>
      </w:r>
      <w:r>
        <w:t xml:space="preserve"> Sor</w:t>
      </w:r>
      <w:r w:rsidR="0099107E">
        <w:t>, Gyn</w:t>
      </w:r>
    </w:p>
  </w:footnote>
  <w:footnote w:id="15">
    <w:p w14:paraId="0E0858BE" w14:textId="1577B6F9" w:rsidR="002624E2" w:rsidRDefault="002624E2">
      <w:pPr>
        <w:pStyle w:val="FootnoteText"/>
      </w:pPr>
      <w:r>
        <w:rPr>
          <w:rStyle w:val="FootnoteReference"/>
        </w:rPr>
        <w:footnoteRef/>
      </w:r>
      <w:r>
        <w:t xml:space="preserve"> Sor</w:t>
      </w:r>
      <w:r w:rsidR="0099107E">
        <w:t>, Gyn</w:t>
      </w:r>
    </w:p>
  </w:footnote>
  <w:footnote w:id="16">
    <w:p w14:paraId="6FD92D7C" w14:textId="4B40F54F" w:rsidR="002624E2" w:rsidRDefault="002624E2">
      <w:pPr>
        <w:pStyle w:val="FootnoteText"/>
      </w:pPr>
      <w:r>
        <w:rPr>
          <w:rStyle w:val="FootnoteReference"/>
        </w:rPr>
        <w:footnoteRef/>
      </w:r>
      <w:r>
        <w:t xml:space="preserve"> Riddle</w:t>
      </w:r>
      <w:r w:rsidR="00A71CAC">
        <w:t xml:space="preserve"> 1991,</w:t>
      </w:r>
      <w:r>
        <w:t xml:space="preserve"> 1992 and 1997</w:t>
      </w:r>
    </w:p>
  </w:footnote>
  <w:footnote w:id="17">
    <w:p w14:paraId="1A3D38C1" w14:textId="6EDC71C3" w:rsidR="002624E2" w:rsidRDefault="002624E2">
      <w:pPr>
        <w:pStyle w:val="FootnoteText"/>
      </w:pPr>
      <w:r>
        <w:rPr>
          <w:rStyle w:val="FootnoteReference"/>
        </w:rPr>
        <w:footnoteRef/>
      </w:r>
      <w:r>
        <w:t xml:space="preserve"> Sor</w:t>
      </w:r>
      <w:r w:rsidR="0099107E">
        <w:t>,</w:t>
      </w:r>
      <w:r>
        <w:t xml:space="preserve"> gyn</w:t>
      </w:r>
      <w:r w:rsidR="0099107E">
        <w:t>:</w:t>
      </w:r>
      <w:r>
        <w:t>68</w:t>
      </w:r>
    </w:p>
  </w:footnote>
  <w:footnote w:id="18">
    <w:p w14:paraId="1D454E6B" w14:textId="4EE785C2" w:rsidR="002624E2" w:rsidRDefault="002624E2">
      <w:pPr>
        <w:pStyle w:val="FootnoteText"/>
      </w:pPr>
      <w:r>
        <w:rPr>
          <w:rStyle w:val="FootnoteReference"/>
        </w:rPr>
        <w:footnoteRef/>
      </w:r>
      <w:r>
        <w:t xml:space="preserve"> </w:t>
      </w:r>
      <w:proofErr w:type="spellStart"/>
      <w:r>
        <w:t>Plin</w:t>
      </w:r>
      <w:proofErr w:type="spellEnd"/>
      <w:r w:rsidR="0099107E">
        <w:t>. Nat Hist.</w:t>
      </w:r>
      <w:r>
        <w:t xml:space="preserve"> </w:t>
      </w:r>
    </w:p>
  </w:footnote>
  <w:footnote w:id="19">
    <w:p w14:paraId="579A0E5C" w14:textId="35C093AE" w:rsidR="002624E2" w:rsidRDefault="002624E2">
      <w:pPr>
        <w:pStyle w:val="FootnoteText"/>
      </w:pPr>
      <w:r>
        <w:rPr>
          <w:rStyle w:val="FootnoteReference"/>
        </w:rPr>
        <w:footnoteRef/>
      </w:r>
      <w:r>
        <w:t xml:space="preserve"> Riddle 1997</w:t>
      </w:r>
    </w:p>
  </w:footnote>
  <w:footnote w:id="20">
    <w:p w14:paraId="132A5BF7" w14:textId="5CA81962" w:rsidR="002624E2" w:rsidRDefault="002624E2">
      <w:pPr>
        <w:pStyle w:val="FootnoteText"/>
      </w:pPr>
      <w:r>
        <w:rPr>
          <w:rStyle w:val="FootnoteReference"/>
        </w:rPr>
        <w:footnoteRef/>
      </w:r>
      <w:r>
        <w:t xml:space="preserve"> Hopkins 1965</w:t>
      </w:r>
    </w:p>
  </w:footnote>
  <w:footnote w:id="21">
    <w:p w14:paraId="48DC94DF" w14:textId="14D31122" w:rsidR="002624E2" w:rsidRDefault="002624E2">
      <w:pPr>
        <w:pStyle w:val="FootnoteText"/>
      </w:pPr>
      <w:r>
        <w:rPr>
          <w:rStyle w:val="FootnoteReference"/>
        </w:rPr>
        <w:footnoteRef/>
      </w:r>
      <w:r>
        <w:t xml:space="preserve"> Riddle 1997</w:t>
      </w:r>
    </w:p>
  </w:footnote>
  <w:footnote w:id="22">
    <w:p w14:paraId="4E4630EA" w14:textId="5D4DB071" w:rsidR="002624E2" w:rsidRDefault="002624E2">
      <w:pPr>
        <w:pStyle w:val="FootnoteText"/>
      </w:pPr>
      <w:r>
        <w:rPr>
          <w:rStyle w:val="FootnoteReference"/>
        </w:rPr>
        <w:footnoteRef/>
      </w:r>
      <w:r>
        <w:t xml:space="preserve"> Sor</w:t>
      </w:r>
      <w:r w:rsidR="0099107E">
        <w:t>.</w:t>
      </w:r>
      <w:r>
        <w:t xml:space="preserve"> Gyn</w:t>
      </w:r>
      <w:r w:rsidR="0099107E">
        <w:t>:</w:t>
      </w:r>
      <w:r>
        <w:t>63</w:t>
      </w:r>
    </w:p>
  </w:footnote>
  <w:footnote w:id="23">
    <w:p w14:paraId="337FEF18" w14:textId="5D0C43B9" w:rsidR="002624E2" w:rsidRDefault="002624E2">
      <w:pPr>
        <w:pStyle w:val="FootnoteText"/>
      </w:pPr>
      <w:r>
        <w:rPr>
          <w:rStyle w:val="FootnoteReference"/>
        </w:rPr>
        <w:footnoteRef/>
      </w:r>
      <w:r>
        <w:t>Mc</w:t>
      </w:r>
      <w:r w:rsidR="000F3BB4">
        <w:t>L</w:t>
      </w:r>
      <w:r>
        <w:t>aren 1990</w:t>
      </w:r>
    </w:p>
  </w:footnote>
  <w:footnote w:id="24">
    <w:p w14:paraId="07709216" w14:textId="0C83C1A4" w:rsidR="002624E2" w:rsidRDefault="002624E2">
      <w:pPr>
        <w:pStyle w:val="FootnoteText"/>
      </w:pPr>
      <w:r>
        <w:rPr>
          <w:rStyle w:val="FootnoteReference"/>
        </w:rPr>
        <w:footnoteRef/>
      </w:r>
      <w:r>
        <w:t xml:space="preserve"> Stegmann</w:t>
      </w:r>
      <w:r w:rsidR="0017761B">
        <w:t xml:space="preserve"> 2006 and Werner 2006</w:t>
      </w:r>
    </w:p>
  </w:footnote>
  <w:footnote w:id="25">
    <w:p w14:paraId="07FCA1C7" w14:textId="66CCBD6A" w:rsidR="002624E2" w:rsidRDefault="002624E2">
      <w:pPr>
        <w:pStyle w:val="FootnoteText"/>
      </w:pPr>
      <w:r>
        <w:rPr>
          <w:rStyle w:val="FootnoteReference"/>
        </w:rPr>
        <w:footnoteRef/>
      </w:r>
      <w:r>
        <w:t xml:space="preserve"> Sor, Gyn and Riddle 1997</w:t>
      </w:r>
    </w:p>
  </w:footnote>
  <w:footnote w:id="26">
    <w:p w14:paraId="207EE35B" w14:textId="66F9EF52" w:rsidR="0054100C" w:rsidRDefault="0054100C">
      <w:pPr>
        <w:pStyle w:val="FootnoteText"/>
      </w:pPr>
      <w:r>
        <w:rPr>
          <w:rStyle w:val="FootnoteReference"/>
        </w:rPr>
        <w:footnoteRef/>
      </w:r>
      <w:r>
        <w:t xml:space="preserve"> </w:t>
      </w:r>
      <w:proofErr w:type="spellStart"/>
      <w:r>
        <w:t>Hipp</w:t>
      </w:r>
      <w:proofErr w:type="spellEnd"/>
      <w:r>
        <w:t>, Barren</w:t>
      </w:r>
      <w:r w:rsidR="0085426A">
        <w:t>n</w:t>
      </w:r>
      <w:r>
        <w:t xml:space="preserve">ess </w:t>
      </w:r>
    </w:p>
  </w:footnote>
  <w:footnote w:id="27">
    <w:p w14:paraId="2C447229" w14:textId="1F572502" w:rsidR="002624E2" w:rsidRDefault="002624E2">
      <w:pPr>
        <w:pStyle w:val="FootnoteText"/>
      </w:pPr>
      <w:r>
        <w:rPr>
          <w:rStyle w:val="FootnoteReference"/>
        </w:rPr>
        <w:footnoteRef/>
      </w:r>
      <w:r>
        <w:t xml:space="preserve"> Mc</w:t>
      </w:r>
      <w:r w:rsidR="000F3BB4">
        <w:t>L</w:t>
      </w:r>
      <w:r>
        <w:t>aren 1990</w:t>
      </w:r>
    </w:p>
  </w:footnote>
  <w:footnote w:id="28">
    <w:p w14:paraId="3E1E9B07" w14:textId="29FA8E4A" w:rsidR="002624E2" w:rsidRDefault="002624E2">
      <w:pPr>
        <w:pStyle w:val="FootnoteText"/>
      </w:pPr>
      <w:r>
        <w:rPr>
          <w:rStyle w:val="FootnoteReference"/>
        </w:rPr>
        <w:footnoteRef/>
      </w:r>
      <w:r>
        <w:t xml:space="preserve"> Sen</w:t>
      </w:r>
      <w:r w:rsidR="0099107E">
        <w:t>eca the elde</w:t>
      </w:r>
      <w:r>
        <w:t>r</w:t>
      </w:r>
      <w:r w:rsidR="0099107E">
        <w:t>:</w:t>
      </w:r>
      <w:r>
        <w:t>325</w:t>
      </w:r>
    </w:p>
  </w:footnote>
  <w:footnote w:id="29">
    <w:p w14:paraId="54F228D5" w14:textId="24E72B85" w:rsidR="00384484" w:rsidRDefault="00384484">
      <w:pPr>
        <w:pStyle w:val="FootnoteText"/>
      </w:pPr>
      <w:r>
        <w:rPr>
          <w:rStyle w:val="FootnoteReference"/>
        </w:rPr>
        <w:footnoteRef/>
      </w:r>
      <w:r>
        <w:t xml:space="preserve"> </w:t>
      </w:r>
      <w:r w:rsidR="006E0822">
        <w:t>Veyne 1987</w:t>
      </w:r>
    </w:p>
  </w:footnote>
  <w:footnote w:id="30">
    <w:p w14:paraId="15B34218" w14:textId="58F94893" w:rsidR="00582284" w:rsidRDefault="00582284">
      <w:pPr>
        <w:pStyle w:val="FootnoteText"/>
      </w:pPr>
      <w:r>
        <w:rPr>
          <w:rStyle w:val="FootnoteReference"/>
        </w:rPr>
        <w:footnoteRef/>
      </w:r>
      <w:r>
        <w:t xml:space="preserve"> Hopkins 1965</w:t>
      </w:r>
    </w:p>
  </w:footnote>
  <w:footnote w:id="31">
    <w:p w14:paraId="24F68696" w14:textId="53DCD066" w:rsidR="00582284" w:rsidRDefault="00582284">
      <w:pPr>
        <w:pStyle w:val="FootnoteText"/>
      </w:pPr>
      <w:r>
        <w:rPr>
          <w:rStyle w:val="FootnoteReference"/>
        </w:rPr>
        <w:footnoteRef/>
      </w:r>
      <w:r>
        <w:t xml:space="preserve"> Engels 1984</w:t>
      </w:r>
    </w:p>
  </w:footnote>
  <w:footnote w:id="32">
    <w:p w14:paraId="56CEC07D" w14:textId="7C270188" w:rsidR="008564F7" w:rsidRDefault="008564F7">
      <w:pPr>
        <w:pStyle w:val="FootnoteText"/>
      </w:pPr>
      <w:r>
        <w:rPr>
          <w:rStyle w:val="FootnoteReference"/>
        </w:rPr>
        <w:footnoteRef/>
      </w:r>
      <w:r>
        <w:t xml:space="preserve"> </w:t>
      </w:r>
      <w:r w:rsidR="00A36EE2">
        <w:t>Hopkins 1965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137E9"/>
    <w:multiLevelType w:val="hybridMultilevel"/>
    <w:tmpl w:val="41968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C030B9A"/>
    <w:multiLevelType w:val="hybridMultilevel"/>
    <w:tmpl w:val="8160CF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BAA6C2E"/>
    <w:multiLevelType w:val="hybridMultilevel"/>
    <w:tmpl w:val="BD4A566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089"/>
    <w:rsid w:val="000153CF"/>
    <w:rsid w:val="0003202D"/>
    <w:rsid w:val="00033E12"/>
    <w:rsid w:val="000358E8"/>
    <w:rsid w:val="00042BE5"/>
    <w:rsid w:val="000712BE"/>
    <w:rsid w:val="000729F5"/>
    <w:rsid w:val="00074864"/>
    <w:rsid w:val="000934E9"/>
    <w:rsid w:val="00094056"/>
    <w:rsid w:val="0009784B"/>
    <w:rsid w:val="000A467A"/>
    <w:rsid w:val="000B0406"/>
    <w:rsid w:val="000B7B6A"/>
    <w:rsid w:val="000F3BB4"/>
    <w:rsid w:val="00107CFE"/>
    <w:rsid w:val="00142979"/>
    <w:rsid w:val="0015658D"/>
    <w:rsid w:val="0015730A"/>
    <w:rsid w:val="0016709F"/>
    <w:rsid w:val="00167F63"/>
    <w:rsid w:val="001732BB"/>
    <w:rsid w:val="0017761B"/>
    <w:rsid w:val="00186DDA"/>
    <w:rsid w:val="00186F57"/>
    <w:rsid w:val="00190761"/>
    <w:rsid w:val="001D4F90"/>
    <w:rsid w:val="001D7C55"/>
    <w:rsid w:val="001F6BC1"/>
    <w:rsid w:val="00236220"/>
    <w:rsid w:val="00254701"/>
    <w:rsid w:val="002624E2"/>
    <w:rsid w:val="00280C1F"/>
    <w:rsid w:val="002844F9"/>
    <w:rsid w:val="002A490F"/>
    <w:rsid w:val="002B049C"/>
    <w:rsid w:val="002B4C16"/>
    <w:rsid w:val="002D7313"/>
    <w:rsid w:val="002F08F0"/>
    <w:rsid w:val="003108D6"/>
    <w:rsid w:val="0035594C"/>
    <w:rsid w:val="00372555"/>
    <w:rsid w:val="00374BAD"/>
    <w:rsid w:val="003760F3"/>
    <w:rsid w:val="0038288F"/>
    <w:rsid w:val="003829F4"/>
    <w:rsid w:val="00384484"/>
    <w:rsid w:val="003A2C26"/>
    <w:rsid w:val="003A6CDA"/>
    <w:rsid w:val="003D2532"/>
    <w:rsid w:val="00410CEB"/>
    <w:rsid w:val="00436758"/>
    <w:rsid w:val="00447706"/>
    <w:rsid w:val="00447E80"/>
    <w:rsid w:val="004703AA"/>
    <w:rsid w:val="00486FBE"/>
    <w:rsid w:val="00487B07"/>
    <w:rsid w:val="004B09AB"/>
    <w:rsid w:val="004E34D8"/>
    <w:rsid w:val="004F29FA"/>
    <w:rsid w:val="004F4528"/>
    <w:rsid w:val="004F7678"/>
    <w:rsid w:val="0050187C"/>
    <w:rsid w:val="0050601E"/>
    <w:rsid w:val="00523792"/>
    <w:rsid w:val="0054100C"/>
    <w:rsid w:val="005417EA"/>
    <w:rsid w:val="005532F7"/>
    <w:rsid w:val="00582284"/>
    <w:rsid w:val="0059577A"/>
    <w:rsid w:val="00597BDE"/>
    <w:rsid w:val="00613672"/>
    <w:rsid w:val="00616CFB"/>
    <w:rsid w:val="0062272F"/>
    <w:rsid w:val="00663DC4"/>
    <w:rsid w:val="00682697"/>
    <w:rsid w:val="006A0990"/>
    <w:rsid w:val="006A181B"/>
    <w:rsid w:val="006C07A0"/>
    <w:rsid w:val="006D1F4B"/>
    <w:rsid w:val="006D2049"/>
    <w:rsid w:val="006D2CE1"/>
    <w:rsid w:val="006E0822"/>
    <w:rsid w:val="006F17B0"/>
    <w:rsid w:val="00710797"/>
    <w:rsid w:val="00713F9A"/>
    <w:rsid w:val="00720084"/>
    <w:rsid w:val="007373CF"/>
    <w:rsid w:val="00761798"/>
    <w:rsid w:val="007A3687"/>
    <w:rsid w:val="007A7D19"/>
    <w:rsid w:val="007C6910"/>
    <w:rsid w:val="007C6AD6"/>
    <w:rsid w:val="007F1BAE"/>
    <w:rsid w:val="007F56B4"/>
    <w:rsid w:val="00820FAF"/>
    <w:rsid w:val="008311B7"/>
    <w:rsid w:val="008333F0"/>
    <w:rsid w:val="00837A0F"/>
    <w:rsid w:val="00854160"/>
    <w:rsid w:val="0085426A"/>
    <w:rsid w:val="008564F7"/>
    <w:rsid w:val="00864505"/>
    <w:rsid w:val="008734C3"/>
    <w:rsid w:val="00873DC9"/>
    <w:rsid w:val="008865F4"/>
    <w:rsid w:val="008920CA"/>
    <w:rsid w:val="0089437E"/>
    <w:rsid w:val="008A5A4A"/>
    <w:rsid w:val="008B450B"/>
    <w:rsid w:val="008B4657"/>
    <w:rsid w:val="008C7896"/>
    <w:rsid w:val="008F161D"/>
    <w:rsid w:val="00906813"/>
    <w:rsid w:val="009610DD"/>
    <w:rsid w:val="00963B29"/>
    <w:rsid w:val="00982DA2"/>
    <w:rsid w:val="0099107E"/>
    <w:rsid w:val="009912EB"/>
    <w:rsid w:val="009A3968"/>
    <w:rsid w:val="00A03A0C"/>
    <w:rsid w:val="00A3025C"/>
    <w:rsid w:val="00A36EE2"/>
    <w:rsid w:val="00A40EA3"/>
    <w:rsid w:val="00A52A77"/>
    <w:rsid w:val="00A71CAC"/>
    <w:rsid w:val="00AE2564"/>
    <w:rsid w:val="00AE2F6E"/>
    <w:rsid w:val="00AF462C"/>
    <w:rsid w:val="00AF5DDC"/>
    <w:rsid w:val="00B60783"/>
    <w:rsid w:val="00B66CEE"/>
    <w:rsid w:val="00B86A1E"/>
    <w:rsid w:val="00B92352"/>
    <w:rsid w:val="00B95089"/>
    <w:rsid w:val="00BA2185"/>
    <w:rsid w:val="00BC0A32"/>
    <w:rsid w:val="00C1152E"/>
    <w:rsid w:val="00C17B8B"/>
    <w:rsid w:val="00C4137B"/>
    <w:rsid w:val="00C50B58"/>
    <w:rsid w:val="00C62038"/>
    <w:rsid w:val="00C722E9"/>
    <w:rsid w:val="00C8437F"/>
    <w:rsid w:val="00CC2773"/>
    <w:rsid w:val="00CC6223"/>
    <w:rsid w:val="00CD5EF2"/>
    <w:rsid w:val="00CE6EC9"/>
    <w:rsid w:val="00CF41F2"/>
    <w:rsid w:val="00CF7DD3"/>
    <w:rsid w:val="00D13C54"/>
    <w:rsid w:val="00D22719"/>
    <w:rsid w:val="00D4024A"/>
    <w:rsid w:val="00D532E6"/>
    <w:rsid w:val="00D956D3"/>
    <w:rsid w:val="00E14522"/>
    <w:rsid w:val="00E155D3"/>
    <w:rsid w:val="00E25553"/>
    <w:rsid w:val="00E449A3"/>
    <w:rsid w:val="00E9051A"/>
    <w:rsid w:val="00E918B8"/>
    <w:rsid w:val="00E93E16"/>
    <w:rsid w:val="00E97DF6"/>
    <w:rsid w:val="00EA0803"/>
    <w:rsid w:val="00EA7E36"/>
    <w:rsid w:val="00ED2F4E"/>
    <w:rsid w:val="00ED49A4"/>
    <w:rsid w:val="00EF2806"/>
    <w:rsid w:val="00F07F2D"/>
    <w:rsid w:val="00F53CFC"/>
    <w:rsid w:val="00F60CE3"/>
    <w:rsid w:val="00F8332F"/>
    <w:rsid w:val="00F835DD"/>
    <w:rsid w:val="00F851F3"/>
    <w:rsid w:val="00FA70F6"/>
    <w:rsid w:val="00FB5FDE"/>
    <w:rsid w:val="00FB794A"/>
    <w:rsid w:val="00FC192A"/>
    <w:rsid w:val="00FF2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6048"/>
  <w15:chartTrackingRefBased/>
  <w15:docId w15:val="{6CA2866C-A499-4FA8-89EE-2BAC0F27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508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E5"/>
    <w:pPr>
      <w:ind w:left="720"/>
      <w:contextualSpacing/>
    </w:pPr>
  </w:style>
  <w:style w:type="paragraph" w:styleId="FootnoteText">
    <w:name w:val="footnote text"/>
    <w:basedOn w:val="Normal"/>
    <w:link w:val="FootnoteTextChar"/>
    <w:uiPriority w:val="99"/>
    <w:semiHidden/>
    <w:unhideWhenUsed/>
    <w:rsid w:val="00042B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2BE5"/>
    <w:rPr>
      <w:sz w:val="20"/>
      <w:szCs w:val="20"/>
    </w:rPr>
  </w:style>
  <w:style w:type="character" w:styleId="FootnoteReference">
    <w:name w:val="footnote reference"/>
    <w:basedOn w:val="DefaultParagraphFont"/>
    <w:uiPriority w:val="99"/>
    <w:semiHidden/>
    <w:unhideWhenUsed/>
    <w:rsid w:val="00042BE5"/>
    <w:rPr>
      <w:vertAlign w:val="superscript"/>
    </w:rPr>
  </w:style>
  <w:style w:type="character" w:styleId="Hyperlink">
    <w:name w:val="Hyperlink"/>
    <w:basedOn w:val="DefaultParagraphFont"/>
    <w:uiPriority w:val="99"/>
    <w:unhideWhenUsed/>
    <w:rsid w:val="00761798"/>
    <w:rPr>
      <w:color w:val="0563C1" w:themeColor="hyperlink"/>
      <w:u w:val="single"/>
    </w:rPr>
  </w:style>
  <w:style w:type="character" w:styleId="UnresolvedMention">
    <w:name w:val="Unresolved Mention"/>
    <w:basedOn w:val="DefaultParagraphFont"/>
    <w:uiPriority w:val="99"/>
    <w:semiHidden/>
    <w:unhideWhenUsed/>
    <w:rsid w:val="0015730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26866">
      <w:bodyDiv w:val="1"/>
      <w:marLeft w:val="0"/>
      <w:marRight w:val="0"/>
      <w:marTop w:val="0"/>
      <w:marBottom w:val="0"/>
      <w:divBdr>
        <w:top w:val="none" w:sz="0" w:space="0" w:color="auto"/>
        <w:left w:val="none" w:sz="0" w:space="0" w:color="auto"/>
        <w:bottom w:val="none" w:sz="0" w:space="0" w:color="auto"/>
        <w:right w:val="none" w:sz="0" w:space="0" w:color="auto"/>
      </w:divBdr>
    </w:div>
    <w:div w:id="572551426">
      <w:bodyDiv w:val="1"/>
      <w:marLeft w:val="0"/>
      <w:marRight w:val="0"/>
      <w:marTop w:val="0"/>
      <w:marBottom w:val="0"/>
      <w:divBdr>
        <w:top w:val="none" w:sz="0" w:space="0" w:color="auto"/>
        <w:left w:val="none" w:sz="0" w:space="0" w:color="auto"/>
        <w:bottom w:val="none" w:sz="0" w:space="0" w:color="auto"/>
        <w:right w:val="none" w:sz="0" w:space="0" w:color="auto"/>
      </w:divBdr>
    </w:div>
    <w:div w:id="986589494">
      <w:bodyDiv w:val="1"/>
      <w:marLeft w:val="0"/>
      <w:marRight w:val="0"/>
      <w:marTop w:val="0"/>
      <w:marBottom w:val="0"/>
      <w:divBdr>
        <w:top w:val="none" w:sz="0" w:space="0" w:color="auto"/>
        <w:left w:val="none" w:sz="0" w:space="0" w:color="auto"/>
        <w:bottom w:val="none" w:sz="0" w:space="0" w:color="auto"/>
        <w:right w:val="none" w:sz="0" w:space="0" w:color="auto"/>
      </w:divBdr>
    </w:div>
    <w:div w:id="1366442942">
      <w:bodyDiv w:val="1"/>
      <w:marLeft w:val="0"/>
      <w:marRight w:val="0"/>
      <w:marTop w:val="0"/>
      <w:marBottom w:val="0"/>
      <w:divBdr>
        <w:top w:val="none" w:sz="0" w:space="0" w:color="auto"/>
        <w:left w:val="none" w:sz="0" w:space="0" w:color="auto"/>
        <w:bottom w:val="none" w:sz="0" w:space="0" w:color="auto"/>
        <w:right w:val="none" w:sz="0" w:space="0" w:color="auto"/>
      </w:divBdr>
    </w:div>
    <w:div w:id="1447657207">
      <w:bodyDiv w:val="1"/>
      <w:marLeft w:val="0"/>
      <w:marRight w:val="0"/>
      <w:marTop w:val="0"/>
      <w:marBottom w:val="0"/>
      <w:divBdr>
        <w:top w:val="none" w:sz="0" w:space="0" w:color="auto"/>
        <w:left w:val="none" w:sz="0" w:space="0" w:color="auto"/>
        <w:bottom w:val="none" w:sz="0" w:space="0" w:color="auto"/>
        <w:right w:val="none" w:sz="0" w:space="0" w:color="auto"/>
      </w:divBdr>
    </w:div>
    <w:div w:id="1514144295">
      <w:bodyDiv w:val="1"/>
      <w:marLeft w:val="0"/>
      <w:marRight w:val="0"/>
      <w:marTop w:val="0"/>
      <w:marBottom w:val="0"/>
      <w:divBdr>
        <w:top w:val="none" w:sz="0" w:space="0" w:color="auto"/>
        <w:left w:val="none" w:sz="0" w:space="0" w:color="auto"/>
        <w:bottom w:val="none" w:sz="0" w:space="0" w:color="auto"/>
        <w:right w:val="none" w:sz="0" w:space="0" w:color="auto"/>
      </w:divBdr>
    </w:div>
    <w:div w:id="1939757057">
      <w:bodyDiv w:val="1"/>
      <w:marLeft w:val="0"/>
      <w:marRight w:val="0"/>
      <w:marTop w:val="0"/>
      <w:marBottom w:val="0"/>
      <w:divBdr>
        <w:top w:val="none" w:sz="0" w:space="0" w:color="auto"/>
        <w:left w:val="none" w:sz="0" w:space="0" w:color="auto"/>
        <w:bottom w:val="none" w:sz="0" w:space="0" w:color="auto"/>
        <w:right w:val="none" w:sz="0" w:space="0" w:color="auto"/>
      </w:divBdr>
    </w:div>
    <w:div w:id="199282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ezproxy.uwtsd.ac.uk/view/pliny_elder-natural_history" TargetMode="External"/><Relationship Id="rId13" Type="http://schemas.openxmlformats.org/officeDocument/2006/relationships/hyperlink" Target="http://www.jstor.org/stable/177539" TargetMode="External"/><Relationship Id="rId18" Type="http://schemas.openxmlformats.org/officeDocument/2006/relationships/hyperlink" Target="http://referenceworks.brillonline.com.ezproxy.uwtsd.ac.uk/entries/brill-s-new-pauly/contraception-e619800?s.num=11&amp;s.f.s2_parent=s.f.book.brill-s-new-pauly&amp;s.q=olive+oil+as+a+contraceptiv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stor.org/stable/270602" TargetMode="External"/><Relationship Id="rId17" Type="http://schemas.openxmlformats.org/officeDocument/2006/relationships/hyperlink" Target="http://referenceworks.brillonline.com.ezproxy.uwtsd.ac.uk/entries/brill-s-new-pauly/atia-e206230" TargetMode="External"/><Relationship Id="rId2" Type="http://schemas.openxmlformats.org/officeDocument/2006/relationships/numbering" Target="numbering.xml"/><Relationship Id="rId16" Type="http://schemas.openxmlformats.org/officeDocument/2006/relationships/hyperlink" Target="http://www.jstor.org/stable/638296" TargetMode="External"/><Relationship Id="rId20" Type="http://schemas.openxmlformats.org/officeDocument/2006/relationships/hyperlink" Target="https://www.standard.co.uk/lifestyle/health/contraceptive-pill-made-from-olives-can-prevent-pregnancy-scientists-claim-a354065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ebclassics-com.ezproxy.uwtsd.ac.uk/view/hippocrates_cosbarrenness/2012/pb_LCL520.331.xml?rskey=Bo83um&amp;result=1" TargetMode="External"/><Relationship Id="rId5" Type="http://schemas.openxmlformats.org/officeDocument/2006/relationships/webSettings" Target="webSettings.xml"/><Relationship Id="rId15" Type="http://schemas.openxmlformats.org/officeDocument/2006/relationships/hyperlink" Target="http://www.jstor.org/stable/3811880" TargetMode="External"/><Relationship Id="rId10" Type="http://schemas.openxmlformats.org/officeDocument/2006/relationships/hyperlink" Target="https://quod-lib-umich-edu.ezproxy.uwtsd.ac.uk/cgi/t/text/pageviewer" TargetMode="External"/><Relationship Id="rId19" Type="http://schemas.openxmlformats.org/officeDocument/2006/relationships/hyperlink" Target="http://referenceworks.brillonline.com.ezproxy.uwtsd.ac.uk/entries/brill-s-new-pauly/agrippina-e108900?s.num=0&amp;s.f.s2_parent=s.f.book.brill-s-new-pauly&amp;s.q=Agrippina" TargetMode="External"/><Relationship Id="rId4" Type="http://schemas.openxmlformats.org/officeDocument/2006/relationships/settings" Target="settings.xml"/><Relationship Id="rId9" Type="http://schemas.openxmlformats.org/officeDocument/2006/relationships/hyperlink" Target="https://www-loebclassics-com.ezproxy.uwtsd.ac.uk/view/seneca_elder-controversiae/1974" TargetMode="External"/><Relationship Id="rId14" Type="http://schemas.openxmlformats.org/officeDocument/2006/relationships/hyperlink" Target="http://www.jstor.org/stable/6508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1FA1B-A148-4762-966F-70D373456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2880</TotalTime>
  <Pages>7</Pages>
  <Words>3567</Words>
  <Characters>20338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Keddie</dc:creator>
  <cp:keywords/>
  <dc:description/>
  <cp:lastModifiedBy>Sofie Keddie</cp:lastModifiedBy>
  <cp:revision>162</cp:revision>
  <dcterms:created xsi:type="dcterms:W3CDTF">2018-05-09T21:20:00Z</dcterms:created>
  <dcterms:modified xsi:type="dcterms:W3CDTF">2018-05-11T21:48:00Z</dcterms:modified>
</cp:coreProperties>
</file>