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A137AD" w14:textId="77777777" w:rsidR="003B75F0" w:rsidRPr="00741E8B" w:rsidRDefault="003B75F0" w:rsidP="003328DD">
      <w:pPr>
        <w:spacing w:line="480" w:lineRule="auto"/>
        <w:rPr>
          <w:rFonts w:ascii="Times New Roman" w:hAnsi="Times New Roman" w:cs="Times New Roman"/>
          <w:sz w:val="24"/>
          <w:szCs w:val="24"/>
          <w:u w:val="single"/>
        </w:rPr>
      </w:pPr>
    </w:p>
    <w:p w14:paraId="1BB0B009" w14:textId="175D8503" w:rsidR="003B75F0" w:rsidRDefault="00E62F09" w:rsidP="003328DD">
      <w:pPr>
        <w:spacing w:line="480" w:lineRule="auto"/>
        <w:jc w:val="center"/>
        <w:rPr>
          <w:rFonts w:ascii="Times New Roman" w:hAnsi="Times New Roman" w:cs="Times New Roman"/>
          <w:sz w:val="24"/>
          <w:szCs w:val="24"/>
        </w:rPr>
      </w:pPr>
      <w:r w:rsidRPr="00741E8B">
        <w:rPr>
          <w:rFonts w:ascii="Times New Roman" w:hAnsi="Times New Roman" w:cs="Times New Roman"/>
          <w:sz w:val="24"/>
          <w:szCs w:val="24"/>
        </w:rPr>
        <w:t>L</w:t>
      </w:r>
      <w:r w:rsidR="00EB3DFC" w:rsidRPr="00741E8B">
        <w:rPr>
          <w:rFonts w:ascii="Times New Roman" w:hAnsi="Times New Roman" w:cs="Times New Roman"/>
          <w:sz w:val="24"/>
          <w:szCs w:val="24"/>
        </w:rPr>
        <w:t>AW AND LEGAL PRACTICE - L</w:t>
      </w:r>
      <w:r w:rsidRPr="00741E8B">
        <w:rPr>
          <w:rFonts w:ascii="Times New Roman" w:hAnsi="Times New Roman" w:cs="Times New Roman"/>
          <w:sz w:val="24"/>
          <w:szCs w:val="24"/>
        </w:rPr>
        <w:t>EGAL PROCESS</w:t>
      </w:r>
    </w:p>
    <w:p w14:paraId="2F92B95C" w14:textId="6665965F" w:rsidR="00536035" w:rsidRDefault="00260DCB" w:rsidP="00536035">
      <w:pPr>
        <w:spacing w:line="480" w:lineRule="auto"/>
        <w:jc w:val="center"/>
        <w:rPr>
          <w:rFonts w:ascii="Times New Roman" w:hAnsi="Times New Roman" w:cs="Times New Roman"/>
          <w:sz w:val="24"/>
          <w:szCs w:val="24"/>
        </w:rPr>
      </w:pPr>
      <w:r>
        <w:rPr>
          <w:rFonts w:ascii="Times New Roman" w:hAnsi="Times New Roman" w:cs="Times New Roman"/>
          <w:sz w:val="24"/>
          <w:szCs w:val="24"/>
        </w:rPr>
        <w:t>BML</w:t>
      </w:r>
      <w:r w:rsidR="00586752">
        <w:rPr>
          <w:rFonts w:ascii="Times New Roman" w:hAnsi="Times New Roman" w:cs="Times New Roman"/>
          <w:sz w:val="24"/>
          <w:szCs w:val="24"/>
        </w:rPr>
        <w:t>W4003</w:t>
      </w:r>
    </w:p>
    <w:p w14:paraId="5F37DAF2" w14:textId="47746D59" w:rsidR="003B75F0" w:rsidRDefault="00380CEF" w:rsidP="00DA5FE7">
      <w:pPr>
        <w:spacing w:line="480" w:lineRule="auto"/>
        <w:jc w:val="center"/>
        <w:rPr>
          <w:rFonts w:ascii="Times New Roman" w:hAnsi="Times New Roman" w:cs="Times New Roman"/>
          <w:sz w:val="24"/>
          <w:szCs w:val="24"/>
        </w:rPr>
      </w:pPr>
      <w:r>
        <w:rPr>
          <w:rFonts w:ascii="Times New Roman" w:hAnsi="Times New Roman" w:cs="Times New Roman"/>
          <w:sz w:val="24"/>
          <w:szCs w:val="24"/>
        </w:rPr>
        <w:t>CHERISE SHADE</w:t>
      </w:r>
    </w:p>
    <w:p w14:paraId="4C900602" w14:textId="77777777" w:rsidR="00536035" w:rsidRPr="00DA5FE7" w:rsidRDefault="00536035" w:rsidP="00DA5FE7">
      <w:pPr>
        <w:spacing w:line="480" w:lineRule="auto"/>
        <w:jc w:val="center"/>
        <w:rPr>
          <w:rFonts w:ascii="Times New Roman" w:hAnsi="Times New Roman" w:cs="Times New Roman"/>
          <w:sz w:val="24"/>
          <w:szCs w:val="24"/>
        </w:rPr>
      </w:pPr>
    </w:p>
    <w:p w14:paraId="1EB6BADA" w14:textId="77777777" w:rsidR="007F0177" w:rsidRPr="00D47697" w:rsidRDefault="007F0177" w:rsidP="00B6497B">
      <w:pPr>
        <w:pStyle w:val="NormalWeb"/>
        <w:spacing w:before="0" w:beforeAutospacing="0" w:after="0" w:afterAutospacing="0" w:line="480" w:lineRule="auto"/>
        <w:rPr>
          <w:b/>
          <w:bCs/>
          <w:color w:val="0E101A"/>
        </w:rPr>
      </w:pPr>
      <w:r w:rsidRPr="00D47697">
        <w:rPr>
          <w:b/>
          <w:bCs/>
          <w:color w:val="0E101A"/>
        </w:rPr>
        <w:t>Introduction</w:t>
      </w:r>
    </w:p>
    <w:p w14:paraId="03BE4CDF" w14:textId="4ECD8DBB" w:rsidR="007F0177" w:rsidRPr="00D61A7C" w:rsidRDefault="007F0177" w:rsidP="00B6497B">
      <w:pPr>
        <w:pStyle w:val="NormalWeb"/>
        <w:spacing w:before="0" w:beforeAutospacing="0" w:after="0" w:afterAutospacing="0" w:line="480" w:lineRule="auto"/>
        <w:rPr>
          <w:color w:val="0E101A"/>
        </w:rPr>
      </w:pPr>
      <w:r w:rsidRPr="00741E8B">
        <w:rPr>
          <w:color w:val="0E101A"/>
        </w:rPr>
        <w:t>Through comparisons, this paper will explore if statutory interpretation diminishes the status of legislation as the primary source of law in the United Kingdom (UK). Throughout this paper, there will be many arguments for and against the use of statutory interpretation. Due to the nature of the word interpretation, its primary definition is "explanation or opinion of what something means" (Dictionary, 2022). In the case of law, it can open many avenues and possible outcomes when applied in judgment within the legal system. Nevertheless, firstly, there must be a clear understanding of primary law and the process undertaken for an act to become the law. Furthermore, who makes the laws (the sources of law), including their understanding of statutory interpretation and its four rules and to whom it applies. </w:t>
      </w:r>
    </w:p>
    <w:p w14:paraId="3697C6DA" w14:textId="77777777" w:rsidR="007F0177" w:rsidRPr="00D47697" w:rsidRDefault="007F0177" w:rsidP="00B6497B">
      <w:pPr>
        <w:pStyle w:val="NormalWeb"/>
        <w:spacing w:before="0" w:beforeAutospacing="0" w:after="0" w:afterAutospacing="0" w:line="480" w:lineRule="auto"/>
        <w:rPr>
          <w:b/>
          <w:bCs/>
          <w:color w:val="0E101A"/>
        </w:rPr>
      </w:pPr>
      <w:r w:rsidRPr="00D47697">
        <w:rPr>
          <w:b/>
          <w:bCs/>
          <w:color w:val="0E101A"/>
        </w:rPr>
        <w:t>The source of Law/Primary Law</w:t>
      </w:r>
    </w:p>
    <w:p w14:paraId="77B469BD" w14:textId="77777777" w:rsidR="007F0177" w:rsidRPr="00741E8B" w:rsidRDefault="007F0177" w:rsidP="00B6497B">
      <w:pPr>
        <w:pStyle w:val="NormalWeb"/>
        <w:spacing w:before="0" w:beforeAutospacing="0" w:after="0" w:afterAutospacing="0" w:line="480" w:lineRule="auto"/>
        <w:rPr>
          <w:color w:val="0E101A"/>
        </w:rPr>
      </w:pPr>
      <w:r w:rsidRPr="00741E8B">
        <w:rPr>
          <w:color w:val="0E101A"/>
        </w:rPr>
        <w:t>The leading institutions that make law in the UK are the Parliament and the Government. The process of creating law as a basic overview is the introduction of a Bill to the House of Commons; then passed to the House of Lords; once both Parliamentary houses have agreed, it is given Royal assent by the Monarch, becoming an Act of Parliament (Parliament, 2022). </w:t>
      </w:r>
    </w:p>
    <w:p w14:paraId="5F4981FA" w14:textId="2FDC560D" w:rsidR="007F0177" w:rsidRPr="00741E8B" w:rsidRDefault="007F0177" w:rsidP="00B6497B">
      <w:pPr>
        <w:pStyle w:val="NormalWeb"/>
        <w:spacing w:before="0" w:beforeAutospacing="0" w:after="0" w:afterAutospacing="0" w:line="480" w:lineRule="auto"/>
        <w:rPr>
          <w:color w:val="0E101A"/>
        </w:rPr>
      </w:pPr>
      <w:r w:rsidRPr="00741E8B">
        <w:rPr>
          <w:color w:val="0E101A"/>
        </w:rPr>
        <w:t xml:space="preserve">These Acts are hereafter known as Statutes or primary law legislation because they do not depend on other legislative authority. While the UK has left the European Union (EU), the EU has had significant input and was a source of law in the UK and the Council of Europe and Courts. As one can imagine, it is virtually impossible to separate those laws from the UK </w:t>
      </w:r>
      <w:r w:rsidRPr="00741E8B">
        <w:rPr>
          <w:color w:val="0E101A"/>
        </w:rPr>
        <w:lastRenderedPageBreak/>
        <w:t xml:space="preserve">and those from the EU due to the laws' complexity, as they are entwined and support one another. Even after Brexit, these laws will continue in the UK, but these specific laws fall under and are open to interpretation! Primary legislation is the framework of principles and the rule of law with no judicial review because it is the primary law enacted by Parliament, unlike secondary legislation, a </w:t>
      </w:r>
      <w:r w:rsidR="005001F2" w:rsidRPr="00741E8B">
        <w:rPr>
          <w:color w:val="0E101A"/>
        </w:rPr>
        <w:t>biproduct</w:t>
      </w:r>
      <w:r w:rsidRPr="00741E8B">
        <w:rPr>
          <w:color w:val="0E101A"/>
        </w:rPr>
        <w:t xml:space="preserve"> of primary law, which is not immune from challenges in court (droit.net, 2022)</w:t>
      </w:r>
      <w:r w:rsidR="00C326CD">
        <w:rPr>
          <w:color w:val="0E101A"/>
        </w:rPr>
        <w:t>.</w:t>
      </w:r>
    </w:p>
    <w:p w14:paraId="4A06A9A2" w14:textId="77777777" w:rsidR="007F0177" w:rsidRPr="007F4032" w:rsidRDefault="007F0177" w:rsidP="00B6497B">
      <w:pPr>
        <w:pStyle w:val="NormalWeb"/>
        <w:spacing w:before="0" w:beforeAutospacing="0" w:after="0" w:afterAutospacing="0" w:line="480" w:lineRule="auto"/>
        <w:rPr>
          <w:b/>
          <w:bCs/>
          <w:color w:val="0E101A"/>
        </w:rPr>
      </w:pPr>
      <w:r w:rsidRPr="007F4032">
        <w:rPr>
          <w:b/>
          <w:bCs/>
          <w:color w:val="0E101A"/>
        </w:rPr>
        <w:t>Statutory Interpretation</w:t>
      </w:r>
    </w:p>
    <w:p w14:paraId="7CA68649" w14:textId="77777777" w:rsidR="007F0177" w:rsidRPr="00741E8B" w:rsidRDefault="007F0177" w:rsidP="00B6497B">
      <w:pPr>
        <w:pStyle w:val="NormalWeb"/>
        <w:spacing w:before="0" w:beforeAutospacing="0" w:after="0" w:afterAutospacing="0" w:line="480" w:lineRule="auto"/>
        <w:rPr>
          <w:color w:val="0E101A"/>
        </w:rPr>
      </w:pPr>
      <w:r w:rsidRPr="00741E8B">
        <w:rPr>
          <w:color w:val="0E101A"/>
        </w:rPr>
        <w:t>The process judges use to decide what the words in a Statute mean; Understanding the interpretation assists them in their decision making based upon the facts presented (Press, 2022). There are, by definition, Four Rules to Statutory Interpretation:</w:t>
      </w:r>
    </w:p>
    <w:p w14:paraId="1B7AA7F1" w14:textId="77777777" w:rsidR="007F0177" w:rsidRPr="00741E8B" w:rsidRDefault="007F0177" w:rsidP="00B6497B">
      <w:pPr>
        <w:pStyle w:val="NormalWeb"/>
        <w:numPr>
          <w:ilvl w:val="0"/>
          <w:numId w:val="1"/>
        </w:numPr>
        <w:spacing w:before="0" w:beforeAutospacing="0" w:after="0" w:afterAutospacing="0" w:line="480" w:lineRule="auto"/>
        <w:rPr>
          <w:color w:val="0E101A"/>
        </w:rPr>
      </w:pPr>
      <w:r w:rsidRPr="00741E8B">
        <w:rPr>
          <w:color w:val="0E101A"/>
        </w:rPr>
        <w:t>The literal rule, </w:t>
      </w:r>
    </w:p>
    <w:p w14:paraId="4B8980F9" w14:textId="77777777" w:rsidR="007F0177" w:rsidRPr="00741E8B" w:rsidRDefault="007F0177" w:rsidP="00B6497B">
      <w:pPr>
        <w:pStyle w:val="NormalWeb"/>
        <w:numPr>
          <w:ilvl w:val="0"/>
          <w:numId w:val="1"/>
        </w:numPr>
        <w:spacing w:before="0" w:beforeAutospacing="0" w:after="0" w:afterAutospacing="0" w:line="480" w:lineRule="auto"/>
        <w:rPr>
          <w:color w:val="0E101A"/>
        </w:rPr>
      </w:pPr>
      <w:r w:rsidRPr="00741E8B">
        <w:rPr>
          <w:color w:val="0E101A"/>
        </w:rPr>
        <w:t>The golden rule, </w:t>
      </w:r>
    </w:p>
    <w:p w14:paraId="7525A1AD" w14:textId="77777777" w:rsidR="007F0177" w:rsidRPr="00741E8B" w:rsidRDefault="007F0177" w:rsidP="00B6497B">
      <w:pPr>
        <w:pStyle w:val="NormalWeb"/>
        <w:numPr>
          <w:ilvl w:val="0"/>
          <w:numId w:val="1"/>
        </w:numPr>
        <w:spacing w:before="0" w:beforeAutospacing="0" w:after="0" w:afterAutospacing="0" w:line="480" w:lineRule="auto"/>
        <w:rPr>
          <w:color w:val="0E101A"/>
        </w:rPr>
      </w:pPr>
      <w:r w:rsidRPr="00741E8B">
        <w:rPr>
          <w:color w:val="0E101A"/>
        </w:rPr>
        <w:t>The mischief rule and </w:t>
      </w:r>
    </w:p>
    <w:p w14:paraId="3FB86627" w14:textId="77777777" w:rsidR="007F0177" w:rsidRPr="00741E8B" w:rsidRDefault="007F0177" w:rsidP="00B6497B">
      <w:pPr>
        <w:pStyle w:val="NormalWeb"/>
        <w:numPr>
          <w:ilvl w:val="0"/>
          <w:numId w:val="1"/>
        </w:numPr>
        <w:spacing w:before="0" w:beforeAutospacing="0" w:after="0" w:afterAutospacing="0" w:line="480" w:lineRule="auto"/>
        <w:rPr>
          <w:color w:val="0E101A"/>
        </w:rPr>
      </w:pPr>
      <w:r w:rsidRPr="00741E8B">
        <w:rPr>
          <w:color w:val="0E101A"/>
        </w:rPr>
        <w:t>The purposive approach.</w:t>
      </w:r>
    </w:p>
    <w:p w14:paraId="7E53C7A2" w14:textId="77777777" w:rsidR="007F0177" w:rsidRPr="00D47697" w:rsidRDefault="007F0177" w:rsidP="00B6497B">
      <w:pPr>
        <w:pStyle w:val="NormalWeb"/>
        <w:spacing w:before="0" w:beforeAutospacing="0" w:after="0" w:afterAutospacing="0" w:line="480" w:lineRule="auto"/>
        <w:rPr>
          <w:b/>
          <w:bCs/>
          <w:color w:val="0E101A"/>
        </w:rPr>
      </w:pPr>
      <w:r w:rsidRPr="00D47697">
        <w:rPr>
          <w:b/>
          <w:bCs/>
          <w:color w:val="0E101A"/>
        </w:rPr>
        <w:t>The Literal rule</w:t>
      </w:r>
    </w:p>
    <w:p w14:paraId="6F1E9533" w14:textId="77777777" w:rsidR="007F0177" w:rsidRPr="00741E8B" w:rsidRDefault="007F0177" w:rsidP="00B6497B">
      <w:pPr>
        <w:pStyle w:val="NormalWeb"/>
        <w:spacing w:before="0" w:beforeAutospacing="0" w:after="0" w:afterAutospacing="0" w:line="480" w:lineRule="auto"/>
        <w:rPr>
          <w:color w:val="0E101A"/>
        </w:rPr>
      </w:pPr>
      <w:r w:rsidRPr="00741E8B">
        <w:rPr>
          <w:color w:val="0E101A"/>
        </w:rPr>
        <w:t>It is the first rule applied by judges. The Statute's words are taken at face value or ordinary meaning and applied without putting a gloss on the words or seeking to make sense of the Statute (E-</w:t>
      </w:r>
      <w:proofErr w:type="spellStart"/>
      <w:r w:rsidRPr="00741E8B">
        <w:rPr>
          <w:color w:val="0E101A"/>
        </w:rPr>
        <w:t>lawresources</w:t>
      </w:r>
      <w:proofErr w:type="spellEnd"/>
      <w:r w:rsidRPr="00741E8B">
        <w:rPr>
          <w:color w:val="0E101A"/>
        </w:rPr>
        <w:t>, 2022).</w:t>
      </w:r>
    </w:p>
    <w:p w14:paraId="7CABCF37" w14:textId="77777777" w:rsidR="007F0177" w:rsidRPr="000416FF" w:rsidRDefault="007F0177" w:rsidP="00B6497B">
      <w:pPr>
        <w:pStyle w:val="NormalWeb"/>
        <w:spacing w:before="0" w:beforeAutospacing="0" w:after="0" w:afterAutospacing="0" w:line="480" w:lineRule="auto"/>
        <w:rPr>
          <w:b/>
          <w:bCs/>
          <w:color w:val="0E101A"/>
        </w:rPr>
      </w:pPr>
      <w:r w:rsidRPr="000416FF">
        <w:rPr>
          <w:b/>
          <w:bCs/>
          <w:color w:val="0E101A"/>
        </w:rPr>
        <w:t>The Golden rule</w:t>
      </w:r>
    </w:p>
    <w:p w14:paraId="66397827" w14:textId="77777777" w:rsidR="007F0177" w:rsidRPr="00741E8B" w:rsidRDefault="007F0177" w:rsidP="00B6497B">
      <w:pPr>
        <w:pStyle w:val="NormalWeb"/>
        <w:spacing w:before="0" w:beforeAutospacing="0" w:after="0" w:afterAutospacing="0" w:line="480" w:lineRule="auto"/>
        <w:rPr>
          <w:color w:val="0E101A"/>
        </w:rPr>
      </w:pPr>
      <w:r w:rsidRPr="00741E8B">
        <w:rPr>
          <w:color w:val="0E101A"/>
        </w:rPr>
        <w:t>It is a modification of the literal rule. It states that if the literal rule produces an absurdity, the court should look for another meaning of the words to avoid that absurd result (University, 2022).</w:t>
      </w:r>
    </w:p>
    <w:p w14:paraId="71932E08" w14:textId="77777777" w:rsidR="007F0177" w:rsidRPr="000416FF" w:rsidRDefault="007F0177" w:rsidP="00B6497B">
      <w:pPr>
        <w:pStyle w:val="NormalWeb"/>
        <w:spacing w:before="0" w:beforeAutospacing="0" w:after="0" w:afterAutospacing="0" w:line="480" w:lineRule="auto"/>
        <w:rPr>
          <w:b/>
          <w:bCs/>
          <w:color w:val="0E101A"/>
        </w:rPr>
      </w:pPr>
      <w:r w:rsidRPr="000416FF">
        <w:rPr>
          <w:b/>
          <w:bCs/>
          <w:color w:val="0E101A"/>
        </w:rPr>
        <w:t xml:space="preserve">The Mischief </w:t>
      </w:r>
      <w:proofErr w:type="gramStart"/>
      <w:r w:rsidRPr="000416FF">
        <w:rPr>
          <w:b/>
          <w:bCs/>
          <w:color w:val="0E101A"/>
        </w:rPr>
        <w:t>rule</w:t>
      </w:r>
      <w:proofErr w:type="gramEnd"/>
    </w:p>
    <w:p w14:paraId="3659DEEB" w14:textId="77777777" w:rsidR="007F0177" w:rsidRPr="00741E8B" w:rsidRDefault="007F0177" w:rsidP="00B6497B">
      <w:pPr>
        <w:pStyle w:val="NormalWeb"/>
        <w:spacing w:before="0" w:beforeAutospacing="0" w:after="0" w:afterAutospacing="0" w:line="480" w:lineRule="auto"/>
        <w:rPr>
          <w:color w:val="0E101A"/>
        </w:rPr>
      </w:pPr>
      <w:r w:rsidRPr="00741E8B">
        <w:rPr>
          <w:color w:val="0E101A"/>
        </w:rPr>
        <w:t>The Mischief rule asks what the law was before an Act and what defects were addressed by the legislation under construction (Dictionary, 2022).</w:t>
      </w:r>
    </w:p>
    <w:p w14:paraId="4604DE99" w14:textId="77777777" w:rsidR="007F0177" w:rsidRPr="001C4C41" w:rsidRDefault="007F0177" w:rsidP="00B6497B">
      <w:pPr>
        <w:pStyle w:val="NormalWeb"/>
        <w:spacing w:before="0" w:beforeAutospacing="0" w:after="0" w:afterAutospacing="0" w:line="480" w:lineRule="auto"/>
        <w:rPr>
          <w:b/>
          <w:bCs/>
          <w:color w:val="0E101A"/>
        </w:rPr>
      </w:pPr>
      <w:r w:rsidRPr="001C4C41">
        <w:rPr>
          <w:b/>
          <w:bCs/>
          <w:color w:val="0E101A"/>
        </w:rPr>
        <w:lastRenderedPageBreak/>
        <w:t>Purposive approach</w:t>
      </w:r>
    </w:p>
    <w:p w14:paraId="43DC7776" w14:textId="77777777" w:rsidR="007F0177" w:rsidRPr="00741E8B" w:rsidRDefault="007F0177" w:rsidP="00B6497B">
      <w:pPr>
        <w:pStyle w:val="NormalWeb"/>
        <w:spacing w:before="0" w:beforeAutospacing="0" w:after="0" w:afterAutospacing="0" w:line="480" w:lineRule="auto"/>
        <w:rPr>
          <w:color w:val="0E101A"/>
        </w:rPr>
      </w:pPr>
      <w:r w:rsidRPr="00741E8B">
        <w:rPr>
          <w:color w:val="0E101A"/>
        </w:rPr>
        <w:t>It is rule-based on civil codes, which consider the purpose of a provision and interprets the provision according to that purpose. (</w:t>
      </w:r>
      <w:proofErr w:type="spellStart"/>
      <w:r w:rsidRPr="00741E8B">
        <w:rPr>
          <w:color w:val="0E101A"/>
        </w:rPr>
        <w:t>LexisPLS</w:t>
      </w:r>
      <w:proofErr w:type="spellEnd"/>
      <w:r w:rsidRPr="00741E8B">
        <w:rPr>
          <w:color w:val="0E101A"/>
        </w:rPr>
        <w:t>, 2015).</w:t>
      </w:r>
    </w:p>
    <w:p w14:paraId="531EA005" w14:textId="51ACD951" w:rsidR="007F0177" w:rsidRPr="00741E8B" w:rsidRDefault="007F0177" w:rsidP="00B6497B">
      <w:pPr>
        <w:pStyle w:val="NormalWeb"/>
        <w:spacing w:before="0" w:beforeAutospacing="0" w:after="0" w:afterAutospacing="0" w:line="480" w:lineRule="auto"/>
        <w:rPr>
          <w:color w:val="0E101A"/>
        </w:rPr>
      </w:pPr>
      <w:r w:rsidRPr="00741E8B">
        <w:rPr>
          <w:color w:val="0E101A"/>
        </w:rPr>
        <w:t xml:space="preserve">In effect, statutory interpretation is a way of making sense of what someone else has written; in this case, Parliament is the writer and </w:t>
      </w:r>
      <w:r w:rsidR="005001F2" w:rsidRPr="00741E8B">
        <w:rPr>
          <w:color w:val="0E101A"/>
        </w:rPr>
        <w:t>judges</w:t>
      </w:r>
      <w:r w:rsidRPr="00741E8B">
        <w:rPr>
          <w:color w:val="0E101A"/>
        </w:rPr>
        <w:t xml:space="preserve"> the readers. For instance, a Draftsman's duty is the drawing of statutes; their task is to write and present the law so that it is clear and understandable, but that is not always the case because of the words used in its creation (</w:t>
      </w:r>
      <w:proofErr w:type="spellStart"/>
      <w:r w:rsidRPr="00741E8B">
        <w:rPr>
          <w:color w:val="0E101A"/>
        </w:rPr>
        <w:t>LawTeacher</w:t>
      </w:r>
      <w:proofErr w:type="spellEnd"/>
      <w:r w:rsidRPr="00741E8B">
        <w:rPr>
          <w:color w:val="0E101A"/>
        </w:rPr>
        <w:t xml:space="preserve">, 2013). Many laws date back hundreds of years and may still be relevant today. For example, the Statute of Marlborough 1267, [Distress] </w:t>
      </w:r>
      <w:sdt>
        <w:sdtPr>
          <w:rPr>
            <w:color w:val="0E101A"/>
          </w:rPr>
          <w:id w:val="-907768184"/>
          <w:citation/>
        </w:sdtPr>
        <w:sdtEndPr/>
        <w:sdtContent>
          <w:r w:rsidR="009F438F" w:rsidRPr="00741E8B">
            <w:rPr>
              <w:color w:val="0E101A"/>
            </w:rPr>
            <w:fldChar w:fldCharType="begin"/>
          </w:r>
          <w:r w:rsidR="009F438F" w:rsidRPr="00741E8B">
            <w:rPr>
              <w:color w:val="0E101A"/>
            </w:rPr>
            <w:instrText xml:space="preserve"> CITATION Leg67 \l 2057 </w:instrText>
          </w:r>
          <w:r w:rsidR="009F438F" w:rsidRPr="00741E8B">
            <w:rPr>
              <w:color w:val="0E101A"/>
            </w:rPr>
            <w:fldChar w:fldCharType="separate"/>
          </w:r>
          <w:r w:rsidR="009F438F" w:rsidRPr="00741E8B">
            <w:rPr>
              <w:noProof/>
              <w:color w:val="0E101A"/>
            </w:rPr>
            <w:t>(Legislation.gov.uk, 1267)</w:t>
          </w:r>
          <w:r w:rsidR="009F438F" w:rsidRPr="00741E8B">
            <w:rPr>
              <w:color w:val="0E101A"/>
            </w:rPr>
            <w:fldChar w:fldCharType="end"/>
          </w:r>
        </w:sdtContent>
      </w:sdt>
      <w:r w:rsidRPr="00741E8B">
        <w:rPr>
          <w:color w:val="0E101A"/>
        </w:rPr>
        <w:t>, is unintelligible but still law today. The reality is that times change; therefore, the language used would be very different and need interpretation when applied in a modern-day case. </w:t>
      </w:r>
    </w:p>
    <w:p w14:paraId="3303B330" w14:textId="19A172BF" w:rsidR="007F0177" w:rsidRPr="00741E8B" w:rsidRDefault="007F0177" w:rsidP="00B6497B">
      <w:pPr>
        <w:pStyle w:val="NormalWeb"/>
        <w:spacing w:before="0" w:beforeAutospacing="0" w:after="0" w:afterAutospacing="0" w:line="480" w:lineRule="auto"/>
        <w:rPr>
          <w:color w:val="0E101A"/>
        </w:rPr>
      </w:pPr>
      <w:r w:rsidRPr="00741E8B">
        <w:rPr>
          <w:color w:val="0E101A"/>
        </w:rPr>
        <w:t xml:space="preserve">For this very reason, it raises whether lawmakers are clear in expressing their intentions via Statute? The possible answer is that it was clear in its intentions when writing that </w:t>
      </w:r>
      <w:r w:rsidR="00B17605" w:rsidRPr="00741E8B">
        <w:rPr>
          <w:color w:val="0E101A"/>
        </w:rPr>
        <w:t>law</w:t>
      </w:r>
      <w:r w:rsidRPr="00741E8B">
        <w:rPr>
          <w:color w:val="0E101A"/>
        </w:rPr>
        <w:t>. Does it also answer the question if statutory interpretation is necessary? It is fair to say that every case has its challenges and parameters, so generic judgement would indeed be unethical and unjust. However, with new social norms and the progression of civilization, instead of rewriting or amending the law, it becomes a necessary and more acceptable practice approach to interpret.</w:t>
      </w:r>
    </w:p>
    <w:p w14:paraId="3E865CB1" w14:textId="7CDF3A1F" w:rsidR="007F0177" w:rsidRPr="009D4050" w:rsidRDefault="007F0177" w:rsidP="00B6497B">
      <w:pPr>
        <w:pStyle w:val="NormalWeb"/>
        <w:spacing w:before="0" w:beforeAutospacing="0" w:after="0" w:afterAutospacing="0" w:line="480" w:lineRule="auto"/>
        <w:rPr>
          <w:b/>
          <w:bCs/>
          <w:color w:val="0E101A"/>
        </w:rPr>
      </w:pPr>
      <w:r w:rsidRPr="009D4050">
        <w:rPr>
          <w:b/>
          <w:bCs/>
          <w:color w:val="0E101A"/>
        </w:rPr>
        <w:t xml:space="preserve">Statutory Interpretation </w:t>
      </w:r>
      <w:r w:rsidR="00E80626" w:rsidRPr="009D4050">
        <w:rPr>
          <w:b/>
          <w:bCs/>
          <w:color w:val="0E101A"/>
        </w:rPr>
        <w:t>a</w:t>
      </w:r>
      <w:r w:rsidRPr="009D4050">
        <w:rPr>
          <w:b/>
          <w:bCs/>
          <w:color w:val="0E101A"/>
        </w:rPr>
        <w:t>pplied</w:t>
      </w:r>
    </w:p>
    <w:p w14:paraId="439ED655" w14:textId="77777777" w:rsidR="007F0177" w:rsidRPr="00741E8B" w:rsidRDefault="007F0177" w:rsidP="00B6497B">
      <w:pPr>
        <w:pStyle w:val="NormalWeb"/>
        <w:spacing w:before="0" w:beforeAutospacing="0" w:after="0" w:afterAutospacing="0" w:line="480" w:lineRule="auto"/>
        <w:rPr>
          <w:color w:val="0E101A"/>
        </w:rPr>
      </w:pPr>
      <w:r w:rsidRPr="00741E8B">
        <w:rPr>
          <w:rStyle w:val="Strong"/>
          <w:color w:val="0E101A"/>
        </w:rPr>
        <w:t>Court of Appeal (Civil Division) Chief Adjudication officer v Maguire</w:t>
      </w:r>
    </w:p>
    <w:p w14:paraId="3F914129" w14:textId="77777777" w:rsidR="007F0177" w:rsidRPr="00741E8B" w:rsidRDefault="007F0177" w:rsidP="00B6497B">
      <w:pPr>
        <w:pStyle w:val="NormalWeb"/>
        <w:spacing w:before="0" w:beforeAutospacing="0" w:after="0" w:afterAutospacing="0" w:line="480" w:lineRule="auto"/>
        <w:rPr>
          <w:color w:val="0E101A"/>
        </w:rPr>
      </w:pPr>
      <w:r w:rsidRPr="00741E8B">
        <w:rPr>
          <w:color w:val="0E101A"/>
        </w:rPr>
        <w:t>Maguire proclaimed to have contracted the industrial disease Vibration White Finger on April 1, 1985; he brought a claim in 1989 for disablement benefit and assessed at eight per cent from April 1, 1985, for life. </w:t>
      </w:r>
    </w:p>
    <w:p w14:paraId="427DAA45" w14:textId="77777777" w:rsidR="007F0177" w:rsidRPr="00741E8B" w:rsidRDefault="007F0177" w:rsidP="00B6497B">
      <w:pPr>
        <w:pStyle w:val="NormalWeb"/>
        <w:spacing w:before="0" w:beforeAutospacing="0" w:after="0" w:afterAutospacing="0" w:line="480" w:lineRule="auto"/>
        <w:rPr>
          <w:color w:val="0E101A"/>
        </w:rPr>
      </w:pPr>
      <w:r w:rsidRPr="00741E8B">
        <w:rPr>
          <w:color w:val="0E101A"/>
        </w:rPr>
        <w:t>Maquire had claimed Reduced Earnings Allowance (REA) from April 1985; however, on October 1, 1986, REA was replaced with the Special Hardship Allowance (SHA).</w:t>
      </w:r>
    </w:p>
    <w:p w14:paraId="69F9F3E1" w14:textId="77777777" w:rsidR="007F0177" w:rsidRPr="00741E8B" w:rsidRDefault="007F0177" w:rsidP="00B6497B">
      <w:pPr>
        <w:pStyle w:val="NormalWeb"/>
        <w:spacing w:before="0" w:beforeAutospacing="0" w:after="0" w:afterAutospacing="0" w:line="480" w:lineRule="auto"/>
        <w:rPr>
          <w:color w:val="0E101A"/>
        </w:rPr>
      </w:pPr>
      <w:r w:rsidRPr="00741E8B">
        <w:rPr>
          <w:color w:val="0E101A"/>
        </w:rPr>
        <w:lastRenderedPageBreak/>
        <w:t>Maguire had been awarded REA, backdated to October 1, 1986, but claimed to be entitled to SHA between April 1, 1985, and October 1, 1986. The Chief Adjudication Officer and the Secretary of State for Social Security appealed against Maguire's appeal from an Adjudication Officer's decision that he was not so entitled. The Chief Adjudication Officer contended, in reliance on </w:t>
      </w:r>
      <w:hyperlink r:id="rId8" w:tgtFrame="_blank" w:history="1">
        <w:r w:rsidRPr="00741E8B">
          <w:rPr>
            <w:rStyle w:val="Emphasis"/>
            <w:color w:val="0E101A"/>
          </w:rPr>
          <w:t>Abbott v Minister for Lands [1895] A.C. 425, [1895] 3 WLUK 122</w:t>
        </w:r>
      </w:hyperlink>
      <w:r w:rsidRPr="00741E8B">
        <w:rPr>
          <w:color w:val="0E101A"/>
        </w:rPr>
        <w:t>, that Maguire did not have an acquired or accrued right within the meaning of the </w:t>
      </w:r>
      <w:hyperlink r:id="rId9" w:tgtFrame="_blank" w:history="1">
        <w:r w:rsidRPr="00741E8B">
          <w:rPr>
            <w:rStyle w:val="Hyperlink"/>
            <w:rFonts w:eastAsiaTheme="majorEastAsia"/>
            <w:color w:val="4A6EE0"/>
          </w:rPr>
          <w:t>Interpretation Act 1978 s.16(1)(c)</w:t>
        </w:r>
      </w:hyperlink>
      <w:r w:rsidRPr="00741E8B">
        <w:rPr>
          <w:color w:val="0E101A"/>
        </w:rPr>
        <w:t> as he had taken no steps relating to that right before section 60 of the 1975 Act was repealed. The issue was whether Maguire had established a right at the time of repeal. Whilst a mere expectation of acquiring a right would not suffice, Maguire satisfied the conditions of entitlement to the benefit except had not made the necessary claim, and that right accrued from the time of prescription of Vibration White Finger. An agreement was granted for the reservation of Maguires right under s.16(1)(c) of the 1978 Act, provided he claimed within the prescribed period (Westlaw, 1999).</w:t>
      </w:r>
    </w:p>
    <w:p w14:paraId="350DDE46" w14:textId="77777777" w:rsidR="007F0177" w:rsidRPr="00741E8B" w:rsidRDefault="007F0177" w:rsidP="00B6497B">
      <w:pPr>
        <w:pStyle w:val="NormalWeb"/>
        <w:spacing w:before="0" w:beforeAutospacing="0" w:after="0" w:afterAutospacing="0" w:line="480" w:lineRule="auto"/>
        <w:rPr>
          <w:color w:val="0E101A"/>
        </w:rPr>
      </w:pPr>
      <w:r w:rsidRPr="00741E8B">
        <w:rPr>
          <w:color w:val="0E101A"/>
        </w:rPr>
        <w:t>In this case, applying the rules of statutory interpretation provided an answer; the prominent rule used in the defence was the Mischief rule. It highlighted that even with a change in the name of the benefit, his entitlement was still as just. Additionally, the purposive approach backs up the fact that the circumstance of entitlement did not change; due to the previous diagnosis, Maguire did, have the right at the time.</w:t>
      </w:r>
    </w:p>
    <w:p w14:paraId="6DEC4CC4" w14:textId="77777777" w:rsidR="007F0177" w:rsidRPr="00E80626" w:rsidRDefault="007F0177" w:rsidP="00B6497B">
      <w:pPr>
        <w:pStyle w:val="NormalWeb"/>
        <w:spacing w:before="0" w:beforeAutospacing="0" w:after="0" w:afterAutospacing="0" w:line="480" w:lineRule="auto"/>
        <w:rPr>
          <w:b/>
          <w:bCs/>
          <w:color w:val="0E101A"/>
        </w:rPr>
      </w:pPr>
      <w:r w:rsidRPr="00E80626">
        <w:rPr>
          <w:b/>
          <w:bCs/>
          <w:color w:val="0E101A"/>
        </w:rPr>
        <w:t>Advantages and Disadvantages</w:t>
      </w:r>
    </w:p>
    <w:p w14:paraId="37087B84" w14:textId="0BA33F5E" w:rsidR="007F0177" w:rsidRPr="00741E8B" w:rsidRDefault="007F0177" w:rsidP="00B6497B">
      <w:pPr>
        <w:pStyle w:val="NormalWeb"/>
        <w:spacing w:before="0" w:beforeAutospacing="0" w:after="0" w:afterAutospacing="0" w:line="480" w:lineRule="auto"/>
        <w:rPr>
          <w:color w:val="0E101A"/>
        </w:rPr>
      </w:pPr>
      <w:r w:rsidRPr="00741E8B">
        <w:rPr>
          <w:color w:val="0E101A"/>
        </w:rPr>
        <w:t xml:space="preserve">There are advantages and disadvantages as with any aspect of applied rules in law and life in general. For instance, the advantages of the literal rule are that it follows the exact word of Parliament without discretion and follows the context of its intent; therefore, it prevents the judges from creating their law interpretations. When applied, it also offers a constant, allowing the general public to understand how the law works and how judgment is applied. Regarding situational interpretation, several scholars voice their concerns and their praise for </w:t>
      </w:r>
      <w:r w:rsidRPr="00741E8B">
        <w:rPr>
          <w:color w:val="0E101A"/>
        </w:rPr>
        <w:lastRenderedPageBreak/>
        <w:t>the rules. Nevertheless, it would be remiss to ignore the associated disadvantages; it often contains words with several meanings or descriptions, making wording ambiguous. It does not make concessions as Parliament intends the Act to cover all eventualities relating to the Statute it represents comprehensively. </w:t>
      </w:r>
    </w:p>
    <w:p w14:paraId="5B774CAB" w14:textId="77777777" w:rsidR="007F0177" w:rsidRPr="00741E8B" w:rsidRDefault="007F0177" w:rsidP="00B6497B">
      <w:pPr>
        <w:pStyle w:val="NormalWeb"/>
        <w:spacing w:before="0" w:beforeAutospacing="0" w:after="0" w:afterAutospacing="0" w:line="480" w:lineRule="auto"/>
        <w:rPr>
          <w:color w:val="0E101A"/>
        </w:rPr>
      </w:pPr>
      <w:r w:rsidRPr="00741E8B">
        <w:rPr>
          <w:color w:val="0E101A"/>
        </w:rPr>
        <w:t>The Golden rule is a direct action to combat one of the above disadvantages of the literal rule. Where the literal rule produces an absurd outcome, the Golden rule can be applied as an alternative solution to prevent unjust outcomes. There are also many disadvantages associated with the Golden rule: the only time used is if the first rule fails and may produce an inconsistent judgment. </w:t>
      </w:r>
    </w:p>
    <w:p w14:paraId="4A7D1B46" w14:textId="77777777" w:rsidR="007F0177" w:rsidRPr="00741E8B" w:rsidRDefault="007F0177" w:rsidP="00B6497B">
      <w:pPr>
        <w:pStyle w:val="NormalWeb"/>
        <w:spacing w:before="0" w:beforeAutospacing="0" w:after="0" w:afterAutospacing="0" w:line="480" w:lineRule="auto"/>
        <w:rPr>
          <w:color w:val="0E101A"/>
        </w:rPr>
      </w:pPr>
      <w:r w:rsidRPr="00741E8B">
        <w:rPr>
          <w:color w:val="0E101A"/>
        </w:rPr>
        <w:t>The Mischief rule and Purposive approach both allow for a much broader overview when looking at the law's intent and purpose, allowing for more transparent and more refined justice in more individual cases.</w:t>
      </w:r>
    </w:p>
    <w:p w14:paraId="3C8C2C6A" w14:textId="77777777" w:rsidR="007F0177" w:rsidRPr="00741E8B" w:rsidRDefault="007F0177" w:rsidP="00B6497B">
      <w:pPr>
        <w:pStyle w:val="NormalWeb"/>
        <w:spacing w:before="0" w:beforeAutospacing="0" w:after="0" w:afterAutospacing="0" w:line="480" w:lineRule="auto"/>
        <w:rPr>
          <w:color w:val="0E101A"/>
        </w:rPr>
      </w:pPr>
      <w:r w:rsidRPr="00741E8B">
        <w:rPr>
          <w:color w:val="0E101A"/>
        </w:rPr>
        <w:t>Similarly, though, the disadvantages are not to be ignored. Mischief makes it hard for a lawyer to advise a client where the law has changed, especially as lawyers may be unaware of the statutory interpretation reasoning method.</w:t>
      </w:r>
    </w:p>
    <w:p w14:paraId="11287516" w14:textId="7B491072" w:rsidR="007F0177" w:rsidRPr="00741E8B" w:rsidRDefault="007F0177" w:rsidP="00B6497B">
      <w:pPr>
        <w:pStyle w:val="NormalWeb"/>
        <w:spacing w:before="0" w:beforeAutospacing="0" w:after="0" w:afterAutospacing="0" w:line="480" w:lineRule="auto"/>
        <w:rPr>
          <w:color w:val="0E101A"/>
        </w:rPr>
      </w:pPr>
      <w:r w:rsidRPr="00741E8B">
        <w:rPr>
          <w:color w:val="0E101A"/>
        </w:rPr>
        <w:t>The Purposive approach disadvantages directly contradict the literal rule allowing Judges' assumptions and opinions of the laws to use personal interpretations over the actual words of Parliament. (</w:t>
      </w:r>
      <w:r w:rsidR="00B17605" w:rsidRPr="00741E8B">
        <w:rPr>
          <w:color w:val="0E101A"/>
        </w:rPr>
        <w:t>Press</w:t>
      </w:r>
      <w:r w:rsidRPr="00741E8B">
        <w:rPr>
          <w:color w:val="0E101A"/>
        </w:rPr>
        <w:t>, 2015)</w:t>
      </w:r>
    </w:p>
    <w:p w14:paraId="74CA4C49" w14:textId="5F33E9C6" w:rsidR="007F0177" w:rsidRPr="00E80626" w:rsidRDefault="00C050DE" w:rsidP="00B6497B">
      <w:pPr>
        <w:pStyle w:val="NormalWeb"/>
        <w:spacing w:before="0" w:beforeAutospacing="0" w:after="0" w:afterAutospacing="0" w:line="480" w:lineRule="auto"/>
        <w:rPr>
          <w:b/>
          <w:bCs/>
          <w:color w:val="0E101A"/>
        </w:rPr>
      </w:pPr>
      <w:r>
        <w:rPr>
          <w:b/>
          <w:bCs/>
          <w:color w:val="0E101A"/>
        </w:rPr>
        <w:t>Conclusion</w:t>
      </w:r>
    </w:p>
    <w:p w14:paraId="0FDD7D37" w14:textId="77777777" w:rsidR="007F0177" w:rsidRPr="00741E8B" w:rsidRDefault="007F0177" w:rsidP="00B6497B">
      <w:pPr>
        <w:pStyle w:val="NormalWeb"/>
        <w:spacing w:before="0" w:beforeAutospacing="0" w:after="0" w:afterAutospacing="0" w:line="480" w:lineRule="auto"/>
        <w:rPr>
          <w:color w:val="0E101A"/>
        </w:rPr>
      </w:pPr>
      <w:r w:rsidRPr="00741E8B">
        <w:rPr>
          <w:color w:val="0E101A"/>
        </w:rPr>
        <w:t>Throughout this paper, the question asked is whether statutory interpretation diminishes the status of legislation as a primary source? </w:t>
      </w:r>
    </w:p>
    <w:p w14:paraId="3F1961A6" w14:textId="161375F7" w:rsidR="007F0177" w:rsidRPr="00741E8B" w:rsidRDefault="007F0177" w:rsidP="00B6497B">
      <w:pPr>
        <w:pStyle w:val="NormalWeb"/>
        <w:spacing w:before="0" w:beforeAutospacing="0" w:after="0" w:afterAutospacing="0" w:line="480" w:lineRule="auto"/>
        <w:rPr>
          <w:color w:val="0E101A"/>
        </w:rPr>
      </w:pPr>
      <w:r w:rsidRPr="00741E8B">
        <w:rPr>
          <w:color w:val="0E101A"/>
        </w:rPr>
        <w:t xml:space="preserve">There are certainly cases for and against statutory interpretation </w:t>
      </w:r>
      <w:r w:rsidR="00B17605" w:rsidRPr="00741E8B">
        <w:rPr>
          <w:color w:val="0E101A"/>
        </w:rPr>
        <w:t>but, it</w:t>
      </w:r>
      <w:r w:rsidRPr="00741E8B">
        <w:rPr>
          <w:color w:val="0E101A"/>
        </w:rPr>
        <w:t xml:space="preserve"> is a practice that is necessary for the law to be applied in judgment fairly. The United Kingdom has multifaceted systems to ensure the rule of law, especially when some are hundreds of years old or intrinsically entwined with previous European laws. Some laws are applied much broader and </w:t>
      </w:r>
      <w:r w:rsidRPr="00741E8B">
        <w:rPr>
          <w:color w:val="0E101A"/>
        </w:rPr>
        <w:lastRenderedPageBreak/>
        <w:t>incorporate more or, in some cases, less than their original purpose; with new laws taking growth and development into consideration, providing less need for interpretation in an evolving modern society. However, due to the complexities of understanding the law, it remains today that statutory interpretation plays an important part in law proceedings. </w:t>
      </w:r>
    </w:p>
    <w:p w14:paraId="6569B852" w14:textId="34BC927C" w:rsidR="00111480" w:rsidRPr="00741E8B" w:rsidRDefault="00111480" w:rsidP="00111480">
      <w:pPr>
        <w:rPr>
          <w:rFonts w:ascii="Times New Roman" w:hAnsi="Times New Roman" w:cs="Times New Roman"/>
          <w:sz w:val="24"/>
          <w:szCs w:val="24"/>
        </w:rPr>
      </w:pPr>
    </w:p>
    <w:p w14:paraId="2073935D" w14:textId="53DA7964" w:rsidR="00B42615" w:rsidRPr="00741E8B" w:rsidRDefault="00B42615" w:rsidP="002D1E30">
      <w:pPr>
        <w:rPr>
          <w:rFonts w:ascii="Times New Roman" w:hAnsi="Times New Roman" w:cs="Times New Roman"/>
          <w:sz w:val="24"/>
          <w:szCs w:val="24"/>
        </w:rPr>
      </w:pPr>
    </w:p>
    <w:p w14:paraId="0761021B" w14:textId="77777777" w:rsidR="009B39E4" w:rsidRPr="00741E8B" w:rsidRDefault="009B39E4" w:rsidP="002D1E30">
      <w:pPr>
        <w:rPr>
          <w:rFonts w:ascii="Times New Roman" w:hAnsi="Times New Roman" w:cs="Times New Roman"/>
          <w:sz w:val="24"/>
          <w:szCs w:val="24"/>
        </w:rPr>
      </w:pPr>
    </w:p>
    <w:sdt>
      <w:sdtPr>
        <w:rPr>
          <w:rFonts w:ascii="Times New Roman" w:eastAsiaTheme="minorHAnsi" w:hAnsi="Times New Roman" w:cs="Times New Roman"/>
          <w:color w:val="auto"/>
          <w:sz w:val="24"/>
          <w:szCs w:val="24"/>
        </w:rPr>
        <w:id w:val="1334649780"/>
        <w:docPartObj>
          <w:docPartGallery w:val="Bibliographies"/>
          <w:docPartUnique/>
        </w:docPartObj>
      </w:sdtPr>
      <w:sdtEndPr/>
      <w:sdtContent>
        <w:p w14:paraId="61C95611" w14:textId="681FD1F7" w:rsidR="000C1890" w:rsidRPr="00741E8B" w:rsidRDefault="000C1890">
          <w:pPr>
            <w:pStyle w:val="Heading1"/>
            <w:rPr>
              <w:rFonts w:ascii="Times New Roman" w:hAnsi="Times New Roman" w:cs="Times New Roman"/>
              <w:sz w:val="24"/>
              <w:szCs w:val="24"/>
            </w:rPr>
          </w:pPr>
          <w:r w:rsidRPr="00741E8B">
            <w:rPr>
              <w:rFonts w:ascii="Times New Roman" w:hAnsi="Times New Roman" w:cs="Times New Roman"/>
              <w:sz w:val="24"/>
              <w:szCs w:val="24"/>
            </w:rPr>
            <w:t>References</w:t>
          </w:r>
        </w:p>
        <w:sdt>
          <w:sdtPr>
            <w:rPr>
              <w:rFonts w:ascii="Times New Roman" w:hAnsi="Times New Roman" w:cs="Times New Roman"/>
              <w:sz w:val="24"/>
              <w:szCs w:val="24"/>
            </w:rPr>
            <w:id w:val="-573587230"/>
            <w:bibliography/>
          </w:sdtPr>
          <w:sdtEndPr/>
          <w:sdtContent>
            <w:p w14:paraId="02205B1F" w14:textId="47CE54F4" w:rsidR="00350AC2" w:rsidRDefault="000C1890" w:rsidP="00350AC2">
              <w:pPr>
                <w:pStyle w:val="Bibliography"/>
                <w:spacing w:line="480" w:lineRule="auto"/>
                <w:rPr>
                  <w:rFonts w:ascii="Times New Roman" w:hAnsi="Times New Roman" w:cs="Times New Roman"/>
                  <w:noProof/>
                  <w:sz w:val="24"/>
                  <w:szCs w:val="24"/>
                </w:rPr>
              </w:pPr>
              <w:r w:rsidRPr="00741E8B">
                <w:rPr>
                  <w:rFonts w:ascii="Times New Roman" w:hAnsi="Times New Roman" w:cs="Times New Roman"/>
                  <w:sz w:val="24"/>
                  <w:szCs w:val="24"/>
                </w:rPr>
                <w:fldChar w:fldCharType="begin"/>
              </w:r>
              <w:r w:rsidRPr="00741E8B">
                <w:rPr>
                  <w:rFonts w:ascii="Times New Roman" w:hAnsi="Times New Roman" w:cs="Times New Roman"/>
                  <w:sz w:val="24"/>
                  <w:szCs w:val="24"/>
                </w:rPr>
                <w:instrText xml:space="preserve"> BIBLIOGRAPHY </w:instrText>
              </w:r>
              <w:r w:rsidRPr="00741E8B">
                <w:rPr>
                  <w:rFonts w:ascii="Times New Roman" w:hAnsi="Times New Roman" w:cs="Times New Roman"/>
                  <w:sz w:val="24"/>
                  <w:szCs w:val="24"/>
                </w:rPr>
                <w:fldChar w:fldCharType="separate"/>
              </w:r>
              <w:r w:rsidR="00350AC2">
                <w:rPr>
                  <w:rFonts w:ascii="Times New Roman" w:hAnsi="Times New Roman" w:cs="Times New Roman"/>
                  <w:noProof/>
                  <w:sz w:val="24"/>
                  <w:szCs w:val="24"/>
                </w:rPr>
                <w:t>D</w:t>
              </w:r>
              <w:r w:rsidRPr="00741E8B">
                <w:rPr>
                  <w:rFonts w:ascii="Times New Roman" w:hAnsi="Times New Roman" w:cs="Times New Roman"/>
                  <w:noProof/>
                  <w:sz w:val="24"/>
                  <w:szCs w:val="24"/>
                </w:rPr>
                <w:t xml:space="preserve">ictionary, f., 2022. </w:t>
              </w:r>
              <w:r w:rsidRPr="00741E8B">
                <w:rPr>
                  <w:rFonts w:ascii="Times New Roman" w:hAnsi="Times New Roman" w:cs="Times New Roman"/>
                  <w:i/>
                  <w:iCs/>
                  <w:noProof/>
                  <w:sz w:val="24"/>
                  <w:szCs w:val="24"/>
                </w:rPr>
                <w:t xml:space="preserve">legal dictinary. </w:t>
              </w:r>
              <w:r w:rsidRPr="00741E8B">
                <w:rPr>
                  <w:rFonts w:ascii="Times New Roman" w:hAnsi="Times New Roman" w:cs="Times New Roman"/>
                  <w:noProof/>
                  <w:sz w:val="24"/>
                  <w:szCs w:val="24"/>
                </w:rPr>
                <w:t xml:space="preserve">[Online] Available at: </w:t>
              </w:r>
              <w:r w:rsidRPr="00741E8B">
                <w:rPr>
                  <w:rFonts w:ascii="Times New Roman" w:hAnsi="Times New Roman" w:cs="Times New Roman"/>
                  <w:noProof/>
                  <w:sz w:val="24"/>
                  <w:szCs w:val="24"/>
                  <w:u w:val="single"/>
                </w:rPr>
                <w:t>https://legal-dictionary.thefreedictionary.com/mischief+rule</w:t>
              </w:r>
              <w:r w:rsidR="00350AC2">
                <w:rPr>
                  <w:rFonts w:ascii="Times New Roman" w:hAnsi="Times New Roman" w:cs="Times New Roman"/>
                  <w:noProof/>
                  <w:sz w:val="24"/>
                  <w:szCs w:val="24"/>
                </w:rPr>
                <w:t xml:space="preserve"> </w:t>
              </w:r>
              <w:r w:rsidRPr="00741E8B">
                <w:rPr>
                  <w:rFonts w:ascii="Times New Roman" w:hAnsi="Times New Roman" w:cs="Times New Roman"/>
                  <w:noProof/>
                  <w:sz w:val="24"/>
                  <w:szCs w:val="24"/>
                </w:rPr>
                <w:t>[Accessed 20 april 22].</w:t>
              </w:r>
            </w:p>
            <w:p w14:paraId="0CBEDB85" w14:textId="77777777" w:rsidR="00350AC2" w:rsidRDefault="00350AC2" w:rsidP="00350AC2">
              <w:pPr>
                <w:pStyle w:val="Bibliography"/>
                <w:spacing w:line="480" w:lineRule="auto"/>
                <w:rPr>
                  <w:rFonts w:ascii="Times New Roman" w:hAnsi="Times New Roman" w:cs="Times New Roman"/>
                  <w:noProof/>
                  <w:sz w:val="24"/>
                  <w:szCs w:val="24"/>
                </w:rPr>
              </w:pPr>
              <w:r>
                <w:rPr>
                  <w:rFonts w:ascii="Times New Roman" w:hAnsi="Times New Roman" w:cs="Times New Roman"/>
                  <w:noProof/>
                  <w:sz w:val="24"/>
                  <w:szCs w:val="24"/>
                </w:rPr>
                <w:t>D</w:t>
              </w:r>
              <w:r w:rsidR="000C1890" w:rsidRPr="00741E8B">
                <w:rPr>
                  <w:rFonts w:ascii="Times New Roman" w:hAnsi="Times New Roman" w:cs="Times New Roman"/>
                  <w:noProof/>
                  <w:sz w:val="24"/>
                  <w:szCs w:val="24"/>
                </w:rPr>
                <w:t xml:space="preserve">ictonary, c., 2022. </w:t>
              </w:r>
              <w:r w:rsidR="000C1890" w:rsidRPr="00741E8B">
                <w:rPr>
                  <w:rFonts w:ascii="Times New Roman" w:hAnsi="Times New Roman" w:cs="Times New Roman"/>
                  <w:i/>
                  <w:iCs/>
                  <w:noProof/>
                  <w:sz w:val="24"/>
                  <w:szCs w:val="24"/>
                </w:rPr>
                <w:t xml:space="preserve">cambridge dictonary-interpretation. </w:t>
              </w:r>
              <w:r w:rsidR="000C1890" w:rsidRPr="00741E8B">
                <w:rPr>
                  <w:rFonts w:ascii="Times New Roman" w:hAnsi="Times New Roman" w:cs="Times New Roman"/>
                  <w:noProof/>
                  <w:sz w:val="24"/>
                  <w:szCs w:val="24"/>
                </w:rPr>
                <w:t xml:space="preserve">[Online] Available at: </w:t>
              </w:r>
              <w:r w:rsidR="000C1890" w:rsidRPr="00741E8B">
                <w:rPr>
                  <w:rFonts w:ascii="Times New Roman" w:hAnsi="Times New Roman" w:cs="Times New Roman"/>
                  <w:noProof/>
                  <w:sz w:val="24"/>
                  <w:szCs w:val="24"/>
                  <w:u w:val="single"/>
                </w:rPr>
                <w:t>https://dictionary.cambridge.org/dictionary/english/interpretation</w:t>
              </w:r>
              <w:r w:rsidR="000C1890" w:rsidRPr="00741E8B">
                <w:rPr>
                  <w:rFonts w:ascii="Times New Roman" w:hAnsi="Times New Roman" w:cs="Times New Roman"/>
                  <w:noProof/>
                  <w:sz w:val="24"/>
                  <w:szCs w:val="24"/>
                </w:rPr>
                <w:t>[Accessed 20 april 22].</w:t>
              </w:r>
            </w:p>
            <w:p w14:paraId="58D8F6EE" w14:textId="77777777" w:rsidR="00A51E60" w:rsidRDefault="003D2770" w:rsidP="00A51E60">
              <w:pPr>
                <w:pStyle w:val="Bibliography"/>
                <w:spacing w:line="480" w:lineRule="auto"/>
                <w:rPr>
                  <w:rFonts w:ascii="Times New Roman" w:hAnsi="Times New Roman" w:cs="Times New Roman"/>
                  <w:noProof/>
                  <w:sz w:val="24"/>
                  <w:szCs w:val="24"/>
                </w:rPr>
              </w:pPr>
              <w:r>
                <w:rPr>
                  <w:rFonts w:ascii="Times New Roman" w:hAnsi="Times New Roman" w:cs="Times New Roman"/>
                  <w:noProof/>
                  <w:sz w:val="24"/>
                  <w:szCs w:val="24"/>
                </w:rPr>
                <w:t>D</w:t>
              </w:r>
              <w:r w:rsidR="000C1890" w:rsidRPr="00741E8B">
                <w:rPr>
                  <w:rFonts w:ascii="Times New Roman" w:hAnsi="Times New Roman" w:cs="Times New Roman"/>
                  <w:noProof/>
                  <w:sz w:val="24"/>
                  <w:szCs w:val="24"/>
                </w:rPr>
                <w:t xml:space="preserve">roit.net, c. d., 2022. </w:t>
              </w:r>
              <w:r w:rsidR="000C1890" w:rsidRPr="00741E8B">
                <w:rPr>
                  <w:rFonts w:ascii="Times New Roman" w:hAnsi="Times New Roman" w:cs="Times New Roman"/>
                  <w:i/>
                  <w:iCs/>
                  <w:noProof/>
                  <w:sz w:val="24"/>
                  <w:szCs w:val="24"/>
                </w:rPr>
                <w:t xml:space="preserve">legislation the source of english law. </w:t>
              </w:r>
              <w:r w:rsidR="000C1890" w:rsidRPr="00741E8B">
                <w:rPr>
                  <w:rFonts w:ascii="Times New Roman" w:hAnsi="Times New Roman" w:cs="Times New Roman"/>
                  <w:noProof/>
                  <w:sz w:val="24"/>
                  <w:szCs w:val="24"/>
                </w:rPr>
                <w:t xml:space="preserve">[Online] Available at: </w:t>
              </w:r>
              <w:r w:rsidR="000C1890" w:rsidRPr="00741E8B">
                <w:rPr>
                  <w:rFonts w:ascii="Times New Roman" w:hAnsi="Times New Roman" w:cs="Times New Roman"/>
                  <w:noProof/>
                  <w:sz w:val="24"/>
                  <w:szCs w:val="24"/>
                  <w:u w:val="single"/>
                </w:rPr>
                <w:t>https://cours-de-droit.net/legislation-source-english-law/</w:t>
              </w:r>
              <w:r>
                <w:rPr>
                  <w:rFonts w:ascii="Times New Roman" w:hAnsi="Times New Roman" w:cs="Times New Roman"/>
                  <w:noProof/>
                  <w:sz w:val="24"/>
                  <w:szCs w:val="24"/>
                </w:rPr>
                <w:t xml:space="preserve"> </w:t>
              </w:r>
              <w:r w:rsidR="000C1890" w:rsidRPr="00741E8B">
                <w:rPr>
                  <w:rFonts w:ascii="Times New Roman" w:hAnsi="Times New Roman" w:cs="Times New Roman"/>
                  <w:noProof/>
                  <w:sz w:val="24"/>
                  <w:szCs w:val="24"/>
                </w:rPr>
                <w:t>[Accessed 20 april 22].</w:t>
              </w:r>
            </w:p>
            <w:p w14:paraId="66865711" w14:textId="77777777" w:rsidR="00595BD4" w:rsidRDefault="00A51E60" w:rsidP="00595BD4">
              <w:pPr>
                <w:pStyle w:val="Bibliography"/>
                <w:spacing w:line="480" w:lineRule="auto"/>
                <w:rPr>
                  <w:rFonts w:ascii="Times New Roman" w:hAnsi="Times New Roman" w:cs="Times New Roman"/>
                  <w:noProof/>
                  <w:sz w:val="24"/>
                  <w:szCs w:val="24"/>
                </w:rPr>
              </w:pPr>
              <w:r>
                <w:rPr>
                  <w:rFonts w:ascii="Times New Roman" w:hAnsi="Times New Roman" w:cs="Times New Roman"/>
                  <w:noProof/>
                  <w:sz w:val="24"/>
                  <w:szCs w:val="24"/>
                </w:rPr>
                <w:t>E</w:t>
              </w:r>
              <w:r w:rsidR="000C1890" w:rsidRPr="00741E8B">
                <w:rPr>
                  <w:rFonts w:ascii="Times New Roman" w:hAnsi="Times New Roman" w:cs="Times New Roman"/>
                  <w:noProof/>
                  <w:sz w:val="24"/>
                  <w:szCs w:val="24"/>
                </w:rPr>
                <w:t xml:space="preserve">-lawresources, 2022. </w:t>
              </w:r>
              <w:r w:rsidR="000C1890" w:rsidRPr="00741E8B">
                <w:rPr>
                  <w:rFonts w:ascii="Times New Roman" w:hAnsi="Times New Roman" w:cs="Times New Roman"/>
                  <w:i/>
                  <w:iCs/>
                  <w:noProof/>
                  <w:sz w:val="24"/>
                  <w:szCs w:val="24"/>
                </w:rPr>
                <w:t xml:space="preserve">e-lawresources statutory interpretation. </w:t>
              </w:r>
              <w:r w:rsidR="000C1890" w:rsidRPr="00741E8B">
                <w:rPr>
                  <w:rFonts w:ascii="Times New Roman" w:hAnsi="Times New Roman" w:cs="Times New Roman"/>
                  <w:noProof/>
                  <w:sz w:val="24"/>
                  <w:szCs w:val="24"/>
                </w:rPr>
                <w:t xml:space="preserve">[Online] Available at: </w:t>
              </w:r>
              <w:r w:rsidR="000C1890" w:rsidRPr="00741E8B">
                <w:rPr>
                  <w:rFonts w:ascii="Times New Roman" w:hAnsi="Times New Roman" w:cs="Times New Roman"/>
                  <w:noProof/>
                  <w:sz w:val="24"/>
                  <w:szCs w:val="24"/>
                  <w:u w:val="single"/>
                </w:rPr>
                <w:t>http://www.e-lawresources.co.uk/Literal-rule.php#:~:text=The%20literal%20rule%20of%20statutory%20interpretation%20should%20be%20the%20first,make%20sense%20of%20the%20statute.</w:t>
              </w:r>
              <w:r w:rsidR="00595BD4">
                <w:rPr>
                  <w:rFonts w:ascii="Times New Roman" w:hAnsi="Times New Roman" w:cs="Times New Roman"/>
                  <w:noProof/>
                  <w:sz w:val="24"/>
                  <w:szCs w:val="24"/>
                </w:rPr>
                <w:t xml:space="preserve"> </w:t>
              </w:r>
              <w:r w:rsidR="000C1890" w:rsidRPr="00741E8B">
                <w:rPr>
                  <w:rFonts w:ascii="Times New Roman" w:hAnsi="Times New Roman" w:cs="Times New Roman"/>
                  <w:noProof/>
                  <w:sz w:val="24"/>
                  <w:szCs w:val="24"/>
                </w:rPr>
                <w:t>[Accessed 20 april 22].</w:t>
              </w:r>
            </w:p>
            <w:p w14:paraId="002E18F0" w14:textId="77777777" w:rsidR="00595BD4" w:rsidRDefault="000C1890" w:rsidP="00595BD4">
              <w:pPr>
                <w:pStyle w:val="Bibliography"/>
                <w:spacing w:line="480" w:lineRule="auto"/>
                <w:rPr>
                  <w:rFonts w:ascii="Times New Roman" w:hAnsi="Times New Roman" w:cs="Times New Roman"/>
                  <w:noProof/>
                  <w:sz w:val="24"/>
                  <w:szCs w:val="24"/>
                </w:rPr>
              </w:pPr>
              <w:r w:rsidRPr="00741E8B">
                <w:rPr>
                  <w:rFonts w:ascii="Times New Roman" w:hAnsi="Times New Roman" w:cs="Times New Roman"/>
                  <w:noProof/>
                  <w:sz w:val="24"/>
                  <w:szCs w:val="24"/>
                </w:rPr>
                <w:t xml:space="preserve">LawTeacher, 2013. </w:t>
              </w:r>
              <w:r w:rsidRPr="00741E8B">
                <w:rPr>
                  <w:rFonts w:ascii="Times New Roman" w:hAnsi="Times New Roman" w:cs="Times New Roman"/>
                  <w:i/>
                  <w:iCs/>
                  <w:noProof/>
                  <w:sz w:val="24"/>
                  <w:szCs w:val="24"/>
                </w:rPr>
                <w:t xml:space="preserve">The Rules Behind Statutory Interpretation. </w:t>
              </w:r>
              <w:r w:rsidRPr="00741E8B">
                <w:rPr>
                  <w:rFonts w:ascii="Times New Roman" w:hAnsi="Times New Roman" w:cs="Times New Roman"/>
                  <w:noProof/>
                  <w:sz w:val="24"/>
                  <w:szCs w:val="24"/>
                </w:rPr>
                <w:t xml:space="preserve">[Online] </w:t>
              </w:r>
              <w:r w:rsidRPr="00741E8B">
                <w:rPr>
                  <w:rFonts w:ascii="Times New Roman" w:hAnsi="Times New Roman" w:cs="Times New Roman"/>
                  <w:noProof/>
                  <w:sz w:val="24"/>
                  <w:szCs w:val="24"/>
                </w:rPr>
                <w:br/>
                <w:t xml:space="preserve">Available at: </w:t>
              </w:r>
              <w:r w:rsidRPr="00741E8B">
                <w:rPr>
                  <w:rFonts w:ascii="Times New Roman" w:hAnsi="Times New Roman" w:cs="Times New Roman"/>
                  <w:noProof/>
                  <w:sz w:val="24"/>
                  <w:szCs w:val="24"/>
                  <w:u w:val="single"/>
                </w:rPr>
                <w:t>https://www.lawteacher.net/free-law-essays/administrative-law/the-rules-behind-statutory-interpretation-administrative-law-essay.php#citethis</w:t>
              </w:r>
              <w:r w:rsidR="00595BD4">
                <w:rPr>
                  <w:rFonts w:ascii="Times New Roman" w:hAnsi="Times New Roman" w:cs="Times New Roman"/>
                  <w:noProof/>
                  <w:sz w:val="24"/>
                  <w:szCs w:val="24"/>
                </w:rPr>
                <w:t xml:space="preserve"> </w:t>
              </w:r>
              <w:r w:rsidRPr="00741E8B">
                <w:rPr>
                  <w:rFonts w:ascii="Times New Roman" w:hAnsi="Times New Roman" w:cs="Times New Roman"/>
                  <w:noProof/>
                  <w:sz w:val="24"/>
                  <w:szCs w:val="24"/>
                </w:rPr>
                <w:t>[Accessed 24 april 22].</w:t>
              </w:r>
            </w:p>
            <w:p w14:paraId="145579D0" w14:textId="77777777" w:rsidR="00B56C5F" w:rsidRDefault="000C1890" w:rsidP="00B56C5F">
              <w:pPr>
                <w:pStyle w:val="Bibliography"/>
                <w:spacing w:line="480" w:lineRule="auto"/>
                <w:rPr>
                  <w:rFonts w:ascii="Times New Roman" w:hAnsi="Times New Roman" w:cs="Times New Roman"/>
                  <w:noProof/>
                  <w:sz w:val="24"/>
                  <w:szCs w:val="24"/>
                </w:rPr>
              </w:pPr>
              <w:r w:rsidRPr="00741E8B">
                <w:rPr>
                  <w:rFonts w:ascii="Times New Roman" w:hAnsi="Times New Roman" w:cs="Times New Roman"/>
                  <w:noProof/>
                  <w:sz w:val="24"/>
                  <w:szCs w:val="24"/>
                </w:rPr>
                <w:t xml:space="preserve">Legislation.gov.uk, 1267. </w:t>
              </w:r>
              <w:r w:rsidRPr="00741E8B">
                <w:rPr>
                  <w:rFonts w:ascii="Times New Roman" w:hAnsi="Times New Roman" w:cs="Times New Roman"/>
                  <w:i/>
                  <w:iCs/>
                  <w:noProof/>
                  <w:sz w:val="24"/>
                  <w:szCs w:val="24"/>
                </w:rPr>
                <w:t xml:space="preserve">The Statute of Marlborough 1267 [Distress]. </w:t>
              </w:r>
              <w:r w:rsidRPr="00741E8B">
                <w:rPr>
                  <w:rFonts w:ascii="Times New Roman" w:hAnsi="Times New Roman" w:cs="Times New Roman"/>
                  <w:noProof/>
                  <w:sz w:val="24"/>
                  <w:szCs w:val="24"/>
                </w:rPr>
                <w:t xml:space="preserve">[Online] </w:t>
              </w:r>
              <w:r w:rsidRPr="00741E8B">
                <w:rPr>
                  <w:rFonts w:ascii="Times New Roman" w:hAnsi="Times New Roman" w:cs="Times New Roman"/>
                  <w:noProof/>
                  <w:sz w:val="24"/>
                  <w:szCs w:val="24"/>
                </w:rPr>
                <w:br/>
                <w:t xml:space="preserve">Available at: </w:t>
              </w:r>
              <w:r w:rsidRPr="00741E8B">
                <w:rPr>
                  <w:rFonts w:ascii="Times New Roman" w:hAnsi="Times New Roman" w:cs="Times New Roman"/>
                  <w:noProof/>
                  <w:sz w:val="24"/>
                  <w:szCs w:val="24"/>
                  <w:u w:val="single"/>
                </w:rPr>
                <w:t>https://www.legislation.gov.uk/aep/Hen3cc1415/52/1</w:t>
              </w:r>
              <w:r w:rsidR="00595BD4">
                <w:rPr>
                  <w:rFonts w:ascii="Times New Roman" w:hAnsi="Times New Roman" w:cs="Times New Roman"/>
                  <w:noProof/>
                  <w:sz w:val="24"/>
                  <w:szCs w:val="24"/>
                </w:rPr>
                <w:t xml:space="preserve"> </w:t>
              </w:r>
              <w:r w:rsidRPr="00741E8B">
                <w:rPr>
                  <w:rFonts w:ascii="Times New Roman" w:hAnsi="Times New Roman" w:cs="Times New Roman"/>
                  <w:noProof/>
                  <w:sz w:val="24"/>
                  <w:szCs w:val="24"/>
                </w:rPr>
                <w:t>[Accessed 02 may 22]</w:t>
              </w:r>
            </w:p>
            <w:p w14:paraId="080BD148" w14:textId="77777777" w:rsidR="00B56C5F" w:rsidRDefault="000C1890" w:rsidP="00B56C5F">
              <w:pPr>
                <w:pStyle w:val="Bibliography"/>
                <w:spacing w:line="480" w:lineRule="auto"/>
                <w:rPr>
                  <w:rFonts w:ascii="Times New Roman" w:hAnsi="Times New Roman" w:cs="Times New Roman"/>
                  <w:noProof/>
                  <w:sz w:val="24"/>
                  <w:szCs w:val="24"/>
                </w:rPr>
              </w:pPr>
              <w:r w:rsidRPr="00741E8B">
                <w:rPr>
                  <w:rFonts w:ascii="Times New Roman" w:hAnsi="Times New Roman" w:cs="Times New Roman"/>
                  <w:noProof/>
                  <w:sz w:val="24"/>
                  <w:szCs w:val="24"/>
                </w:rPr>
                <w:lastRenderedPageBreak/>
                <w:t xml:space="preserve">LexisPLS, 2015. </w:t>
              </w:r>
              <w:r w:rsidRPr="00741E8B">
                <w:rPr>
                  <w:rFonts w:ascii="Times New Roman" w:hAnsi="Times New Roman" w:cs="Times New Roman"/>
                  <w:i/>
                  <w:iCs/>
                  <w:noProof/>
                  <w:sz w:val="24"/>
                  <w:szCs w:val="24"/>
                </w:rPr>
                <w:t xml:space="preserve">LexisNexis Q&amp;As. </w:t>
              </w:r>
              <w:r w:rsidRPr="00741E8B">
                <w:rPr>
                  <w:rFonts w:ascii="Times New Roman" w:hAnsi="Times New Roman" w:cs="Times New Roman"/>
                  <w:noProof/>
                  <w:sz w:val="24"/>
                  <w:szCs w:val="24"/>
                </w:rPr>
                <w:t xml:space="preserve">[Online] </w:t>
              </w:r>
              <w:r w:rsidRPr="00741E8B">
                <w:rPr>
                  <w:rFonts w:ascii="Times New Roman" w:hAnsi="Times New Roman" w:cs="Times New Roman"/>
                  <w:noProof/>
                  <w:sz w:val="24"/>
                  <w:szCs w:val="24"/>
                </w:rPr>
                <w:br/>
                <w:t xml:space="preserve">Available at: </w:t>
              </w:r>
              <w:r w:rsidRPr="00741E8B">
                <w:rPr>
                  <w:rFonts w:ascii="Times New Roman" w:hAnsi="Times New Roman" w:cs="Times New Roman"/>
                  <w:noProof/>
                  <w:sz w:val="24"/>
                  <w:szCs w:val="24"/>
                  <w:u w:val="single"/>
                </w:rPr>
                <w:t>https://www.lexisnexis.co.uk/legal/guidance/what-is-the-purposive-approach-to-statutory-interpretation#:~:text=The%20purposive%20approach%20has%20its,in%20accordance%20with%20that%20purpose.</w:t>
              </w:r>
              <w:r w:rsidR="00B56C5F">
                <w:rPr>
                  <w:rFonts w:ascii="Times New Roman" w:hAnsi="Times New Roman" w:cs="Times New Roman"/>
                  <w:noProof/>
                  <w:sz w:val="24"/>
                  <w:szCs w:val="24"/>
                </w:rPr>
                <w:t xml:space="preserve"> </w:t>
              </w:r>
              <w:r w:rsidRPr="00741E8B">
                <w:rPr>
                  <w:rFonts w:ascii="Times New Roman" w:hAnsi="Times New Roman" w:cs="Times New Roman"/>
                  <w:noProof/>
                  <w:sz w:val="24"/>
                  <w:szCs w:val="24"/>
                </w:rPr>
                <w:t>[Accessed 20 april 22].</w:t>
              </w:r>
            </w:p>
            <w:p w14:paraId="0479356E" w14:textId="77777777" w:rsidR="0029214B" w:rsidRDefault="00B56C5F" w:rsidP="0029214B">
              <w:pPr>
                <w:pStyle w:val="Bibliography"/>
                <w:spacing w:line="480" w:lineRule="auto"/>
                <w:rPr>
                  <w:rFonts w:ascii="Times New Roman" w:hAnsi="Times New Roman" w:cs="Times New Roman"/>
                  <w:noProof/>
                  <w:sz w:val="24"/>
                  <w:szCs w:val="24"/>
                </w:rPr>
              </w:pPr>
              <w:r>
                <w:rPr>
                  <w:rFonts w:ascii="Times New Roman" w:hAnsi="Times New Roman" w:cs="Times New Roman"/>
                  <w:noProof/>
                  <w:sz w:val="24"/>
                  <w:szCs w:val="24"/>
                </w:rPr>
                <w:t>P</w:t>
              </w:r>
              <w:r w:rsidR="000C1890" w:rsidRPr="00741E8B">
                <w:rPr>
                  <w:rFonts w:ascii="Times New Roman" w:hAnsi="Times New Roman" w:cs="Times New Roman"/>
                  <w:noProof/>
                  <w:sz w:val="24"/>
                  <w:szCs w:val="24"/>
                </w:rPr>
                <w:t xml:space="preserve">arliament, u., 2022. </w:t>
              </w:r>
              <w:r w:rsidR="000C1890" w:rsidRPr="00741E8B">
                <w:rPr>
                  <w:rFonts w:ascii="Times New Roman" w:hAnsi="Times New Roman" w:cs="Times New Roman"/>
                  <w:i/>
                  <w:iCs/>
                  <w:noProof/>
                  <w:sz w:val="24"/>
                  <w:szCs w:val="24"/>
                </w:rPr>
                <w:t xml:space="preserve">uk parliament. </w:t>
              </w:r>
              <w:r w:rsidR="000C1890" w:rsidRPr="00741E8B">
                <w:rPr>
                  <w:rFonts w:ascii="Times New Roman" w:hAnsi="Times New Roman" w:cs="Times New Roman"/>
                  <w:noProof/>
                  <w:sz w:val="24"/>
                  <w:szCs w:val="24"/>
                </w:rPr>
                <w:t xml:space="preserve">[Online] </w:t>
              </w:r>
              <w:r w:rsidR="000C1890" w:rsidRPr="00741E8B">
                <w:rPr>
                  <w:rFonts w:ascii="Times New Roman" w:hAnsi="Times New Roman" w:cs="Times New Roman"/>
                  <w:noProof/>
                  <w:sz w:val="24"/>
                  <w:szCs w:val="24"/>
                </w:rPr>
                <w:br/>
                <w:t xml:space="preserve">Available at: </w:t>
              </w:r>
              <w:r w:rsidR="000C1890" w:rsidRPr="00741E8B">
                <w:rPr>
                  <w:rFonts w:ascii="Times New Roman" w:hAnsi="Times New Roman" w:cs="Times New Roman"/>
                  <w:noProof/>
                  <w:sz w:val="24"/>
                  <w:szCs w:val="24"/>
                  <w:u w:val="single"/>
                </w:rPr>
                <w:t>https://www.parliament.uk/site-information/glossary/primary</w:t>
              </w:r>
              <w:r w:rsidR="0029214B">
                <w:rPr>
                  <w:rFonts w:ascii="Times New Roman" w:hAnsi="Times New Roman" w:cs="Times New Roman"/>
                  <w:noProof/>
                  <w:sz w:val="24"/>
                  <w:szCs w:val="24"/>
                  <w:u w:val="single"/>
                </w:rPr>
                <w:t>-</w:t>
              </w:r>
              <w:r w:rsidR="000C1890" w:rsidRPr="00741E8B">
                <w:rPr>
                  <w:rFonts w:ascii="Times New Roman" w:hAnsi="Times New Roman" w:cs="Times New Roman"/>
                  <w:noProof/>
                  <w:sz w:val="24"/>
                  <w:szCs w:val="24"/>
                  <w:u w:val="single"/>
                </w:rPr>
                <w:t>legislation/?id=32625</w:t>
              </w:r>
              <w:r w:rsidR="0029214B">
                <w:rPr>
                  <w:rFonts w:ascii="Times New Roman" w:hAnsi="Times New Roman" w:cs="Times New Roman"/>
                  <w:noProof/>
                  <w:sz w:val="24"/>
                  <w:szCs w:val="24"/>
                </w:rPr>
                <w:t xml:space="preserve"> </w:t>
              </w:r>
              <w:r w:rsidR="000C1890" w:rsidRPr="00741E8B">
                <w:rPr>
                  <w:rFonts w:ascii="Times New Roman" w:hAnsi="Times New Roman" w:cs="Times New Roman"/>
                  <w:noProof/>
                  <w:sz w:val="24"/>
                  <w:szCs w:val="24"/>
                </w:rPr>
                <w:t>[Accessed 20 april 22].</w:t>
              </w:r>
            </w:p>
            <w:p w14:paraId="6A92B280" w14:textId="77777777" w:rsidR="00F44087" w:rsidRDefault="0029214B" w:rsidP="00F44087">
              <w:pPr>
                <w:pStyle w:val="Bibliography"/>
                <w:spacing w:line="480" w:lineRule="auto"/>
                <w:rPr>
                  <w:rFonts w:ascii="Times New Roman" w:hAnsi="Times New Roman" w:cs="Times New Roman"/>
                  <w:noProof/>
                  <w:sz w:val="24"/>
                  <w:szCs w:val="24"/>
                </w:rPr>
              </w:pPr>
              <w:r>
                <w:rPr>
                  <w:rFonts w:ascii="Times New Roman" w:hAnsi="Times New Roman" w:cs="Times New Roman"/>
                  <w:noProof/>
                  <w:sz w:val="24"/>
                  <w:szCs w:val="24"/>
                </w:rPr>
                <w:t>P</w:t>
              </w:r>
              <w:r w:rsidR="000C1890" w:rsidRPr="00741E8B">
                <w:rPr>
                  <w:rFonts w:ascii="Times New Roman" w:hAnsi="Times New Roman" w:cs="Times New Roman"/>
                  <w:noProof/>
                  <w:sz w:val="24"/>
                  <w:szCs w:val="24"/>
                </w:rPr>
                <w:t xml:space="preserve">ress, o. u., 2022. </w:t>
              </w:r>
              <w:r w:rsidR="000C1890" w:rsidRPr="00741E8B">
                <w:rPr>
                  <w:rFonts w:ascii="Times New Roman" w:hAnsi="Times New Roman" w:cs="Times New Roman"/>
                  <w:i/>
                  <w:iCs/>
                  <w:noProof/>
                  <w:sz w:val="24"/>
                  <w:szCs w:val="24"/>
                </w:rPr>
                <w:t xml:space="preserve">oxford referance. </w:t>
              </w:r>
              <w:r w:rsidR="000C1890" w:rsidRPr="00741E8B">
                <w:rPr>
                  <w:rFonts w:ascii="Times New Roman" w:hAnsi="Times New Roman" w:cs="Times New Roman"/>
                  <w:noProof/>
                  <w:sz w:val="24"/>
                  <w:szCs w:val="24"/>
                </w:rPr>
                <w:t xml:space="preserve">[Online] Available at: </w:t>
              </w:r>
              <w:r w:rsidR="000C1890" w:rsidRPr="00741E8B">
                <w:rPr>
                  <w:rFonts w:ascii="Times New Roman" w:hAnsi="Times New Roman" w:cs="Times New Roman"/>
                  <w:noProof/>
                  <w:sz w:val="24"/>
                  <w:szCs w:val="24"/>
                  <w:u w:val="single"/>
                </w:rPr>
                <w:t>https://www.oxfordreference.com/view/10.1093/oi/authority.20110803100529647#:~:text=The%20process%20by%20which%20a,hand%20and%20reach%20a%20decision.</w:t>
              </w:r>
              <w:r w:rsidR="000C1890" w:rsidRPr="00741E8B">
                <w:rPr>
                  <w:rFonts w:ascii="Times New Roman" w:hAnsi="Times New Roman" w:cs="Times New Roman"/>
                  <w:noProof/>
                  <w:sz w:val="24"/>
                  <w:szCs w:val="24"/>
                </w:rPr>
                <w:t xml:space="preserve">[Accessed 20 </w:t>
              </w:r>
              <w:r w:rsidR="00F44087">
                <w:rPr>
                  <w:rFonts w:ascii="Times New Roman" w:hAnsi="Times New Roman" w:cs="Times New Roman"/>
                  <w:noProof/>
                  <w:sz w:val="24"/>
                  <w:szCs w:val="24"/>
                </w:rPr>
                <w:t xml:space="preserve"> </w:t>
              </w:r>
              <w:r w:rsidR="000C1890" w:rsidRPr="00741E8B">
                <w:rPr>
                  <w:rFonts w:ascii="Times New Roman" w:hAnsi="Times New Roman" w:cs="Times New Roman"/>
                  <w:noProof/>
                  <w:sz w:val="24"/>
                  <w:szCs w:val="24"/>
                </w:rPr>
                <w:t>April 22].</w:t>
              </w:r>
            </w:p>
            <w:p w14:paraId="2FE88EAF" w14:textId="77777777" w:rsidR="00436D7D" w:rsidRDefault="00F44087" w:rsidP="00436D7D">
              <w:pPr>
                <w:pStyle w:val="Bibliography"/>
                <w:spacing w:line="480" w:lineRule="auto"/>
                <w:rPr>
                  <w:rFonts w:ascii="Times New Roman" w:hAnsi="Times New Roman" w:cs="Times New Roman"/>
                  <w:noProof/>
                  <w:sz w:val="24"/>
                  <w:szCs w:val="24"/>
                </w:rPr>
              </w:pPr>
              <w:r>
                <w:rPr>
                  <w:rFonts w:ascii="Times New Roman" w:hAnsi="Times New Roman" w:cs="Times New Roman"/>
                  <w:noProof/>
                  <w:sz w:val="24"/>
                  <w:szCs w:val="24"/>
                </w:rPr>
                <w:t>P</w:t>
              </w:r>
              <w:r w:rsidR="000C1890" w:rsidRPr="00741E8B">
                <w:rPr>
                  <w:rFonts w:ascii="Times New Roman" w:hAnsi="Times New Roman" w:cs="Times New Roman"/>
                  <w:noProof/>
                  <w:sz w:val="24"/>
                  <w:szCs w:val="24"/>
                </w:rPr>
                <w:t xml:space="preserve">ress, w., 2015. </w:t>
              </w:r>
              <w:r w:rsidR="000C1890" w:rsidRPr="00741E8B">
                <w:rPr>
                  <w:rFonts w:ascii="Times New Roman" w:hAnsi="Times New Roman" w:cs="Times New Roman"/>
                  <w:i/>
                  <w:iCs/>
                  <w:noProof/>
                  <w:sz w:val="24"/>
                  <w:szCs w:val="24"/>
                </w:rPr>
                <w:t xml:space="preserve">Statutory interpretaion advantages and disadvantages. </w:t>
              </w:r>
              <w:r w:rsidR="000C1890" w:rsidRPr="00741E8B">
                <w:rPr>
                  <w:rFonts w:ascii="Times New Roman" w:hAnsi="Times New Roman" w:cs="Times New Roman"/>
                  <w:noProof/>
                  <w:sz w:val="24"/>
                  <w:szCs w:val="24"/>
                </w:rPr>
                <w:t>s.l.:https://sjrlawblog.files.wordpress.com.</w:t>
              </w:r>
            </w:p>
            <w:p w14:paraId="398ECCF7" w14:textId="77777777" w:rsidR="00406EA7" w:rsidRDefault="00436D7D" w:rsidP="00406EA7">
              <w:pPr>
                <w:pStyle w:val="Bibliography"/>
                <w:spacing w:line="480" w:lineRule="auto"/>
                <w:rPr>
                  <w:rFonts w:ascii="Times New Roman" w:hAnsi="Times New Roman" w:cs="Times New Roman"/>
                  <w:noProof/>
                  <w:sz w:val="24"/>
                  <w:szCs w:val="24"/>
                </w:rPr>
              </w:pPr>
              <w:r>
                <w:rPr>
                  <w:rFonts w:ascii="Times New Roman" w:hAnsi="Times New Roman" w:cs="Times New Roman"/>
                  <w:noProof/>
                  <w:sz w:val="24"/>
                  <w:szCs w:val="24"/>
                </w:rPr>
                <w:t>U</w:t>
              </w:r>
              <w:r w:rsidR="000C1890" w:rsidRPr="00741E8B">
                <w:rPr>
                  <w:rFonts w:ascii="Times New Roman" w:hAnsi="Times New Roman" w:cs="Times New Roman"/>
                  <w:noProof/>
                  <w:sz w:val="24"/>
                  <w:szCs w:val="24"/>
                </w:rPr>
                <w:t xml:space="preserve">niversity, t. o., 2022. </w:t>
              </w:r>
              <w:r w:rsidR="000C1890" w:rsidRPr="00741E8B">
                <w:rPr>
                  <w:rFonts w:ascii="Times New Roman" w:hAnsi="Times New Roman" w:cs="Times New Roman"/>
                  <w:i/>
                  <w:iCs/>
                  <w:noProof/>
                  <w:sz w:val="24"/>
                  <w:szCs w:val="24"/>
                </w:rPr>
                <w:t xml:space="preserve">open learn judges and law. </w:t>
              </w:r>
              <w:r w:rsidR="000C1890" w:rsidRPr="00741E8B">
                <w:rPr>
                  <w:rFonts w:ascii="Times New Roman" w:hAnsi="Times New Roman" w:cs="Times New Roman"/>
                  <w:noProof/>
                  <w:sz w:val="24"/>
                  <w:szCs w:val="24"/>
                </w:rPr>
                <w:t xml:space="preserve">[Online] Available at: </w:t>
              </w:r>
              <w:r w:rsidR="000C1890" w:rsidRPr="00741E8B">
                <w:rPr>
                  <w:rFonts w:ascii="Times New Roman" w:hAnsi="Times New Roman" w:cs="Times New Roman"/>
                  <w:noProof/>
                  <w:sz w:val="24"/>
                  <w:szCs w:val="24"/>
                  <w:u w:val="single"/>
                </w:rPr>
                <w:t>https://www.open.edu/openlearn/society-politics-law/judges-and-the-law/content-section-6.3#:~:text=This%20rule%20is%20a%20modification,to%20avoid%20that%20absurd%20result.</w:t>
              </w:r>
              <w:r>
                <w:rPr>
                  <w:rFonts w:ascii="Times New Roman" w:hAnsi="Times New Roman" w:cs="Times New Roman"/>
                  <w:noProof/>
                  <w:sz w:val="24"/>
                  <w:szCs w:val="24"/>
                </w:rPr>
                <w:t xml:space="preserve"> </w:t>
              </w:r>
              <w:r w:rsidR="000C1890" w:rsidRPr="00741E8B">
                <w:rPr>
                  <w:rFonts w:ascii="Times New Roman" w:hAnsi="Times New Roman" w:cs="Times New Roman"/>
                  <w:noProof/>
                  <w:sz w:val="24"/>
                  <w:szCs w:val="24"/>
                </w:rPr>
                <w:t>[Accessed 20 april 22].</w:t>
              </w:r>
            </w:p>
            <w:p w14:paraId="12FC95E1" w14:textId="7BDBC7D9" w:rsidR="000C1890" w:rsidRPr="00741E8B" w:rsidRDefault="00406EA7" w:rsidP="00406EA7">
              <w:pPr>
                <w:pStyle w:val="Bibliography"/>
                <w:spacing w:line="480" w:lineRule="auto"/>
                <w:rPr>
                  <w:rFonts w:ascii="Times New Roman" w:hAnsi="Times New Roman" w:cs="Times New Roman"/>
                  <w:noProof/>
                  <w:sz w:val="24"/>
                  <w:szCs w:val="24"/>
                </w:rPr>
              </w:pPr>
              <w:r>
                <w:rPr>
                  <w:rFonts w:ascii="Times New Roman" w:hAnsi="Times New Roman" w:cs="Times New Roman"/>
                  <w:noProof/>
                  <w:sz w:val="24"/>
                  <w:szCs w:val="24"/>
                </w:rPr>
                <w:t>W</w:t>
              </w:r>
              <w:r w:rsidR="000C1890" w:rsidRPr="00741E8B">
                <w:rPr>
                  <w:rFonts w:ascii="Times New Roman" w:hAnsi="Times New Roman" w:cs="Times New Roman"/>
                  <w:noProof/>
                  <w:sz w:val="24"/>
                  <w:szCs w:val="24"/>
                </w:rPr>
                <w:t xml:space="preserve">estlaw, 1999. </w:t>
              </w:r>
              <w:r w:rsidR="000C1890" w:rsidRPr="00741E8B">
                <w:rPr>
                  <w:rFonts w:ascii="Times New Roman" w:hAnsi="Times New Roman" w:cs="Times New Roman"/>
                  <w:i/>
                  <w:iCs/>
                  <w:noProof/>
                  <w:sz w:val="24"/>
                  <w:szCs w:val="24"/>
                </w:rPr>
                <w:t xml:space="preserve">Chief Adjudication Officer v Maguire. </w:t>
              </w:r>
              <w:r w:rsidR="000C1890" w:rsidRPr="00741E8B">
                <w:rPr>
                  <w:rFonts w:ascii="Times New Roman" w:hAnsi="Times New Roman" w:cs="Times New Roman"/>
                  <w:noProof/>
                  <w:sz w:val="24"/>
                  <w:szCs w:val="24"/>
                </w:rPr>
                <w:t>s.l.:Thomson Reuters .</w:t>
              </w:r>
            </w:p>
            <w:p w14:paraId="03F7C117" w14:textId="1B74BA67" w:rsidR="000C1890" w:rsidRPr="00741E8B" w:rsidRDefault="000C1890" w:rsidP="000C1890">
              <w:pPr>
                <w:rPr>
                  <w:rFonts w:ascii="Times New Roman" w:hAnsi="Times New Roman" w:cs="Times New Roman"/>
                  <w:sz w:val="24"/>
                  <w:szCs w:val="24"/>
                </w:rPr>
              </w:pPr>
              <w:r w:rsidRPr="00741E8B">
                <w:rPr>
                  <w:rFonts w:ascii="Times New Roman" w:hAnsi="Times New Roman" w:cs="Times New Roman"/>
                  <w:b/>
                  <w:bCs/>
                  <w:noProof/>
                  <w:sz w:val="24"/>
                  <w:szCs w:val="24"/>
                </w:rPr>
                <w:fldChar w:fldCharType="end"/>
              </w:r>
            </w:p>
          </w:sdtContent>
        </w:sdt>
      </w:sdtContent>
    </w:sdt>
    <w:p w14:paraId="440D97D2" w14:textId="77777777" w:rsidR="00363A08" w:rsidRPr="00741E8B" w:rsidRDefault="00363A08" w:rsidP="002D1E30">
      <w:pPr>
        <w:rPr>
          <w:rFonts w:ascii="Times New Roman" w:hAnsi="Times New Roman" w:cs="Times New Roman"/>
          <w:sz w:val="24"/>
          <w:szCs w:val="24"/>
        </w:rPr>
      </w:pPr>
    </w:p>
    <w:p w14:paraId="7F739213" w14:textId="77777777" w:rsidR="002862CF" w:rsidRPr="00741E8B" w:rsidRDefault="002862CF" w:rsidP="002862CF">
      <w:pPr>
        <w:rPr>
          <w:rFonts w:ascii="Times New Roman" w:hAnsi="Times New Roman" w:cs="Times New Roman"/>
          <w:sz w:val="24"/>
          <w:szCs w:val="24"/>
        </w:rPr>
      </w:pPr>
    </w:p>
    <w:p w14:paraId="4AD7FC8E" w14:textId="349697FA" w:rsidR="0014021B" w:rsidRPr="00741E8B" w:rsidRDefault="0014021B" w:rsidP="00BD197A">
      <w:pPr>
        <w:rPr>
          <w:rFonts w:ascii="Times New Roman" w:hAnsi="Times New Roman" w:cs="Times New Roman"/>
          <w:sz w:val="24"/>
          <w:szCs w:val="24"/>
          <w:u w:val="single"/>
        </w:rPr>
      </w:pPr>
    </w:p>
    <w:p w14:paraId="1A90A42B" w14:textId="77777777" w:rsidR="00FC073E" w:rsidRPr="00741E8B" w:rsidRDefault="00FC073E" w:rsidP="00FC073E">
      <w:pPr>
        <w:rPr>
          <w:rFonts w:ascii="Times New Roman" w:hAnsi="Times New Roman" w:cs="Times New Roman"/>
          <w:sz w:val="24"/>
          <w:szCs w:val="24"/>
        </w:rPr>
      </w:pPr>
    </w:p>
    <w:sectPr w:rsidR="00FC073E" w:rsidRPr="00741E8B" w:rsidSect="00994F8A">
      <w:headerReference w:type="default" r:id="rId10"/>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282491" w14:textId="77777777" w:rsidR="00D723A3" w:rsidRDefault="00D723A3" w:rsidP="00FA06B2">
      <w:pPr>
        <w:spacing w:after="0" w:line="240" w:lineRule="auto"/>
      </w:pPr>
      <w:r>
        <w:separator/>
      </w:r>
    </w:p>
  </w:endnote>
  <w:endnote w:type="continuationSeparator" w:id="0">
    <w:p w14:paraId="0BCA1ACA" w14:textId="77777777" w:rsidR="00D723A3" w:rsidRDefault="00D723A3" w:rsidP="00FA06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4E8194" w14:textId="77777777" w:rsidR="00D723A3" w:rsidRDefault="00D723A3" w:rsidP="00FA06B2">
      <w:pPr>
        <w:spacing w:after="0" w:line="240" w:lineRule="auto"/>
      </w:pPr>
      <w:r>
        <w:separator/>
      </w:r>
    </w:p>
  </w:footnote>
  <w:footnote w:type="continuationSeparator" w:id="0">
    <w:p w14:paraId="5A54B9A4" w14:textId="77777777" w:rsidR="00D723A3" w:rsidRDefault="00D723A3" w:rsidP="00FA06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5CBAB" w14:textId="117D3369" w:rsidR="00994F8A" w:rsidRDefault="005506A7">
    <w:pPr>
      <w:pStyle w:val="Header"/>
      <w:jc w:val="right"/>
    </w:pPr>
    <w:r>
      <w:t xml:space="preserve"> Shade </w:t>
    </w:r>
    <w:sdt>
      <w:sdtPr>
        <w:id w:val="1331871585"/>
        <w:docPartObj>
          <w:docPartGallery w:val="Page Numbers (Top of Page)"/>
          <w:docPartUnique/>
        </w:docPartObj>
      </w:sdtPr>
      <w:sdtEndPr>
        <w:rPr>
          <w:noProof/>
        </w:rPr>
      </w:sdtEndPr>
      <w:sdtContent>
        <w:r w:rsidR="00994F8A">
          <w:fldChar w:fldCharType="begin"/>
        </w:r>
        <w:r w:rsidR="00994F8A">
          <w:instrText xml:space="preserve"> PAGE   \* MERGEFORMAT </w:instrText>
        </w:r>
        <w:r w:rsidR="00994F8A">
          <w:fldChar w:fldCharType="separate"/>
        </w:r>
        <w:r w:rsidR="00994F8A">
          <w:rPr>
            <w:noProof/>
          </w:rPr>
          <w:t>2</w:t>
        </w:r>
        <w:r w:rsidR="00994F8A">
          <w:rPr>
            <w:noProof/>
          </w:rPr>
          <w:fldChar w:fldCharType="end"/>
        </w:r>
      </w:sdtContent>
    </w:sdt>
  </w:p>
  <w:p w14:paraId="1DDEC1F2" w14:textId="047E19B6" w:rsidR="00FA06B2" w:rsidRPr="0032015F" w:rsidRDefault="00FA06B2" w:rsidP="0085203A">
    <w:pPr>
      <w:pStyle w:val="Header"/>
      <w:jc w:val="right"/>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664103"/>
    <w:multiLevelType w:val="hybridMultilevel"/>
    <w:tmpl w:val="8996D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10853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73E"/>
    <w:rsid w:val="00003671"/>
    <w:rsid w:val="00022975"/>
    <w:rsid w:val="000416FF"/>
    <w:rsid w:val="00056C98"/>
    <w:rsid w:val="0005710E"/>
    <w:rsid w:val="00072759"/>
    <w:rsid w:val="000778A5"/>
    <w:rsid w:val="000936CC"/>
    <w:rsid w:val="000A610A"/>
    <w:rsid w:val="000B4D05"/>
    <w:rsid w:val="000C1890"/>
    <w:rsid w:val="000C1932"/>
    <w:rsid w:val="000D1F93"/>
    <w:rsid w:val="000D52C5"/>
    <w:rsid w:val="000F4756"/>
    <w:rsid w:val="000F6237"/>
    <w:rsid w:val="00111480"/>
    <w:rsid w:val="00131C46"/>
    <w:rsid w:val="001323EB"/>
    <w:rsid w:val="0014021B"/>
    <w:rsid w:val="0016469B"/>
    <w:rsid w:val="00181263"/>
    <w:rsid w:val="001870FF"/>
    <w:rsid w:val="00196C08"/>
    <w:rsid w:val="001A3203"/>
    <w:rsid w:val="001A4945"/>
    <w:rsid w:val="001A7BF9"/>
    <w:rsid w:val="001C4C41"/>
    <w:rsid w:val="001C7FB7"/>
    <w:rsid w:val="001D35D1"/>
    <w:rsid w:val="001D478B"/>
    <w:rsid w:val="001E70B0"/>
    <w:rsid w:val="001F0B5B"/>
    <w:rsid w:val="00200059"/>
    <w:rsid w:val="002073C5"/>
    <w:rsid w:val="00225468"/>
    <w:rsid w:val="0023101E"/>
    <w:rsid w:val="00240EDE"/>
    <w:rsid w:val="00260DCB"/>
    <w:rsid w:val="00263334"/>
    <w:rsid w:val="00264BD3"/>
    <w:rsid w:val="002711F2"/>
    <w:rsid w:val="00272FC8"/>
    <w:rsid w:val="002862CF"/>
    <w:rsid w:val="00286B08"/>
    <w:rsid w:val="0029214B"/>
    <w:rsid w:val="00293BA2"/>
    <w:rsid w:val="002A04FD"/>
    <w:rsid w:val="002A63BD"/>
    <w:rsid w:val="002B29F8"/>
    <w:rsid w:val="002B549F"/>
    <w:rsid w:val="002D1E30"/>
    <w:rsid w:val="002E1AF2"/>
    <w:rsid w:val="002F529D"/>
    <w:rsid w:val="0032015F"/>
    <w:rsid w:val="00320EA3"/>
    <w:rsid w:val="00326A5E"/>
    <w:rsid w:val="003328DD"/>
    <w:rsid w:val="003439C1"/>
    <w:rsid w:val="00350AC2"/>
    <w:rsid w:val="00354C54"/>
    <w:rsid w:val="00362107"/>
    <w:rsid w:val="00363A08"/>
    <w:rsid w:val="003726A1"/>
    <w:rsid w:val="00380CEF"/>
    <w:rsid w:val="00384B1C"/>
    <w:rsid w:val="003853AF"/>
    <w:rsid w:val="00386CBD"/>
    <w:rsid w:val="003A2FE6"/>
    <w:rsid w:val="003A3D32"/>
    <w:rsid w:val="003A78EF"/>
    <w:rsid w:val="003B75F0"/>
    <w:rsid w:val="003C3842"/>
    <w:rsid w:val="003D2770"/>
    <w:rsid w:val="003F52E9"/>
    <w:rsid w:val="00400797"/>
    <w:rsid w:val="004046CC"/>
    <w:rsid w:val="00406EA7"/>
    <w:rsid w:val="00420041"/>
    <w:rsid w:val="0042789B"/>
    <w:rsid w:val="00431F95"/>
    <w:rsid w:val="004341AC"/>
    <w:rsid w:val="00436D7D"/>
    <w:rsid w:val="0044396B"/>
    <w:rsid w:val="004613F9"/>
    <w:rsid w:val="004938C9"/>
    <w:rsid w:val="00494B38"/>
    <w:rsid w:val="00495B45"/>
    <w:rsid w:val="004C4327"/>
    <w:rsid w:val="004C670C"/>
    <w:rsid w:val="004E6B35"/>
    <w:rsid w:val="004F5731"/>
    <w:rsid w:val="004F60BB"/>
    <w:rsid w:val="004F6A5B"/>
    <w:rsid w:val="005001F2"/>
    <w:rsid w:val="00503074"/>
    <w:rsid w:val="00506D52"/>
    <w:rsid w:val="00513F55"/>
    <w:rsid w:val="005207DC"/>
    <w:rsid w:val="00523657"/>
    <w:rsid w:val="00535738"/>
    <w:rsid w:val="00535BBF"/>
    <w:rsid w:val="00536035"/>
    <w:rsid w:val="00543CC4"/>
    <w:rsid w:val="00544F8B"/>
    <w:rsid w:val="005454A4"/>
    <w:rsid w:val="005506A7"/>
    <w:rsid w:val="005624BD"/>
    <w:rsid w:val="00564C60"/>
    <w:rsid w:val="00581611"/>
    <w:rsid w:val="00586752"/>
    <w:rsid w:val="00595BD4"/>
    <w:rsid w:val="005E700A"/>
    <w:rsid w:val="005F2F25"/>
    <w:rsid w:val="006131F1"/>
    <w:rsid w:val="006275E1"/>
    <w:rsid w:val="006409C4"/>
    <w:rsid w:val="006444B8"/>
    <w:rsid w:val="00646799"/>
    <w:rsid w:val="00661EF9"/>
    <w:rsid w:val="00662A17"/>
    <w:rsid w:val="00674DF4"/>
    <w:rsid w:val="00682F97"/>
    <w:rsid w:val="00696403"/>
    <w:rsid w:val="006A5794"/>
    <w:rsid w:val="006B6B47"/>
    <w:rsid w:val="006C20F6"/>
    <w:rsid w:val="006C311F"/>
    <w:rsid w:val="006C39A1"/>
    <w:rsid w:val="006C5E45"/>
    <w:rsid w:val="006C7B00"/>
    <w:rsid w:val="006D199F"/>
    <w:rsid w:val="006D4672"/>
    <w:rsid w:val="006E271C"/>
    <w:rsid w:val="006F27A8"/>
    <w:rsid w:val="006F7FEA"/>
    <w:rsid w:val="0070390B"/>
    <w:rsid w:val="00732505"/>
    <w:rsid w:val="007374E9"/>
    <w:rsid w:val="00741E8B"/>
    <w:rsid w:val="007628C2"/>
    <w:rsid w:val="007634A6"/>
    <w:rsid w:val="00773B1A"/>
    <w:rsid w:val="00787927"/>
    <w:rsid w:val="007A5C9C"/>
    <w:rsid w:val="007A7099"/>
    <w:rsid w:val="007B0DF9"/>
    <w:rsid w:val="007B6D57"/>
    <w:rsid w:val="007D51EE"/>
    <w:rsid w:val="007E0565"/>
    <w:rsid w:val="007E1E73"/>
    <w:rsid w:val="007E2A4B"/>
    <w:rsid w:val="007E7C7E"/>
    <w:rsid w:val="007F0177"/>
    <w:rsid w:val="007F056D"/>
    <w:rsid w:val="007F4032"/>
    <w:rsid w:val="007F6A73"/>
    <w:rsid w:val="00815DD8"/>
    <w:rsid w:val="00827E1C"/>
    <w:rsid w:val="008442C6"/>
    <w:rsid w:val="0085203A"/>
    <w:rsid w:val="00876256"/>
    <w:rsid w:val="008A54A6"/>
    <w:rsid w:val="008B2ECA"/>
    <w:rsid w:val="008C6CE3"/>
    <w:rsid w:val="008C7493"/>
    <w:rsid w:val="008E7D28"/>
    <w:rsid w:val="008F0A3B"/>
    <w:rsid w:val="008F7347"/>
    <w:rsid w:val="00903383"/>
    <w:rsid w:val="0096585B"/>
    <w:rsid w:val="00974E95"/>
    <w:rsid w:val="009824BF"/>
    <w:rsid w:val="00984A41"/>
    <w:rsid w:val="00993AD8"/>
    <w:rsid w:val="00994F8A"/>
    <w:rsid w:val="009A3D90"/>
    <w:rsid w:val="009B39E4"/>
    <w:rsid w:val="009C0E18"/>
    <w:rsid w:val="009C7563"/>
    <w:rsid w:val="009D04A6"/>
    <w:rsid w:val="009D4050"/>
    <w:rsid w:val="009D72C6"/>
    <w:rsid w:val="009F2A51"/>
    <w:rsid w:val="009F438F"/>
    <w:rsid w:val="009F713B"/>
    <w:rsid w:val="00A14A95"/>
    <w:rsid w:val="00A20F01"/>
    <w:rsid w:val="00A30F91"/>
    <w:rsid w:val="00A3322B"/>
    <w:rsid w:val="00A33DCA"/>
    <w:rsid w:val="00A418B1"/>
    <w:rsid w:val="00A51E60"/>
    <w:rsid w:val="00A77E2D"/>
    <w:rsid w:val="00A8596D"/>
    <w:rsid w:val="00A872FC"/>
    <w:rsid w:val="00AA422E"/>
    <w:rsid w:val="00AA4583"/>
    <w:rsid w:val="00AD147C"/>
    <w:rsid w:val="00AE2749"/>
    <w:rsid w:val="00B10A10"/>
    <w:rsid w:val="00B12CFC"/>
    <w:rsid w:val="00B17605"/>
    <w:rsid w:val="00B20C07"/>
    <w:rsid w:val="00B21AF3"/>
    <w:rsid w:val="00B42615"/>
    <w:rsid w:val="00B4398E"/>
    <w:rsid w:val="00B54837"/>
    <w:rsid w:val="00B56C5F"/>
    <w:rsid w:val="00B60CCF"/>
    <w:rsid w:val="00B60EB3"/>
    <w:rsid w:val="00B62F26"/>
    <w:rsid w:val="00B6497B"/>
    <w:rsid w:val="00B74402"/>
    <w:rsid w:val="00B91961"/>
    <w:rsid w:val="00B92E5B"/>
    <w:rsid w:val="00B94862"/>
    <w:rsid w:val="00BD197A"/>
    <w:rsid w:val="00BE6F47"/>
    <w:rsid w:val="00C00E56"/>
    <w:rsid w:val="00C01F0F"/>
    <w:rsid w:val="00C03F4E"/>
    <w:rsid w:val="00C050DE"/>
    <w:rsid w:val="00C13A9F"/>
    <w:rsid w:val="00C326CD"/>
    <w:rsid w:val="00C33909"/>
    <w:rsid w:val="00C60A20"/>
    <w:rsid w:val="00C91325"/>
    <w:rsid w:val="00C91F5C"/>
    <w:rsid w:val="00C943DF"/>
    <w:rsid w:val="00CA4335"/>
    <w:rsid w:val="00CA77F7"/>
    <w:rsid w:val="00CB4C68"/>
    <w:rsid w:val="00CE79BA"/>
    <w:rsid w:val="00CF6365"/>
    <w:rsid w:val="00D02705"/>
    <w:rsid w:val="00D10056"/>
    <w:rsid w:val="00D12072"/>
    <w:rsid w:val="00D13EED"/>
    <w:rsid w:val="00D25DE5"/>
    <w:rsid w:val="00D4478B"/>
    <w:rsid w:val="00D4647C"/>
    <w:rsid w:val="00D47697"/>
    <w:rsid w:val="00D54CE7"/>
    <w:rsid w:val="00D615A6"/>
    <w:rsid w:val="00D61A7C"/>
    <w:rsid w:val="00D62E99"/>
    <w:rsid w:val="00D723A3"/>
    <w:rsid w:val="00D95CDB"/>
    <w:rsid w:val="00DA1214"/>
    <w:rsid w:val="00DA51C4"/>
    <w:rsid w:val="00DA5FE7"/>
    <w:rsid w:val="00DB4143"/>
    <w:rsid w:val="00DC0C4D"/>
    <w:rsid w:val="00DD2293"/>
    <w:rsid w:val="00DE04AE"/>
    <w:rsid w:val="00DF0DB0"/>
    <w:rsid w:val="00DF26EA"/>
    <w:rsid w:val="00E15505"/>
    <w:rsid w:val="00E2013C"/>
    <w:rsid w:val="00E3241E"/>
    <w:rsid w:val="00E356E3"/>
    <w:rsid w:val="00E43635"/>
    <w:rsid w:val="00E62F09"/>
    <w:rsid w:val="00E667E8"/>
    <w:rsid w:val="00E80626"/>
    <w:rsid w:val="00E916E3"/>
    <w:rsid w:val="00EA12F8"/>
    <w:rsid w:val="00EB3DFC"/>
    <w:rsid w:val="00EB3E8A"/>
    <w:rsid w:val="00EC0097"/>
    <w:rsid w:val="00EC6ECA"/>
    <w:rsid w:val="00EC7E7E"/>
    <w:rsid w:val="00EE23B8"/>
    <w:rsid w:val="00EE275C"/>
    <w:rsid w:val="00EF770F"/>
    <w:rsid w:val="00F125C0"/>
    <w:rsid w:val="00F253E7"/>
    <w:rsid w:val="00F25613"/>
    <w:rsid w:val="00F31D1C"/>
    <w:rsid w:val="00F44087"/>
    <w:rsid w:val="00F47D3E"/>
    <w:rsid w:val="00F550D2"/>
    <w:rsid w:val="00F557F1"/>
    <w:rsid w:val="00F723B7"/>
    <w:rsid w:val="00F73088"/>
    <w:rsid w:val="00F81DB1"/>
    <w:rsid w:val="00F90470"/>
    <w:rsid w:val="00FA06B2"/>
    <w:rsid w:val="00FA2479"/>
    <w:rsid w:val="00FA33E5"/>
    <w:rsid w:val="00FC073E"/>
    <w:rsid w:val="00FC2A4F"/>
    <w:rsid w:val="00FD62A5"/>
    <w:rsid w:val="00FF30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A01DE"/>
  <w15:chartTrackingRefBased/>
  <w15:docId w15:val="{129B4E92-E629-49DA-863C-531372376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04A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4021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vr">
    <w:name w:val="hvr"/>
    <w:basedOn w:val="DefaultParagraphFont"/>
    <w:rsid w:val="00732505"/>
  </w:style>
  <w:style w:type="character" w:customStyle="1" w:styleId="Heading1Char">
    <w:name w:val="Heading 1 Char"/>
    <w:basedOn w:val="DefaultParagraphFont"/>
    <w:link w:val="Heading1"/>
    <w:uiPriority w:val="9"/>
    <w:rsid w:val="00DE04AE"/>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semiHidden/>
    <w:unhideWhenUsed/>
    <w:rsid w:val="00564C60"/>
    <w:rPr>
      <w:color w:val="0000FF"/>
      <w:u w:val="single"/>
    </w:rPr>
  </w:style>
  <w:style w:type="character" w:styleId="Strong">
    <w:name w:val="Strong"/>
    <w:basedOn w:val="DefaultParagraphFont"/>
    <w:uiPriority w:val="22"/>
    <w:qFormat/>
    <w:rsid w:val="007F0177"/>
    <w:rPr>
      <w:b/>
      <w:bCs/>
    </w:rPr>
  </w:style>
  <w:style w:type="character" w:styleId="Emphasis">
    <w:name w:val="Emphasis"/>
    <w:basedOn w:val="DefaultParagraphFont"/>
    <w:uiPriority w:val="20"/>
    <w:qFormat/>
    <w:rsid w:val="007F0177"/>
    <w:rPr>
      <w:i/>
      <w:iCs/>
    </w:rPr>
  </w:style>
  <w:style w:type="paragraph" w:styleId="Bibliography">
    <w:name w:val="Bibliography"/>
    <w:basedOn w:val="Normal"/>
    <w:next w:val="Normal"/>
    <w:uiPriority w:val="37"/>
    <w:unhideWhenUsed/>
    <w:rsid w:val="000C1890"/>
  </w:style>
  <w:style w:type="paragraph" w:styleId="Header">
    <w:name w:val="header"/>
    <w:basedOn w:val="Normal"/>
    <w:link w:val="HeaderChar"/>
    <w:uiPriority w:val="99"/>
    <w:unhideWhenUsed/>
    <w:rsid w:val="00FA06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06B2"/>
  </w:style>
  <w:style w:type="paragraph" w:styleId="Footer">
    <w:name w:val="footer"/>
    <w:basedOn w:val="Normal"/>
    <w:link w:val="FooterChar"/>
    <w:uiPriority w:val="99"/>
    <w:unhideWhenUsed/>
    <w:rsid w:val="00FA06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06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5621">
      <w:bodyDiv w:val="1"/>
      <w:marLeft w:val="0"/>
      <w:marRight w:val="0"/>
      <w:marTop w:val="0"/>
      <w:marBottom w:val="0"/>
      <w:divBdr>
        <w:top w:val="none" w:sz="0" w:space="0" w:color="auto"/>
        <w:left w:val="none" w:sz="0" w:space="0" w:color="auto"/>
        <w:bottom w:val="none" w:sz="0" w:space="0" w:color="auto"/>
        <w:right w:val="none" w:sz="0" w:space="0" w:color="auto"/>
      </w:divBdr>
    </w:div>
    <w:div w:id="346950073">
      <w:bodyDiv w:val="1"/>
      <w:marLeft w:val="0"/>
      <w:marRight w:val="0"/>
      <w:marTop w:val="0"/>
      <w:marBottom w:val="0"/>
      <w:divBdr>
        <w:top w:val="none" w:sz="0" w:space="0" w:color="auto"/>
        <w:left w:val="none" w:sz="0" w:space="0" w:color="auto"/>
        <w:bottom w:val="none" w:sz="0" w:space="0" w:color="auto"/>
        <w:right w:val="none" w:sz="0" w:space="0" w:color="auto"/>
      </w:divBdr>
    </w:div>
    <w:div w:id="431052965">
      <w:bodyDiv w:val="1"/>
      <w:marLeft w:val="0"/>
      <w:marRight w:val="0"/>
      <w:marTop w:val="0"/>
      <w:marBottom w:val="0"/>
      <w:divBdr>
        <w:top w:val="none" w:sz="0" w:space="0" w:color="auto"/>
        <w:left w:val="none" w:sz="0" w:space="0" w:color="auto"/>
        <w:bottom w:val="none" w:sz="0" w:space="0" w:color="auto"/>
        <w:right w:val="none" w:sz="0" w:space="0" w:color="auto"/>
      </w:divBdr>
    </w:div>
    <w:div w:id="432677019">
      <w:bodyDiv w:val="1"/>
      <w:marLeft w:val="0"/>
      <w:marRight w:val="0"/>
      <w:marTop w:val="0"/>
      <w:marBottom w:val="0"/>
      <w:divBdr>
        <w:top w:val="none" w:sz="0" w:space="0" w:color="auto"/>
        <w:left w:val="none" w:sz="0" w:space="0" w:color="auto"/>
        <w:bottom w:val="none" w:sz="0" w:space="0" w:color="auto"/>
        <w:right w:val="none" w:sz="0" w:space="0" w:color="auto"/>
      </w:divBdr>
    </w:div>
    <w:div w:id="623737105">
      <w:bodyDiv w:val="1"/>
      <w:marLeft w:val="0"/>
      <w:marRight w:val="0"/>
      <w:marTop w:val="0"/>
      <w:marBottom w:val="0"/>
      <w:divBdr>
        <w:top w:val="none" w:sz="0" w:space="0" w:color="auto"/>
        <w:left w:val="none" w:sz="0" w:space="0" w:color="auto"/>
        <w:bottom w:val="none" w:sz="0" w:space="0" w:color="auto"/>
        <w:right w:val="none" w:sz="0" w:space="0" w:color="auto"/>
      </w:divBdr>
    </w:div>
    <w:div w:id="719355349">
      <w:bodyDiv w:val="1"/>
      <w:marLeft w:val="0"/>
      <w:marRight w:val="0"/>
      <w:marTop w:val="0"/>
      <w:marBottom w:val="0"/>
      <w:divBdr>
        <w:top w:val="none" w:sz="0" w:space="0" w:color="auto"/>
        <w:left w:val="none" w:sz="0" w:space="0" w:color="auto"/>
        <w:bottom w:val="none" w:sz="0" w:space="0" w:color="auto"/>
        <w:right w:val="none" w:sz="0" w:space="0" w:color="auto"/>
      </w:divBdr>
    </w:div>
    <w:div w:id="892471829">
      <w:bodyDiv w:val="1"/>
      <w:marLeft w:val="0"/>
      <w:marRight w:val="0"/>
      <w:marTop w:val="0"/>
      <w:marBottom w:val="0"/>
      <w:divBdr>
        <w:top w:val="none" w:sz="0" w:space="0" w:color="auto"/>
        <w:left w:val="none" w:sz="0" w:space="0" w:color="auto"/>
        <w:bottom w:val="none" w:sz="0" w:space="0" w:color="auto"/>
        <w:right w:val="none" w:sz="0" w:space="0" w:color="auto"/>
      </w:divBdr>
    </w:div>
    <w:div w:id="1001351907">
      <w:bodyDiv w:val="1"/>
      <w:marLeft w:val="0"/>
      <w:marRight w:val="0"/>
      <w:marTop w:val="0"/>
      <w:marBottom w:val="0"/>
      <w:divBdr>
        <w:top w:val="none" w:sz="0" w:space="0" w:color="auto"/>
        <w:left w:val="none" w:sz="0" w:space="0" w:color="auto"/>
        <w:bottom w:val="none" w:sz="0" w:space="0" w:color="auto"/>
        <w:right w:val="none" w:sz="0" w:space="0" w:color="auto"/>
      </w:divBdr>
    </w:div>
    <w:div w:id="1092316869">
      <w:bodyDiv w:val="1"/>
      <w:marLeft w:val="0"/>
      <w:marRight w:val="0"/>
      <w:marTop w:val="0"/>
      <w:marBottom w:val="0"/>
      <w:divBdr>
        <w:top w:val="none" w:sz="0" w:space="0" w:color="auto"/>
        <w:left w:val="none" w:sz="0" w:space="0" w:color="auto"/>
        <w:bottom w:val="none" w:sz="0" w:space="0" w:color="auto"/>
        <w:right w:val="none" w:sz="0" w:space="0" w:color="auto"/>
      </w:divBdr>
    </w:div>
    <w:div w:id="1120565790">
      <w:bodyDiv w:val="1"/>
      <w:marLeft w:val="0"/>
      <w:marRight w:val="0"/>
      <w:marTop w:val="0"/>
      <w:marBottom w:val="0"/>
      <w:divBdr>
        <w:top w:val="none" w:sz="0" w:space="0" w:color="auto"/>
        <w:left w:val="none" w:sz="0" w:space="0" w:color="auto"/>
        <w:bottom w:val="none" w:sz="0" w:space="0" w:color="auto"/>
        <w:right w:val="none" w:sz="0" w:space="0" w:color="auto"/>
      </w:divBdr>
    </w:div>
    <w:div w:id="1333727722">
      <w:bodyDiv w:val="1"/>
      <w:marLeft w:val="0"/>
      <w:marRight w:val="0"/>
      <w:marTop w:val="0"/>
      <w:marBottom w:val="0"/>
      <w:divBdr>
        <w:top w:val="none" w:sz="0" w:space="0" w:color="auto"/>
        <w:left w:val="none" w:sz="0" w:space="0" w:color="auto"/>
        <w:bottom w:val="none" w:sz="0" w:space="0" w:color="auto"/>
        <w:right w:val="none" w:sz="0" w:space="0" w:color="auto"/>
      </w:divBdr>
    </w:div>
    <w:div w:id="1358117981">
      <w:bodyDiv w:val="1"/>
      <w:marLeft w:val="0"/>
      <w:marRight w:val="0"/>
      <w:marTop w:val="0"/>
      <w:marBottom w:val="0"/>
      <w:divBdr>
        <w:top w:val="none" w:sz="0" w:space="0" w:color="auto"/>
        <w:left w:val="none" w:sz="0" w:space="0" w:color="auto"/>
        <w:bottom w:val="none" w:sz="0" w:space="0" w:color="auto"/>
        <w:right w:val="none" w:sz="0" w:space="0" w:color="auto"/>
      </w:divBdr>
    </w:div>
    <w:div w:id="1471092887">
      <w:bodyDiv w:val="1"/>
      <w:marLeft w:val="0"/>
      <w:marRight w:val="0"/>
      <w:marTop w:val="0"/>
      <w:marBottom w:val="0"/>
      <w:divBdr>
        <w:top w:val="none" w:sz="0" w:space="0" w:color="auto"/>
        <w:left w:val="none" w:sz="0" w:space="0" w:color="auto"/>
        <w:bottom w:val="none" w:sz="0" w:space="0" w:color="auto"/>
        <w:right w:val="none" w:sz="0" w:space="0" w:color="auto"/>
      </w:divBdr>
    </w:div>
    <w:div w:id="1568224635">
      <w:bodyDiv w:val="1"/>
      <w:marLeft w:val="0"/>
      <w:marRight w:val="0"/>
      <w:marTop w:val="0"/>
      <w:marBottom w:val="0"/>
      <w:divBdr>
        <w:top w:val="none" w:sz="0" w:space="0" w:color="auto"/>
        <w:left w:val="none" w:sz="0" w:space="0" w:color="auto"/>
        <w:bottom w:val="none" w:sz="0" w:space="0" w:color="auto"/>
        <w:right w:val="none" w:sz="0" w:space="0" w:color="auto"/>
      </w:divBdr>
    </w:div>
    <w:div w:id="1632437919">
      <w:bodyDiv w:val="1"/>
      <w:marLeft w:val="0"/>
      <w:marRight w:val="0"/>
      <w:marTop w:val="0"/>
      <w:marBottom w:val="0"/>
      <w:divBdr>
        <w:top w:val="none" w:sz="0" w:space="0" w:color="auto"/>
        <w:left w:val="none" w:sz="0" w:space="0" w:color="auto"/>
        <w:bottom w:val="none" w:sz="0" w:space="0" w:color="auto"/>
        <w:right w:val="none" w:sz="0" w:space="0" w:color="auto"/>
      </w:divBdr>
    </w:div>
    <w:div w:id="1665619068">
      <w:bodyDiv w:val="1"/>
      <w:marLeft w:val="0"/>
      <w:marRight w:val="0"/>
      <w:marTop w:val="0"/>
      <w:marBottom w:val="0"/>
      <w:divBdr>
        <w:top w:val="none" w:sz="0" w:space="0" w:color="auto"/>
        <w:left w:val="none" w:sz="0" w:space="0" w:color="auto"/>
        <w:bottom w:val="none" w:sz="0" w:space="0" w:color="auto"/>
        <w:right w:val="none" w:sz="0" w:space="0" w:color="auto"/>
      </w:divBdr>
    </w:div>
    <w:div w:id="1682272779">
      <w:bodyDiv w:val="1"/>
      <w:marLeft w:val="0"/>
      <w:marRight w:val="0"/>
      <w:marTop w:val="0"/>
      <w:marBottom w:val="0"/>
      <w:divBdr>
        <w:top w:val="none" w:sz="0" w:space="0" w:color="auto"/>
        <w:left w:val="none" w:sz="0" w:space="0" w:color="auto"/>
        <w:bottom w:val="none" w:sz="0" w:space="0" w:color="auto"/>
        <w:right w:val="none" w:sz="0" w:space="0" w:color="auto"/>
      </w:divBdr>
    </w:div>
    <w:div w:id="1829905078">
      <w:bodyDiv w:val="1"/>
      <w:marLeft w:val="0"/>
      <w:marRight w:val="0"/>
      <w:marTop w:val="0"/>
      <w:marBottom w:val="0"/>
      <w:divBdr>
        <w:top w:val="none" w:sz="0" w:space="0" w:color="auto"/>
        <w:left w:val="none" w:sz="0" w:space="0" w:color="auto"/>
        <w:bottom w:val="none" w:sz="0" w:space="0" w:color="auto"/>
        <w:right w:val="none" w:sz="0" w:space="0" w:color="auto"/>
      </w:divBdr>
    </w:div>
    <w:div w:id="1965115763">
      <w:bodyDiv w:val="1"/>
      <w:marLeft w:val="0"/>
      <w:marRight w:val="0"/>
      <w:marTop w:val="0"/>
      <w:marBottom w:val="0"/>
      <w:divBdr>
        <w:top w:val="none" w:sz="0" w:space="0" w:color="auto"/>
        <w:left w:val="none" w:sz="0" w:space="0" w:color="auto"/>
        <w:bottom w:val="none" w:sz="0" w:space="0" w:color="auto"/>
        <w:right w:val="none" w:sz="0" w:space="0" w:color="auto"/>
      </w:divBdr>
    </w:div>
    <w:div w:id="1994867313">
      <w:bodyDiv w:val="1"/>
      <w:marLeft w:val="0"/>
      <w:marRight w:val="0"/>
      <w:marTop w:val="0"/>
      <w:marBottom w:val="0"/>
      <w:divBdr>
        <w:top w:val="none" w:sz="0" w:space="0" w:color="auto"/>
        <w:left w:val="none" w:sz="0" w:space="0" w:color="auto"/>
        <w:bottom w:val="none" w:sz="0" w:space="0" w:color="auto"/>
        <w:right w:val="none" w:sz="0" w:space="0" w:color="auto"/>
      </w:divBdr>
    </w:div>
    <w:div w:id="2042128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westlaw.com/Document/I477CA721E42711DA8FC2A0F0355337E9/View/FullText.html?originationContext=document&amp;transitionType=DocumentItem&amp;ppcid=dd43c9f16a2a40a2a4c6112d57fb00da&amp;contextData=(sc.Searc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k.westlaw.com/Document/IB4B2E760E44911DA8D70A0E70A78ED65/View/FullText.html?originationContext=document&amp;transitionType=DocumentItem&amp;ppcid=dd43c9f16a2a40a2a4c6112d57fb00da&amp;contextData=(sc.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htt22</b:Tag>
    <b:SourceType>InternetSite</b:SourceType>
    <b:Guid>{3C4CC478-DADE-476B-9DA6-F111B44A79AB}</b:Guid>
    <b:Author>
      <b:Author>
        <b:NameList>
          <b:Person>
            <b:Last>dictonary</b:Last>
            <b:First>cambridge</b:First>
          </b:Person>
        </b:NameList>
      </b:Author>
    </b:Author>
    <b:Title>cambridge dictonary-interpretation</b:Title>
    <b:Year>2022</b:Year>
    <b:YearAccessed>22</b:YearAccessed>
    <b:MonthAccessed>april</b:MonthAccessed>
    <b:DayAccessed>20</b:DayAccessed>
    <b:URL>https://dictionary.cambridge.org/dictionary/english/interpretation</b:URL>
    <b:RefOrder>2</b:RefOrder>
  </b:Source>
  <b:Source>
    <b:Tag>ukp22</b:Tag>
    <b:SourceType>InternetSite</b:SourceType>
    <b:Guid>{79725513-1A75-48A8-8EED-E884CAE5D300}</b:Guid>
    <b:Author>
      <b:Author>
        <b:NameList>
          <b:Person>
            <b:Last>parliament</b:Last>
            <b:First>uk</b:First>
          </b:Person>
        </b:NameList>
      </b:Author>
    </b:Author>
    <b:Title>uk parliament</b:Title>
    <b:Year>2022</b:Year>
    <b:YearAccessed>22</b:YearAccessed>
    <b:MonthAccessed>april</b:MonthAccessed>
    <b:DayAccessed>20</b:DayAccessed>
    <b:URL>https://www.parliament.uk/site-information/glossary/primary-legislation/?id=32625</b:URL>
    <b:RefOrder>3</b:RefOrder>
  </b:Source>
  <b:Source>
    <b:Tag>cou22</b:Tag>
    <b:SourceType>InternetSite</b:SourceType>
    <b:Guid>{048E4055-76AE-4B79-9701-90277BBFB2C2}</b:Guid>
    <b:Author>
      <b:Author>
        <b:NameList>
          <b:Person>
            <b:Last>droit.net</b:Last>
            <b:First>cours</b:First>
            <b:Middle>de</b:Middle>
          </b:Person>
        </b:NameList>
      </b:Author>
    </b:Author>
    <b:Title>legislation the source of english law</b:Title>
    <b:Year>2022</b:Year>
    <b:YearAccessed>22</b:YearAccessed>
    <b:MonthAccessed>april</b:MonthAccessed>
    <b:DayAccessed>20</b:DayAccessed>
    <b:URL>https://cours-de-droit.net/legislation-source-english-law/</b:URL>
    <b:RefOrder>4</b:RefOrder>
  </b:Source>
  <b:Source>
    <b:Tag>oxf22</b:Tag>
    <b:SourceType>InternetSite</b:SourceType>
    <b:Guid>{D8B75A16-3C41-42E4-A443-8873B40EDB25}</b:Guid>
    <b:Author>
      <b:Author>
        <b:NameList>
          <b:Person>
            <b:Last>press</b:Last>
            <b:First>oxford</b:First>
            <b:Middle>univercity</b:Middle>
          </b:Person>
        </b:NameList>
      </b:Author>
    </b:Author>
    <b:Title>oxford referance</b:Title>
    <b:Year>2022</b:Year>
    <b:YearAccessed>22</b:YearAccessed>
    <b:MonthAccessed>April</b:MonthAccessed>
    <b:DayAccessed>20</b:DayAccessed>
    <b:URL>https://www.oxfordreference.com/view/10.1093/oi/authority.20110803100529647#:~:text=The%20process%20by%20which%20a,hand%20and%20reach%20a%20decision.</b:URL>
    <b:RefOrder>5</b:RefOrder>
  </b:Source>
  <b:Source>
    <b:Tag>ela22</b:Tag>
    <b:SourceType>InternetSite</b:SourceType>
    <b:Guid>{0B5AB0A4-9A73-4BE5-B85B-484E3FCABFFC}</b:Guid>
    <b:Author>
      <b:Author>
        <b:NameList>
          <b:Person>
            <b:Last>e-lawresources</b:Last>
          </b:Person>
        </b:NameList>
      </b:Author>
    </b:Author>
    <b:Title>e-lawresources statutory interpretation</b:Title>
    <b:Year>2022</b:Year>
    <b:YearAccessed>22</b:YearAccessed>
    <b:MonthAccessed>april</b:MonthAccessed>
    <b:DayAccessed>20</b:DayAccessed>
    <b:URL>http://www.e-lawresources.co.uk/Literal-rule.php#:~:text=The%20literal%20rule%20of%20statutory%20interpretation%20should%20be%20the%20first,make%20sense%20of%20the%20statute.</b:URL>
    <b:RefOrder>6</b:RefOrder>
  </b:Source>
  <b:Source>
    <b:Tag>ope22</b:Tag>
    <b:SourceType>InternetSite</b:SourceType>
    <b:Guid>{F0FDDEA5-C1FF-458B-B5C1-FF0DFAEAA843}</b:Guid>
    <b:Author>
      <b:Author>
        <b:NameList>
          <b:Person>
            <b:Last>university</b:Last>
            <b:First>the</b:First>
            <b:Middle>open</b:Middle>
          </b:Person>
        </b:NameList>
      </b:Author>
    </b:Author>
    <b:Title>open learn judges and law</b:Title>
    <b:Year>2022</b:Year>
    <b:YearAccessed>22</b:YearAccessed>
    <b:MonthAccessed>april</b:MonthAccessed>
    <b:DayAccessed>20</b:DayAccessed>
    <b:URL>https://www.open.edu/openlearn/society-politics-law/judges-and-the-law/content-section-6.3#:~:text=This%20rule%20is%20a%20modification,to%20avoid%20that%20absurd%20result.</b:URL>
    <b:RefOrder>7</b:RefOrder>
  </b:Source>
  <b:Source>
    <b:Tag>fre22</b:Tag>
    <b:SourceType>InternetSite</b:SourceType>
    <b:Guid>{AF362088-BC88-406E-ABB3-D4E9C371D56A}</b:Guid>
    <b:Author>
      <b:Author>
        <b:NameList>
          <b:Person>
            <b:Last>dictionary</b:Last>
            <b:First>free</b:First>
          </b:Person>
        </b:NameList>
      </b:Author>
    </b:Author>
    <b:Title>legal dictinary</b:Title>
    <b:Year>2022</b:Year>
    <b:YearAccessed>22</b:YearAccessed>
    <b:MonthAccessed>april </b:MonthAccessed>
    <b:DayAccessed>20</b:DayAccessed>
    <b:URL>https://legal-dictionary.thefreedictionary.com/mischief+rule</b:URL>
    <b:RefOrder>8</b:RefOrder>
  </b:Source>
  <b:Source>
    <b:Tag>Lex15</b:Tag>
    <b:SourceType>InternetSite</b:SourceType>
    <b:Guid>{242BC78F-2D6B-4CD8-BB35-BE05EE531469}</b:Guid>
    <b:Author>
      <b:Author>
        <b:NameList>
          <b:Person>
            <b:Last>LexisPLS</b:Last>
          </b:Person>
        </b:NameList>
      </b:Author>
    </b:Author>
    <b:Title>LexisNexis Q&amp;As</b:Title>
    <b:Year>2015</b:Year>
    <b:YearAccessed>22</b:YearAccessed>
    <b:MonthAccessed>april</b:MonthAccessed>
    <b:DayAccessed>20</b:DayAccessed>
    <b:URL>https://www.lexisnexis.co.uk/legal/guidance/what-is-the-purposive-approach-to-statutory-interpretation#:~:text=The%20purposive%20approach%20has%20its,in%20accordance%20with%20that%20purpose.</b:URL>
    <b:RefOrder>9</b:RefOrder>
  </b:Source>
  <b:Source>
    <b:Tag>Law13</b:Tag>
    <b:SourceType>InternetSite</b:SourceType>
    <b:Guid>{120303B8-D9F0-4CF4-9F5C-AC2ADB024028}</b:Guid>
    <b:Title>The Rules Behind Statutory Interpretation</b:Title>
    <b:Year>2013</b:Year>
    <b:YearAccessed>22</b:YearAccessed>
    <b:MonthAccessed>april</b:MonthAccessed>
    <b:DayAccessed>24</b:DayAccessed>
    <b:URL>https://www.lawteacher.net/free-law-essays/administrative-law/the-rules-behind-statutory-interpretation-administrative-law-essay.php#citethis</b:URL>
    <b:Author>
      <b:Author>
        <b:NameList>
          <b:Person>
            <b:Last>LawTeacher</b:Last>
          </b:Person>
        </b:NameList>
      </b:Author>
    </b:Author>
    <b:RefOrder>10</b:RefOrder>
  </b:Source>
  <b:Source>
    <b:Tag>wes99</b:Tag>
    <b:SourceType>Misc</b:SourceType>
    <b:Guid>{5394343D-A45D-4166-AC46-A03AC462E4E7}</b:Guid>
    <b:Title>Chief Adjudication Officer v Maguire</b:Title>
    <b:Year>1999</b:Year>
    <b:Author>
      <b:Author>
        <b:NameList>
          <b:Person>
            <b:Last>westlaw</b:Last>
          </b:Person>
        </b:NameList>
      </b:Author>
    </b:Author>
    <b:Publisher>Thomson Reuters </b:Publisher>
    <b:RefOrder>11</b:RefOrder>
  </b:Source>
  <b:Source>
    <b:Tag>wor15</b:Tag>
    <b:SourceType>Misc</b:SourceType>
    <b:Guid>{9E3A202C-2ED1-4C91-95E5-1D8779941B62}</b:Guid>
    <b:Author>
      <b:Author>
        <b:NameList>
          <b:Person>
            <b:Last>press</b:Last>
            <b:First>word</b:First>
          </b:Person>
        </b:NameList>
      </b:Author>
    </b:Author>
    <b:Title>Statutory interpretaion advantages and disadvantages</b:Title>
    <b:Year>2015</b:Year>
    <b:Publisher>https://sjrlawblog.files.wordpress.com</b:Publisher>
    <b:RefOrder>12</b:RefOrder>
  </b:Source>
  <b:Source>
    <b:Tag>Leg67</b:Tag>
    <b:SourceType>InternetSite</b:SourceType>
    <b:Guid>{29621E9F-53D2-47FA-AAB8-24A2A28852F5}</b:Guid>
    <b:Title>The Statute of Marlborough 1267 [Distress]</b:Title>
    <b:Year>1267</b:Year>
    <b:Author>
      <b:Author>
        <b:NameList>
          <b:Person>
            <b:Last>Legislation.gov.uk</b:Last>
          </b:Person>
        </b:NameList>
      </b:Author>
    </b:Author>
    <b:YearAccessed>22</b:YearAccessed>
    <b:MonthAccessed>may</b:MonthAccessed>
    <b:DayAccessed>02</b:DayAccessed>
    <b:URL>https://www.legislation.gov.uk/aep/Hen3cc1415/52/1</b:URL>
    <b:RefOrder>1</b:RefOrder>
  </b:Source>
</b:Sources>
</file>

<file path=customXml/itemProps1.xml><?xml version="1.0" encoding="utf-8"?>
<ds:datastoreItem xmlns:ds="http://schemas.openxmlformats.org/officeDocument/2006/customXml" ds:itemID="{C9CDFB24-6EC8-4D48-B5A6-0B32D81E3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1836</Words>
  <Characters>10468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cherise shade</dc:creator>
  <cp:keywords/>
  <dc:description/>
  <cp:lastModifiedBy>cherise shade</cp:lastModifiedBy>
  <cp:revision>2</cp:revision>
  <dcterms:created xsi:type="dcterms:W3CDTF">2022-05-03T17:16:00Z</dcterms:created>
  <dcterms:modified xsi:type="dcterms:W3CDTF">2022-05-03T17:16:00Z</dcterms:modified>
</cp:coreProperties>
</file>