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1AF3AB">
      <w:pPr>
        <w:jc w:val="center"/>
        <w:rPr>
          <w:rFonts w:cs="Arial"/>
          <w:color w:val="auto"/>
          <w:lang w:val="en-GB"/>
        </w:rPr>
      </w:pPr>
      <w:r>
        <w:rPr>
          <w:lang w:val="en-GB"/>
        </w:rPr>
        <w:drawing>
          <wp:inline distT="0" distB="0" distL="0" distR="0">
            <wp:extent cx="2438400" cy="1054100"/>
            <wp:effectExtent l="0" t="0" r="0" b="0"/>
            <wp:docPr id="1" name="Picture 2"/>
            <wp:cNvGraphicFramePr/>
            <a:graphic xmlns:a="http://schemas.openxmlformats.org/drawingml/2006/main">
              <a:graphicData uri="http://schemas.openxmlformats.org/drawingml/2006/picture">
                <pic:pic xmlns:pic="http://schemas.openxmlformats.org/drawingml/2006/picture">
                  <pic:nvPicPr>
                    <pic:cNvPr id="1" name="Picture 2"/>
                    <pic:cNvPicPr/>
                  </pic:nvPicPr>
                  <pic:blipFill>
                    <a:blip r:embed="rId5">
                      <a:extLst>
                        <a:ext uri="{28A0092B-C50C-407E-A947-70E740481C1C}">
                          <a14:useLocalDpi xmlns:a14="http://schemas.microsoft.com/office/drawing/2010/main" val="0"/>
                        </a:ext>
                      </a:extLst>
                    </a:blip>
                    <a:srcRect/>
                    <a:stretch>
                      <a:fillRect/>
                    </a:stretch>
                  </pic:blipFill>
                  <pic:spPr>
                    <a:xfrm>
                      <a:off x="0" y="0"/>
                      <a:ext cx="2438400" cy="1054100"/>
                    </a:xfrm>
                    <a:prstGeom prst="rect">
                      <a:avLst/>
                    </a:prstGeom>
                    <a:noFill/>
                    <a:ln>
                      <a:noFill/>
                    </a:ln>
                  </pic:spPr>
                </pic:pic>
              </a:graphicData>
            </a:graphic>
          </wp:inline>
        </w:drawing>
      </w:r>
    </w:p>
    <w:p w14:paraId="3BDC607C">
      <w:pPr>
        <w:jc w:val="center"/>
        <w:rPr>
          <w:rFonts w:cs="Arial"/>
          <w:b/>
          <w:bCs/>
          <w:sz w:val="32"/>
          <w:szCs w:val="32"/>
          <w:lang w:val="en-GB"/>
        </w:rPr>
      </w:pPr>
      <w:r>
        <w:rPr>
          <w:rFonts w:cs="Arial"/>
          <w:b/>
          <w:bCs/>
          <w:sz w:val="32"/>
          <w:szCs w:val="32"/>
          <w:lang w:val="en-GB"/>
        </w:rPr>
        <w:br w:type="textWrapping"/>
      </w:r>
      <w:r>
        <w:rPr>
          <w:rFonts w:cs="Arial"/>
          <w:b/>
          <w:bCs/>
          <w:sz w:val="32"/>
          <w:szCs w:val="32"/>
          <w:lang w:val="en-GB"/>
        </w:rPr>
        <w:t>Student name:</w:t>
      </w:r>
      <w:r>
        <w:rPr>
          <w:rFonts w:cs="Arial"/>
          <w:b/>
          <w:bCs/>
          <w:sz w:val="32"/>
          <w:szCs w:val="32"/>
        </w:rPr>
        <w:t xml:space="preserve"> MOHAMMEDAADIL RANA</w:t>
      </w:r>
    </w:p>
    <w:p w14:paraId="106E4D17">
      <w:pPr>
        <w:jc w:val="center"/>
        <w:rPr>
          <w:rFonts w:cs="Arial"/>
          <w:b/>
          <w:bCs/>
          <w:sz w:val="32"/>
          <w:szCs w:val="32"/>
        </w:rPr>
      </w:pPr>
      <w:r>
        <w:rPr>
          <w:rFonts w:cs="Arial"/>
          <w:b/>
          <w:bCs/>
          <w:sz w:val="32"/>
          <w:szCs w:val="32"/>
          <w:lang w:val="en-GB"/>
        </w:rPr>
        <w:t>Student id:</w:t>
      </w:r>
      <w:r>
        <w:rPr>
          <w:rFonts w:cs="Arial"/>
          <w:b/>
          <w:bCs/>
          <w:sz w:val="32"/>
          <w:szCs w:val="32"/>
        </w:rPr>
        <w:t xml:space="preserve"> 2530040</w:t>
      </w:r>
    </w:p>
    <w:p w14:paraId="3DFC1A1A">
      <w:pPr>
        <w:jc w:val="center"/>
        <w:rPr>
          <w:rFonts w:cs="Arial"/>
          <w:b/>
          <w:bCs/>
          <w:sz w:val="32"/>
          <w:szCs w:val="32"/>
        </w:rPr>
      </w:pPr>
      <w:r>
        <w:rPr>
          <w:rFonts w:cs="Arial"/>
          <w:b/>
          <w:bCs/>
          <w:sz w:val="32"/>
          <w:szCs w:val="32"/>
        </w:rPr>
        <w:t>Module Name: Marketing Management</w:t>
      </w:r>
    </w:p>
    <w:p w14:paraId="3362CAFB">
      <w:pPr>
        <w:jc w:val="center"/>
        <w:rPr>
          <w:rFonts w:cs="Arial"/>
          <w:b/>
          <w:bCs/>
          <w:sz w:val="32"/>
          <w:szCs w:val="32"/>
        </w:rPr>
      </w:pPr>
      <w:r>
        <w:rPr>
          <w:rFonts w:cs="Arial"/>
          <w:b/>
          <w:bCs/>
          <w:sz w:val="32"/>
          <w:szCs w:val="32"/>
        </w:rPr>
        <w:t>Module code:LCMB7024</w:t>
      </w:r>
    </w:p>
    <w:p w14:paraId="72902F3D">
      <w:pPr>
        <w:jc w:val="center"/>
        <w:rPr>
          <w:rFonts w:cs="Arial"/>
          <w:b/>
          <w:bCs/>
          <w:sz w:val="32"/>
          <w:szCs w:val="32"/>
          <w:lang w:val="en-GB"/>
        </w:rPr>
      </w:pPr>
      <w:r>
        <w:rPr>
          <w:rFonts w:cs="Arial"/>
          <w:b/>
          <w:bCs/>
          <w:sz w:val="32"/>
          <w:szCs w:val="32"/>
          <w:lang w:val="en-GB"/>
        </w:rPr>
        <w:t>Lecturer’s Name: Laila Maazouz &amp; Dian Mayasari</w:t>
      </w:r>
    </w:p>
    <w:p w14:paraId="207126BB">
      <w:pPr>
        <w:jc w:val="center"/>
        <w:rPr>
          <w:rFonts w:cs="Arial"/>
          <w:b/>
          <w:bCs/>
          <w:sz w:val="32"/>
          <w:szCs w:val="32"/>
          <w:lang w:val="en-GB"/>
        </w:rPr>
      </w:pPr>
      <w:r>
        <w:rPr>
          <w:rFonts w:cs="Arial"/>
          <w:b/>
          <w:bCs/>
          <w:sz w:val="32"/>
          <w:szCs w:val="32"/>
          <w:lang w:val="en-GB"/>
        </w:rPr>
        <w:t>Work Count: 2643</w:t>
      </w:r>
    </w:p>
    <w:p w14:paraId="3F75C181">
      <w:pPr>
        <w:jc w:val="center"/>
        <w:rPr>
          <w:rFonts w:cs="Arial"/>
          <w:b/>
          <w:bCs/>
          <w:sz w:val="32"/>
          <w:szCs w:val="32"/>
        </w:rPr>
      </w:pPr>
      <w:r>
        <w:rPr>
          <w:rFonts w:cs="Arial"/>
          <w:b/>
          <w:bCs/>
          <w:sz w:val="32"/>
          <w:szCs w:val="32"/>
        </w:rPr>
        <w:t xml:space="preserve"> </w:t>
      </w:r>
    </w:p>
    <w:p w14:paraId="560DF2DB">
      <w:pPr>
        <w:jc w:val="center"/>
        <w:rPr>
          <w:rFonts w:cs="Arial"/>
          <w:b/>
          <w:bCs/>
          <w:sz w:val="32"/>
          <w:szCs w:val="32"/>
        </w:rPr>
      </w:pPr>
      <w:r>
        <w:rPr>
          <w:rFonts w:cs="Arial"/>
          <w:b/>
          <w:bCs/>
          <w:sz w:val="32"/>
          <w:szCs w:val="32"/>
        </w:rPr>
        <w:t>Term-1</w:t>
      </w:r>
      <w:bookmarkStart w:id="23" w:name="_GoBack"/>
      <w:bookmarkEnd w:id="23"/>
    </w:p>
    <w:p w14:paraId="2FE7993E">
      <w:pPr>
        <w:jc w:val="center"/>
        <w:rPr>
          <w:rFonts w:cs="Arial"/>
          <w:b/>
          <w:bCs/>
          <w:sz w:val="32"/>
          <w:szCs w:val="32"/>
          <w:lang w:val="en-GB"/>
        </w:rPr>
      </w:pPr>
      <w:r>
        <w:rPr>
          <w:rFonts w:cs="Arial"/>
          <w:b/>
          <w:bCs/>
          <w:sz w:val="32"/>
          <w:szCs w:val="32"/>
          <w:lang w:val="en-GB"/>
        </w:rPr>
        <w:br w:type="page"/>
      </w:r>
    </w:p>
    <w:p w14:paraId="62EEBA09">
      <w:pPr>
        <w:jc w:val="center"/>
        <w:rPr>
          <w:b/>
          <w:bCs/>
          <w:sz w:val="28"/>
          <w:szCs w:val="24"/>
          <w:lang w:val="en-GB"/>
        </w:rPr>
      </w:pPr>
      <w:r>
        <w:rPr>
          <w:b/>
          <w:bCs/>
          <w:sz w:val="28"/>
          <w:szCs w:val="24"/>
          <w:lang w:val="en-GB"/>
        </w:rPr>
        <w:t>Table of Contents</w:t>
      </w:r>
    </w:p>
    <w:p w14:paraId="7B63D54A">
      <w:pPr>
        <w:spacing w:after="0" w:line="240" w:lineRule="auto"/>
        <w:jc w:val="center"/>
        <w:rPr>
          <w:rFonts w:cs="Arial"/>
          <w:lang w:val="en-GB"/>
        </w:rPr>
      </w:pPr>
    </w:p>
    <w:p w14:paraId="67FDB8F2">
      <w:pPr>
        <w:pStyle w:val="16"/>
        <w:tabs>
          <w:tab w:val="right" w:leader="dot" w:pos="9016"/>
        </w:tabs>
        <w:rPr>
          <w:rFonts w:asciiTheme="minorHAnsi" w:hAnsiTheme="minorHAnsi" w:eastAsiaTheme="minorEastAsia" w:cstheme="minorBidi"/>
          <w:color w:val="auto"/>
          <w:kern w:val="2"/>
          <w:szCs w:val="24"/>
          <w:lang w:eastAsia="en-GB"/>
          <w14:ligatures w14:val="none"/>
        </w:rPr>
      </w:pPr>
      <w:r>
        <w:rPr>
          <w:rFonts w:cs="Arial"/>
          <w:sz w:val="20"/>
          <w:szCs w:val="20"/>
          <w:lang w:val="en-GB" w:eastAsia="en-GB"/>
        </w:rPr>
        <w:fldChar w:fldCharType="begin"/>
      </w:r>
      <w:r>
        <w:rPr>
          <w:rFonts w:cs="Arial"/>
          <w:lang w:val="en-GB"/>
        </w:rPr>
        <w:instrText xml:space="preserve">TOC \o "1-3" \h \u </w:instrText>
      </w:r>
      <w:r>
        <w:rPr>
          <w:rFonts w:cs="Arial"/>
          <w:sz w:val="20"/>
          <w:szCs w:val="20"/>
          <w:lang w:val="en-GB" w:eastAsia="en-GB"/>
        </w:rPr>
        <w:fldChar w:fldCharType="separate"/>
      </w:r>
      <w:r>
        <w:fldChar w:fldCharType="begin"/>
      </w:r>
      <w:r>
        <w:instrText xml:space="preserve"> HYPERLINK \l "_Toc223712040" </w:instrText>
      </w:r>
      <w:r>
        <w:fldChar w:fldCharType="separate"/>
      </w:r>
      <w:r>
        <w:rPr>
          <w:rStyle w:val="21"/>
          <w:rFonts w:cs="Arial"/>
          <w:lang w:val="en-GB"/>
        </w:rPr>
        <w:t>1. Introduction</w:t>
      </w:r>
      <w:r>
        <w:tab/>
      </w:r>
      <w:r>
        <w:fldChar w:fldCharType="begin"/>
      </w:r>
      <w:r>
        <w:instrText xml:space="preserve"> PAGEREF _Toc223712040 \h </w:instrText>
      </w:r>
      <w:r>
        <w:fldChar w:fldCharType="separate"/>
      </w:r>
      <w:r>
        <w:t>3</w:t>
      </w:r>
      <w:r>
        <w:fldChar w:fldCharType="end"/>
      </w:r>
      <w:r>
        <w:fldChar w:fldCharType="end"/>
      </w:r>
    </w:p>
    <w:p w14:paraId="0BACF861">
      <w:pPr>
        <w:pStyle w:val="16"/>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"_Toc223712041" </w:instrText>
      </w:r>
      <w:r>
        <w:fldChar w:fldCharType="separate"/>
      </w:r>
      <w:r>
        <w:rPr>
          <w:rStyle w:val="21"/>
          <w:rFonts w:cs="Arial"/>
          <w:lang w:val="en-GB"/>
        </w:rPr>
        <w:t>2. Task 1: Critical Analysis of the Macro Marketing Environment</w:t>
      </w:r>
      <w:r>
        <w:tab/>
      </w:r>
      <w:r>
        <w:fldChar w:fldCharType="begin"/>
      </w:r>
      <w:r>
        <w:instrText xml:space="preserve"> PAGEREF _Toc223712041 \h </w:instrText>
      </w:r>
      <w:r>
        <w:fldChar w:fldCharType="separate"/>
      </w:r>
      <w:r>
        <w:t>4</w:t>
      </w:r>
      <w:r>
        <w:fldChar w:fldCharType="end"/>
      </w:r>
      <w:r>
        <w:fldChar w:fldCharType="end"/>
      </w:r>
    </w:p>
    <w:p w14:paraId="05C15A43">
      <w:pPr>
        <w:pStyle w:val="17"/>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"_Toc223712042" </w:instrText>
      </w:r>
      <w:r>
        <w:fldChar w:fldCharType="separate"/>
      </w:r>
      <w:r>
        <w:rPr>
          <w:rStyle w:val="21"/>
          <w:rFonts w:cs="Arial"/>
          <w:lang w:val="en-GB"/>
        </w:rPr>
        <w:t>2.1 Macro Marketing Environment</w:t>
      </w:r>
      <w:r>
        <w:tab/>
      </w:r>
      <w:r>
        <w:fldChar w:fldCharType="begin"/>
      </w:r>
      <w:r>
        <w:instrText xml:space="preserve"> PAGEREF _Toc223712042 \h </w:instrText>
      </w:r>
      <w:r>
        <w:fldChar w:fldCharType="separate"/>
      </w:r>
      <w:r>
        <w:t>4</w:t>
      </w:r>
      <w:r>
        <w:fldChar w:fldCharType="end"/>
      </w:r>
      <w:r>
        <w:fldChar w:fldCharType="end"/>
      </w:r>
    </w:p>
    <w:p w14:paraId="65B07895">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"_Toc223712043" </w:instrText>
      </w:r>
      <w:r>
        <w:fldChar w:fldCharType="separate"/>
      </w:r>
      <w:r>
        <w:rPr>
          <w:rStyle w:val="21"/>
        </w:rPr>
        <w:t>2.1.1 PESTLE Framework as a Tool for Analysing Macro-Environmental Forces</w:t>
      </w:r>
      <w:r>
        <w:tab/>
      </w:r>
      <w:r>
        <w:fldChar w:fldCharType="begin"/>
      </w:r>
      <w:r>
        <w:instrText xml:space="preserve"> PAGEREF _Toc223712043 \h </w:instrText>
      </w:r>
      <w:r>
        <w:fldChar w:fldCharType="separate"/>
      </w:r>
      <w:r>
        <w:t>4</w:t>
      </w:r>
      <w:r>
        <w:fldChar w:fldCharType="end"/>
      </w:r>
      <w:r>
        <w:fldChar w:fldCharType="end"/>
      </w:r>
    </w:p>
    <w:p w14:paraId="3E0EC778">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"_Toc223712044" </w:instrText>
      </w:r>
      <w:r>
        <w:fldChar w:fldCharType="separate"/>
      </w:r>
      <w:r>
        <w:rPr>
          <w:rStyle w:val="21"/>
          <w:lang w:val="en-GB"/>
        </w:rPr>
        <w:t>2.1.2 Justification for Selecting the Two Specific Macro Factors</w:t>
      </w:r>
      <w:r>
        <w:tab/>
      </w:r>
      <w:r>
        <w:fldChar w:fldCharType="begin"/>
      </w:r>
      <w:r>
        <w:instrText xml:space="preserve"> PAGEREF _Toc223712044 \h </w:instrText>
      </w:r>
      <w:r>
        <w:fldChar w:fldCharType="separate"/>
      </w:r>
      <w:r>
        <w:t>4</w:t>
      </w:r>
      <w:r>
        <w:fldChar w:fldCharType="end"/>
      </w:r>
      <w:r>
        <w:fldChar w:fldCharType="end"/>
      </w:r>
    </w:p>
    <w:p w14:paraId="58070A2E">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"_Toc223712045" </w:instrText>
      </w:r>
      <w:r>
        <w:fldChar w:fldCharType="separate"/>
      </w:r>
      <w:r>
        <w:rPr>
          <w:rStyle w:val="21"/>
          <w:lang w:val="en-GB"/>
        </w:rPr>
        <w:t>2.1.3 Strategic Significance of These Factors in the EV Industry</w:t>
      </w:r>
      <w:r>
        <w:tab/>
      </w:r>
      <w:r>
        <w:fldChar w:fldCharType="begin"/>
      </w:r>
      <w:r>
        <w:instrText xml:space="preserve"> PAGEREF _Toc223712045 \h </w:instrText>
      </w:r>
      <w:r>
        <w:fldChar w:fldCharType="separate"/>
      </w:r>
      <w:r>
        <w:t>4</w:t>
      </w:r>
      <w:r>
        <w:fldChar w:fldCharType="end"/>
      </w:r>
      <w:r>
        <w:fldChar w:fldCharType="end"/>
      </w:r>
    </w:p>
    <w:p w14:paraId="211E5A68">
      <w:pPr>
        <w:pStyle w:val="17"/>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"_Toc223712046" </w:instrText>
      </w:r>
      <w:r>
        <w:fldChar w:fldCharType="separate"/>
      </w:r>
      <w:r>
        <w:rPr>
          <w:rStyle w:val="21"/>
          <w:rFonts w:cs="Arial"/>
          <w:lang w:val="en-GB"/>
        </w:rPr>
        <w:t>2.2 Analysis of Macro Factor 1</w:t>
      </w:r>
      <w:r>
        <w:tab/>
      </w:r>
      <w:r>
        <w:fldChar w:fldCharType="begin"/>
      </w:r>
      <w:r>
        <w:instrText xml:space="preserve"> PAGEREF _Toc223712046 \h </w:instrText>
      </w:r>
      <w:r>
        <w:fldChar w:fldCharType="separate"/>
      </w:r>
      <w:r>
        <w:t>6</w:t>
      </w:r>
      <w:r>
        <w:fldChar w:fldCharType="end"/>
      </w:r>
      <w:r>
        <w:fldChar w:fldCharType="end"/>
      </w:r>
    </w:p>
    <w:p w14:paraId="247F1D80">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"_Toc223712047" </w:instrText>
      </w:r>
      <w:r>
        <w:fldChar w:fldCharType="separate"/>
      </w:r>
      <w:r>
        <w:rPr>
          <w:rStyle w:val="21"/>
          <w:rFonts w:cs="Arial"/>
          <w:lang w:val="en-GB"/>
        </w:rPr>
        <w:t>2.2.1 Impact on the Pioneer Organisation</w:t>
      </w:r>
      <w:r>
        <w:tab/>
      </w:r>
      <w:r>
        <w:fldChar w:fldCharType="begin"/>
      </w:r>
      <w:r>
        <w:instrText xml:space="preserve"> PAGEREF _Toc223712047 \h </w:instrText>
      </w:r>
      <w:r>
        <w:fldChar w:fldCharType="separate"/>
      </w:r>
      <w:r>
        <w:t>6</w:t>
      </w:r>
      <w:r>
        <w:fldChar w:fldCharType="end"/>
      </w:r>
      <w:r>
        <w:fldChar w:fldCharType="end"/>
      </w:r>
    </w:p>
    <w:p w14:paraId="3B9B898C">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"_Toc223712048" </w:instrText>
      </w:r>
      <w:r>
        <w:fldChar w:fldCharType="separate"/>
      </w:r>
      <w:r>
        <w:rPr>
          <w:rStyle w:val="21"/>
          <w:rFonts w:cs="Arial"/>
          <w:lang w:val="en-GB"/>
        </w:rPr>
        <w:t>2.2.2 Impact on the Follower Organisation</w:t>
      </w:r>
      <w:r>
        <w:tab/>
      </w:r>
      <w:r>
        <w:fldChar w:fldCharType="begin"/>
      </w:r>
      <w:r>
        <w:instrText xml:space="preserve"> PAGEREF _Toc223712048 \h </w:instrText>
      </w:r>
      <w:r>
        <w:fldChar w:fldCharType="separate"/>
      </w:r>
      <w:r>
        <w:t>7</w:t>
      </w:r>
      <w:r>
        <w:fldChar w:fldCharType="end"/>
      </w:r>
      <w:r>
        <w:fldChar w:fldCharType="end"/>
      </w:r>
    </w:p>
    <w:p w14:paraId="58F895BA">
      <w:pPr>
        <w:pStyle w:val="17"/>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"_Toc223712049" </w:instrText>
      </w:r>
      <w:r>
        <w:fldChar w:fldCharType="separate"/>
      </w:r>
      <w:r>
        <w:rPr>
          <w:rStyle w:val="21"/>
          <w:rFonts w:cs="Arial"/>
          <w:lang w:val="en-GB"/>
        </w:rPr>
        <w:t>2.3 Analysis of Macro Factor 2</w:t>
      </w:r>
      <w:r>
        <w:tab/>
      </w:r>
      <w:r>
        <w:fldChar w:fldCharType="begin"/>
      </w:r>
      <w:r>
        <w:instrText xml:space="preserve"> PAGEREF _Toc223712049 \h </w:instrText>
      </w:r>
      <w:r>
        <w:fldChar w:fldCharType="separate"/>
      </w:r>
      <w:r>
        <w:t>8</w:t>
      </w:r>
      <w:r>
        <w:fldChar w:fldCharType="end"/>
      </w:r>
      <w:r>
        <w:fldChar w:fldCharType="end"/>
      </w:r>
    </w:p>
    <w:p w14:paraId="5394E08D">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"_Toc223712050" </w:instrText>
      </w:r>
      <w:r>
        <w:fldChar w:fldCharType="separate"/>
      </w:r>
      <w:r>
        <w:rPr>
          <w:rStyle w:val="21"/>
          <w:rFonts w:cs="Arial"/>
          <w:lang w:val="en-GB"/>
        </w:rPr>
        <w:t>2.3.1 Impact on the Pioneer Organisation</w:t>
      </w:r>
      <w:r>
        <w:tab/>
      </w:r>
      <w:r>
        <w:fldChar w:fldCharType="begin"/>
      </w:r>
      <w:r>
        <w:instrText xml:space="preserve"> PAGEREF _Toc223712050 \h </w:instrText>
      </w:r>
      <w:r>
        <w:fldChar w:fldCharType="separate"/>
      </w:r>
      <w:r>
        <w:t>8</w:t>
      </w:r>
      <w:r>
        <w:fldChar w:fldCharType="end"/>
      </w:r>
      <w:r>
        <w:fldChar w:fldCharType="end"/>
      </w:r>
    </w:p>
    <w:p w14:paraId="11777537">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"_Toc223712051" </w:instrText>
      </w:r>
      <w:r>
        <w:fldChar w:fldCharType="separate"/>
      </w:r>
      <w:r>
        <w:rPr>
          <w:rStyle w:val="21"/>
          <w:rFonts w:cs="Arial"/>
          <w:lang w:val="en-GB"/>
        </w:rPr>
        <w:t>2.3.2 Impact on the Follower Organisation</w:t>
      </w:r>
      <w:r>
        <w:tab/>
      </w:r>
      <w:r>
        <w:fldChar w:fldCharType="begin"/>
      </w:r>
      <w:r>
        <w:instrText xml:space="preserve"> PAGEREF _Toc223712051 \h </w:instrText>
      </w:r>
      <w:r>
        <w:fldChar w:fldCharType="separate"/>
      </w:r>
      <w:r>
        <w:t>10</w:t>
      </w:r>
      <w:r>
        <w:fldChar w:fldCharType="end"/>
      </w:r>
      <w:r>
        <w:fldChar w:fldCharType="end"/>
      </w:r>
    </w:p>
    <w:p w14:paraId="2ED8795A">
      <w:pPr>
        <w:pStyle w:val="16"/>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"_Toc223712052" </w:instrText>
      </w:r>
      <w:r>
        <w:fldChar w:fldCharType="separate"/>
      </w:r>
      <w:r>
        <w:rPr>
          <w:rStyle w:val="21"/>
          <w:rFonts w:cs="Arial"/>
          <w:lang w:val="en-GB"/>
        </w:rPr>
        <w:t>3. Task 2: Strategic Responses of Pioneering and Follower Organisations</w:t>
      </w:r>
      <w:r>
        <w:tab/>
      </w:r>
      <w:r>
        <w:fldChar w:fldCharType="begin"/>
      </w:r>
      <w:r>
        <w:instrText xml:space="preserve"> PAGEREF _Toc223712052 \h </w:instrText>
      </w:r>
      <w:r>
        <w:fldChar w:fldCharType="separate"/>
      </w:r>
      <w:r>
        <w:t>11</w:t>
      </w:r>
      <w:r>
        <w:fldChar w:fldCharType="end"/>
      </w:r>
      <w:r>
        <w:fldChar w:fldCharType="end"/>
      </w:r>
    </w:p>
    <w:p w14:paraId="41B43847">
      <w:pPr>
        <w:pStyle w:val="17"/>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"_Toc223712053" </w:instrText>
      </w:r>
      <w:r>
        <w:fldChar w:fldCharType="separate"/>
      </w:r>
      <w:r>
        <w:rPr>
          <w:rStyle w:val="21"/>
          <w:rFonts w:cs="Arial"/>
          <w:lang w:val="en-GB"/>
        </w:rPr>
        <w:t>3.1 Pioneering Organisation’s Strategic Responses – Tesla</w:t>
      </w:r>
      <w:r>
        <w:tab/>
      </w:r>
      <w:r>
        <w:fldChar w:fldCharType="begin"/>
      </w:r>
      <w:r>
        <w:instrText xml:space="preserve"> PAGEREF _Toc223712053 \h </w:instrText>
      </w:r>
      <w:r>
        <w:fldChar w:fldCharType="separate"/>
      </w:r>
      <w:r>
        <w:t>11</w:t>
      </w:r>
      <w:r>
        <w:fldChar w:fldCharType="end"/>
      </w:r>
      <w:r>
        <w:fldChar w:fldCharType="end"/>
      </w:r>
    </w:p>
    <w:p w14:paraId="39DFD9AE">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"_Toc223712054" </w:instrText>
      </w:r>
      <w:r>
        <w:fldChar w:fldCharType="separate"/>
      </w:r>
      <w:r>
        <w:rPr>
          <w:rStyle w:val="21"/>
          <w:lang w:val="en-GB"/>
        </w:rPr>
        <w:t>3.1.1 Response to External Challenges and Opportunities</w:t>
      </w:r>
      <w:r>
        <w:tab/>
      </w:r>
      <w:r>
        <w:fldChar w:fldCharType="begin"/>
      </w:r>
      <w:r>
        <w:instrText xml:space="preserve"> PAGEREF _Toc223712054 \h </w:instrText>
      </w:r>
      <w:r>
        <w:fldChar w:fldCharType="separate"/>
      </w:r>
      <w:r>
        <w:t>11</w:t>
      </w:r>
      <w:r>
        <w:fldChar w:fldCharType="end"/>
      </w:r>
      <w:r>
        <w:fldChar w:fldCharType="end"/>
      </w:r>
    </w:p>
    <w:p w14:paraId="5BAEB28A">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"_Toc223712055" </w:instrText>
      </w:r>
      <w:r>
        <w:fldChar w:fldCharType="separate"/>
      </w:r>
      <w:r>
        <w:rPr>
          <w:rStyle w:val="21"/>
          <w:lang w:val="en-GB"/>
        </w:rPr>
        <w:t>3.1.2 Application of Porter’s Generic Strategies</w:t>
      </w:r>
      <w:r>
        <w:tab/>
      </w:r>
      <w:r>
        <w:fldChar w:fldCharType="begin"/>
      </w:r>
      <w:r>
        <w:instrText xml:space="preserve"> PAGEREF _Toc223712055 \h </w:instrText>
      </w:r>
      <w:r>
        <w:fldChar w:fldCharType="separate"/>
      </w:r>
      <w:r>
        <w:t>12</w:t>
      </w:r>
      <w:r>
        <w:fldChar w:fldCharType="end"/>
      </w:r>
      <w:r>
        <w:fldChar w:fldCharType="end"/>
      </w:r>
    </w:p>
    <w:p w14:paraId="5804392A">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"_Toc223712056" </w:instrText>
      </w:r>
      <w:r>
        <w:fldChar w:fldCharType="separate"/>
      </w:r>
      <w:r>
        <w:rPr>
          <w:rStyle w:val="21"/>
          <w:lang w:val="en-GB"/>
        </w:rPr>
        <w:t>3.1.3 Industry Examples Supporting Tesla’s Strategy</w:t>
      </w:r>
      <w:r>
        <w:tab/>
      </w:r>
      <w:r>
        <w:fldChar w:fldCharType="begin"/>
      </w:r>
      <w:r>
        <w:instrText xml:space="preserve"> PAGEREF _Toc223712056 \h </w:instrText>
      </w:r>
      <w:r>
        <w:fldChar w:fldCharType="separate"/>
      </w:r>
      <w:r>
        <w:t>13</w:t>
      </w:r>
      <w:r>
        <w:fldChar w:fldCharType="end"/>
      </w:r>
      <w:r>
        <w:fldChar w:fldCharType="end"/>
      </w:r>
    </w:p>
    <w:p w14:paraId="3511E2B7">
      <w:pPr>
        <w:pStyle w:val="17"/>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"_Toc223712057" </w:instrText>
      </w:r>
      <w:r>
        <w:fldChar w:fldCharType="separate"/>
      </w:r>
      <w:r>
        <w:rPr>
          <w:rStyle w:val="21"/>
          <w:rFonts w:cs="Arial"/>
          <w:lang w:val="en-GB"/>
        </w:rPr>
        <w:t>3.2 Follower Organisation’s Strategic Responses – BYD</w:t>
      </w:r>
      <w:r>
        <w:tab/>
      </w:r>
      <w:r>
        <w:fldChar w:fldCharType="begin"/>
      </w:r>
      <w:r>
        <w:instrText xml:space="preserve"> PAGEREF _Toc223712057 \h </w:instrText>
      </w:r>
      <w:r>
        <w:fldChar w:fldCharType="separate"/>
      </w:r>
      <w:r>
        <w:t>14</w:t>
      </w:r>
      <w:r>
        <w:fldChar w:fldCharType="end"/>
      </w:r>
      <w:r>
        <w:fldChar w:fldCharType="end"/>
      </w:r>
    </w:p>
    <w:p w14:paraId="0A3353E3">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"_Toc223712058" </w:instrText>
      </w:r>
      <w:r>
        <w:fldChar w:fldCharType="separate"/>
      </w:r>
      <w:r>
        <w:rPr>
          <w:rStyle w:val="21"/>
          <w:lang w:val="en-GB"/>
        </w:rPr>
        <w:t>3.2.1 Response to External Challenges and Opportunities</w:t>
      </w:r>
      <w:r>
        <w:tab/>
      </w:r>
      <w:r>
        <w:fldChar w:fldCharType="begin"/>
      </w:r>
      <w:r>
        <w:instrText xml:space="preserve"> PAGEREF _Toc223712058 \h </w:instrText>
      </w:r>
      <w:r>
        <w:fldChar w:fldCharType="separate"/>
      </w:r>
      <w:r>
        <w:t>14</w:t>
      </w:r>
      <w:r>
        <w:fldChar w:fldCharType="end"/>
      </w:r>
      <w:r>
        <w:fldChar w:fldCharType="end"/>
      </w:r>
    </w:p>
    <w:p w14:paraId="6E25D0ED">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"_Toc223712059" </w:instrText>
      </w:r>
      <w:r>
        <w:fldChar w:fldCharType="separate"/>
      </w:r>
      <w:r>
        <w:rPr>
          <w:rStyle w:val="21"/>
          <w:lang w:val="en-GB"/>
        </w:rPr>
        <w:t>3.2.2 Application of Ansoff Matrix Framework</w:t>
      </w:r>
      <w:r>
        <w:tab/>
      </w:r>
      <w:r>
        <w:fldChar w:fldCharType="begin"/>
      </w:r>
      <w:r>
        <w:instrText xml:space="preserve"> PAGEREF _Toc223712059 \h </w:instrText>
      </w:r>
      <w:r>
        <w:fldChar w:fldCharType="separate"/>
      </w:r>
      <w:r>
        <w:t>15</w:t>
      </w:r>
      <w:r>
        <w:fldChar w:fldCharType="end"/>
      </w:r>
      <w:r>
        <w:fldChar w:fldCharType="end"/>
      </w:r>
    </w:p>
    <w:p w14:paraId="3BCD0D68">
      <w:pPr>
        <w:pStyle w:val="18"/>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"_Toc223712060" </w:instrText>
      </w:r>
      <w:r>
        <w:fldChar w:fldCharType="separate"/>
      </w:r>
      <w:r>
        <w:rPr>
          <w:rStyle w:val="21"/>
          <w:lang w:val="en-GB"/>
        </w:rPr>
        <w:t>3.2.3 Industry Examples Supporting BYD’s Strategy</w:t>
      </w:r>
      <w:r>
        <w:tab/>
      </w:r>
      <w:r>
        <w:fldChar w:fldCharType="begin"/>
      </w:r>
      <w:r>
        <w:instrText xml:space="preserve"> PAGEREF _Toc223712060 \h </w:instrText>
      </w:r>
      <w:r>
        <w:fldChar w:fldCharType="separate"/>
      </w:r>
      <w:r>
        <w:t>17</w:t>
      </w:r>
      <w:r>
        <w:fldChar w:fldCharType="end"/>
      </w:r>
      <w:r>
        <w:fldChar w:fldCharType="end"/>
      </w:r>
    </w:p>
    <w:p w14:paraId="44882B9E">
      <w:pPr>
        <w:pStyle w:val="16"/>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"_Toc223712061" </w:instrText>
      </w:r>
      <w:r>
        <w:fldChar w:fldCharType="separate"/>
      </w:r>
      <w:r>
        <w:rPr>
          <w:rStyle w:val="21"/>
          <w:rFonts w:cs="Arial"/>
          <w:lang w:val="en-GB"/>
        </w:rPr>
        <w:t>4. Conclusion</w:t>
      </w:r>
      <w:r>
        <w:tab/>
      </w:r>
      <w:r>
        <w:fldChar w:fldCharType="begin"/>
      </w:r>
      <w:r>
        <w:instrText xml:space="preserve"> PAGEREF _Toc223712061 \h </w:instrText>
      </w:r>
      <w:r>
        <w:fldChar w:fldCharType="separate"/>
      </w:r>
      <w:r>
        <w:t>18</w:t>
      </w:r>
      <w:r>
        <w:fldChar w:fldCharType="end"/>
      </w:r>
      <w:r>
        <w:fldChar w:fldCharType="end"/>
      </w:r>
    </w:p>
    <w:p w14:paraId="36FE2843">
      <w:pPr>
        <w:pStyle w:val="16"/>
        <w:tabs>
          <w:tab w:val="right" w:leader="dot" w:pos="9016"/>
        </w:tabs>
        <w:rPr>
          <w:rFonts w:asciiTheme="minorHAnsi" w:hAnsiTheme="minorHAnsi" w:eastAsiaTheme="minorEastAsia" w:cstheme="minorBidi"/>
          <w:color w:val="auto"/>
          <w:kern w:val="2"/>
          <w:szCs w:val="24"/>
          <w:lang w:eastAsia="en-GB"/>
          <w14:ligatures w14:val="none"/>
        </w:rPr>
      </w:pPr>
      <w:r>
        <w:fldChar w:fldCharType="begin"/>
      </w:r>
      <w:r>
        <w:instrText xml:space="preserve"> HYPERLINK \l "_Toc223712062" </w:instrText>
      </w:r>
      <w:r>
        <w:fldChar w:fldCharType="separate"/>
      </w:r>
      <w:r>
        <w:rPr>
          <w:rStyle w:val="21"/>
          <w:rFonts w:cs="Arial"/>
          <w:lang w:val="en-GB"/>
        </w:rPr>
        <w:t>Reference</w:t>
      </w:r>
      <w:r>
        <w:tab/>
      </w:r>
      <w:r>
        <w:fldChar w:fldCharType="begin"/>
      </w:r>
      <w:r>
        <w:instrText xml:space="preserve"> PAGEREF _Toc223712062 \h </w:instrText>
      </w:r>
      <w:r>
        <w:fldChar w:fldCharType="separate"/>
      </w:r>
      <w:r>
        <w:t>19</w:t>
      </w:r>
      <w:r>
        <w:fldChar w:fldCharType="end"/>
      </w:r>
      <w:r>
        <w:fldChar w:fldCharType="end"/>
      </w:r>
    </w:p>
    <w:p w14:paraId="5781F6C2">
      <w:pPr>
        <w:pStyle w:val="2"/>
        <w:rPr>
          <w:rFonts w:cs="Arial"/>
          <w:color w:val="auto"/>
          <w:lang w:val="en-GB"/>
        </w:rPr>
      </w:pPr>
      <w:r>
        <w:rPr>
          <w:rFonts w:cs="Arial"/>
          <w:color w:val="auto"/>
          <w:lang w:val="en-GB"/>
        </w:rPr>
        <w:fldChar w:fldCharType="end"/>
      </w:r>
    </w:p>
    <w:p w14:paraId="2FE44C91">
      <w:pPr>
        <w:rPr>
          <w:rFonts w:cs="Arial"/>
          <w:lang w:val="en-GB"/>
        </w:rPr>
      </w:pPr>
    </w:p>
    <w:p w14:paraId="645A1337">
      <w:pPr>
        <w:pStyle w:val="2"/>
        <w:numPr>
          <w:ilvl w:val="0"/>
          <w:numId w:val="1"/>
        </w:numPr>
        <w:rPr>
          <w:rFonts w:cs="Arial"/>
          <w:color w:val="auto"/>
          <w:lang w:val="en-GB"/>
        </w:rPr>
      </w:pPr>
      <w:r>
        <w:rPr>
          <w:rFonts w:cs="Arial"/>
          <w:color w:val="auto"/>
          <w:lang w:val="en-GB"/>
        </w:rPr>
        <w:br w:type="page"/>
      </w:r>
      <w:bookmarkStart w:id="0" w:name="_Toc223712040"/>
      <w:r>
        <w:rPr>
          <w:rFonts w:cs="Arial"/>
          <w:color w:val="auto"/>
          <w:lang w:val="en-GB"/>
        </w:rPr>
        <w:t>Introduction</w:t>
      </w:r>
      <w:bookmarkEnd w:id="0"/>
      <w:r>
        <w:rPr>
          <w:rFonts w:cs="Arial"/>
          <w:color w:val="auto"/>
          <w:lang w:val="en-GB"/>
        </w:rPr>
        <w:t xml:space="preserve"> </w:t>
      </w:r>
    </w:p>
    <w:p w14:paraId="6EA01C30">
      <w:pPr>
        <w:rPr>
          <w:rFonts w:cs="Arial"/>
          <w:lang w:val="en-GB"/>
        </w:rPr>
      </w:pPr>
      <w:r>
        <w:rPr>
          <w:rFonts w:cs="Arial"/>
          <w:lang w:val="en-GB"/>
        </w:rPr>
        <w:t>Strategic marketing management is important in ensuring that organisations compete well in the competitive and dynamic markets. It entails the examination of internal strengths as well as the external environmental factors to develop strategies that will lead to the achievement of long-term growth and sustainability (</w:t>
      </w:r>
      <w:r>
        <w:rPr>
          <w:rFonts w:cs="Arial"/>
          <w:lang w:val="en-GB" w:bidi="ar"/>
        </w:rPr>
        <w:t>Career Advice, 2025)</w:t>
      </w:r>
      <w:r>
        <w:rPr>
          <w:rFonts w:cs="Arial"/>
          <w:lang w:val="en-GB"/>
        </w:rPr>
        <w:t>. The report aims to discuss the influence of the macro-environmental forces on the organisational strategies of Tesla, Inc. and BYD Company as disruptor and follower organisations in the electric vehicle market, respectively.</w:t>
      </w:r>
    </w:p>
    <w:p w14:paraId="0F665D45">
      <w:pPr>
        <w:rPr>
          <w:rFonts w:cs="Arial"/>
          <w:b/>
          <w:bCs/>
          <w:i/>
          <w:iCs/>
          <w:lang w:val="en-GB"/>
        </w:rPr>
      </w:pPr>
      <w:r>
        <w:rPr>
          <w:rFonts w:cs="Arial"/>
          <w:b/>
          <w:bCs/>
          <w:i/>
          <w:iCs/>
          <w:lang w:val="en-GB"/>
        </w:rPr>
        <w:t>Overview of industry</w:t>
      </w:r>
    </w:p>
    <w:p w14:paraId="6514CEE5">
      <w:pPr>
        <w:rPr>
          <w:rFonts w:cs="Arial"/>
          <w:lang w:val="en-GB"/>
        </w:rPr>
      </w:pPr>
      <w:r>
        <w:rPr>
          <w:rFonts w:cs="Arial"/>
          <w:lang w:val="en-GB"/>
        </w:rPr>
        <w:t>Over the past few years, the world electric vehicle (EV) market has been growing rapidly because of growing environmental issues. The competitive nature of the industry is denoted by innovative EV makers and old car manufacturers that are shifting to electrification (</w:t>
      </w:r>
      <w:r>
        <w:rPr>
          <w:rFonts w:cs="Arial"/>
          <w:lang w:val="en-GB" w:bidi="ar"/>
        </w:rPr>
        <w:t>Saltik and Tuydes-Yama, 2025)</w:t>
      </w:r>
      <w:r>
        <w:rPr>
          <w:rFonts w:cs="Arial"/>
          <w:lang w:val="en-GB"/>
        </w:rPr>
        <w:t>. In such a competitive environment, Tesla, Inc. is also well known as an innovator that has redefined the EV market through technological advancement and high-brand positioning, and BYD Company has grown fast to be a leading competitor with its cost efficiency and high domestic market share.</w:t>
      </w:r>
    </w:p>
    <w:p w14:paraId="6A52152F">
      <w:pPr>
        <w:rPr>
          <w:rFonts w:cs="Arial"/>
          <w:b/>
          <w:bCs/>
          <w:i/>
          <w:iCs/>
          <w:lang w:val="en-GB"/>
        </w:rPr>
      </w:pPr>
      <w:r>
        <w:rPr>
          <w:rFonts w:cs="Arial"/>
          <w:b/>
          <w:bCs/>
          <w:i/>
          <w:iCs/>
          <w:lang w:val="en-GB"/>
        </w:rPr>
        <w:t>Importance of analysing the macro marketing environment</w:t>
      </w:r>
    </w:p>
    <w:p w14:paraId="6A039ECA">
      <w:pPr>
        <w:rPr>
          <w:rFonts w:cs="Arial"/>
          <w:lang w:val="en-GB"/>
        </w:rPr>
      </w:pPr>
      <w:r>
        <w:rPr>
          <w:rFonts w:cs="Arial"/>
          <w:lang w:val="en-GB"/>
        </w:rPr>
        <w:t xml:space="preserve">The Strategic marketing management involves the analysis of the macro marketing environment, as it allows the organisations to determine the external opportunities and threats that can affect business performance. The PESTLE analysis and other tools assist companies in analysing political, economic, social, technological, legal, and environmental conditions that define the situation in the industry. </w:t>
      </w:r>
    </w:p>
    <w:p w14:paraId="27EF88BF">
      <w:pPr>
        <w:rPr>
          <w:rFonts w:cs="Arial"/>
          <w:b/>
          <w:bCs/>
          <w:i/>
          <w:iCs/>
          <w:lang w:val="en-GB"/>
        </w:rPr>
      </w:pPr>
      <w:r>
        <w:rPr>
          <w:rFonts w:cs="Arial"/>
          <w:b/>
          <w:bCs/>
          <w:i/>
          <w:iCs/>
          <w:lang w:val="en-GB"/>
        </w:rPr>
        <w:t>Structure and scope of the report</w:t>
      </w:r>
    </w:p>
    <w:p w14:paraId="2B5DC74D">
      <w:pPr>
        <w:rPr>
          <w:rFonts w:cs="Arial"/>
          <w:lang w:val="en-GB"/>
        </w:rPr>
      </w:pPr>
      <w:r>
        <w:rPr>
          <w:rFonts w:cs="Arial"/>
          <w:lang w:val="en-GB"/>
        </w:rPr>
        <w:t xml:space="preserve">The following report takes a critical analysis of two major macro-environmental factors affecting the electric vehicle industry and evaluates how they would affect Tesla and BYD. Moreover, it evaluates the business reaction of each organisation to these environmental forces in a strategic manner by using the appropriate marketing models, such as the Generic Strategies formulated by Porter and the Growth Matrix developed by Ansoff. </w:t>
      </w:r>
    </w:p>
    <w:p w14:paraId="47B3AC7D">
      <w:pPr>
        <w:pStyle w:val="2"/>
        <w:rPr>
          <w:rFonts w:cs="Arial"/>
          <w:color w:val="auto"/>
          <w:lang w:val="en-GB"/>
        </w:rPr>
      </w:pPr>
      <w:bookmarkStart w:id="1" w:name="_Toc223712041"/>
      <w:r>
        <w:rPr>
          <w:rFonts w:cs="Arial"/>
          <w:color w:val="auto"/>
          <w:lang w:val="en-GB"/>
        </w:rPr>
        <w:t>2. Task 1: Critical Analysis of the Macro Marketing Environment</w:t>
      </w:r>
      <w:bookmarkEnd w:id="1"/>
    </w:p>
    <w:p w14:paraId="52ED173E">
      <w:pPr>
        <w:pStyle w:val="3"/>
        <w:rPr>
          <w:rFonts w:cs="Arial"/>
          <w:color w:val="auto"/>
          <w:lang w:val="en-GB"/>
        </w:rPr>
      </w:pPr>
      <w:bookmarkStart w:id="2" w:name="_Toc223712042"/>
      <w:r>
        <w:rPr>
          <w:rFonts w:cs="Arial"/>
          <w:color w:val="auto"/>
          <w:lang w:val="en-GB"/>
        </w:rPr>
        <w:t>2.1 Macro Marketing Environment</w:t>
      </w:r>
      <w:bookmarkEnd w:id="2"/>
    </w:p>
    <w:p w14:paraId="6CA18B93">
      <w:pPr>
        <w:pStyle w:val="4"/>
      </w:pPr>
      <w:bookmarkStart w:id="3" w:name="_Toc223712043"/>
      <w:r>
        <w:t>2.1.1 PESTLE Framework as a Tool for Analysing Macro-Environmental Forces</w:t>
      </w:r>
      <w:bookmarkEnd w:id="3"/>
    </w:p>
    <w:p w14:paraId="0C746F61">
      <w:pPr>
        <w:rPr>
          <w:rFonts w:cs="Arial"/>
          <w:lang w:val="en-GB"/>
        </w:rPr>
      </w:pPr>
      <w:r>
        <w:rPr>
          <w:rFonts w:cs="Arial"/>
          <w:lang w:val="en-GB"/>
        </w:rPr>
        <w:t>The macro marketing environment is defined as the external forces that affect organisational performance in a broad way, though the organisational performance is not under the direct control of firms. The PESTLE framework is one of the most effective instruments for analysing these forces as it studies factors that influence industries and organisations and concern politics, economics, social, technological, legal, and environmental issues (</w:t>
      </w:r>
      <w:r>
        <w:rPr>
          <w:rFonts w:cs="Arial"/>
          <w:lang w:val="en-GB" w:bidi="ar"/>
        </w:rPr>
        <w:t>CIPD, 2025)</w:t>
      </w:r>
      <w:r>
        <w:rPr>
          <w:rFonts w:cs="Arial"/>
          <w:lang w:val="en-GB"/>
        </w:rPr>
        <w:t xml:space="preserve">. </w:t>
      </w:r>
    </w:p>
    <w:p w14:paraId="7AE0A6DD">
      <w:pPr>
        <w:rPr>
          <w:rFonts w:cs="Arial"/>
          <w:lang w:val="en-GB"/>
        </w:rPr>
      </w:pPr>
      <w:r>
        <w:rPr>
          <w:rFonts w:cs="Arial"/>
          <w:lang w:val="en-GB"/>
        </w:rPr>
        <w:t xml:space="preserve">The effect of macro-environmental forces is not specific to the industry of electric vehicles. As an example, Apple in the technology sector have to constantly react to regulatory policies regarding data privacy and international trade regulations. On the same note, in the retail industry, retailers such as Walmart change their approaches to suit the economic environment such as inflation and fluctuations in consumer buying power. </w:t>
      </w:r>
    </w:p>
    <w:p w14:paraId="69E1A225">
      <w:pPr>
        <w:pStyle w:val="4"/>
        <w:rPr>
          <w:lang w:val="en-GB"/>
        </w:rPr>
      </w:pPr>
      <w:bookmarkStart w:id="4" w:name="_Toc223712044"/>
      <w:r>
        <w:rPr>
          <w:lang w:val="en-GB"/>
        </w:rPr>
        <w:t>2.1.2 Justification for Selecting the Two Specific Macro Factors</w:t>
      </w:r>
      <w:bookmarkEnd w:id="4"/>
    </w:p>
    <w:p w14:paraId="10165157">
      <w:pPr>
        <w:rPr>
          <w:rFonts w:cs="Arial"/>
          <w:b/>
          <w:bCs/>
          <w:szCs w:val="24"/>
          <w:lang w:val="en-GB"/>
        </w:rPr>
      </w:pPr>
      <w:r>
        <w:rPr>
          <w:rFonts w:cs="Arial"/>
          <w:lang w:val="en-GB"/>
        </w:rPr>
        <w:t xml:space="preserve">Government policies and environmental regulations (political/legal factors) and technological innovation (technological factor) are two among various PESTLE factors that have the greatest impact on the global EV industry development. Governments in the world are enacting stringent emission policies and providing subsidies to facilitate the use of electric vehicles to curtail the amount of carbon emitted (IBEF, 2025). </w:t>
      </w:r>
    </w:p>
    <w:p w14:paraId="433B3FA9">
      <w:pPr>
        <w:pStyle w:val="4"/>
        <w:rPr>
          <w:lang w:val="en-GB"/>
        </w:rPr>
      </w:pPr>
      <w:bookmarkStart w:id="5" w:name="_Toc223712045"/>
      <w:r>
        <w:rPr>
          <w:lang w:val="en-GB"/>
        </w:rPr>
        <w:t>2.1.3 Strategic Significance of These Factors in the EV Industry</w:t>
      </w:r>
      <w:bookmarkEnd w:id="5"/>
    </w:p>
    <w:p w14:paraId="5306140E">
      <w:pPr>
        <w:rPr>
          <w:rFonts w:cs="Arial"/>
          <w:lang w:val="en-GB"/>
        </w:rPr>
      </w:pPr>
      <w:r>
        <w:rPr>
          <w:rFonts w:cs="Arial"/>
          <w:lang w:val="en-GB"/>
        </w:rPr>
        <w:t>The significance of these aspects is witnessed by the high rate of EV market development. Electric vehicle adoption continued to expand in 2024, with global EV sales exceeding 17 million units and representing more than 20% of all new cars sold worldwide (</w:t>
      </w:r>
      <w:r>
        <w:rPr>
          <w:rFonts w:cs="Arial"/>
          <w:szCs w:val="24"/>
          <w:lang w:val="en-GB"/>
        </w:rPr>
        <w:t>Editorial Board, 2025)</w:t>
      </w:r>
      <w:r>
        <w:rPr>
          <w:rFonts w:cs="Arial"/>
          <w:lang w:val="en-GB"/>
        </w:rPr>
        <w:t>.</w:t>
      </w:r>
    </w:p>
    <w:p w14:paraId="2B3C38E0">
      <w:pPr>
        <w:keepNext/>
        <w:jc w:val="center"/>
        <w:rPr>
          <w:rFonts w:cs="Arial"/>
          <w:lang w:val="en-GB"/>
        </w:rPr>
      </w:pPr>
      <w:r>
        <w:rPr>
          <w:rFonts w:cs="Arial"/>
          <w:lang w:val="en-GB" w:eastAsia="en-IN"/>
        </w:rPr>
        <w:drawing>
          <wp:inline distT="0" distB="0" distL="0" distR="0">
            <wp:extent cx="5187315" cy="3476625"/>
            <wp:effectExtent l="0" t="0" r="0" b="3175"/>
            <wp:docPr id="2" name="Picture 1" descr="Overall results Global EV Sales 2024 | EVBoosters"/>
            <wp:cNvGraphicFramePr/>
            <a:graphic xmlns:a="http://schemas.openxmlformats.org/drawingml/2006/main">
              <a:graphicData uri="http://schemas.openxmlformats.org/drawingml/2006/picture">
                <pic:pic xmlns:pic="http://schemas.openxmlformats.org/drawingml/2006/picture">
                  <pic:nvPicPr>
                    <pic:cNvPr id="2" name="Picture 1" descr="Overall results Global EV Sales 2024 | EVBoosters"/>
                    <pic:cNvPicPr/>
                  </pic:nvPicPr>
                  <pic:blipFill>
                    <a:blip r:embed="rId6">
                      <a:extLst>
                        <a:ext uri="{28A0092B-C50C-407E-A947-70E740481C1C}">
                          <a14:useLocalDpi xmlns:a14="http://schemas.microsoft.com/office/drawing/2010/main" val="0"/>
                        </a:ext>
                      </a:extLst>
                    </a:blip>
                    <a:srcRect/>
                    <a:stretch>
                      <a:fillRect/>
                    </a:stretch>
                  </pic:blipFill>
                  <pic:spPr>
                    <a:xfrm>
                      <a:off x="0" y="0"/>
                      <a:ext cx="5209619" cy="3491458"/>
                    </a:xfrm>
                    <a:prstGeom prst="rect">
                      <a:avLst/>
                    </a:prstGeom>
                    <a:noFill/>
                    <a:ln>
                      <a:noFill/>
                    </a:ln>
                  </pic:spPr>
                </pic:pic>
              </a:graphicData>
            </a:graphic>
          </wp:inline>
        </w:drawing>
      </w:r>
    </w:p>
    <w:p w14:paraId="405EB068">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1</w:t>
      </w:r>
      <w:r>
        <w:rPr>
          <w:rFonts w:cs="Arial"/>
          <w:color w:val="auto"/>
          <w:sz w:val="24"/>
          <w:szCs w:val="24"/>
          <w:lang w:val="en-GB"/>
        </w:rPr>
        <w:fldChar w:fldCharType="end"/>
      </w:r>
      <w:r>
        <w:rPr>
          <w:rFonts w:cs="Arial"/>
          <w:color w:val="auto"/>
          <w:sz w:val="24"/>
          <w:szCs w:val="24"/>
          <w:lang w:val="en-GB"/>
        </w:rPr>
        <w:t xml:space="preserve"> Global EV Sales 2024</w:t>
      </w:r>
    </w:p>
    <w:p w14:paraId="0BA2671E">
      <w:pPr>
        <w:jc w:val="center"/>
        <w:rPr>
          <w:rFonts w:cs="Arial"/>
          <w:szCs w:val="24"/>
          <w:lang w:val="en-GB"/>
        </w:rPr>
      </w:pPr>
      <w:r>
        <w:rPr>
          <w:rFonts w:cs="Arial"/>
          <w:szCs w:val="24"/>
          <w:lang w:val="en-GB"/>
        </w:rPr>
        <w:t>(Source: Editorial Board, 2025)</w:t>
      </w:r>
    </w:p>
    <w:p w14:paraId="705A9B80">
      <w:pPr>
        <w:rPr>
          <w:rFonts w:cs="Arial"/>
          <w:lang w:val="en-GB"/>
        </w:rPr>
      </w:pPr>
      <w:r>
        <w:rPr>
          <w:rFonts w:cs="Arial"/>
          <w:lang w:val="en-GB"/>
        </w:rPr>
        <w:t>Tesla, Inc. and BYD Company, the two most prominent manufacturers in this rapidly growing market, have taken the position of the dominant players, with a total of over 35 per cent controlling the global EV market (</w:t>
      </w:r>
      <w:r>
        <w:rPr>
          <w:rFonts w:cs="Arial"/>
          <w:szCs w:val="24"/>
          <w:lang w:val="en-GB" w:eastAsia="zh-CN" w:bidi="ar"/>
        </w:rPr>
        <w:t>HT Auto Dusk, 2024)</w:t>
      </w:r>
      <w:r>
        <w:rPr>
          <w:rFonts w:cs="Arial"/>
          <w:lang w:val="en-GB"/>
        </w:rPr>
        <w:t>.</w:t>
      </w:r>
    </w:p>
    <w:p w14:paraId="5F0C60C7">
      <w:pPr>
        <w:rPr>
          <w:rFonts w:cs="Arial"/>
          <w:lang w:val="en-GB"/>
        </w:rPr>
      </w:pPr>
      <w:r>
        <w:rPr>
          <w:rFonts w:cs="Arial"/>
          <w:lang w:val="en-GB" w:eastAsia="en-GB"/>
        </w:rPr>
        <w:drawing>
          <wp:inline distT="0" distB="0" distL="0" distR="0">
            <wp:extent cx="5730875" cy="1892300"/>
            <wp:effectExtent l="0" t="0" r="0" b="0"/>
            <wp:docPr id="3" name="Picture 1"/>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7">
                      <a:extLst>
                        <a:ext uri="{28A0092B-C50C-407E-A947-70E740481C1C}">
                          <a14:useLocalDpi xmlns:a14="http://schemas.microsoft.com/office/drawing/2010/main" val="0"/>
                        </a:ext>
                      </a:extLst>
                    </a:blip>
                    <a:srcRect/>
                    <a:stretch>
                      <a:fillRect/>
                    </a:stretch>
                  </pic:blipFill>
                  <pic:spPr>
                    <a:xfrm>
                      <a:off x="0" y="0"/>
                      <a:ext cx="5730875" cy="1892300"/>
                    </a:xfrm>
                    <a:prstGeom prst="rect">
                      <a:avLst/>
                    </a:prstGeom>
                    <a:noFill/>
                    <a:ln>
                      <a:noFill/>
                    </a:ln>
                  </pic:spPr>
                </pic:pic>
              </a:graphicData>
            </a:graphic>
          </wp:inline>
        </w:drawing>
      </w:r>
    </w:p>
    <w:p w14:paraId="78E9A60E">
      <w:pPr>
        <w:pStyle w:val="13"/>
        <w:spacing w:line="240" w:lineRule="auto"/>
        <w:jc w:val="center"/>
        <w:rPr>
          <w:rFonts w:cs="Arial"/>
          <w:lang w:val="en-GB"/>
        </w:rPr>
      </w:pPr>
      <w:r>
        <w:rPr>
          <w:rFonts w:cs="Arial"/>
          <w:b/>
          <w:bCs/>
          <w:lang w:val="en-GB" w:eastAsia="zh-CN" w:bidi="ar"/>
        </w:rPr>
        <w:t xml:space="preserve">Figure </w:t>
      </w:r>
      <w:r>
        <w:rPr>
          <w:rFonts w:cs="Arial"/>
          <w:b/>
          <w:bCs/>
          <w:lang w:val="en-GB" w:eastAsia="zh-CN" w:bidi="ar"/>
        </w:rPr>
        <w:fldChar w:fldCharType="begin"/>
      </w:r>
      <w:r>
        <w:rPr>
          <w:rFonts w:cs="Arial"/>
          <w:b/>
          <w:bCs/>
          <w:lang w:val="en-GB" w:eastAsia="zh-CN" w:bidi="ar"/>
        </w:rPr>
        <w:instrText xml:space="preserve"> SEQ Figure \* ARABIC </w:instrText>
      </w:r>
      <w:r>
        <w:rPr>
          <w:rFonts w:cs="Arial"/>
          <w:b/>
          <w:bCs/>
          <w:lang w:val="en-GB" w:eastAsia="zh-CN" w:bidi="ar"/>
        </w:rPr>
        <w:fldChar w:fldCharType="separate"/>
      </w:r>
      <w:r>
        <w:rPr>
          <w:rFonts w:cs="Arial"/>
          <w:b/>
          <w:bCs/>
          <w:lang w:val="en-GB" w:eastAsia="zh-CN" w:bidi="ar"/>
        </w:rPr>
        <w:t>2</w:t>
      </w:r>
      <w:r>
        <w:rPr>
          <w:rFonts w:cs="Arial"/>
          <w:b/>
          <w:bCs/>
          <w:lang w:val="en-GB" w:eastAsia="zh-CN" w:bidi="ar"/>
        </w:rPr>
        <w:fldChar w:fldCharType="end"/>
      </w:r>
      <w:r>
        <w:rPr>
          <w:rFonts w:cs="Arial"/>
          <w:b/>
          <w:bCs/>
          <w:lang w:val="en-GB" w:eastAsia="zh-CN" w:bidi="ar"/>
        </w:rPr>
        <w:t>: Tesla and BYD Dominating Electric car Market</w:t>
      </w:r>
    </w:p>
    <w:p w14:paraId="36945947">
      <w:pPr>
        <w:tabs>
          <w:tab w:val="left" w:pos="3010"/>
          <w:tab w:val="center" w:pos="4513"/>
        </w:tabs>
        <w:rPr>
          <w:rFonts w:cs="Arial"/>
          <w:szCs w:val="24"/>
          <w:lang w:val="en-GB"/>
        </w:rPr>
      </w:pPr>
      <w:r>
        <w:rPr>
          <w:rFonts w:cs="Arial"/>
          <w:szCs w:val="24"/>
          <w:lang w:val="en-GB" w:eastAsia="zh-CN" w:bidi="ar"/>
        </w:rPr>
        <w:tab/>
      </w:r>
      <w:r>
        <w:rPr>
          <w:rFonts w:cs="Arial"/>
          <w:szCs w:val="24"/>
          <w:lang w:val="en-GB" w:eastAsia="zh-CN" w:bidi="ar"/>
        </w:rPr>
        <w:tab/>
      </w:r>
      <w:r>
        <w:rPr>
          <w:rFonts w:cs="Arial"/>
          <w:szCs w:val="24"/>
          <w:lang w:val="en-GB" w:eastAsia="zh-CN" w:bidi="ar"/>
        </w:rPr>
        <w:t>(Source: HT Auto Dusk, 2024)</w:t>
      </w:r>
    </w:p>
    <w:p w14:paraId="7431CBBC">
      <w:pPr>
        <w:rPr>
          <w:rFonts w:cs="Arial"/>
          <w:lang w:val="en-GB"/>
        </w:rPr>
      </w:pPr>
      <w:r>
        <w:rPr>
          <w:rFonts w:cs="Arial"/>
          <w:lang w:val="en-GB"/>
        </w:rPr>
        <w:t xml:space="preserve"> They are companies that are in the same macro-environmental situation but react in different ways to external forces depending on their resources, capabilities, and strategic position.</w:t>
      </w:r>
    </w:p>
    <w:p w14:paraId="3561EE6C">
      <w:pPr>
        <w:pStyle w:val="3"/>
        <w:rPr>
          <w:rFonts w:cs="Arial"/>
          <w:color w:val="auto"/>
          <w:lang w:val="en-GB"/>
        </w:rPr>
      </w:pPr>
      <w:bookmarkStart w:id="6" w:name="_Toc223712046"/>
      <w:r>
        <w:rPr>
          <w:rFonts w:cs="Arial"/>
          <w:color w:val="auto"/>
          <w:lang w:val="en-GB"/>
        </w:rPr>
        <w:t>2.2 Analysis of Macro Factor 1</w:t>
      </w:r>
      <w:bookmarkEnd w:id="6"/>
    </w:p>
    <w:p w14:paraId="09047A22">
      <w:pPr>
        <w:rPr>
          <w:rFonts w:cs="Arial"/>
          <w:b/>
          <w:i/>
          <w:lang w:val="en-GB"/>
        </w:rPr>
      </w:pPr>
      <w:r>
        <w:rPr>
          <w:rFonts w:cs="Arial"/>
          <w:b/>
          <w:i/>
          <w:lang w:val="en-GB"/>
        </w:rPr>
        <w:t xml:space="preserve">Government Policies and Environmental Regulations </w:t>
      </w:r>
    </w:p>
    <w:p w14:paraId="0BCE161D">
      <w:pPr>
        <w:pStyle w:val="4"/>
        <w:rPr>
          <w:rFonts w:cs="Arial"/>
          <w:color w:val="auto"/>
          <w:lang w:val="en-GB"/>
        </w:rPr>
      </w:pPr>
      <w:bookmarkStart w:id="7" w:name="_Toc223712047"/>
      <w:r>
        <w:rPr>
          <w:rFonts w:cs="Arial"/>
          <w:color w:val="auto"/>
          <w:lang w:val="en-GB"/>
        </w:rPr>
        <w:t>2.2.1 Impact on the Pioneer Organisation</w:t>
      </w:r>
      <w:bookmarkEnd w:id="7"/>
    </w:p>
    <w:p w14:paraId="7C330D01">
      <w:pPr>
        <w:pStyle w:val="5"/>
        <w:rPr>
          <w:lang w:val="en-GB"/>
        </w:rPr>
      </w:pPr>
      <w:r>
        <w:rPr>
          <w:lang w:val="en-GB"/>
        </w:rPr>
        <w:t>2.2.1.1 Identification of Opportunity and/or Threat</w:t>
      </w:r>
    </w:p>
    <w:p w14:paraId="4D86E197">
      <w:pPr>
        <w:rPr>
          <w:rFonts w:cs="Arial"/>
          <w:lang w:val="en-GB"/>
        </w:rPr>
      </w:pPr>
      <w:r>
        <w:rPr>
          <w:rFonts w:cs="Arial"/>
          <w:lang w:val="en-GB"/>
        </w:rPr>
        <w:t xml:space="preserve">The adoption of clean energy and the decrease of emissions by the government is a significant opportunity for Tesla, Inc. Governments have implemented various incentives, including tax credits, subsidies, and increased carbon emission regulations, to help in the shift towards electric vehicles over the internal combustion engine-powered vehicles (IBEF, 2025). </w:t>
      </w:r>
    </w:p>
    <w:p w14:paraId="4A892BDB">
      <w:pPr>
        <w:pStyle w:val="5"/>
        <w:rPr>
          <w:lang w:val="en-GB"/>
        </w:rPr>
      </w:pPr>
      <w:r>
        <w:rPr>
          <w:lang w:val="en-GB"/>
        </w:rPr>
        <w:t>2.2.1.2 Evidence from Industry Data</w:t>
      </w:r>
    </w:p>
    <w:p w14:paraId="0B644DC6">
      <w:pPr>
        <w:rPr>
          <w:rFonts w:cs="Arial"/>
          <w:lang w:val="en-GB"/>
        </w:rPr>
      </w:pPr>
      <w:r>
        <w:rPr>
          <w:rFonts w:cs="Arial"/>
          <w:lang w:val="en-GB"/>
        </w:rPr>
        <w:t>These regulatory changes have been a major standard gain for Tesla as it enters the EV market early. Tesla remained one of the leading pure electric vehicle manufacturers globally, delivering 1,789,226 vehicles in 2024, although this represented a slight decline compared with 2023 due to increasing competition and changing market dynamics in the electric vehicle industry (Tesla, 2025).</w:t>
      </w:r>
    </w:p>
    <w:p w14:paraId="220856E9">
      <w:pPr>
        <w:keepNext/>
        <w:jc w:val="center"/>
        <w:rPr>
          <w:rFonts w:cs="Arial"/>
          <w:lang w:val="en-GB"/>
        </w:rPr>
      </w:pPr>
      <w:r>
        <w:rPr>
          <w:rFonts w:cs="Arial"/>
          <w:lang w:val="en-GB" w:eastAsia="en-GB"/>
        </w:rPr>
        <w:drawing>
          <wp:inline distT="0" distB="0" distL="0" distR="0">
            <wp:extent cx="5271135" cy="2766695"/>
            <wp:effectExtent l="0" t="0" r="0" b="0"/>
            <wp:docPr id="4" name="Picture 2"/>
            <wp:cNvGraphicFramePr/>
            <a:graphic xmlns:a="http://schemas.openxmlformats.org/drawingml/2006/main">
              <a:graphicData uri="http://schemas.openxmlformats.org/drawingml/2006/picture">
                <pic:pic xmlns:pic="http://schemas.openxmlformats.org/drawingml/2006/picture">
                  <pic:nvPicPr>
                    <pic:cNvPr id="4" name="Picture 2"/>
                    <pic:cNvPicPr/>
                  </pic:nvPicPr>
                  <pic:blipFill>
                    <a:blip r:embed="rId8">
                      <a:extLst>
                        <a:ext uri="{28A0092B-C50C-407E-A947-70E740481C1C}">
                          <a14:useLocalDpi xmlns:a14="http://schemas.microsoft.com/office/drawing/2010/main" val="0"/>
                        </a:ext>
                      </a:extLst>
                    </a:blip>
                    <a:srcRect/>
                    <a:stretch>
                      <a:fillRect/>
                    </a:stretch>
                  </pic:blipFill>
                  <pic:spPr>
                    <a:xfrm>
                      <a:off x="0" y="0"/>
                      <a:ext cx="5271135" cy="2766695"/>
                    </a:xfrm>
                    <a:prstGeom prst="rect">
                      <a:avLst/>
                    </a:prstGeom>
                    <a:noFill/>
                    <a:ln>
                      <a:noFill/>
                    </a:ln>
                  </pic:spPr>
                </pic:pic>
              </a:graphicData>
            </a:graphic>
          </wp:inline>
        </w:drawing>
      </w:r>
    </w:p>
    <w:p w14:paraId="34FAE20A">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2</w:t>
      </w:r>
      <w:r>
        <w:rPr>
          <w:rFonts w:cs="Arial"/>
          <w:color w:val="auto"/>
          <w:sz w:val="24"/>
          <w:szCs w:val="24"/>
          <w:lang w:val="en-GB"/>
        </w:rPr>
        <w:fldChar w:fldCharType="end"/>
      </w:r>
      <w:r>
        <w:rPr>
          <w:rFonts w:cs="Arial"/>
          <w:color w:val="auto"/>
          <w:sz w:val="24"/>
          <w:szCs w:val="24"/>
          <w:lang w:val="en-GB"/>
        </w:rPr>
        <w:t>: Tesla Inc. vehicle production and deliveries in 2024</w:t>
      </w:r>
    </w:p>
    <w:p w14:paraId="17BE78B8">
      <w:pPr>
        <w:jc w:val="center"/>
        <w:rPr>
          <w:rFonts w:cs="Arial"/>
          <w:szCs w:val="24"/>
          <w:lang w:val="en-GB"/>
        </w:rPr>
      </w:pPr>
      <w:r>
        <w:rPr>
          <w:rFonts w:cs="Arial"/>
          <w:szCs w:val="24"/>
          <w:lang w:val="en-GB"/>
        </w:rPr>
        <w:t>(Source: Tesla, 2025)</w:t>
      </w:r>
    </w:p>
    <w:p w14:paraId="0129F195">
      <w:pPr>
        <w:pStyle w:val="5"/>
        <w:rPr>
          <w:lang w:val="en-GB"/>
        </w:rPr>
      </w:pPr>
      <w:r>
        <w:rPr>
          <w:lang w:val="en-GB"/>
        </w:rPr>
        <w:t>2.2.1.3 Implications for Competitive Advantage</w:t>
      </w:r>
    </w:p>
    <w:p w14:paraId="41258039">
      <w:pPr>
        <w:rPr>
          <w:rFonts w:cs="Arial"/>
          <w:lang w:val="en-GB"/>
        </w:rPr>
      </w:pPr>
      <w:r>
        <w:rPr>
          <w:rFonts w:cs="Arial"/>
          <w:lang w:val="en-GB"/>
        </w:rPr>
        <w:t>Strategically, such environmental policies strengthen the competitive advantage of Tesla because they drive the demand for products and the sustainability of the company as an innovative and sustainable mobility brand. These risks do not inherently negate the fact that Tesla has a solid brand positioning and first-mover advantage in the market that allows the firm to exploit positive environmental policy more than most of its competitors can.</w:t>
      </w:r>
    </w:p>
    <w:p w14:paraId="56B4F328">
      <w:pPr>
        <w:pStyle w:val="4"/>
        <w:rPr>
          <w:rFonts w:cs="Arial"/>
          <w:color w:val="auto"/>
          <w:lang w:val="en-GB"/>
        </w:rPr>
      </w:pPr>
      <w:bookmarkStart w:id="8" w:name="_Toc223712048"/>
      <w:r>
        <w:rPr>
          <w:rFonts w:cs="Arial"/>
          <w:color w:val="auto"/>
          <w:lang w:val="en-GB"/>
        </w:rPr>
        <w:t>2.2.2 Impact on the Follower Organisation</w:t>
      </w:r>
      <w:bookmarkEnd w:id="8"/>
    </w:p>
    <w:p w14:paraId="76E132C6">
      <w:pPr>
        <w:pStyle w:val="5"/>
        <w:rPr>
          <w:lang w:val="en-GB"/>
        </w:rPr>
      </w:pPr>
      <w:r>
        <w:rPr>
          <w:lang w:val="en-GB"/>
        </w:rPr>
        <w:t>2.2.2.1 Identification of Opportunity and/or Threat</w:t>
      </w:r>
    </w:p>
    <w:p w14:paraId="3865CFB0">
      <w:pPr>
        <w:rPr>
          <w:rFonts w:cs="Arial"/>
          <w:lang w:val="en-GB"/>
        </w:rPr>
      </w:pPr>
      <w:r>
        <w:rPr>
          <w:rFonts w:cs="Arial"/>
          <w:lang w:val="en-GB"/>
        </w:rPr>
        <w:t>BYD Company also has a great chance with government policies and environmental regulations, though there is a certain slight difference in these impacts, caused by the strategic positioning and geographic focus of the company. China has also established a high level of government support for electric vehicles in terms of subsidies, investment in the charging infrastructure, and national plans for promoting new energy vehicles (</w:t>
      </w:r>
      <w:r>
        <w:rPr>
          <w:rFonts w:cs="Arial"/>
          <w:lang w:val="en-GB" w:bidi="ar"/>
        </w:rPr>
        <w:t>Feng Wang, 2025)</w:t>
      </w:r>
      <w:r>
        <w:rPr>
          <w:rFonts w:cs="Arial"/>
          <w:lang w:val="en-GB"/>
        </w:rPr>
        <w:t xml:space="preserve">. </w:t>
      </w:r>
    </w:p>
    <w:p w14:paraId="34DD7339">
      <w:pPr>
        <w:pStyle w:val="5"/>
        <w:rPr>
          <w:lang w:val="en-GB"/>
        </w:rPr>
      </w:pPr>
      <w:r>
        <w:rPr>
          <w:lang w:val="en-GB"/>
        </w:rPr>
        <w:t>2.2.2.2 Evidence from Industry Data</w:t>
      </w:r>
    </w:p>
    <w:p w14:paraId="2E9A14D8">
      <w:pPr>
        <w:rPr>
          <w:rFonts w:cs="Arial"/>
          <w:lang w:val="en-GB"/>
        </w:rPr>
      </w:pPr>
      <w:r>
        <w:rPr>
          <w:rFonts w:cs="Arial"/>
          <w:lang w:val="en-GB"/>
        </w:rPr>
        <w:t>BYD has been enjoying high growth in this policy environment. As of 2023, the company sold over 3 million new energy vehicles, both battery electric and plug-in hybrid vehicles, which is a significant improvement compared to the past years. Moreover, BYD sold about 1.57 million battery electric cars, which made it one of the closest competitors to Tesla in the world market (</w:t>
      </w:r>
      <w:r>
        <w:rPr>
          <w:rFonts w:cs="Arial"/>
          <w:szCs w:val="24"/>
          <w:lang w:val="en-GB"/>
        </w:rPr>
        <w:t>Jennifer, 2026)</w:t>
      </w:r>
      <w:r>
        <w:rPr>
          <w:rFonts w:cs="Arial"/>
          <w:lang w:val="en-GB"/>
        </w:rPr>
        <w:t>.</w:t>
      </w:r>
    </w:p>
    <w:p w14:paraId="681E72B7">
      <w:pPr>
        <w:keepNext/>
        <w:jc w:val="center"/>
        <w:rPr>
          <w:rFonts w:cs="Arial"/>
          <w:lang w:val="en-GB"/>
        </w:rPr>
      </w:pPr>
      <w:r>
        <w:rPr>
          <w:rFonts w:ascii="SimSun" w:hAnsi="SimSun" w:cs="SimSun"/>
          <w:szCs w:val="24"/>
          <w:lang w:val="en-GB"/>
        </w:rPr>
        <w:fldChar w:fldCharType="begin"/>
      </w:r>
      <w:r>
        <w:rPr>
          <w:rFonts w:ascii="SimSun" w:hAnsi="SimSun" w:cs="SimSun"/>
          <w:szCs w:val="24"/>
          <w:lang w:val="en-GB"/>
        </w:rPr>
        <w:instrText xml:space="preserve">INCLUDEPICTURE \d "https://zecar.com/_next/image?url=https://cdn.sanity.io/images/o5m1ex7g/production/fb8edf4f758728cf66d18210248b8324eeca23b2-1170x1158.jpg&amp;w=1080&amp;q=75" \* MERGEFORMATINET </w:instrText>
      </w:r>
      <w:r>
        <w:rPr>
          <w:rFonts w:ascii="SimSun" w:hAnsi="SimSun" w:cs="SimSun"/>
          <w:szCs w:val="24"/>
          <w:lang w:val="en-GB"/>
        </w:rPr>
        <w:fldChar w:fldCharType="separate"/>
      </w:r>
      <w:r>
        <w:rPr>
          <w:rFonts w:ascii="SimSun" w:hAnsi="SimSun" w:cs="SimSun"/>
          <w:szCs w:val="24"/>
          <w:lang w:val="en-GB"/>
        </w:rPr>
        <w:drawing>
          <wp:inline distT="0" distB="0" distL="0" distR="0">
            <wp:extent cx="5052695" cy="3497580"/>
            <wp:effectExtent l="0" t="0" r="1905" b="0"/>
            <wp:docPr id="5" name="Picture 16" descr="IMG_256"/>
            <wp:cNvGraphicFramePr/>
            <a:graphic xmlns:a="http://schemas.openxmlformats.org/drawingml/2006/main">
              <a:graphicData uri="http://schemas.openxmlformats.org/drawingml/2006/picture">
                <pic:pic xmlns:pic="http://schemas.openxmlformats.org/drawingml/2006/picture">
                  <pic:nvPicPr>
                    <pic:cNvPr id="5" name="Picture 16" descr="IMG_256"/>
                    <pic:cNvPicPr/>
                  </pic:nvPicPr>
                  <pic:blipFill>
                    <a:blip r:embed="rId9">
                      <a:extLst>
                        <a:ext uri="{28A0092B-C50C-407E-A947-70E740481C1C}">
                          <a14:useLocalDpi xmlns:a14="http://schemas.microsoft.com/office/drawing/2010/main" val="0"/>
                        </a:ext>
                      </a:extLst>
                    </a:blip>
                    <a:srcRect/>
                    <a:stretch>
                      <a:fillRect/>
                    </a:stretch>
                  </pic:blipFill>
                  <pic:spPr>
                    <a:xfrm>
                      <a:off x="0" y="0"/>
                      <a:ext cx="5084039" cy="3519730"/>
                    </a:xfrm>
                    <a:prstGeom prst="rect">
                      <a:avLst/>
                    </a:prstGeom>
                    <a:noFill/>
                    <a:ln>
                      <a:noFill/>
                    </a:ln>
                    <a:effectLst/>
                  </pic:spPr>
                </pic:pic>
              </a:graphicData>
            </a:graphic>
          </wp:inline>
        </w:drawing>
      </w:r>
      <w:r>
        <w:rPr>
          <w:rFonts w:ascii="SimSun" w:hAnsi="SimSun" w:cs="SimSun"/>
          <w:szCs w:val="24"/>
          <w:lang w:val="en-GB"/>
        </w:rPr>
        <w:fldChar w:fldCharType="end"/>
      </w:r>
    </w:p>
    <w:p w14:paraId="7323C4EC">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3</w:t>
      </w:r>
      <w:r>
        <w:rPr>
          <w:rFonts w:cs="Arial"/>
          <w:color w:val="auto"/>
          <w:sz w:val="24"/>
          <w:szCs w:val="24"/>
          <w:lang w:val="en-GB"/>
        </w:rPr>
        <w:fldChar w:fldCharType="end"/>
      </w:r>
      <w:r>
        <w:rPr>
          <w:rFonts w:cs="Arial"/>
          <w:color w:val="auto"/>
          <w:sz w:val="24"/>
          <w:szCs w:val="24"/>
          <w:lang w:val="en-GB"/>
        </w:rPr>
        <w:t xml:space="preserve"> BYD Overtakes Tesla</w:t>
      </w:r>
    </w:p>
    <w:p w14:paraId="3E4687E6">
      <w:pPr>
        <w:jc w:val="center"/>
        <w:rPr>
          <w:rFonts w:cs="Arial"/>
          <w:szCs w:val="24"/>
          <w:lang w:val="en-GB"/>
        </w:rPr>
      </w:pPr>
      <w:r>
        <w:rPr>
          <w:rFonts w:cs="Arial"/>
          <w:szCs w:val="24"/>
          <w:lang w:val="en-GB"/>
        </w:rPr>
        <w:t>(Source: Zecar, 2024)</w:t>
      </w:r>
    </w:p>
    <w:p w14:paraId="32D84744">
      <w:pPr>
        <w:pStyle w:val="5"/>
        <w:rPr>
          <w:lang w:val="en-GB"/>
        </w:rPr>
      </w:pPr>
      <w:r>
        <w:rPr>
          <w:lang w:val="en-GB"/>
        </w:rPr>
        <w:t>2.2.2.3 Implications for Competitive Advantage</w:t>
      </w:r>
    </w:p>
    <w:p w14:paraId="2E32C4D6">
      <w:pPr>
        <w:rPr>
          <w:rFonts w:cs="Arial"/>
          <w:lang w:val="en-GB"/>
        </w:rPr>
      </w:pPr>
      <w:r>
        <w:rPr>
          <w:rFonts w:cs="Arial"/>
          <w:szCs w:val="24"/>
          <w:lang w:val="en-GB"/>
        </w:rPr>
        <w:t>China has a favourable policy environment, which has assisted BYD to increase</w:t>
      </w:r>
      <w:r>
        <w:rPr>
          <w:rFonts w:cs="Arial"/>
          <w:lang w:val="en-GB"/>
        </w:rPr>
        <w:t xml:space="preserve"> the capacity of production, reduce the cost of manufacturing and scale its operations at a very fast rate. BYD might be less susceptible to the policy uncertainty in the Chinese market as compared to Tesla due to the presence of good domestic supply chains and government support. </w:t>
      </w:r>
    </w:p>
    <w:p w14:paraId="6CB60401">
      <w:pPr>
        <w:pStyle w:val="3"/>
        <w:rPr>
          <w:rFonts w:cs="Arial"/>
          <w:color w:val="auto"/>
          <w:lang w:val="en-GB"/>
        </w:rPr>
      </w:pPr>
      <w:bookmarkStart w:id="9" w:name="_Toc223712049"/>
      <w:r>
        <w:rPr>
          <w:rFonts w:cs="Arial"/>
          <w:color w:val="auto"/>
          <w:lang w:val="en-GB"/>
        </w:rPr>
        <w:t>2.3 Analysis of Macro Factor 2</w:t>
      </w:r>
      <w:bookmarkEnd w:id="9"/>
    </w:p>
    <w:p w14:paraId="1DC49865">
      <w:pPr>
        <w:rPr>
          <w:rFonts w:cs="Arial"/>
          <w:b/>
          <w:i/>
          <w:lang w:val="en-GB"/>
        </w:rPr>
      </w:pPr>
      <w:r>
        <w:rPr>
          <w:rFonts w:cs="Arial"/>
          <w:b/>
          <w:i/>
          <w:lang w:val="en-GB"/>
        </w:rPr>
        <w:t>Technological Innovation in Battery and EV Technology</w:t>
      </w:r>
    </w:p>
    <w:p w14:paraId="1A17221A">
      <w:pPr>
        <w:pStyle w:val="4"/>
        <w:rPr>
          <w:rFonts w:cs="Arial"/>
          <w:color w:val="auto"/>
          <w:lang w:val="en-GB"/>
        </w:rPr>
      </w:pPr>
      <w:bookmarkStart w:id="10" w:name="_Toc223712050"/>
      <w:r>
        <w:rPr>
          <w:rFonts w:cs="Arial"/>
          <w:color w:val="auto"/>
          <w:lang w:val="en-GB"/>
        </w:rPr>
        <w:t>2.3.1 Impact on the Pioneer Organisation</w:t>
      </w:r>
      <w:bookmarkEnd w:id="10"/>
    </w:p>
    <w:p w14:paraId="0483F6E5">
      <w:pPr>
        <w:pStyle w:val="5"/>
        <w:rPr>
          <w:lang w:val="en-GB"/>
        </w:rPr>
      </w:pPr>
      <w:r>
        <w:rPr>
          <w:lang w:val="en-GB"/>
        </w:rPr>
        <w:t>2.3.1.1.Identification of Opportunity and/or Threat</w:t>
      </w:r>
    </w:p>
    <w:p w14:paraId="55A3728D">
      <w:pPr>
        <w:rPr>
          <w:rFonts w:cs="Arial"/>
          <w:lang w:val="en-GB"/>
        </w:rPr>
      </w:pPr>
      <w:r>
        <w:rPr>
          <w:rFonts w:cs="Arial"/>
          <w:lang w:val="en-GB"/>
        </w:rPr>
        <w:t xml:space="preserve">One of the most significant aspects that determines competition in the electric vehicle industry is technological innovation </w:t>
      </w:r>
      <w:r>
        <w:rPr>
          <w:rFonts w:cs="Arial"/>
          <w:lang w:val="en-GB" w:bidi="ar"/>
        </w:rPr>
        <w:t>(Owen and Hayes, 2025)</w:t>
      </w:r>
      <w:r>
        <w:rPr>
          <w:rFonts w:cs="Arial"/>
          <w:lang w:val="en-GB"/>
        </w:rPr>
        <w:t xml:space="preserve">. There are ongoing advances in battery, charging infrastructure and car software efficiency, which greatly impact the performance of the vehicle, driving range and customer experience. </w:t>
      </w:r>
    </w:p>
    <w:p w14:paraId="7A6E705F">
      <w:pPr>
        <w:pStyle w:val="5"/>
        <w:rPr>
          <w:lang w:val="en-GB"/>
        </w:rPr>
      </w:pPr>
      <w:r>
        <w:rPr>
          <w:lang w:val="en-GB"/>
        </w:rPr>
        <w:t>2.3.1.2 Evidence from Industry Data</w:t>
      </w:r>
    </w:p>
    <w:p w14:paraId="79D9F4F4">
      <w:pPr>
        <w:rPr>
          <w:rFonts w:cs="Arial"/>
          <w:lang w:val="en-GB"/>
        </w:rPr>
      </w:pPr>
      <w:r>
        <w:rPr>
          <w:rFonts w:cs="Arial"/>
          <w:lang w:val="en-GB"/>
        </w:rPr>
        <w:t>Tesla has established itself as a competitor that is technologically advanced. The company spends a lot of money on research and development so as to enhance battery performance, autonomous driving systems, and energy storage systems. Tesla Gigafactories allow the company to produce batteries in large quantities, which lowers the cost of the manufacturing process and enhances the rate of production. This technology has assisted Tesla to remain competitive in the EV market globally, and in 2023, it controlled 19.1% of the worldwide battery electric vehicles (Statista, 2025a).</w:t>
      </w:r>
    </w:p>
    <w:p w14:paraId="39972C01">
      <w:pPr>
        <w:keepNext/>
        <w:jc w:val="center"/>
        <w:rPr>
          <w:rFonts w:cs="Arial"/>
          <w:lang w:val="en-GB"/>
        </w:rPr>
      </w:pPr>
      <w:r>
        <w:rPr>
          <w:rFonts w:cs="Arial"/>
          <w:lang w:val="en-GB" w:eastAsia="en-IN"/>
        </w:rPr>
        <w:drawing>
          <wp:inline distT="0" distB="0" distL="0" distR="0">
            <wp:extent cx="5166995" cy="3050540"/>
            <wp:effectExtent l="0" t="0" r="1905" b="0"/>
            <wp:docPr id="6" name="Picture 5" descr="Chart: Tesla and BYD Claim a Third of the Global BEV Market | Statista"/>
            <wp:cNvGraphicFramePr/>
            <a:graphic xmlns:a="http://schemas.openxmlformats.org/drawingml/2006/main">
              <a:graphicData uri="http://schemas.openxmlformats.org/drawingml/2006/picture">
                <pic:pic xmlns:pic="http://schemas.openxmlformats.org/drawingml/2006/picture">
                  <pic:nvPicPr>
                    <pic:cNvPr id="6" name="Picture 5" descr="Chart: Tesla and BYD Claim a Third of the Global BEV Market | Statista"/>
                    <pic:cNvPicPr/>
                  </pic:nvPicPr>
                  <pic:blipFill>
                    <a:blip r:embed="rId10">
                      <a:extLst>
                        <a:ext uri="{28A0092B-C50C-407E-A947-70E740481C1C}">
                          <a14:useLocalDpi xmlns:a14="http://schemas.microsoft.com/office/drawing/2010/main" val="0"/>
                        </a:ext>
                      </a:extLst>
                    </a:blip>
                    <a:srcRect/>
                    <a:stretch>
                      <a:fillRect/>
                    </a:stretch>
                  </pic:blipFill>
                  <pic:spPr>
                    <a:xfrm>
                      <a:off x="0" y="0"/>
                      <a:ext cx="5190494" cy="3064634"/>
                    </a:xfrm>
                    <a:prstGeom prst="rect">
                      <a:avLst/>
                    </a:prstGeom>
                    <a:noFill/>
                    <a:ln>
                      <a:noFill/>
                    </a:ln>
                  </pic:spPr>
                </pic:pic>
              </a:graphicData>
            </a:graphic>
          </wp:inline>
        </w:drawing>
      </w:r>
    </w:p>
    <w:p w14:paraId="777FE379">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4</w:t>
      </w:r>
      <w:r>
        <w:rPr>
          <w:rFonts w:cs="Arial"/>
          <w:color w:val="auto"/>
          <w:sz w:val="24"/>
          <w:szCs w:val="24"/>
          <w:lang w:val="en-GB"/>
        </w:rPr>
        <w:fldChar w:fldCharType="end"/>
      </w:r>
      <w:r>
        <w:rPr>
          <w:rFonts w:cs="Arial"/>
          <w:color w:val="auto"/>
          <w:sz w:val="24"/>
          <w:szCs w:val="24"/>
          <w:lang w:val="en-GB"/>
        </w:rPr>
        <w:t xml:space="preserve"> Global BEV Market Share</w:t>
      </w:r>
    </w:p>
    <w:p w14:paraId="0046933F">
      <w:pPr>
        <w:jc w:val="center"/>
        <w:rPr>
          <w:rFonts w:cs="Arial"/>
          <w:szCs w:val="24"/>
          <w:lang w:val="en-GB"/>
        </w:rPr>
      </w:pPr>
      <w:r>
        <w:rPr>
          <w:rFonts w:cs="Arial"/>
          <w:szCs w:val="24"/>
          <w:lang w:val="en-GB"/>
        </w:rPr>
        <w:t>(Source: Statista, 2025a)</w:t>
      </w:r>
    </w:p>
    <w:p w14:paraId="2E8B75C9">
      <w:pPr>
        <w:pStyle w:val="5"/>
        <w:rPr>
          <w:lang w:val="en-GB"/>
        </w:rPr>
      </w:pPr>
      <w:r>
        <w:rPr>
          <w:lang w:val="en-GB"/>
        </w:rPr>
        <w:t>2.3.1.3 Implications for Competitive Advantage</w:t>
      </w:r>
    </w:p>
    <w:p w14:paraId="373265B5">
      <w:pPr>
        <w:rPr>
          <w:rFonts w:cs="Arial"/>
          <w:lang w:val="en-GB"/>
        </w:rPr>
      </w:pPr>
      <w:r>
        <w:rPr>
          <w:rFonts w:cs="Arial"/>
          <w:lang w:val="en-GB"/>
        </w:rPr>
        <w:t>The constant technological progress demands a significant amount of money to be given to research and development, which can raise the cost of operation and the risk of losing money. Nonetheless, Tesla has been able to create a strong emphasis on innovation to enable it to preserve differentiation and reaffirm its image as a technology-oriented automotive manufacturer.</w:t>
      </w:r>
    </w:p>
    <w:p w14:paraId="23748FC5">
      <w:pPr>
        <w:pStyle w:val="4"/>
        <w:rPr>
          <w:rFonts w:cs="Arial"/>
          <w:color w:val="auto"/>
          <w:lang w:val="en-GB"/>
        </w:rPr>
      </w:pPr>
      <w:bookmarkStart w:id="11" w:name="_Toc223712051"/>
      <w:r>
        <w:rPr>
          <w:rFonts w:cs="Arial"/>
          <w:color w:val="auto"/>
          <w:lang w:val="en-GB"/>
        </w:rPr>
        <w:t>2.3.2 Impact on the Follower Organisation</w:t>
      </w:r>
      <w:bookmarkEnd w:id="11"/>
    </w:p>
    <w:p w14:paraId="49BC4930">
      <w:pPr>
        <w:pStyle w:val="5"/>
        <w:rPr>
          <w:lang w:val="en-GB"/>
        </w:rPr>
      </w:pPr>
      <w:r>
        <w:rPr>
          <w:lang w:val="en-GB"/>
        </w:rPr>
        <w:t>2.3.2.1 Identification of Opportunity and/or Threat</w:t>
      </w:r>
    </w:p>
    <w:p w14:paraId="5750A15C">
      <w:pPr>
        <w:rPr>
          <w:rFonts w:cs="Arial"/>
          <w:lang w:val="en-GB"/>
        </w:rPr>
      </w:pPr>
      <w:r>
        <w:rPr>
          <w:rFonts w:cs="Arial"/>
          <w:lang w:val="en-GB"/>
        </w:rPr>
        <w:t xml:space="preserve">Technological innovation also avails significant opportunities to BYD Company, especially in battery development and manufacturing efficiency. In contrast to most car manufacturers, BYD adheres to the vertically integrated business model, manufacturing the main elements of its work, including batteries and semiconductors, in-house. </w:t>
      </w:r>
    </w:p>
    <w:p w14:paraId="4B4B27FA">
      <w:pPr>
        <w:pStyle w:val="5"/>
        <w:rPr>
          <w:lang w:val="en-GB"/>
        </w:rPr>
      </w:pPr>
      <w:r>
        <w:rPr>
          <w:lang w:val="en-GB"/>
        </w:rPr>
        <w:t>2.3.2.2 Evidence from Industry Data</w:t>
      </w:r>
    </w:p>
    <w:p w14:paraId="1D498EB2">
      <w:pPr>
        <w:rPr>
          <w:rFonts w:cs="Arial"/>
          <w:lang w:val="en-GB"/>
        </w:rPr>
      </w:pPr>
      <w:r>
        <w:rPr>
          <w:rFonts w:cs="Arial"/>
          <w:lang w:val="en-GB"/>
        </w:rPr>
        <w:t>Blade Battery is one of the most significant technological inventions of BYD, since it is safer, more enduring, and cost-efficient than conventional lithium-ion batteries. The growing market importance of this technology is illustrated in Figure 5, which shows the rapid expansion of the Blade Battery market from 2024 to 2034 (</w:t>
      </w:r>
      <w:r>
        <w:rPr>
          <w:rFonts w:cs="Arial"/>
          <w:szCs w:val="24"/>
          <w:lang w:val="en-GB" w:bidi="ar"/>
        </w:rPr>
        <w:t>Snehal Paste, 2025)</w:t>
      </w:r>
      <w:r>
        <w:rPr>
          <w:rFonts w:cs="Arial"/>
          <w:lang w:val="en-GB"/>
        </w:rPr>
        <w:t>.</w:t>
      </w:r>
    </w:p>
    <w:p w14:paraId="29F3F338">
      <w:pPr>
        <w:keepNext/>
        <w:jc w:val="center"/>
        <w:rPr>
          <w:rFonts w:cs="Arial"/>
          <w:lang w:val="en-GB"/>
        </w:rPr>
      </w:pPr>
      <w:r>
        <w:rPr>
          <w:rFonts w:cs="Arial"/>
          <w:lang w:val="en-GB" w:eastAsia="en-GB"/>
        </w:rPr>
        <w:drawing>
          <wp:inline distT="0" distB="0" distL="0" distR="0">
            <wp:extent cx="5303520" cy="2615565"/>
            <wp:effectExtent l="0" t="0" r="0" b="0"/>
            <wp:docPr id="7" name="Picture 6"/>
            <wp:cNvGraphicFramePr/>
            <a:graphic xmlns:a="http://schemas.openxmlformats.org/drawingml/2006/main">
              <a:graphicData uri="http://schemas.openxmlformats.org/drawingml/2006/picture">
                <pic:pic xmlns:pic="http://schemas.openxmlformats.org/drawingml/2006/picture">
                  <pic:nvPicPr>
                    <pic:cNvPr id="7" name="Picture 6"/>
                    <pic:cNvPicPr/>
                  </pic:nvPicPr>
                  <pic:blipFill>
                    <a:blip r:embed="rId11">
                      <a:extLst>
                        <a:ext uri="{28A0092B-C50C-407E-A947-70E740481C1C}">
                          <a14:useLocalDpi xmlns:a14="http://schemas.microsoft.com/office/drawing/2010/main" val="0"/>
                        </a:ext>
                      </a:extLst>
                    </a:blip>
                    <a:srcRect/>
                    <a:stretch>
                      <a:fillRect/>
                    </a:stretch>
                  </pic:blipFill>
                  <pic:spPr>
                    <a:xfrm>
                      <a:off x="0" y="0"/>
                      <a:ext cx="5303520" cy="2615565"/>
                    </a:xfrm>
                    <a:prstGeom prst="rect">
                      <a:avLst/>
                    </a:prstGeom>
                    <a:noFill/>
                    <a:ln>
                      <a:noFill/>
                    </a:ln>
                  </pic:spPr>
                </pic:pic>
              </a:graphicData>
            </a:graphic>
          </wp:inline>
        </w:drawing>
      </w:r>
    </w:p>
    <w:p w14:paraId="0EC679CC">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5</w:t>
      </w:r>
      <w:r>
        <w:rPr>
          <w:rFonts w:cs="Arial"/>
          <w:color w:val="auto"/>
          <w:sz w:val="24"/>
          <w:szCs w:val="24"/>
          <w:lang w:val="en-GB"/>
        </w:rPr>
        <w:fldChar w:fldCharType="end"/>
      </w:r>
      <w:r>
        <w:rPr>
          <w:rFonts w:cs="Arial"/>
          <w:color w:val="auto"/>
          <w:sz w:val="24"/>
          <w:szCs w:val="24"/>
          <w:lang w:val="en-GB"/>
        </w:rPr>
        <w:t xml:space="preserve"> Blade Battery Market Size and Growth</w:t>
      </w:r>
    </w:p>
    <w:p w14:paraId="6F3B4167">
      <w:pPr>
        <w:jc w:val="center"/>
        <w:rPr>
          <w:rFonts w:cs="Arial"/>
          <w:szCs w:val="24"/>
          <w:lang w:val="en-GB"/>
        </w:rPr>
      </w:pPr>
      <w:r>
        <w:rPr>
          <w:rFonts w:cs="Arial"/>
          <w:szCs w:val="24"/>
          <w:lang w:val="en-GB"/>
        </w:rPr>
        <w:t>(Source: Snehal Paste, 2025)</w:t>
      </w:r>
    </w:p>
    <w:p w14:paraId="4F48F265">
      <w:pPr>
        <w:pStyle w:val="5"/>
        <w:rPr>
          <w:lang w:val="en-GB"/>
        </w:rPr>
      </w:pPr>
      <w:r>
        <w:rPr>
          <w:lang w:val="en-GB"/>
        </w:rPr>
        <w:t>2.3.2.3 Implications for Competitive Advantage</w:t>
      </w:r>
    </w:p>
    <w:p w14:paraId="3C87EEC6">
      <w:pPr>
        <w:rPr>
          <w:rFonts w:cs="Arial"/>
          <w:color w:val="auto"/>
          <w:lang w:val="en-GB"/>
        </w:rPr>
      </w:pPr>
      <w:r>
        <w:rPr>
          <w:rFonts w:cs="Arial"/>
          <w:lang w:val="en-GB"/>
        </w:rPr>
        <w:t xml:space="preserve"> With this technological development, BYD can provide competitive electric vehicles at affordable prices and still have acceptable performance. </w:t>
      </w:r>
      <w:bookmarkStart w:id="12" w:name="_Toc223712052"/>
    </w:p>
    <w:p w14:paraId="45DFF2DA">
      <w:pPr>
        <w:pStyle w:val="2"/>
        <w:rPr>
          <w:rFonts w:cs="Arial"/>
          <w:color w:val="auto"/>
          <w:lang w:val="en-GB"/>
        </w:rPr>
      </w:pPr>
      <w:r>
        <w:rPr>
          <w:rFonts w:cs="Arial"/>
          <w:color w:val="auto"/>
          <w:lang w:val="en-GB"/>
        </w:rPr>
        <w:t>3. Task 2: Strategic Responses of Pioneering and Follower Organisations</w:t>
      </w:r>
      <w:bookmarkEnd w:id="12"/>
    </w:p>
    <w:p w14:paraId="3B7475A1">
      <w:pPr>
        <w:pStyle w:val="3"/>
        <w:rPr>
          <w:rFonts w:cs="Arial"/>
          <w:color w:val="auto"/>
          <w:lang w:val="en-GB"/>
        </w:rPr>
      </w:pPr>
      <w:bookmarkStart w:id="13" w:name="_Toc223712053"/>
      <w:r>
        <w:rPr>
          <w:rFonts w:cs="Arial"/>
          <w:color w:val="auto"/>
          <w:lang w:val="en-GB"/>
        </w:rPr>
        <w:t>3.1 Pioneering Organisation’s Strategic Responses – Tesla</w:t>
      </w:r>
      <w:bookmarkEnd w:id="13"/>
    </w:p>
    <w:p w14:paraId="7DD1728F">
      <w:pPr>
        <w:pStyle w:val="4"/>
        <w:rPr>
          <w:lang w:val="en-GB"/>
        </w:rPr>
      </w:pPr>
      <w:bookmarkStart w:id="14" w:name="_Toc223712054"/>
      <w:r>
        <w:rPr>
          <w:lang w:val="en-GB"/>
        </w:rPr>
        <w:t>3.1.1 Response to External Challenges and Opportunities</w:t>
      </w:r>
      <w:bookmarkEnd w:id="14"/>
    </w:p>
    <w:p w14:paraId="6724C651">
      <w:pPr>
        <w:rPr>
          <w:rFonts w:cs="Arial"/>
          <w:lang w:val="en-GB"/>
        </w:rPr>
      </w:pPr>
      <w:r>
        <w:rPr>
          <w:rFonts w:cs="Arial"/>
          <w:lang w:val="en-GB"/>
        </w:rPr>
        <w:t>Tesla, Inc. is considered one of the most innovative organisations in the worldwide market of electric vehicles (EV) because of its early investment in battery, autonomous driving application, and charging infrastructure (Tesla Inc, 2025). The company has taken a significant part in increasing the shift to electric mobility by replacing internal combustion vehicles. As of 2024, Tesla has delivered 1,789,226 cars worldwide, and despite a growing number of competitors in China, it is still the largest seller of battery-electric vehicles (BEVs) (Statista, 2025b).</w:t>
      </w:r>
    </w:p>
    <w:p w14:paraId="08D900B3">
      <w:pPr>
        <w:keepNext/>
        <w:jc w:val="center"/>
        <w:rPr>
          <w:rFonts w:cs="Arial"/>
          <w:lang w:val="en-GB"/>
        </w:rPr>
      </w:pPr>
      <w:r>
        <w:rPr>
          <w:rFonts w:cs="Arial"/>
          <w:lang w:val="en-GB"/>
        </w:rPr>
        <w:drawing>
          <wp:inline distT="0" distB="0" distL="0" distR="0">
            <wp:extent cx="5731510" cy="3689350"/>
            <wp:effectExtent l="0" t="0" r="0" b="6350"/>
            <wp:docPr id="15543298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4329801" name="Picture 1"/>
                    <pic:cNvPicPr>
                      <a:picLocks noChangeAspect="1"/>
                    </pic:cNvPicPr>
                  </pic:nvPicPr>
                  <pic:blipFill>
                    <a:blip r:embed="rId12"/>
                    <a:stretch>
                      <a:fillRect/>
                    </a:stretch>
                  </pic:blipFill>
                  <pic:spPr>
                    <a:xfrm>
                      <a:off x="0" y="0"/>
                      <a:ext cx="5731510" cy="3689350"/>
                    </a:xfrm>
                    <a:prstGeom prst="rect">
                      <a:avLst/>
                    </a:prstGeom>
                  </pic:spPr>
                </pic:pic>
              </a:graphicData>
            </a:graphic>
          </wp:inline>
        </w:drawing>
      </w:r>
    </w:p>
    <w:p w14:paraId="07FC7C64">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6</w:t>
      </w:r>
      <w:r>
        <w:rPr>
          <w:rFonts w:cs="Arial"/>
          <w:color w:val="auto"/>
          <w:sz w:val="24"/>
          <w:szCs w:val="24"/>
          <w:lang w:val="en-GB"/>
        </w:rPr>
        <w:fldChar w:fldCharType="end"/>
      </w:r>
      <w:r>
        <w:rPr>
          <w:rFonts w:cs="Arial"/>
          <w:color w:val="auto"/>
          <w:sz w:val="24"/>
          <w:szCs w:val="24"/>
          <w:lang w:val="en-GB"/>
        </w:rPr>
        <w:t>: Tesla Sales Worldwide</w:t>
      </w:r>
      <w:r>
        <w:rPr>
          <w:rFonts w:cs="Arial"/>
          <w:color w:val="auto"/>
          <w:sz w:val="24"/>
          <w:szCs w:val="24"/>
          <w:lang w:val="en-GB"/>
        </w:rPr>
        <w:t xml:space="preserve"> from 1</w:t>
      </w:r>
      <w:r>
        <w:rPr>
          <w:rFonts w:cs="Arial"/>
          <w:color w:val="auto"/>
          <w:sz w:val="24"/>
          <w:szCs w:val="24"/>
          <w:vertAlign w:val="superscript"/>
          <w:lang w:val="en-GB"/>
        </w:rPr>
        <w:t>st</w:t>
      </w:r>
      <w:r>
        <w:rPr>
          <w:rFonts w:cs="Arial"/>
          <w:color w:val="auto"/>
          <w:sz w:val="24"/>
          <w:szCs w:val="24"/>
          <w:lang w:val="en-GB"/>
        </w:rPr>
        <w:t xml:space="preserve"> quarter 2016 to 3</w:t>
      </w:r>
      <w:r>
        <w:rPr>
          <w:rFonts w:cs="Arial"/>
          <w:color w:val="auto"/>
          <w:sz w:val="24"/>
          <w:szCs w:val="24"/>
          <w:vertAlign w:val="superscript"/>
          <w:lang w:val="en-GB"/>
        </w:rPr>
        <w:t>rd</w:t>
      </w:r>
      <w:r>
        <w:rPr>
          <w:rFonts w:cs="Arial"/>
          <w:color w:val="auto"/>
          <w:sz w:val="24"/>
          <w:szCs w:val="24"/>
          <w:lang w:val="en-GB"/>
        </w:rPr>
        <w:t xml:space="preserve"> quarter 2025</w:t>
      </w:r>
    </w:p>
    <w:p w14:paraId="7C3CC5FE">
      <w:pPr>
        <w:jc w:val="center"/>
        <w:rPr>
          <w:rFonts w:cs="Arial"/>
          <w:szCs w:val="24"/>
          <w:lang w:val="en-GB"/>
        </w:rPr>
      </w:pPr>
      <w:r>
        <w:rPr>
          <w:rFonts w:cs="Arial"/>
          <w:szCs w:val="24"/>
          <w:lang w:val="en-GB"/>
        </w:rPr>
        <w:t>(Source: Statista, 2025b)</w:t>
      </w:r>
    </w:p>
    <w:p w14:paraId="42848DEB">
      <w:pPr>
        <w:rPr>
          <w:rFonts w:cs="Arial"/>
          <w:lang w:val="en-GB"/>
        </w:rPr>
      </w:pPr>
      <w:r>
        <w:rPr>
          <w:rFonts w:cs="Arial"/>
          <w:lang w:val="en-GB"/>
        </w:rPr>
        <w:t xml:space="preserve">Tesla has continued to embrace various strategic initiatives in order to address the emerging external challenges like increased competition, regulatory pressure and consumer preferences. </w:t>
      </w:r>
    </w:p>
    <w:p w14:paraId="724558BE">
      <w:pPr>
        <w:pStyle w:val="4"/>
        <w:rPr>
          <w:lang w:val="en-GB"/>
        </w:rPr>
      </w:pPr>
      <w:bookmarkStart w:id="15" w:name="_Toc223712055"/>
      <w:r>
        <w:rPr>
          <w:lang w:val="en-GB"/>
        </w:rPr>
        <w:t>3.1.2 Application of Porter’s Generic Strategies</w:t>
      </w:r>
      <w:bookmarkEnd w:id="15"/>
    </w:p>
    <w:p w14:paraId="696A7233">
      <w:pPr>
        <w:rPr>
          <w:rFonts w:cs="Arial"/>
          <w:lang w:val="en-GB"/>
        </w:rPr>
      </w:pPr>
      <w:r>
        <w:rPr>
          <w:rFonts w:cs="Arial"/>
          <w:lang w:val="en-GB"/>
        </w:rPr>
        <w:t>A useful framework to examine the response of Tesla is Porter's Generic Strategies, which outlines how companies attain competitive advantage by being cost leaders, differentiating or focusing (</w:t>
      </w:r>
      <w:r>
        <w:rPr>
          <w:rFonts w:cs="Arial"/>
          <w:szCs w:val="24"/>
          <w:lang w:val="en-GB" w:bidi="ar"/>
        </w:rPr>
        <w:t>D Shyamadanthi, 2025)</w:t>
      </w:r>
      <w:r>
        <w:rPr>
          <w:rFonts w:cs="Arial"/>
          <w:lang w:val="en-GB"/>
        </w:rPr>
        <w:t>.</w:t>
      </w:r>
    </w:p>
    <w:p w14:paraId="33ABEE10">
      <w:pPr>
        <w:keepNext/>
        <w:jc w:val="center"/>
        <w:rPr>
          <w:rFonts w:cs="Arial"/>
          <w:lang w:val="en-GB"/>
        </w:rPr>
      </w:pPr>
      <w:r>
        <w:rPr>
          <w:rFonts w:cs="Arial"/>
          <w:lang w:val="en-GB" w:eastAsia="en-IN"/>
        </w:rPr>
        <w:drawing>
          <wp:inline distT="0" distB="0" distL="0" distR="0">
            <wp:extent cx="4401820" cy="2573655"/>
            <wp:effectExtent l="0" t="0" r="0" b="0"/>
            <wp:docPr id="9" name="Picture 7" descr="Michael Porter's 3 Generic Strategies Model"/>
            <wp:cNvGraphicFramePr/>
            <a:graphic xmlns:a="http://schemas.openxmlformats.org/drawingml/2006/main">
              <a:graphicData uri="http://schemas.openxmlformats.org/drawingml/2006/picture">
                <pic:pic xmlns:pic="http://schemas.openxmlformats.org/drawingml/2006/picture">
                  <pic:nvPicPr>
                    <pic:cNvPr id="9" name="Picture 7" descr="Michael Porter's 3 Generic Strategies Model"/>
                    <pic:cNvPicPr/>
                  </pic:nvPicPr>
                  <pic:blipFill>
                    <a:blip r:embed="rId13">
                      <a:extLst>
                        <a:ext uri="{28A0092B-C50C-407E-A947-70E740481C1C}">
                          <a14:useLocalDpi xmlns:a14="http://schemas.microsoft.com/office/drawing/2010/main" val="0"/>
                        </a:ext>
                      </a:extLst>
                    </a:blip>
                    <a:srcRect/>
                    <a:stretch>
                      <a:fillRect/>
                    </a:stretch>
                  </pic:blipFill>
                  <pic:spPr>
                    <a:xfrm>
                      <a:off x="0" y="0"/>
                      <a:ext cx="4401820" cy="2573655"/>
                    </a:xfrm>
                    <a:prstGeom prst="rect">
                      <a:avLst/>
                    </a:prstGeom>
                    <a:noFill/>
                    <a:ln>
                      <a:noFill/>
                    </a:ln>
                  </pic:spPr>
                </pic:pic>
              </a:graphicData>
            </a:graphic>
          </wp:inline>
        </w:drawing>
      </w:r>
    </w:p>
    <w:p w14:paraId="65D8A5FD">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7</w:t>
      </w:r>
      <w:r>
        <w:rPr>
          <w:rFonts w:cs="Arial"/>
          <w:color w:val="auto"/>
          <w:sz w:val="24"/>
          <w:szCs w:val="24"/>
          <w:lang w:val="en-GB"/>
        </w:rPr>
        <w:fldChar w:fldCharType="end"/>
      </w:r>
      <w:r>
        <w:rPr>
          <w:rFonts w:cs="Arial"/>
          <w:color w:val="auto"/>
          <w:sz w:val="24"/>
          <w:szCs w:val="24"/>
          <w:lang w:val="en-GB"/>
        </w:rPr>
        <w:t xml:space="preserve"> Porter's Generic Strategies</w:t>
      </w:r>
    </w:p>
    <w:p w14:paraId="4364D45E">
      <w:pPr>
        <w:jc w:val="center"/>
        <w:rPr>
          <w:rFonts w:cs="Arial"/>
          <w:szCs w:val="24"/>
          <w:lang w:val="en-GB"/>
        </w:rPr>
      </w:pPr>
      <w:r>
        <w:rPr>
          <w:rFonts w:cs="Arial"/>
          <w:szCs w:val="24"/>
          <w:lang w:val="en-GB"/>
        </w:rPr>
        <w:t>(Source: D Shyamadanthi, 2025)</w:t>
      </w:r>
    </w:p>
    <w:p w14:paraId="0E3404DA">
      <w:pPr>
        <w:rPr>
          <w:rFonts w:cs="Arial"/>
          <w:lang w:val="en-GB"/>
        </w:rPr>
      </w:pPr>
      <w:r>
        <w:rPr>
          <w:rFonts w:cs="Arial"/>
          <w:lang w:val="en-GB"/>
        </w:rPr>
        <w:t xml:space="preserve">To begin with, the concept of differentiation is highly focused on by Tesla. The firm enjoys significant investments in technological innovations and modern technologies like self-driving, artificial intelligence, and over-the-air updates. Such technologies as Autopilot by Tesla and the provided digital ecosystem make the vehicles unique compared to others </w:t>
      </w:r>
      <w:r>
        <w:rPr>
          <w:rFonts w:cs="Arial"/>
          <w:lang w:val="en-GB" w:bidi="ar"/>
        </w:rPr>
        <w:t>(Olorunfemi, 2024)</w:t>
      </w:r>
      <w:r>
        <w:rPr>
          <w:rFonts w:cs="Arial"/>
          <w:lang w:val="en-GB"/>
        </w:rPr>
        <w:t xml:space="preserve">. </w:t>
      </w:r>
    </w:p>
    <w:p w14:paraId="7CAAC57B">
      <w:pPr>
        <w:rPr>
          <w:rFonts w:cs="Arial"/>
          <w:lang w:val="en-GB"/>
        </w:rPr>
      </w:pPr>
      <w:r>
        <w:rPr>
          <w:rFonts w:cs="Arial"/>
          <w:lang w:val="en-GB"/>
        </w:rPr>
        <w:t>Second, Tesla is slowly gaining strength in its cost leadership strategy. The external threats, including the price wars that Tesla will face with the Chinese EV manufacturers, have compelled Tesla to lower its production expenses. Discounts on such models as Model 3 or Model Y indicate that Tesla employs cost-effectiveness as a means of remaining competitive in an already booming EV market (</w:t>
      </w:r>
      <w:r>
        <w:rPr>
          <w:rFonts w:cs="Arial"/>
          <w:szCs w:val="24"/>
          <w:lang w:val="en-GB" w:bidi="ar"/>
        </w:rPr>
        <w:t>Junaid Shah, 2025)</w:t>
      </w:r>
      <w:r>
        <w:rPr>
          <w:rFonts w:cs="Arial"/>
          <w:lang w:val="en-GB" w:bidi="ar"/>
        </w:rPr>
        <w:t>.</w:t>
      </w:r>
    </w:p>
    <w:p w14:paraId="3E66F8EB">
      <w:pPr>
        <w:keepNext/>
        <w:rPr>
          <w:rFonts w:cs="Arial"/>
          <w:lang w:val="en-GB"/>
        </w:rPr>
      </w:pPr>
      <w:r>
        <w:rPr>
          <w:rFonts w:cs="Arial"/>
          <w:lang w:val="en-GB" w:eastAsia="en-GB"/>
        </w:rPr>
        <w:drawing>
          <wp:inline distT="0" distB="0" distL="0" distR="0">
            <wp:extent cx="5915660" cy="2432685"/>
            <wp:effectExtent l="0" t="0" r="0" b="0"/>
            <wp:docPr id="10" name="Picture 8"/>
            <wp:cNvGraphicFramePr/>
            <a:graphic xmlns:a="http://schemas.openxmlformats.org/drawingml/2006/main">
              <a:graphicData uri="http://schemas.openxmlformats.org/drawingml/2006/picture">
                <pic:pic xmlns:pic="http://schemas.openxmlformats.org/drawingml/2006/picture">
                  <pic:nvPicPr>
                    <pic:cNvPr id="10" name="Picture 8"/>
                    <pic:cNvPicPr/>
                  </pic:nvPicPr>
                  <pic:blipFill>
                    <a:blip r:embed="rId14">
                      <a:extLst>
                        <a:ext uri="{28A0092B-C50C-407E-A947-70E740481C1C}">
                          <a14:useLocalDpi xmlns:a14="http://schemas.microsoft.com/office/drawing/2010/main" val="0"/>
                        </a:ext>
                      </a:extLst>
                    </a:blip>
                    <a:srcRect/>
                    <a:stretch>
                      <a:fillRect/>
                    </a:stretch>
                  </pic:blipFill>
                  <pic:spPr>
                    <a:xfrm>
                      <a:off x="0" y="0"/>
                      <a:ext cx="5915660" cy="2432685"/>
                    </a:xfrm>
                    <a:prstGeom prst="rect">
                      <a:avLst/>
                    </a:prstGeom>
                    <a:noFill/>
                    <a:ln>
                      <a:noFill/>
                    </a:ln>
                  </pic:spPr>
                </pic:pic>
              </a:graphicData>
            </a:graphic>
          </wp:inline>
        </w:drawing>
      </w:r>
    </w:p>
    <w:p w14:paraId="0F68252B">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8</w:t>
      </w:r>
      <w:r>
        <w:rPr>
          <w:rFonts w:cs="Arial"/>
          <w:color w:val="auto"/>
          <w:sz w:val="24"/>
          <w:szCs w:val="24"/>
          <w:lang w:val="en-GB"/>
        </w:rPr>
        <w:fldChar w:fldCharType="end"/>
      </w:r>
      <w:r>
        <w:rPr>
          <w:rFonts w:cs="Arial"/>
          <w:color w:val="auto"/>
          <w:sz w:val="24"/>
          <w:szCs w:val="24"/>
          <w:lang w:val="en-GB"/>
        </w:rPr>
        <w:t xml:space="preserve"> Tesla's Model 3 and Model Y Cost-Effectiveness Strategy</w:t>
      </w:r>
    </w:p>
    <w:p w14:paraId="29669546">
      <w:pPr>
        <w:jc w:val="center"/>
        <w:rPr>
          <w:rFonts w:cs="Arial"/>
          <w:szCs w:val="24"/>
          <w:lang w:val="en-GB"/>
        </w:rPr>
      </w:pPr>
      <w:r>
        <w:rPr>
          <w:rFonts w:cs="Arial"/>
          <w:szCs w:val="24"/>
          <w:lang w:val="en-GB"/>
        </w:rPr>
        <w:t>(Source: Junaid Shah, 2025)</w:t>
      </w:r>
    </w:p>
    <w:p w14:paraId="5F79702D">
      <w:pPr>
        <w:pStyle w:val="4"/>
        <w:rPr>
          <w:lang w:val="en-GB"/>
        </w:rPr>
      </w:pPr>
      <w:bookmarkStart w:id="16" w:name="_Toc223712056"/>
      <w:r>
        <w:rPr>
          <w:lang w:val="en-GB"/>
        </w:rPr>
        <w:t>3.1.3 Industry Examples Supporting Tesla’s Strategy</w:t>
      </w:r>
      <w:bookmarkEnd w:id="16"/>
    </w:p>
    <w:p w14:paraId="50D14EB4">
      <w:pPr>
        <w:rPr>
          <w:rFonts w:cs="Arial"/>
          <w:lang w:val="en-GB"/>
        </w:rPr>
      </w:pPr>
      <w:r>
        <w:rPr>
          <w:rFonts w:cs="Arial"/>
          <w:lang w:val="en-GB"/>
        </w:rPr>
        <w:t xml:space="preserve">The other strategic reaction is the market expansion and ecosystem development. Tesla has also increased the number of Superchargers across the world in order to facilitate the use of EVs and minimise range anxiety among consumers (Nikhil Chaudhary, 2025). The infrastructure of charging is an essential condition of the development of the EV market, and Tesla is well-positioned with an effective network of charging points, which builds customer loyalty and puts competitors at a disadvantage. </w:t>
      </w:r>
    </w:p>
    <w:p w14:paraId="08C53FDD">
      <w:pPr>
        <w:rPr>
          <w:rFonts w:cs="Arial"/>
          <w:lang w:val="en-GB"/>
        </w:rPr>
      </w:pPr>
      <w:r>
        <w:rPr>
          <w:rFonts w:cs="Arial"/>
          <w:lang w:val="en-GB"/>
        </w:rPr>
        <w:t xml:space="preserve">Tesla also reacts to the environmental guidelines and sustainability requirements by putting emphasis on renewable energy solutions. In addition to the manufacturing of EVs, the corporation also creates battery storage and solar energy items, which support its long-term goal of sustainable energy transition. </w:t>
      </w:r>
    </w:p>
    <w:p w14:paraId="122FA70D">
      <w:pPr>
        <w:rPr>
          <w:rFonts w:cs="Arial"/>
          <w:lang w:val="en-GB"/>
        </w:rPr>
      </w:pPr>
      <w:r>
        <w:rPr>
          <w:rFonts w:cs="Arial"/>
          <w:lang w:val="en-GB"/>
        </w:rPr>
        <w:t xml:space="preserve">Nevertheless, Tesla is experiencing an increasing level of competition, especially with the Chinese EV producers who are able to sell cheaper vehicles (Reuters, 2025). </w:t>
      </w:r>
    </w:p>
    <w:p w14:paraId="4928662E">
      <w:pPr>
        <w:keepNext/>
        <w:jc w:val="center"/>
        <w:rPr>
          <w:rFonts w:cs="Arial"/>
          <w:lang w:val="en-GB"/>
        </w:rPr>
      </w:pPr>
      <w:r>
        <w:rPr>
          <w:rFonts w:cs="Arial"/>
          <w:lang w:val="en-GB" w:eastAsia="en-GB"/>
        </w:rPr>
        <w:drawing>
          <wp:inline distT="0" distB="0" distL="0" distR="0">
            <wp:extent cx="5731510" cy="2298700"/>
            <wp:effectExtent l="0" t="0" r="0" b="0"/>
            <wp:docPr id="11" name="Picture 9"/>
            <wp:cNvGraphicFramePr/>
            <a:graphic xmlns:a="http://schemas.openxmlformats.org/drawingml/2006/main">
              <a:graphicData uri="http://schemas.openxmlformats.org/drawingml/2006/picture">
                <pic:pic xmlns:pic="http://schemas.openxmlformats.org/drawingml/2006/picture">
                  <pic:nvPicPr>
                    <pic:cNvPr id="11" name="Picture 9"/>
                    <pic:cNvPicPr/>
                  </pic:nvPicPr>
                  <pic:blipFill>
                    <a:blip r:embed="rId15">
                      <a:extLst>
                        <a:ext uri="{28A0092B-C50C-407E-A947-70E740481C1C}">
                          <a14:useLocalDpi xmlns:a14="http://schemas.microsoft.com/office/drawing/2010/main" val="0"/>
                        </a:ext>
                      </a:extLst>
                    </a:blip>
                    <a:srcRect/>
                    <a:stretch>
                      <a:fillRect/>
                    </a:stretch>
                  </pic:blipFill>
                  <pic:spPr>
                    <a:xfrm>
                      <a:off x="0" y="0"/>
                      <a:ext cx="5731510" cy="2298700"/>
                    </a:xfrm>
                    <a:prstGeom prst="rect">
                      <a:avLst/>
                    </a:prstGeom>
                    <a:noFill/>
                    <a:ln>
                      <a:noFill/>
                    </a:ln>
                  </pic:spPr>
                </pic:pic>
              </a:graphicData>
            </a:graphic>
          </wp:inline>
        </w:drawing>
      </w:r>
    </w:p>
    <w:p w14:paraId="2DE4BEFD">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9</w:t>
      </w:r>
      <w:r>
        <w:rPr>
          <w:rFonts w:cs="Arial"/>
          <w:color w:val="auto"/>
          <w:sz w:val="24"/>
          <w:szCs w:val="24"/>
          <w:lang w:val="en-GB"/>
        </w:rPr>
        <w:fldChar w:fldCharType="end"/>
      </w:r>
      <w:r>
        <w:rPr>
          <w:rFonts w:cs="Arial"/>
          <w:color w:val="auto"/>
          <w:sz w:val="24"/>
          <w:szCs w:val="24"/>
          <w:lang w:val="en-GB"/>
        </w:rPr>
        <w:t>: Tesla Facing Stiff Competitions</w:t>
      </w:r>
    </w:p>
    <w:p w14:paraId="3B7FC64E">
      <w:pPr>
        <w:jc w:val="center"/>
        <w:rPr>
          <w:rFonts w:cs="Arial"/>
          <w:szCs w:val="24"/>
          <w:lang w:val="en-GB"/>
        </w:rPr>
      </w:pPr>
      <w:r>
        <w:rPr>
          <w:rFonts w:cs="Arial"/>
          <w:szCs w:val="24"/>
          <w:lang w:val="en-GB"/>
        </w:rPr>
        <w:t>(Source: Reuters, 2025)</w:t>
      </w:r>
    </w:p>
    <w:p w14:paraId="2FE7625F">
      <w:pPr>
        <w:rPr>
          <w:rFonts w:cs="Arial"/>
          <w:lang w:val="en-GB"/>
        </w:rPr>
      </w:pPr>
      <w:r>
        <w:rPr>
          <w:rFonts w:cs="Arial"/>
          <w:lang w:val="en-GB"/>
        </w:rPr>
        <w:t>On the whole, the strategic reactions of Tesla can demonstrate that innovative companies should be constantly developing to remain competitive. By combining differentiation, cost leadership, technological innovation and global expansion, Tesla has been able to respond to the external threats and leverage the fast-growing EV market.</w:t>
      </w:r>
    </w:p>
    <w:p w14:paraId="5AB5ADA7">
      <w:pPr>
        <w:pStyle w:val="3"/>
        <w:rPr>
          <w:rFonts w:cs="Arial"/>
          <w:color w:val="auto"/>
          <w:lang w:val="en-GB"/>
        </w:rPr>
      </w:pPr>
      <w:bookmarkStart w:id="17" w:name="_Toc223712057"/>
      <w:r>
        <w:rPr>
          <w:rFonts w:cs="Arial"/>
          <w:color w:val="auto"/>
          <w:lang w:val="en-GB"/>
        </w:rPr>
        <w:t>3.2 Follower Organisation’s Strategic Responses – BYD</w:t>
      </w:r>
      <w:bookmarkEnd w:id="17"/>
    </w:p>
    <w:p w14:paraId="06D3C307">
      <w:pPr>
        <w:pStyle w:val="4"/>
        <w:rPr>
          <w:lang w:val="en-GB"/>
        </w:rPr>
      </w:pPr>
      <w:bookmarkStart w:id="18" w:name="_Toc223712058"/>
      <w:r>
        <w:rPr>
          <w:lang w:val="en-GB"/>
        </w:rPr>
        <w:t>3.2.1 Response to External Challenges and Opportunities</w:t>
      </w:r>
      <w:bookmarkEnd w:id="18"/>
    </w:p>
    <w:p w14:paraId="04ED917A">
      <w:pPr>
        <w:rPr>
          <w:rFonts w:cs="Arial"/>
          <w:lang w:val="en-GB"/>
        </w:rPr>
      </w:pPr>
      <w:r>
        <w:rPr>
          <w:rFonts w:cs="Arial"/>
          <w:lang w:val="en-GB"/>
        </w:rPr>
        <w:t>BYD Company Ltd. is a good example of a follower company that has managed to adjust its strategy to compete with such pioneers as Tesla. Despite the fact that Tesla is the earlier entrant in the EV market, BYD has grown its business very quickly due to aggressive pricing, mass production, and government subsidies in China (BYD, 2025).</w:t>
      </w:r>
    </w:p>
    <w:p w14:paraId="023F34E5">
      <w:pPr>
        <w:rPr>
          <w:rFonts w:cs="Arial"/>
          <w:lang w:val="en-GB"/>
        </w:rPr>
      </w:pPr>
      <w:r>
        <w:rPr>
          <w:rFonts w:cs="Arial"/>
          <w:lang w:val="en-GB"/>
        </w:rPr>
        <w:t>The Growth Matrix of Ansoff may be used to analyse the strategies of BYD and how companies grow through penetration of the market, product development, market development and diversification.</w:t>
      </w:r>
    </w:p>
    <w:p w14:paraId="4DDCE7B1">
      <w:pPr>
        <w:pStyle w:val="4"/>
        <w:rPr>
          <w:lang w:val="en-GB"/>
        </w:rPr>
      </w:pPr>
      <w:bookmarkStart w:id="19" w:name="_Toc223712059"/>
      <w:r>
        <w:rPr>
          <w:lang w:val="en-GB"/>
        </w:rPr>
        <w:t>3.2.2 Application of Ansoff Matrix Framework</w:t>
      </w:r>
      <w:bookmarkEnd w:id="19"/>
      <w:r>
        <w:rPr>
          <w:lang w:val="en-GB"/>
        </w:rPr>
        <w:t xml:space="preserve"> </w:t>
      </w:r>
    </w:p>
    <w:p w14:paraId="2EB15B7A">
      <w:pPr>
        <w:keepNext/>
        <w:jc w:val="center"/>
        <w:rPr>
          <w:rFonts w:cs="Arial"/>
          <w:lang w:val="en-GB"/>
        </w:rPr>
      </w:pPr>
      <w:r>
        <w:rPr>
          <w:rFonts w:cs="Arial"/>
          <w:lang w:val="en-GB" w:eastAsia="en-GB"/>
        </w:rPr>
        <w:drawing>
          <wp:inline distT="0" distB="0" distL="0" distR="0">
            <wp:extent cx="3678555" cy="2721610"/>
            <wp:effectExtent l="0" t="0" r="0" b="0"/>
            <wp:docPr id="12" name="Picture 1"/>
            <wp:cNvGraphicFramePr/>
            <a:graphic xmlns:a="http://schemas.openxmlformats.org/drawingml/2006/main">
              <a:graphicData uri="http://schemas.openxmlformats.org/drawingml/2006/picture">
                <pic:pic xmlns:pic="http://schemas.openxmlformats.org/drawingml/2006/picture">
                  <pic:nvPicPr>
                    <pic:cNvPr id="12" name="Picture 1"/>
                    <pic:cNvPicPr/>
                  </pic:nvPicPr>
                  <pic:blipFill>
                    <a:blip r:embed="rId16">
                      <a:extLst>
                        <a:ext uri="{28A0092B-C50C-407E-A947-70E740481C1C}">
                          <a14:useLocalDpi xmlns:a14="http://schemas.microsoft.com/office/drawing/2010/main" val="0"/>
                        </a:ext>
                      </a:extLst>
                    </a:blip>
                    <a:srcRect/>
                    <a:stretch>
                      <a:fillRect/>
                    </a:stretch>
                  </pic:blipFill>
                  <pic:spPr>
                    <a:xfrm>
                      <a:off x="0" y="0"/>
                      <a:ext cx="3678555" cy="2721610"/>
                    </a:xfrm>
                    <a:prstGeom prst="rect">
                      <a:avLst/>
                    </a:prstGeom>
                    <a:noFill/>
                    <a:ln>
                      <a:noFill/>
                    </a:ln>
                  </pic:spPr>
                </pic:pic>
              </a:graphicData>
            </a:graphic>
          </wp:inline>
        </w:drawing>
      </w:r>
    </w:p>
    <w:p w14:paraId="650F308F">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10</w:t>
      </w:r>
      <w:r>
        <w:rPr>
          <w:rFonts w:cs="Arial"/>
          <w:color w:val="auto"/>
          <w:sz w:val="24"/>
          <w:szCs w:val="24"/>
          <w:lang w:val="en-GB"/>
        </w:rPr>
        <w:fldChar w:fldCharType="end"/>
      </w:r>
      <w:r>
        <w:rPr>
          <w:rFonts w:cs="Arial"/>
          <w:color w:val="auto"/>
          <w:sz w:val="24"/>
          <w:szCs w:val="24"/>
          <w:lang w:val="en-GB"/>
        </w:rPr>
        <w:t>: Ansoff Matrix</w:t>
      </w:r>
    </w:p>
    <w:p w14:paraId="12C6C49B">
      <w:pPr>
        <w:jc w:val="center"/>
        <w:rPr>
          <w:rFonts w:cs="Arial"/>
          <w:szCs w:val="24"/>
          <w:lang w:val="en-GB"/>
        </w:rPr>
      </w:pPr>
      <w:r>
        <w:rPr>
          <w:rFonts w:cs="Arial"/>
          <w:szCs w:val="24"/>
          <w:lang w:val="en-GB"/>
        </w:rPr>
        <w:t>(Source: Lecture Materials)</w:t>
      </w:r>
    </w:p>
    <w:p w14:paraId="6E711BF0">
      <w:pPr>
        <w:rPr>
          <w:rFonts w:cs="Arial"/>
          <w:szCs w:val="24"/>
          <w:lang w:val="en-GB"/>
        </w:rPr>
      </w:pPr>
      <w:r>
        <w:rPr>
          <w:rFonts w:cs="Arial"/>
          <w:b/>
          <w:i/>
          <w:lang w:val="en-GB"/>
        </w:rPr>
        <w:t>Market Penetration:</w:t>
      </w:r>
      <w:r>
        <w:rPr>
          <w:rFonts w:cs="Arial"/>
          <w:lang w:val="en-GB"/>
        </w:rPr>
        <w:t xml:space="preserve"> First, BYD has chosen an aggressive market penetration approach, which consists of providing cheap electric cars in various market segments. As of 2024, BYD was able to sell 1,764,992 fully electric cars as compared to 1.79 million cars delivered by Tesla. The minimal disparity underscores the ability of BYD to dominate the EV market in the world despite its late entry (</w:t>
      </w:r>
      <w:r>
        <w:rPr>
          <w:rFonts w:cs="Arial"/>
          <w:szCs w:val="24"/>
          <w:lang w:val="en-GB"/>
        </w:rPr>
        <w:t>Reuters, 2026).</w:t>
      </w:r>
    </w:p>
    <w:p w14:paraId="0449B7C8">
      <w:pPr>
        <w:keepNext/>
        <w:jc w:val="center"/>
        <w:rPr>
          <w:rFonts w:cs="Arial"/>
          <w:lang w:val="en-GB"/>
        </w:rPr>
      </w:pPr>
      <w:r>
        <w:rPr>
          <w:rFonts w:cs="Arial"/>
          <w:lang w:val="en-GB" w:eastAsia="en-GB"/>
        </w:rPr>
        <w:drawing>
          <wp:inline distT="0" distB="0" distL="0" distR="0">
            <wp:extent cx="5725795" cy="2232660"/>
            <wp:effectExtent l="0" t="0" r="0" b="0"/>
            <wp:docPr id="13" name="Picture 14"/>
            <wp:cNvGraphicFramePr/>
            <a:graphic xmlns:a="http://schemas.openxmlformats.org/drawingml/2006/main">
              <a:graphicData uri="http://schemas.openxmlformats.org/drawingml/2006/picture">
                <pic:pic xmlns:pic="http://schemas.openxmlformats.org/drawingml/2006/picture">
                  <pic:nvPicPr>
                    <pic:cNvPr id="13" name="Picture 14"/>
                    <pic:cNvPicPr/>
                  </pic:nvPicPr>
                  <pic:blipFill>
                    <a:blip r:embed="rId17">
                      <a:extLst>
                        <a:ext uri="{28A0092B-C50C-407E-A947-70E740481C1C}">
                          <a14:useLocalDpi xmlns:a14="http://schemas.microsoft.com/office/drawing/2010/main" val="0"/>
                        </a:ext>
                      </a:extLst>
                    </a:blip>
                    <a:srcRect/>
                    <a:stretch>
                      <a:fillRect/>
                    </a:stretch>
                  </pic:blipFill>
                  <pic:spPr>
                    <a:xfrm>
                      <a:off x="0" y="0"/>
                      <a:ext cx="5725795" cy="2232660"/>
                    </a:xfrm>
                    <a:prstGeom prst="rect">
                      <a:avLst/>
                    </a:prstGeom>
                    <a:noFill/>
                    <a:ln>
                      <a:noFill/>
                    </a:ln>
                  </pic:spPr>
                </pic:pic>
              </a:graphicData>
            </a:graphic>
          </wp:inline>
        </w:drawing>
      </w:r>
    </w:p>
    <w:p w14:paraId="1B1C3539">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11</w:t>
      </w:r>
      <w:r>
        <w:rPr>
          <w:rFonts w:cs="Arial"/>
          <w:color w:val="auto"/>
          <w:sz w:val="24"/>
          <w:szCs w:val="24"/>
          <w:lang w:val="en-GB"/>
        </w:rPr>
        <w:fldChar w:fldCharType="end"/>
      </w:r>
      <w:r>
        <w:rPr>
          <w:rFonts w:cs="Arial"/>
          <w:color w:val="auto"/>
          <w:sz w:val="24"/>
          <w:szCs w:val="24"/>
          <w:lang w:val="en-GB"/>
        </w:rPr>
        <w:t xml:space="preserve"> BYD Dominating Tesla</w:t>
      </w:r>
    </w:p>
    <w:p w14:paraId="24327CB6">
      <w:pPr>
        <w:jc w:val="center"/>
        <w:rPr>
          <w:rFonts w:cs="Arial"/>
          <w:szCs w:val="24"/>
          <w:lang w:val="en-GB"/>
        </w:rPr>
      </w:pPr>
      <w:r>
        <w:rPr>
          <w:rFonts w:cs="Arial"/>
          <w:szCs w:val="24"/>
          <w:lang w:val="en-GB"/>
        </w:rPr>
        <w:t>(Reuters, 2026)</w:t>
      </w:r>
    </w:p>
    <w:p w14:paraId="3FE72404">
      <w:pPr>
        <w:rPr>
          <w:rFonts w:cs="Arial"/>
          <w:lang w:val="en-GB"/>
        </w:rPr>
      </w:pPr>
      <w:r>
        <w:rPr>
          <w:rFonts w:cs="Arial"/>
          <w:b/>
          <w:i/>
          <w:lang w:val="en-GB"/>
        </w:rPr>
        <w:t>Product Development:</w:t>
      </w:r>
      <w:r>
        <w:rPr>
          <w:rFonts w:cs="Arial"/>
          <w:lang w:val="en-GB"/>
        </w:rPr>
        <w:t xml:space="preserve"> Second, BYD possesses high product development strengths. The firm spends heavily on battery technology, especially its own proprietary technology of the Blade Battery, which enhances safety, longevity, and sensitivity in terms of cost (</w:t>
      </w:r>
      <w:r>
        <w:rPr>
          <w:rFonts w:cs="Arial"/>
          <w:lang w:val="en-GB" w:bidi="ar"/>
        </w:rPr>
        <w:t>Kavya Aggarwal, 2025)</w:t>
      </w:r>
      <w:r>
        <w:rPr>
          <w:rFonts w:cs="Arial"/>
          <w:lang w:val="en-GB"/>
        </w:rPr>
        <w:t xml:space="preserve">. </w:t>
      </w:r>
    </w:p>
    <w:p w14:paraId="215D7563">
      <w:pPr>
        <w:rPr>
          <w:rFonts w:cs="Arial"/>
          <w:lang w:val="en-GB"/>
        </w:rPr>
      </w:pPr>
      <w:r>
        <w:rPr>
          <w:rFonts w:cs="Arial"/>
          <w:b/>
          <w:i/>
          <w:lang w:val="en-GB"/>
        </w:rPr>
        <w:t>Market Development:</w:t>
      </w:r>
      <w:r>
        <w:rPr>
          <w:rFonts w:cs="Arial"/>
          <w:lang w:val="en-GB"/>
        </w:rPr>
        <w:t xml:space="preserve"> Third, BYD is undertaking the development of the market by fast expansion internationally. The company has done more exports to other parts of the world, such as Europe, Southeast Asia, and Latin America. International sales increased in the year 2024, and the firm achieved exports of over 417,000 vehicles all over the world, which shows how the firm has extended its global presence (</w:t>
      </w:r>
      <w:r>
        <w:rPr>
          <w:rFonts w:cs="Arial"/>
          <w:szCs w:val="24"/>
          <w:lang w:val="en-GB"/>
        </w:rPr>
        <w:t>Riz Akhtar, 2026)</w:t>
      </w:r>
      <w:r>
        <w:rPr>
          <w:rFonts w:cs="Arial"/>
          <w:lang w:val="en-GB"/>
        </w:rPr>
        <w:t xml:space="preserve">. </w:t>
      </w:r>
    </w:p>
    <w:p w14:paraId="196D18D4">
      <w:pPr>
        <w:keepNext/>
        <w:rPr>
          <w:rFonts w:cs="Arial"/>
          <w:lang w:val="en-GB"/>
        </w:rPr>
      </w:pPr>
      <w:r>
        <w:rPr>
          <w:rFonts w:cs="Arial"/>
          <w:lang w:val="en-GB" w:eastAsia="en-GB"/>
        </w:rPr>
        <w:drawing>
          <wp:inline distT="0" distB="0" distL="0" distR="0">
            <wp:extent cx="5718175" cy="2296795"/>
            <wp:effectExtent l="0" t="0" r="0" b="0"/>
            <wp:docPr id="14" name="Picture 15"/>
            <wp:cNvGraphicFramePr/>
            <a:graphic xmlns:a="http://schemas.openxmlformats.org/drawingml/2006/main">
              <a:graphicData uri="http://schemas.openxmlformats.org/drawingml/2006/picture">
                <pic:pic xmlns:pic="http://schemas.openxmlformats.org/drawingml/2006/picture">
                  <pic:nvPicPr>
                    <pic:cNvPr id="14" name="Picture 15"/>
                    <pic:cNvPicPr/>
                  </pic:nvPicPr>
                  <pic:blipFill>
                    <a:blip r:embed="rId18">
                      <a:extLst>
                        <a:ext uri="{28A0092B-C50C-407E-A947-70E740481C1C}">
                          <a14:useLocalDpi xmlns:a14="http://schemas.microsoft.com/office/drawing/2010/main" val="0"/>
                        </a:ext>
                      </a:extLst>
                    </a:blip>
                    <a:srcRect/>
                    <a:stretch>
                      <a:fillRect/>
                    </a:stretch>
                  </pic:blipFill>
                  <pic:spPr>
                    <a:xfrm>
                      <a:off x="0" y="0"/>
                      <a:ext cx="5718175" cy="2296795"/>
                    </a:xfrm>
                    <a:prstGeom prst="rect">
                      <a:avLst/>
                    </a:prstGeom>
                    <a:noFill/>
                    <a:ln>
                      <a:noFill/>
                    </a:ln>
                  </pic:spPr>
                </pic:pic>
              </a:graphicData>
            </a:graphic>
          </wp:inline>
        </w:drawing>
      </w:r>
    </w:p>
    <w:p w14:paraId="095E49E5">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12</w:t>
      </w:r>
      <w:r>
        <w:rPr>
          <w:rFonts w:cs="Arial"/>
          <w:color w:val="auto"/>
          <w:sz w:val="24"/>
          <w:szCs w:val="24"/>
          <w:lang w:val="en-GB"/>
        </w:rPr>
        <w:fldChar w:fldCharType="end"/>
      </w:r>
      <w:r>
        <w:rPr>
          <w:rFonts w:cs="Arial"/>
          <w:color w:val="auto"/>
          <w:sz w:val="24"/>
          <w:szCs w:val="24"/>
          <w:lang w:val="en-GB"/>
        </w:rPr>
        <w:t xml:space="preserve"> BYD's International Expansion</w:t>
      </w:r>
    </w:p>
    <w:p w14:paraId="0145979C">
      <w:pPr>
        <w:jc w:val="center"/>
        <w:rPr>
          <w:rFonts w:cs="Arial"/>
          <w:szCs w:val="24"/>
          <w:lang w:val="en-GB"/>
        </w:rPr>
      </w:pPr>
      <w:r>
        <w:rPr>
          <w:rFonts w:cs="Arial"/>
          <w:szCs w:val="24"/>
          <w:lang w:val="en-GB"/>
        </w:rPr>
        <w:t>(Source: Riz Akhtar, 2026)</w:t>
      </w:r>
    </w:p>
    <w:p w14:paraId="65D5DEBD">
      <w:pPr>
        <w:rPr>
          <w:rFonts w:cs="Arial"/>
          <w:lang w:val="en-GB"/>
        </w:rPr>
      </w:pPr>
      <w:r>
        <w:rPr>
          <w:rFonts w:cs="Arial"/>
          <w:b/>
          <w:i/>
          <w:lang w:val="en-GB"/>
        </w:rPr>
        <w:t>Diversification:</w:t>
      </w:r>
      <w:r>
        <w:rPr>
          <w:rFonts w:cs="Arial"/>
          <w:lang w:val="en-GB"/>
        </w:rPr>
        <w:t xml:space="preserve"> The other strategic factor is diversification in the electric mobility ecosystem. However, BYD does manufacture battery electric vehicles (BEVs) and plug-in hybrid electric vehicles (PHEVs), unlike Tesla. In 2024, the company sold more than 4.27 million new energy vehicles, including both BEV and PHEV in aggregate, which is a notable improvement over prior years (</w:t>
      </w:r>
      <w:r>
        <w:rPr>
          <w:rFonts w:cs="Arial"/>
          <w:szCs w:val="24"/>
          <w:lang w:val="en-GB"/>
        </w:rPr>
        <w:t>Jonathan James Tan, 2025)</w:t>
      </w:r>
      <w:r>
        <w:rPr>
          <w:rFonts w:cs="Arial"/>
          <w:lang w:val="en-GB"/>
        </w:rPr>
        <w:t xml:space="preserve">. </w:t>
      </w:r>
    </w:p>
    <w:p w14:paraId="58CED2CD">
      <w:pPr>
        <w:keepNext/>
        <w:jc w:val="center"/>
        <w:rPr>
          <w:rFonts w:cs="Arial"/>
          <w:lang w:val="en-GB"/>
        </w:rPr>
      </w:pPr>
      <w:r>
        <w:rPr>
          <w:rFonts w:cs="Arial"/>
          <w:lang w:val="en-GB" w:eastAsia="en-GB"/>
        </w:rPr>
        <w:drawing>
          <wp:inline distT="0" distB="0" distL="0" distR="0">
            <wp:extent cx="4677410" cy="2384425"/>
            <wp:effectExtent l="0" t="0" r="0" b="0"/>
            <wp:docPr id="15" name="Picture 16"/>
            <wp:cNvGraphicFramePr/>
            <a:graphic xmlns:a="http://schemas.openxmlformats.org/drawingml/2006/main">
              <a:graphicData uri="http://schemas.openxmlformats.org/drawingml/2006/picture">
                <pic:pic xmlns:pic="http://schemas.openxmlformats.org/drawingml/2006/picture">
                  <pic:nvPicPr>
                    <pic:cNvPr id="15" name="Picture 16"/>
                    <pic:cNvPicPr/>
                  </pic:nvPicPr>
                  <pic:blipFill>
                    <a:blip r:embed="rId19">
                      <a:extLst>
                        <a:ext uri="{28A0092B-C50C-407E-A947-70E740481C1C}">
                          <a14:useLocalDpi xmlns:a14="http://schemas.microsoft.com/office/drawing/2010/main" val="0"/>
                        </a:ext>
                      </a:extLst>
                    </a:blip>
                    <a:srcRect/>
                    <a:stretch>
                      <a:fillRect/>
                    </a:stretch>
                  </pic:blipFill>
                  <pic:spPr>
                    <a:xfrm>
                      <a:off x="0" y="0"/>
                      <a:ext cx="4677410" cy="2384425"/>
                    </a:xfrm>
                    <a:prstGeom prst="rect">
                      <a:avLst/>
                    </a:prstGeom>
                    <a:noFill/>
                    <a:ln>
                      <a:noFill/>
                    </a:ln>
                  </pic:spPr>
                </pic:pic>
              </a:graphicData>
            </a:graphic>
          </wp:inline>
        </w:drawing>
      </w:r>
    </w:p>
    <w:p w14:paraId="1179D51F">
      <w:pPr>
        <w:pStyle w:val="11"/>
        <w:jc w:val="center"/>
        <w:rPr>
          <w:rFonts w:cs="Arial"/>
          <w:color w:val="auto"/>
          <w:sz w:val="24"/>
          <w:szCs w:val="24"/>
          <w:lang w:val="en-GB"/>
        </w:rPr>
      </w:pPr>
      <w:r>
        <w:rPr>
          <w:rFonts w:cs="Arial"/>
          <w:color w:val="auto"/>
          <w:sz w:val="24"/>
          <w:szCs w:val="24"/>
          <w:lang w:val="en-GB"/>
        </w:rPr>
        <w:t xml:space="preserve">Figure </w:t>
      </w:r>
      <w:r>
        <w:rPr>
          <w:rFonts w:cs="Arial"/>
          <w:color w:val="auto"/>
          <w:sz w:val="24"/>
          <w:szCs w:val="24"/>
          <w:lang w:val="en-GB"/>
        </w:rPr>
        <w:fldChar w:fldCharType="begin"/>
      </w:r>
      <w:r>
        <w:rPr>
          <w:rFonts w:cs="Arial"/>
          <w:color w:val="auto"/>
          <w:sz w:val="24"/>
          <w:szCs w:val="24"/>
          <w:lang w:val="en-GB"/>
        </w:rPr>
        <w:instrText xml:space="preserve"> SEQ Figure \* ARABIC </w:instrText>
      </w:r>
      <w:r>
        <w:rPr>
          <w:rFonts w:cs="Arial"/>
          <w:color w:val="auto"/>
          <w:sz w:val="24"/>
          <w:szCs w:val="24"/>
          <w:lang w:val="en-GB"/>
        </w:rPr>
        <w:fldChar w:fldCharType="separate"/>
      </w:r>
      <w:r>
        <w:rPr>
          <w:rFonts w:cs="Arial"/>
          <w:color w:val="auto"/>
          <w:sz w:val="24"/>
          <w:szCs w:val="24"/>
          <w:lang w:val="en-GB"/>
        </w:rPr>
        <w:t>13</w:t>
      </w:r>
      <w:r>
        <w:rPr>
          <w:rFonts w:cs="Arial"/>
          <w:color w:val="auto"/>
          <w:sz w:val="24"/>
          <w:szCs w:val="24"/>
          <w:lang w:val="en-GB"/>
        </w:rPr>
        <w:fldChar w:fldCharType="end"/>
      </w:r>
      <w:r>
        <w:rPr>
          <w:rFonts w:cs="Arial"/>
          <w:color w:val="auto"/>
          <w:sz w:val="24"/>
          <w:szCs w:val="24"/>
          <w:lang w:val="en-GB"/>
        </w:rPr>
        <w:t xml:space="preserve"> BYD NEV Sales</w:t>
      </w:r>
    </w:p>
    <w:p w14:paraId="09F1C727">
      <w:pPr>
        <w:jc w:val="center"/>
        <w:rPr>
          <w:rFonts w:cs="Arial"/>
          <w:szCs w:val="24"/>
          <w:lang w:val="en-GB"/>
        </w:rPr>
      </w:pPr>
      <w:r>
        <w:rPr>
          <w:rFonts w:cs="Arial"/>
          <w:szCs w:val="24"/>
          <w:lang w:val="en-GB"/>
        </w:rPr>
        <w:t>(Source: Jonathan James Tan, 2025)</w:t>
      </w:r>
    </w:p>
    <w:p w14:paraId="1B71E22F">
      <w:pPr>
        <w:pStyle w:val="4"/>
        <w:rPr>
          <w:lang w:val="en-GB"/>
        </w:rPr>
      </w:pPr>
      <w:bookmarkStart w:id="20" w:name="_Toc223712060"/>
      <w:r>
        <w:rPr>
          <w:lang w:val="en-GB"/>
        </w:rPr>
        <w:t>3.2.3 Industry Examples Supporting BYD’s Strategy</w:t>
      </w:r>
      <w:bookmarkEnd w:id="20"/>
    </w:p>
    <w:p w14:paraId="7AFEF5B2">
      <w:pPr>
        <w:rPr>
          <w:rFonts w:cs="Arial"/>
          <w:lang w:val="en-GB"/>
        </w:rPr>
      </w:pPr>
      <w:r>
        <w:rPr>
          <w:rFonts w:cs="Arial"/>
          <w:lang w:val="en-GB"/>
        </w:rPr>
        <w:t>However, BYD has some weaknesses, including stiff competition in China, variances in demand and regulatory threats in the global markets. To overcome these challenges, the firm is making further investment into research and development, new battery technologies, and international alliances.</w:t>
      </w:r>
    </w:p>
    <w:p w14:paraId="22249897">
      <w:pPr>
        <w:rPr>
          <w:rFonts w:cs="Arial"/>
          <w:lang w:val="en-GB"/>
        </w:rPr>
      </w:pPr>
      <w:r>
        <w:rPr>
          <w:rFonts w:cs="Arial"/>
          <w:lang w:val="en-GB"/>
        </w:rPr>
        <w:t xml:space="preserve">In summary, BYD shows how some of the follower organisations can effectively compete with the innovative companies through the application of adaptive growth strategies. </w:t>
      </w:r>
    </w:p>
    <w:p w14:paraId="70FE941F">
      <w:pPr>
        <w:pStyle w:val="2"/>
        <w:rPr>
          <w:rFonts w:cs="Arial"/>
          <w:color w:val="auto"/>
          <w:lang w:val="en-GB"/>
        </w:rPr>
      </w:pPr>
      <w:r>
        <w:rPr>
          <w:rFonts w:cs="Arial"/>
          <w:color w:val="auto"/>
          <w:lang w:val="en-GB"/>
        </w:rPr>
        <w:br w:type="page"/>
      </w:r>
      <w:bookmarkStart w:id="21" w:name="_Toc223712061"/>
      <w:r>
        <w:rPr>
          <w:rFonts w:cs="Arial"/>
          <w:color w:val="auto"/>
          <w:lang w:val="en-GB"/>
        </w:rPr>
        <w:t xml:space="preserve">4. </w:t>
      </w:r>
      <w:r>
        <w:rPr>
          <w:rFonts w:cs="Arial"/>
          <w:color w:val="auto"/>
          <w:lang w:val="en-GB"/>
        </w:rPr>
        <w:t>Conclusion</w:t>
      </w:r>
      <w:bookmarkEnd w:id="21"/>
      <w:r>
        <w:rPr>
          <w:rFonts w:cs="Arial"/>
          <w:color w:val="auto"/>
          <w:lang w:val="en-GB"/>
        </w:rPr>
        <w:t xml:space="preserve"> </w:t>
      </w:r>
    </w:p>
    <w:p w14:paraId="71855D19">
      <w:pPr>
        <w:rPr>
          <w:rFonts w:cs="Arial"/>
          <w:b/>
          <w:bCs/>
          <w:i/>
          <w:iCs/>
          <w:szCs w:val="24"/>
          <w:lang w:val="en-GB"/>
        </w:rPr>
      </w:pPr>
      <w:r>
        <w:rPr>
          <w:rFonts w:cs="Arial"/>
          <w:b/>
          <w:bCs/>
          <w:i/>
          <w:iCs/>
          <w:szCs w:val="24"/>
          <w:lang w:val="en-GB"/>
        </w:rPr>
        <w:t>Summary of Key Findings from Both Tasks</w:t>
      </w:r>
    </w:p>
    <w:p w14:paraId="2451813E">
      <w:pPr>
        <w:rPr>
          <w:rFonts w:cs="Arial"/>
          <w:szCs w:val="24"/>
          <w:lang w:val="en-GB"/>
        </w:rPr>
      </w:pPr>
      <w:r>
        <w:rPr>
          <w:rFonts w:cs="Arial"/>
          <w:szCs w:val="24"/>
          <w:lang w:val="en-GB"/>
        </w:rPr>
        <w:t>This report has discussed the significance of appreciating the macro marketing environment in organisations that are in a very dynamic environment, like the electric vehicle (EV) market. The research investigated the way in which two leading organisations, namely Tesla, Inc., as an innovative organisation and BYD Company Limited, as a copycat organisation, react to external macro-environmental forces that influence strategic marketing decisions.</w:t>
      </w:r>
    </w:p>
    <w:p w14:paraId="65D7F66C">
      <w:pPr>
        <w:rPr>
          <w:rFonts w:cs="Arial"/>
          <w:szCs w:val="24"/>
          <w:lang w:val="en-GB"/>
        </w:rPr>
      </w:pPr>
      <w:r>
        <w:rPr>
          <w:rFonts w:cs="Arial"/>
          <w:szCs w:val="24"/>
          <w:lang w:val="en-GB"/>
        </w:rPr>
        <w:t>The results of Task 1 prove that political and technological issues play a great role in the EV industry.  Simultaneously, the competition is brought about by the fast technological changes in battery innovations, charging networks, and vehicle software. As Tesla enjoys the advantage of its technological advantage and global charging infrastructure, BYD has used its advantageous battery technology and cost-effective manufacturing capacity to grow fast, especially in China and other global markets.</w:t>
      </w:r>
    </w:p>
    <w:p w14:paraId="29157157">
      <w:pPr>
        <w:rPr>
          <w:rFonts w:cs="Arial"/>
          <w:szCs w:val="24"/>
          <w:lang w:val="en-GB"/>
        </w:rPr>
      </w:pPr>
      <w:r>
        <w:rPr>
          <w:rFonts w:cs="Arial"/>
          <w:szCs w:val="24"/>
          <w:lang w:val="en-GB"/>
        </w:rPr>
        <w:t xml:space="preserve">Task 2 looked into the responses of these companies to these external forces in terms of their strategic response. Tesla uses differentiation and technological innovations as the main basis of its competitive edge, but BYD uses cost efficiency, diversification of products, and market expansion approaches. </w:t>
      </w:r>
    </w:p>
    <w:p w14:paraId="36A9E3DC">
      <w:pPr>
        <w:rPr>
          <w:rFonts w:cs="Arial"/>
          <w:b/>
          <w:bCs/>
          <w:i/>
          <w:iCs/>
          <w:szCs w:val="24"/>
          <w:lang w:val="en-GB"/>
        </w:rPr>
      </w:pPr>
      <w:r>
        <w:rPr>
          <w:rFonts w:cs="Arial"/>
          <w:b/>
          <w:bCs/>
          <w:i/>
          <w:iCs/>
          <w:szCs w:val="24"/>
          <w:lang w:val="en-GB"/>
        </w:rPr>
        <w:t>Strategic Importance of Environmental Scanning and Adaptive Marketing</w:t>
      </w:r>
    </w:p>
    <w:p w14:paraId="2E972CD0">
      <w:pPr>
        <w:rPr>
          <w:rFonts w:cs="Arial"/>
          <w:szCs w:val="24"/>
          <w:lang w:val="en-GB"/>
        </w:rPr>
      </w:pPr>
      <w:r>
        <w:rPr>
          <w:rFonts w:cs="Arial"/>
          <w:szCs w:val="24"/>
          <w:lang w:val="en-GB"/>
        </w:rPr>
        <w:t>On the whole, the report stresses that the ongoing environmental scanning and dynamic marketing approaches are the key to remaining competitive and successful in the highly dynamic EV market. Companies that effectively monitor macro-environmental trends and respond through innovation, cost efficiency or market expansion are more likely to sustain long-term competitiveness in the global EV industry.</w:t>
      </w:r>
    </w:p>
    <w:p w14:paraId="789F02BF">
      <w:pPr>
        <w:rPr>
          <w:rFonts w:cs="Arial"/>
          <w:lang w:val="en-GB"/>
        </w:rPr>
      </w:pPr>
    </w:p>
    <w:p w14:paraId="07395BC4">
      <w:pPr>
        <w:rPr>
          <w:rFonts w:cs="Arial"/>
          <w:lang w:val="en-GB"/>
        </w:rPr>
      </w:pPr>
    </w:p>
    <w:p w14:paraId="3E8223C7">
      <w:pPr>
        <w:rPr>
          <w:rFonts w:cs="Arial"/>
          <w:lang w:val="en-GB"/>
        </w:rPr>
      </w:pPr>
    </w:p>
    <w:p w14:paraId="1A765E16">
      <w:pPr>
        <w:rPr>
          <w:rFonts w:cs="Arial"/>
          <w:lang w:val="en-GB"/>
        </w:rPr>
      </w:pPr>
    </w:p>
    <w:p w14:paraId="4A043C8C">
      <w:pPr>
        <w:pStyle w:val="2"/>
        <w:rPr>
          <w:rFonts w:cs="Arial"/>
          <w:color w:val="auto"/>
          <w:lang w:val="en-GB"/>
        </w:rPr>
      </w:pPr>
      <w:bookmarkStart w:id="22" w:name="_Toc223712062"/>
      <w:r>
        <w:rPr>
          <w:rFonts w:cs="Arial"/>
          <w:color w:val="auto"/>
          <w:lang w:val="en-GB"/>
        </w:rPr>
        <w:t>Reference</w:t>
      </w:r>
      <w:bookmarkEnd w:id="22"/>
      <w:r>
        <w:rPr>
          <w:rFonts w:cs="Arial"/>
          <w:color w:val="auto"/>
          <w:lang w:val="en-GB"/>
        </w:rPr>
        <w:t xml:space="preserve"> </w:t>
      </w:r>
    </w:p>
    <w:p w14:paraId="1F93966F">
      <w:pPr>
        <w:rPr>
          <w:rFonts w:cs="Arial"/>
          <w:lang w:val="en-GB"/>
        </w:rPr>
      </w:pPr>
      <w:r>
        <w:rPr>
          <w:rFonts w:cs="Arial"/>
          <w:lang w:val="en-GB" w:eastAsia="zh-CN" w:bidi="ar"/>
        </w:rPr>
        <w:t xml:space="preserve">BYD, 2025. BYD Concludes 2023 with Record 3 Million Annual Sales, Leading Global NEV Market. Available at: </w:t>
      </w:r>
      <w:r>
        <w:fldChar w:fldCharType="begin"/>
      </w:r>
      <w:r>
        <w:instrText xml:space="preserve"> HYPERLINK "https://www.byd.com/us/news-list/BYD-Concludes-2023-with-Record-3-Million-Annual-Sales-Leading-Global-NEV-Market.html" \l ":~:text=BYD Annual Sales Exceeds 3,surge from the previous year" </w:instrText>
      </w:r>
      <w:r>
        <w:fldChar w:fldCharType="separate"/>
      </w:r>
      <w:r>
        <w:rPr>
          <w:rStyle w:val="21"/>
          <w:rFonts w:cs="Arial"/>
          <w:lang w:val="en-GB"/>
        </w:rPr>
        <w:t>https://www.byd.com/us/news-list/BYD-Concludes-2023-with-Record-3-Million-Annual-Sales-Leading-Global-NEV-Market.html#:~:text=BYD%20Annual%20Sales%20Exceeds%203,surge%20from%20the%20previous%20year</w:t>
      </w:r>
      <w:r>
        <w:rPr>
          <w:rStyle w:val="21"/>
          <w:rFonts w:cs="Arial"/>
          <w:lang w:val="en-GB"/>
        </w:rPr>
        <w:fldChar w:fldCharType="end"/>
      </w:r>
      <w:r>
        <w:rPr>
          <w:rFonts w:cs="Arial"/>
          <w:lang w:val="en-GB" w:eastAsia="zh-CN" w:bidi="ar"/>
        </w:rPr>
        <w:t>.</w:t>
      </w:r>
    </w:p>
    <w:p w14:paraId="7BFEF66A">
      <w:pPr>
        <w:rPr>
          <w:rFonts w:cs="Arial"/>
          <w:szCs w:val="24"/>
          <w:lang w:val="en-GB"/>
        </w:rPr>
      </w:pPr>
      <w:r>
        <w:rPr>
          <w:rFonts w:cs="Arial"/>
          <w:szCs w:val="24"/>
          <w:lang w:val="en-GB" w:eastAsia="zh-CN" w:bidi="ar"/>
        </w:rPr>
        <w:t xml:space="preserve">Career Advice, 2025. The Role of Strategic Marketing in an Organisation. Available at: </w:t>
      </w:r>
      <w:r>
        <w:fldChar w:fldCharType="begin"/>
      </w:r>
      <w:r>
        <w:instrText xml:space="preserve"> HYPERLINK "https://www.berlinsbi.com/blog/the-role-of-strategic-marketing-in-an-organisation" </w:instrText>
      </w:r>
      <w:r>
        <w:fldChar w:fldCharType="separate"/>
      </w:r>
      <w:r>
        <w:rPr>
          <w:rStyle w:val="21"/>
          <w:rFonts w:cs="Arial"/>
          <w:szCs w:val="24"/>
          <w:lang w:val="en-GB"/>
        </w:rPr>
        <w:t>https://www.berlinsbi.com/blog/the-role-of-strategic-marketing-in-an-organisation</w:t>
      </w:r>
      <w:r>
        <w:rPr>
          <w:rStyle w:val="21"/>
          <w:rFonts w:cs="Arial"/>
          <w:szCs w:val="24"/>
          <w:lang w:val="en-GB"/>
        </w:rPr>
        <w:fldChar w:fldCharType="end"/>
      </w:r>
      <w:r>
        <w:rPr>
          <w:rFonts w:cs="Arial"/>
          <w:szCs w:val="24"/>
          <w:lang w:val="en-GB" w:eastAsia="zh-CN" w:bidi="ar"/>
        </w:rPr>
        <w:t xml:space="preserve">. </w:t>
      </w:r>
    </w:p>
    <w:p w14:paraId="7F403564">
      <w:pPr>
        <w:rPr>
          <w:rFonts w:cs="Arial"/>
          <w:lang w:val="en-GB"/>
        </w:rPr>
      </w:pPr>
      <w:r>
        <w:rPr>
          <w:rFonts w:cs="Arial"/>
          <w:lang w:val="en-GB" w:eastAsia="zh-CN" w:bidi="ar"/>
        </w:rPr>
        <w:t xml:space="preserve">CIPD, 2025. </w:t>
      </w:r>
      <w:r>
        <w:rPr>
          <w:rFonts w:cs="Arial"/>
          <w:i/>
          <w:lang w:val="en-GB" w:eastAsia="zh-CN" w:bidi="ar"/>
        </w:rPr>
        <w:t>PESTEL Analysis</w:t>
      </w:r>
      <w:r>
        <w:rPr>
          <w:rFonts w:cs="Arial"/>
          <w:lang w:val="en-GB" w:eastAsia="zh-CN" w:bidi="ar"/>
        </w:rPr>
        <w:t xml:space="preserve">. Available at:  </w:t>
      </w:r>
      <w:r>
        <w:fldChar w:fldCharType="begin"/>
      </w:r>
      <w:r>
        <w:instrText xml:space="preserve"> HYPERLINK "https://www.cipd.org/en/knowledge/factsheets/pestle-analysis-factsheet/" </w:instrText>
      </w:r>
      <w:r>
        <w:fldChar w:fldCharType="separate"/>
      </w:r>
      <w:r>
        <w:rPr>
          <w:rStyle w:val="21"/>
          <w:rFonts w:cs="Arial"/>
          <w:lang w:val="en-GB"/>
        </w:rPr>
        <w:t>https://www.cipd.org/en/knowledge/factsheets/pestle-analysis-factsheet/</w:t>
      </w:r>
      <w:r>
        <w:rPr>
          <w:rStyle w:val="21"/>
          <w:rFonts w:cs="Arial"/>
          <w:lang w:val="en-GB"/>
        </w:rPr>
        <w:fldChar w:fldCharType="end"/>
      </w:r>
      <w:r>
        <w:rPr>
          <w:rFonts w:cs="Arial"/>
          <w:lang w:val="en-GB" w:eastAsia="zh-CN" w:bidi="ar"/>
        </w:rPr>
        <w:t xml:space="preserve">. </w:t>
      </w:r>
    </w:p>
    <w:p w14:paraId="5D4D4B51">
      <w:pPr>
        <w:rPr>
          <w:rFonts w:cs="Arial"/>
          <w:szCs w:val="24"/>
          <w:lang w:val="en-GB"/>
        </w:rPr>
      </w:pPr>
      <w:r>
        <w:rPr>
          <w:rFonts w:cs="Arial"/>
          <w:szCs w:val="24"/>
          <w:lang w:val="en-GB" w:eastAsia="zh-CN" w:bidi="ar"/>
        </w:rPr>
        <w:t xml:space="preserve">D Shyamadanthi, 2025. </w:t>
      </w:r>
      <w:r>
        <w:rPr>
          <w:rFonts w:cs="Arial"/>
          <w:i/>
          <w:szCs w:val="24"/>
          <w:lang w:val="en-GB" w:eastAsia="zh-CN" w:bidi="ar"/>
        </w:rPr>
        <w:t>Michael Porter’s 3 Generic Strategies Model</w:t>
      </w:r>
      <w:r>
        <w:rPr>
          <w:rFonts w:cs="Arial"/>
          <w:szCs w:val="24"/>
          <w:lang w:val="en-GB" w:eastAsia="zh-CN" w:bidi="ar"/>
        </w:rPr>
        <w:t xml:space="preserve">. Available at: </w:t>
      </w:r>
      <w:r>
        <w:fldChar w:fldCharType="begin"/>
      </w:r>
      <w:r>
        <w:instrText xml:space="preserve"> HYPERLINK "http://www.creantho.com/michael-porters-generic-strategies.php" </w:instrText>
      </w:r>
      <w:r>
        <w:fldChar w:fldCharType="separate"/>
      </w:r>
      <w:r>
        <w:rPr>
          <w:rStyle w:val="21"/>
          <w:rFonts w:cs="Arial"/>
          <w:szCs w:val="24"/>
          <w:lang w:val="en-GB"/>
        </w:rPr>
        <w:t>http://www.creantho.com/michael-porters-generic-strategies.php</w:t>
      </w:r>
      <w:r>
        <w:rPr>
          <w:rStyle w:val="21"/>
          <w:rFonts w:cs="Arial"/>
          <w:szCs w:val="24"/>
          <w:lang w:val="en-GB"/>
        </w:rPr>
        <w:fldChar w:fldCharType="end"/>
      </w:r>
      <w:r>
        <w:rPr>
          <w:rFonts w:cs="Arial"/>
          <w:szCs w:val="24"/>
          <w:lang w:val="en-GB" w:eastAsia="zh-CN" w:bidi="ar"/>
        </w:rPr>
        <w:t xml:space="preserve">. </w:t>
      </w:r>
    </w:p>
    <w:p w14:paraId="794F445B">
      <w:pPr>
        <w:rPr>
          <w:rFonts w:cs="Arial"/>
          <w:lang w:val="en-GB"/>
        </w:rPr>
      </w:pPr>
      <w:r>
        <w:rPr>
          <w:rFonts w:cs="Arial"/>
          <w:lang w:val="en-GB" w:eastAsia="zh-CN" w:bidi="ar"/>
        </w:rPr>
        <w:t xml:space="preserve">Editorial Board, 2025. </w:t>
      </w:r>
      <w:r>
        <w:rPr>
          <w:rFonts w:cs="Arial"/>
          <w:i/>
          <w:lang w:val="en-GB" w:eastAsia="zh-CN" w:bidi="ar"/>
        </w:rPr>
        <w:t>EV market growth and global adoption trends.</w:t>
      </w:r>
      <w:r>
        <w:rPr>
          <w:rFonts w:cs="Arial"/>
          <w:lang w:val="en-GB" w:eastAsia="zh-CN" w:bidi="ar"/>
        </w:rPr>
        <w:t xml:space="preserve"> EVBoosters, 15 January. Available at: </w:t>
      </w:r>
      <w:r>
        <w:fldChar w:fldCharType="begin"/>
      </w:r>
      <w:r>
        <w:instrText xml:space="preserve"> HYPERLINK "https://evboosters.com/ev-charging-news/overall-results-global-ev-sales-2024/" </w:instrText>
      </w:r>
      <w:r>
        <w:fldChar w:fldCharType="separate"/>
      </w:r>
      <w:r>
        <w:rPr>
          <w:rStyle w:val="21"/>
          <w:rFonts w:cs="Arial"/>
          <w:lang w:val="en-GB"/>
        </w:rPr>
        <w:t>https://evboosters.com/ev-charging-news/overall-results-global-ev-sales-2024/</w:t>
      </w:r>
      <w:r>
        <w:rPr>
          <w:rStyle w:val="21"/>
          <w:rFonts w:cs="Arial"/>
          <w:lang w:val="en-GB"/>
        </w:rPr>
        <w:fldChar w:fldCharType="end"/>
      </w:r>
      <w:r>
        <w:rPr>
          <w:rFonts w:cs="Arial"/>
          <w:lang w:val="en-GB" w:eastAsia="zh-CN" w:bidi="ar"/>
        </w:rPr>
        <w:t>.</w:t>
      </w:r>
    </w:p>
    <w:p w14:paraId="70FE4068">
      <w:pPr>
        <w:rPr>
          <w:rFonts w:cs="Arial"/>
          <w:lang w:val="en-GB"/>
        </w:rPr>
      </w:pPr>
      <w:r>
        <w:rPr>
          <w:rFonts w:cs="Arial"/>
          <w:lang w:val="en-GB" w:eastAsia="zh-CN" w:bidi="ar"/>
        </w:rPr>
        <w:t xml:space="preserve">Feng Wang, 2025. The Development of China’s New Energy Vehicle Charging and Swapping Industry: Review and Prospects. </w:t>
      </w:r>
      <w:r>
        <w:fldChar w:fldCharType="begin"/>
      </w:r>
      <w:r>
        <w:instrText xml:space="preserve"> HYPERLINK "https://www.mdpi.com/1996-1073/18/17/4548" </w:instrText>
      </w:r>
      <w:r>
        <w:fldChar w:fldCharType="separate"/>
      </w:r>
      <w:r>
        <w:rPr>
          <w:rStyle w:val="21"/>
          <w:rFonts w:cs="Arial"/>
          <w:lang w:val="en-GB"/>
        </w:rPr>
        <w:t>https://www.mdpi.com/1996-1073/18/17/4548</w:t>
      </w:r>
      <w:r>
        <w:rPr>
          <w:rStyle w:val="21"/>
          <w:rFonts w:cs="Arial"/>
          <w:lang w:val="en-GB"/>
        </w:rPr>
        <w:fldChar w:fldCharType="end"/>
      </w:r>
      <w:r>
        <w:rPr>
          <w:rFonts w:cs="Arial"/>
          <w:lang w:val="en-GB" w:eastAsia="zh-CN" w:bidi="ar"/>
        </w:rPr>
        <w:t xml:space="preserve">. </w:t>
      </w:r>
    </w:p>
    <w:p w14:paraId="64F9BE74">
      <w:pPr>
        <w:rPr>
          <w:rFonts w:cs="Arial"/>
          <w:lang w:val="en-GB"/>
        </w:rPr>
      </w:pPr>
      <w:r>
        <w:rPr>
          <w:rFonts w:cs="Arial"/>
          <w:lang w:val="en-GB" w:eastAsia="zh-CN" w:bidi="ar"/>
        </w:rPr>
        <w:t xml:space="preserve">IBEF, 2025. </w:t>
      </w:r>
      <w:r>
        <w:rPr>
          <w:rFonts w:cs="Arial"/>
          <w:i/>
          <w:lang w:val="en-GB" w:eastAsia="zh-CN" w:bidi="ar"/>
        </w:rPr>
        <w:t>The Role of Government Initiatives in Shaping India's Electric Vehicle Landscape.</w:t>
      </w:r>
      <w:r>
        <w:rPr>
          <w:rFonts w:cs="Arial"/>
          <w:lang w:val="en-GB" w:eastAsia="zh-CN" w:bidi="ar"/>
        </w:rPr>
        <w:t xml:space="preserve"> Available at: </w:t>
      </w:r>
      <w:r>
        <w:fldChar w:fldCharType="begin"/>
      </w:r>
      <w:r>
        <w:instrText xml:space="preserve"> HYPERLINK "https://www.ibef.org/blogs/sustainable-mobility-the-role-of-government-initiatives-in-shaping-india-s-electric-vehicle-landscape" </w:instrText>
      </w:r>
      <w:r>
        <w:fldChar w:fldCharType="separate"/>
      </w:r>
      <w:r>
        <w:rPr>
          <w:rStyle w:val="21"/>
          <w:rFonts w:cs="Arial"/>
          <w:lang w:val="en-GB"/>
        </w:rPr>
        <w:t>https://www.ibef.org/blogs/sustainable-mobility-the-role-of-government-initiatives-in-shaping-india-s-electric-vehicle-landscape</w:t>
      </w:r>
      <w:r>
        <w:rPr>
          <w:rStyle w:val="21"/>
          <w:rFonts w:cs="Arial"/>
          <w:lang w:val="en-GB"/>
        </w:rPr>
        <w:fldChar w:fldCharType="end"/>
      </w:r>
      <w:r>
        <w:rPr>
          <w:rFonts w:cs="Arial"/>
          <w:lang w:val="en-GB" w:eastAsia="zh-CN" w:bidi="ar"/>
        </w:rPr>
        <w:t xml:space="preserve">. </w:t>
      </w:r>
    </w:p>
    <w:p w14:paraId="5C0C5EE7">
      <w:pPr>
        <w:rPr>
          <w:rFonts w:cs="Arial"/>
          <w:szCs w:val="24"/>
          <w:lang w:val="en-GB"/>
        </w:rPr>
      </w:pPr>
      <w:r>
        <w:rPr>
          <w:rFonts w:cs="Arial"/>
          <w:szCs w:val="24"/>
          <w:lang w:val="en-GB" w:eastAsia="zh-CN" w:bidi="ar"/>
        </w:rPr>
        <w:t xml:space="preserve">Jennifer L, 2026. </w:t>
      </w:r>
      <w:r>
        <w:rPr>
          <w:rFonts w:cs="Arial"/>
          <w:i/>
          <w:szCs w:val="24"/>
          <w:lang w:val="en-GB" w:eastAsia="zh-CN" w:bidi="ar"/>
        </w:rPr>
        <w:t>BYD Overtakes Tesla as World’s Biggest EV Seller in 2025</w:t>
      </w:r>
      <w:r>
        <w:rPr>
          <w:rFonts w:cs="Arial"/>
          <w:szCs w:val="24"/>
          <w:lang w:val="en-GB" w:eastAsia="zh-CN" w:bidi="ar"/>
        </w:rPr>
        <w:t xml:space="preserve">. Available at: </w:t>
      </w:r>
      <w:r>
        <w:fldChar w:fldCharType="begin"/>
      </w:r>
      <w:r>
        <w:instrText xml:space="preserve"> HYPERLINK "https://carboncredits.com/byd-overtakes-tesla-as-worlds-biggest-ev-seller-in-2025/" </w:instrText>
      </w:r>
      <w:r>
        <w:fldChar w:fldCharType="separate"/>
      </w:r>
      <w:r>
        <w:rPr>
          <w:rStyle w:val="21"/>
          <w:rFonts w:cs="Arial"/>
          <w:szCs w:val="24"/>
          <w:lang w:val="en-GB"/>
        </w:rPr>
        <w:t>https://carboncredits.com/byd-overtakes-tesla-as-worlds-biggest-ev-seller-in-2025/</w:t>
      </w:r>
      <w:r>
        <w:rPr>
          <w:rStyle w:val="21"/>
          <w:rFonts w:cs="Arial"/>
          <w:szCs w:val="24"/>
          <w:lang w:val="en-GB"/>
        </w:rPr>
        <w:fldChar w:fldCharType="end"/>
      </w:r>
      <w:r>
        <w:rPr>
          <w:rFonts w:cs="Arial"/>
          <w:szCs w:val="24"/>
          <w:lang w:val="en-GB" w:eastAsia="zh-CN" w:bidi="ar"/>
        </w:rPr>
        <w:t xml:space="preserve">. </w:t>
      </w:r>
    </w:p>
    <w:p w14:paraId="61A199EF">
      <w:pPr>
        <w:rPr>
          <w:rFonts w:cs="Arial"/>
          <w:szCs w:val="24"/>
          <w:lang w:val="en-GB"/>
        </w:rPr>
      </w:pPr>
      <w:r>
        <w:rPr>
          <w:rFonts w:cs="Arial"/>
          <w:szCs w:val="24"/>
          <w:lang w:val="en-GB" w:eastAsia="zh-CN" w:bidi="ar"/>
        </w:rPr>
        <w:t xml:space="preserve">Jonathan James Tan, 2025. </w:t>
      </w:r>
      <w:r>
        <w:rPr>
          <w:rFonts w:cs="Arial"/>
          <w:i/>
          <w:szCs w:val="24"/>
          <w:lang w:val="en-GB" w:eastAsia="zh-CN" w:bidi="ar"/>
        </w:rPr>
        <w:t xml:space="preserve">BYD sells a record 4.27 million cars in 2024 – 40% more PHEVs sold than EVs, are the tables turning? </w:t>
      </w:r>
      <w:r>
        <w:rPr>
          <w:rFonts w:cs="Arial"/>
          <w:szCs w:val="24"/>
          <w:lang w:val="en-GB" w:eastAsia="zh-CN" w:bidi="ar"/>
        </w:rPr>
        <w:t xml:space="preserve">Available at: </w:t>
      </w:r>
      <w:r>
        <w:fldChar w:fldCharType="begin"/>
      </w:r>
      <w:r>
        <w:instrText xml:space="preserve"> HYPERLINK "https://paultan.org/2025/01/02/byd-sells-a-record-4-27-million-cars-in-2024-40-more-phevs-sold-than-evs-are-the-tables-turning/" </w:instrText>
      </w:r>
      <w:r>
        <w:fldChar w:fldCharType="separate"/>
      </w:r>
      <w:r>
        <w:rPr>
          <w:rStyle w:val="21"/>
          <w:rFonts w:cs="Arial"/>
          <w:szCs w:val="24"/>
          <w:lang w:val="en-GB"/>
        </w:rPr>
        <w:t>https://paultan.org/2025/01/02/byd-sells-a-record-4-27-million-cars-in-2024-40-more-phevs-sold-than-evs-are-the-tables-turning/</w:t>
      </w:r>
      <w:r>
        <w:rPr>
          <w:rStyle w:val="21"/>
          <w:rFonts w:cs="Arial"/>
          <w:szCs w:val="24"/>
          <w:lang w:val="en-GB"/>
        </w:rPr>
        <w:fldChar w:fldCharType="end"/>
      </w:r>
      <w:r>
        <w:rPr>
          <w:rFonts w:cs="Arial"/>
          <w:szCs w:val="24"/>
          <w:lang w:val="en-GB" w:eastAsia="zh-CN" w:bidi="ar"/>
        </w:rPr>
        <w:t xml:space="preserve">. </w:t>
      </w:r>
    </w:p>
    <w:p w14:paraId="0F9B53BF">
      <w:pPr>
        <w:rPr>
          <w:rFonts w:cs="Arial"/>
          <w:szCs w:val="24"/>
          <w:lang w:val="en-GB"/>
        </w:rPr>
      </w:pPr>
      <w:r>
        <w:rPr>
          <w:rFonts w:cs="Arial"/>
          <w:szCs w:val="24"/>
          <w:lang w:val="en-GB" w:eastAsia="zh-CN" w:bidi="ar"/>
        </w:rPr>
        <w:t xml:space="preserve">Junaid Shah, 2025. </w:t>
      </w:r>
      <w:r>
        <w:rPr>
          <w:rFonts w:cs="Arial"/>
          <w:i/>
          <w:szCs w:val="24"/>
          <w:lang w:val="en-GB" w:eastAsia="zh-CN" w:bidi="ar"/>
        </w:rPr>
        <w:t>Tesla Rolls Out Cheaper Versions of Model Y and Model 3, but Investors Remain Skeptical.</w:t>
      </w:r>
      <w:r>
        <w:rPr>
          <w:rFonts w:cs="Arial"/>
          <w:szCs w:val="24"/>
          <w:lang w:val="en-GB" w:eastAsia="zh-CN" w:bidi="ar"/>
        </w:rPr>
        <w:t xml:space="preserve"> Available at:</w:t>
      </w:r>
      <w:r>
        <w:rPr>
          <w:rFonts w:cs="Arial"/>
          <w:lang w:val="en-GB" w:eastAsia="zh-CN" w:bidi="ar"/>
        </w:rPr>
        <w:t xml:space="preserve"> </w:t>
      </w:r>
      <w:r>
        <w:fldChar w:fldCharType="begin"/>
      </w:r>
      <w:r>
        <w:instrText xml:space="preserve"> HYPERLINK "http://saurenergy.com/solar-energy-news/tesla-rolls-out-cheaper-versions-of-model-y-and-model-3-but-investors-remain-skeptical-10540992" </w:instrText>
      </w:r>
      <w:r>
        <w:fldChar w:fldCharType="separate"/>
      </w:r>
      <w:r>
        <w:rPr>
          <w:rStyle w:val="21"/>
          <w:rFonts w:cs="Arial"/>
          <w:szCs w:val="24"/>
          <w:lang w:val="en-GB"/>
        </w:rPr>
        <w:t>http://saurenergy.com/solar-energy-news/tesla-rolls-out-cheaper-versions-of-model-y-and-model-3-but-investors-remain-skeptical-10540992</w:t>
      </w:r>
      <w:r>
        <w:rPr>
          <w:rStyle w:val="21"/>
          <w:rFonts w:cs="Arial"/>
          <w:szCs w:val="24"/>
          <w:lang w:val="en-GB"/>
        </w:rPr>
        <w:fldChar w:fldCharType="end"/>
      </w:r>
      <w:r>
        <w:rPr>
          <w:rFonts w:cs="Arial"/>
          <w:szCs w:val="24"/>
          <w:lang w:val="en-GB" w:eastAsia="zh-CN" w:bidi="ar"/>
        </w:rPr>
        <w:t xml:space="preserve">. </w:t>
      </w:r>
    </w:p>
    <w:p w14:paraId="54E88BC5">
      <w:pPr>
        <w:rPr>
          <w:rFonts w:cs="Arial"/>
          <w:lang w:val="en-GB"/>
        </w:rPr>
      </w:pPr>
      <w:r>
        <w:rPr>
          <w:rFonts w:cs="Arial"/>
          <w:lang w:val="en-GB" w:eastAsia="zh-CN" w:bidi="ar"/>
        </w:rPr>
        <w:t xml:space="preserve">Kavya Aggarwal, 2025. What Makes BYD’s Blade Battery Technology so Different? Available at: </w:t>
      </w:r>
      <w:r>
        <w:fldChar w:fldCharType="begin"/>
      </w:r>
      <w:r>
        <w:instrText xml:space="preserve"> HYPERLINK "https://www.evfy.in/blogs/what-makes-byds-blade-battery-technology-so-different" </w:instrText>
      </w:r>
      <w:r>
        <w:fldChar w:fldCharType="separate"/>
      </w:r>
      <w:r>
        <w:rPr>
          <w:rStyle w:val="21"/>
          <w:rFonts w:cs="Arial"/>
          <w:lang w:val="en-GB"/>
        </w:rPr>
        <w:t>https://www.evfy.in/blogs/what-makes-byds-blade-battery-technology-so-different</w:t>
      </w:r>
      <w:r>
        <w:rPr>
          <w:rStyle w:val="21"/>
          <w:rFonts w:cs="Arial"/>
          <w:lang w:val="en-GB"/>
        </w:rPr>
        <w:fldChar w:fldCharType="end"/>
      </w:r>
      <w:r>
        <w:rPr>
          <w:rFonts w:cs="Arial"/>
          <w:lang w:val="en-GB" w:eastAsia="zh-CN" w:bidi="ar"/>
        </w:rPr>
        <w:t xml:space="preserve">. </w:t>
      </w:r>
    </w:p>
    <w:p w14:paraId="7846E60C">
      <w:pPr>
        <w:rPr>
          <w:rFonts w:cs="Arial"/>
          <w:lang w:val="en-GB"/>
        </w:rPr>
      </w:pPr>
      <w:r>
        <w:rPr>
          <w:rFonts w:cs="Arial"/>
          <w:lang w:val="en-GB" w:eastAsia="zh-CN" w:bidi="ar"/>
        </w:rPr>
        <w:t xml:space="preserve">Nikhil Chaudhary, 2025. </w:t>
      </w:r>
      <w:r>
        <w:rPr>
          <w:rFonts w:cs="Arial"/>
          <w:i/>
          <w:lang w:val="en-GB" w:eastAsia="zh-CN" w:bidi="ar"/>
        </w:rPr>
        <w:t>Tesla Superchargers - All you need to know.</w:t>
      </w:r>
      <w:r>
        <w:rPr>
          <w:rFonts w:cs="Arial"/>
          <w:lang w:val="en-GB" w:eastAsia="zh-CN" w:bidi="ar"/>
        </w:rPr>
        <w:t xml:space="preserve"> Available at: </w:t>
      </w:r>
      <w:r>
        <w:fldChar w:fldCharType="begin"/>
      </w:r>
      <w:r>
        <w:instrText xml:space="preserve"> HYPERLINK "https://www.expwithevs.in/p/tesla-superchargers" </w:instrText>
      </w:r>
      <w:r>
        <w:fldChar w:fldCharType="separate"/>
      </w:r>
      <w:r>
        <w:rPr>
          <w:rStyle w:val="21"/>
          <w:rFonts w:cs="Arial"/>
          <w:lang w:val="en-GB"/>
        </w:rPr>
        <w:t>https://www.expwithevs.in/p/tesla-superchargers</w:t>
      </w:r>
      <w:r>
        <w:rPr>
          <w:rStyle w:val="21"/>
          <w:rFonts w:cs="Arial"/>
          <w:lang w:val="en-GB"/>
        </w:rPr>
        <w:fldChar w:fldCharType="end"/>
      </w:r>
      <w:r>
        <w:rPr>
          <w:rFonts w:cs="Arial"/>
          <w:lang w:val="en-GB" w:eastAsia="zh-CN" w:bidi="ar"/>
        </w:rPr>
        <w:t xml:space="preserve">. </w:t>
      </w:r>
    </w:p>
    <w:p w14:paraId="52F44043">
      <w:pPr>
        <w:rPr>
          <w:rFonts w:cs="Arial"/>
          <w:lang w:val="en-GB"/>
        </w:rPr>
      </w:pPr>
      <w:r>
        <w:rPr>
          <w:rFonts w:cs="Arial"/>
          <w:lang w:val="en-GB" w:eastAsia="zh-CN" w:bidi="ar"/>
        </w:rPr>
        <w:t xml:space="preserve">Olorunfemi, B., 2024. The innovations driving Tesla's success: Disruptions, competition, business model, customer transformation, and entrepreneurial strategies. Qeios. </w:t>
      </w:r>
      <w:r>
        <w:fldChar w:fldCharType="begin"/>
      </w:r>
      <w:r>
        <w:instrText xml:space="preserve"> HYPERLINK "https://www.researchgate.net/publication/379555334_The_Innovations_Driving_Tesla's_Success_Disruptions_Competition_Business_Model_Customer_Transformation_and_Entrepreneurial_Strategies" \l ":~:text=Key to Tesla's success w,addressed the issue of" </w:instrText>
      </w:r>
      <w:r>
        <w:fldChar w:fldCharType="separate"/>
      </w:r>
      <w:r>
        <w:rPr>
          <w:rStyle w:val="21"/>
          <w:rFonts w:cs="Arial"/>
          <w:lang w:val="en-GB"/>
        </w:rPr>
        <w:t>https://www.researchgate.net/publication/379555334_The_Innovations_Driving_Tesla's_Success_Disruptions_Competition_Business_Model_Customer_Transformation_and_Entrepreneurial_Strategies#:~:text=Key%20to%20Tesla's%20success%20w,addressed%20the%20issue%20of</w:t>
      </w:r>
      <w:r>
        <w:rPr>
          <w:rStyle w:val="21"/>
          <w:rFonts w:cs="Arial"/>
          <w:lang w:val="en-GB"/>
        </w:rPr>
        <w:fldChar w:fldCharType="end"/>
      </w:r>
      <w:r>
        <w:rPr>
          <w:rFonts w:cs="Arial"/>
          <w:lang w:val="en-GB" w:eastAsia="zh-CN" w:bidi="ar"/>
        </w:rPr>
        <w:t xml:space="preserve">. </w:t>
      </w:r>
    </w:p>
    <w:p w14:paraId="7F522560">
      <w:pPr>
        <w:rPr>
          <w:rFonts w:cs="Arial"/>
          <w:lang w:val="en-GB"/>
        </w:rPr>
      </w:pPr>
      <w:r>
        <w:rPr>
          <w:rFonts w:cs="Arial"/>
          <w:lang w:val="en-GB" w:eastAsia="zh-CN" w:bidi="ar"/>
        </w:rPr>
        <w:t xml:space="preserve">Owen, A. and Hayes, D., 2025. </w:t>
      </w:r>
      <w:r>
        <w:rPr>
          <w:rFonts w:cs="Arial"/>
          <w:i/>
          <w:lang w:val="en-GB" w:eastAsia="zh-CN" w:bidi="ar"/>
        </w:rPr>
        <w:t>Technological Innovations in EV Manufacturing. IU International University of Applied Sciences.</w:t>
      </w:r>
      <w:r>
        <w:rPr>
          <w:rFonts w:cs="Arial"/>
          <w:lang w:val="en-GB" w:eastAsia="zh-CN" w:bidi="ar"/>
        </w:rPr>
        <w:t xml:space="preserve"> Available at: </w:t>
      </w:r>
      <w:r>
        <w:fldChar w:fldCharType="begin"/>
      </w:r>
      <w:r>
        <w:instrText xml:space="preserve"> HYPERLINK "https://www.researchgate.net/publication/390329113_Technological_Innovations_in_EV_Manufacturing" </w:instrText>
      </w:r>
      <w:r>
        <w:fldChar w:fldCharType="separate"/>
      </w:r>
      <w:r>
        <w:rPr>
          <w:rStyle w:val="21"/>
          <w:rFonts w:cs="Arial"/>
          <w:lang w:val="en-GB"/>
        </w:rPr>
        <w:t>https://www.researchgate.net/publication/390329113_Technological_Innovations_in_EV_Manufacturing</w:t>
      </w:r>
      <w:r>
        <w:rPr>
          <w:rStyle w:val="21"/>
          <w:rFonts w:cs="Arial"/>
          <w:lang w:val="en-GB"/>
        </w:rPr>
        <w:fldChar w:fldCharType="end"/>
      </w:r>
      <w:r>
        <w:rPr>
          <w:rFonts w:cs="Arial"/>
          <w:lang w:val="en-GB" w:eastAsia="zh-CN" w:bidi="ar"/>
        </w:rPr>
        <w:t xml:space="preserve">. </w:t>
      </w:r>
    </w:p>
    <w:p w14:paraId="0D70C851">
      <w:pPr>
        <w:rPr>
          <w:rFonts w:cs="Arial"/>
          <w:szCs w:val="24"/>
          <w:lang w:val="en-GB"/>
        </w:rPr>
      </w:pPr>
      <w:r>
        <w:rPr>
          <w:rFonts w:cs="Arial"/>
          <w:szCs w:val="24"/>
          <w:lang w:val="en-GB" w:eastAsia="zh-CN" w:bidi="ar"/>
        </w:rPr>
        <w:t xml:space="preserve">Reuters, 2025. Tesla Faces Stiff Competition by The Rise Of Chinese Auto, Tech Giants. Available at: </w:t>
      </w:r>
      <w:r>
        <w:fldChar w:fldCharType="begin"/>
      </w:r>
      <w:r>
        <w:instrText xml:space="preserve"> HYPERLINK "https://www.ndtv.com/world-news/tesla-faces-stiff-competition-by-the-rise-of-chinese-auto-tech-giants-8631023" </w:instrText>
      </w:r>
      <w:r>
        <w:fldChar w:fldCharType="separate"/>
      </w:r>
      <w:r>
        <w:rPr>
          <w:rStyle w:val="21"/>
          <w:rFonts w:cs="Arial"/>
          <w:szCs w:val="24"/>
          <w:lang w:val="en-GB"/>
        </w:rPr>
        <w:t>https://www.ndtv.com/world-news/tesla-faces-stiff-competition-by-the-rise-of-chinese-auto-tech-giants-8631023</w:t>
      </w:r>
      <w:r>
        <w:rPr>
          <w:rStyle w:val="21"/>
          <w:rFonts w:cs="Arial"/>
          <w:szCs w:val="24"/>
          <w:lang w:val="en-GB"/>
        </w:rPr>
        <w:fldChar w:fldCharType="end"/>
      </w:r>
      <w:r>
        <w:rPr>
          <w:rFonts w:cs="Arial"/>
          <w:szCs w:val="24"/>
          <w:lang w:val="en-GB" w:eastAsia="zh-CN" w:bidi="ar"/>
        </w:rPr>
        <w:t xml:space="preserve">. </w:t>
      </w:r>
    </w:p>
    <w:p w14:paraId="3AC1893E">
      <w:pPr>
        <w:rPr>
          <w:rFonts w:cs="Arial"/>
          <w:szCs w:val="24"/>
          <w:lang w:val="en-GB"/>
        </w:rPr>
      </w:pPr>
      <w:r>
        <w:rPr>
          <w:rFonts w:cs="Arial"/>
          <w:szCs w:val="24"/>
          <w:lang w:val="en-GB" w:eastAsia="zh-CN" w:bidi="ar"/>
        </w:rPr>
        <w:t xml:space="preserve">Reuters, 2026. Tesla loses EV crown to China's BYD as competition, tax credit expiry hit demand. Available at: </w:t>
      </w:r>
      <w:r>
        <w:fldChar w:fldCharType="begin"/>
      </w:r>
      <w:r>
        <w:instrText xml:space="preserve"> HYPERLINK "https://www.reuters.com/business/autos-transportation/teslas-quarterly-deliveries-fall-more-than-expected-lower-ev-demand-2026-01-02/" </w:instrText>
      </w:r>
      <w:r>
        <w:fldChar w:fldCharType="separate"/>
      </w:r>
      <w:r>
        <w:rPr>
          <w:rStyle w:val="21"/>
          <w:rFonts w:cs="Arial"/>
          <w:szCs w:val="24"/>
          <w:lang w:val="en-GB"/>
        </w:rPr>
        <w:t>https://www.reuters.com/business/autos-transportation/teslas-quarterly-deliveries-fall-more-than-expected-lower-ev-demand-2026-01-02/</w:t>
      </w:r>
      <w:r>
        <w:rPr>
          <w:rStyle w:val="21"/>
          <w:rFonts w:cs="Arial"/>
          <w:szCs w:val="24"/>
          <w:lang w:val="en-GB"/>
        </w:rPr>
        <w:fldChar w:fldCharType="end"/>
      </w:r>
      <w:r>
        <w:rPr>
          <w:rFonts w:cs="Arial"/>
          <w:szCs w:val="24"/>
          <w:lang w:val="en-GB" w:eastAsia="zh-CN" w:bidi="ar"/>
        </w:rPr>
        <w:t xml:space="preserve">. </w:t>
      </w:r>
    </w:p>
    <w:p w14:paraId="2DBAE3BF">
      <w:pPr>
        <w:rPr>
          <w:rFonts w:cs="Arial"/>
          <w:szCs w:val="24"/>
          <w:lang w:val="en-GB"/>
        </w:rPr>
      </w:pPr>
      <w:r>
        <w:rPr>
          <w:rFonts w:cs="Arial"/>
          <w:szCs w:val="24"/>
          <w:lang w:val="en-GB" w:eastAsia="zh-CN" w:bidi="ar"/>
        </w:rPr>
        <w:t xml:space="preserve">Riz Akhtar, 2026. </w:t>
      </w:r>
      <w:r>
        <w:rPr>
          <w:rFonts w:cs="Arial"/>
          <w:i/>
          <w:szCs w:val="24"/>
          <w:lang w:val="en-GB" w:eastAsia="zh-CN" w:bidi="ar"/>
        </w:rPr>
        <w:t>BYD ups international expansion target, aims to get 24% growth.</w:t>
      </w:r>
      <w:r>
        <w:rPr>
          <w:rFonts w:cs="Arial"/>
          <w:szCs w:val="24"/>
          <w:lang w:val="en-GB" w:eastAsia="zh-CN" w:bidi="ar"/>
        </w:rPr>
        <w:t xml:space="preserve"> Available at: </w:t>
      </w:r>
      <w:r>
        <w:fldChar w:fldCharType="begin"/>
      </w:r>
      <w:r>
        <w:instrText xml:space="preserve"> HYPERLINK "https://thedriven.io/2026/01/26/byd-ups-international-expansion-target-aims-to-get-24-growth/" </w:instrText>
      </w:r>
      <w:r>
        <w:fldChar w:fldCharType="separate"/>
      </w:r>
      <w:r>
        <w:rPr>
          <w:rStyle w:val="21"/>
          <w:rFonts w:cs="Arial"/>
          <w:szCs w:val="24"/>
          <w:lang w:val="en-GB"/>
        </w:rPr>
        <w:t>https://thedriven.io/2026/01/26/byd-ups-international-expansion-target-aims-to-get-24-growth/</w:t>
      </w:r>
      <w:r>
        <w:rPr>
          <w:rStyle w:val="21"/>
          <w:rFonts w:cs="Arial"/>
          <w:szCs w:val="24"/>
          <w:lang w:val="en-GB"/>
        </w:rPr>
        <w:fldChar w:fldCharType="end"/>
      </w:r>
      <w:r>
        <w:rPr>
          <w:rFonts w:cs="Arial"/>
          <w:szCs w:val="24"/>
          <w:lang w:val="en-GB" w:eastAsia="zh-CN" w:bidi="ar"/>
        </w:rPr>
        <w:t xml:space="preserve">. </w:t>
      </w:r>
    </w:p>
    <w:p w14:paraId="75BFD027">
      <w:pPr>
        <w:rPr>
          <w:rFonts w:cs="Arial"/>
          <w:lang w:val="en-GB"/>
        </w:rPr>
      </w:pPr>
      <w:r>
        <w:rPr>
          <w:rFonts w:cs="Arial"/>
          <w:lang w:val="en-GB" w:eastAsia="zh-CN" w:bidi="ar"/>
        </w:rPr>
        <w:t xml:space="preserve">Saltik, E.C. and Tuydes-Yaman, H., 2025. Electric vehicle (ev) market penetration in countries with rising motorization rates. </w:t>
      </w:r>
      <w:r>
        <w:rPr>
          <w:rFonts w:cs="Arial"/>
          <w:i/>
          <w:lang w:val="en-GB" w:eastAsia="zh-CN" w:bidi="ar"/>
        </w:rPr>
        <w:t>International Journal of Civil Engineering</w:t>
      </w:r>
      <w:r>
        <w:rPr>
          <w:rFonts w:cs="Arial"/>
          <w:lang w:val="en-GB" w:eastAsia="zh-CN" w:bidi="ar"/>
        </w:rPr>
        <w:t>, 23(3), pp.461-480.</w:t>
      </w:r>
    </w:p>
    <w:p w14:paraId="5AA16A18">
      <w:pPr>
        <w:rPr>
          <w:rFonts w:cs="Arial"/>
          <w:szCs w:val="24"/>
          <w:lang w:val="en-GB"/>
        </w:rPr>
      </w:pPr>
      <w:r>
        <w:rPr>
          <w:rFonts w:cs="Arial"/>
          <w:szCs w:val="24"/>
          <w:lang w:val="en-GB" w:eastAsia="zh-CN" w:bidi="ar"/>
        </w:rPr>
        <w:t xml:space="preserve">Snehal Paste, 2025. </w:t>
      </w:r>
      <w:r>
        <w:rPr>
          <w:rFonts w:cs="Arial"/>
          <w:i/>
          <w:szCs w:val="24"/>
          <w:lang w:val="en-GB" w:eastAsia="zh-CN" w:bidi="ar"/>
        </w:rPr>
        <w:t>Blade Battery Market Size, Share, Growth, Report 2025 to 2034</w:t>
      </w:r>
      <w:r>
        <w:rPr>
          <w:rFonts w:cs="Arial"/>
          <w:szCs w:val="24"/>
          <w:lang w:val="en-GB" w:eastAsia="zh-CN" w:bidi="ar"/>
        </w:rPr>
        <w:t xml:space="preserve">. Available at: </w:t>
      </w:r>
      <w:r>
        <w:fldChar w:fldCharType="begin"/>
      </w:r>
      <w:r>
        <w:instrText xml:space="preserve"> HYPERLINK "https://www.cervicornconsulting.com/blade-battery-market" </w:instrText>
      </w:r>
      <w:r>
        <w:fldChar w:fldCharType="separate"/>
      </w:r>
      <w:r>
        <w:rPr>
          <w:rStyle w:val="21"/>
          <w:rFonts w:cs="Arial"/>
          <w:szCs w:val="24"/>
          <w:lang w:val="en-GB"/>
        </w:rPr>
        <w:t>https://www.cervicornconsulting.com/blade-battery-market</w:t>
      </w:r>
      <w:r>
        <w:rPr>
          <w:rStyle w:val="21"/>
          <w:rFonts w:cs="Arial"/>
          <w:szCs w:val="24"/>
          <w:lang w:val="en-GB"/>
        </w:rPr>
        <w:fldChar w:fldCharType="end"/>
      </w:r>
      <w:r>
        <w:rPr>
          <w:rFonts w:cs="Arial"/>
          <w:szCs w:val="24"/>
          <w:lang w:val="en-GB" w:eastAsia="zh-CN" w:bidi="ar"/>
        </w:rPr>
        <w:t xml:space="preserve">. </w:t>
      </w:r>
    </w:p>
    <w:p w14:paraId="7D6FF335">
      <w:pPr>
        <w:rPr>
          <w:rFonts w:cs="Arial"/>
          <w:szCs w:val="24"/>
          <w:lang w:val="en-GB"/>
        </w:rPr>
      </w:pPr>
      <w:r>
        <w:rPr>
          <w:rFonts w:cs="Arial"/>
          <w:szCs w:val="24"/>
          <w:lang w:val="en-GB" w:eastAsia="zh-CN" w:bidi="ar"/>
        </w:rPr>
        <w:t xml:space="preserve">Statista, 2025. </w:t>
      </w:r>
      <w:r>
        <w:rPr>
          <w:rFonts w:cs="Arial"/>
          <w:i/>
          <w:szCs w:val="24"/>
          <w:lang w:val="en-GB" w:eastAsia="zh-CN" w:bidi="ar"/>
        </w:rPr>
        <w:t>Tesla and BYD Claim a Third of the Global BEV Market</w:t>
      </w:r>
      <w:r>
        <w:rPr>
          <w:rFonts w:cs="Arial"/>
          <w:szCs w:val="24"/>
          <w:lang w:val="en-GB" w:eastAsia="zh-CN" w:bidi="ar"/>
        </w:rPr>
        <w:t xml:space="preserve">. Available at: </w:t>
      </w:r>
      <w:r>
        <w:fldChar w:fldCharType="begin"/>
      </w:r>
      <w:r>
        <w:instrText xml:space="preserve"> HYPERLINK "https://www.statista.com/chart/27733/battery-electric-vehicles-manufacturers/?srsltid=AfmBOor9Yo84wUD14lwjiGGqL8i9Ir0ogLzSLv2juLtZK_FiVZhdyLaa" </w:instrText>
      </w:r>
      <w:r>
        <w:fldChar w:fldCharType="separate"/>
      </w:r>
      <w:r>
        <w:rPr>
          <w:rStyle w:val="21"/>
          <w:rFonts w:cs="Arial"/>
          <w:szCs w:val="24"/>
          <w:lang w:val="en-GB"/>
        </w:rPr>
        <w:t>https://www.statista.com/chart/27733/battery-electric-vehicles-manufacturers/?srsltid=AfmBOor9Yo84wUD14lwjiGGqL8i9Ir0ogLzSLv2juLtZK_FiVZhdyLaa</w:t>
      </w:r>
      <w:r>
        <w:rPr>
          <w:rStyle w:val="21"/>
          <w:rFonts w:cs="Arial"/>
          <w:szCs w:val="24"/>
          <w:lang w:val="en-GB"/>
        </w:rPr>
        <w:fldChar w:fldCharType="end"/>
      </w:r>
      <w:r>
        <w:rPr>
          <w:rFonts w:cs="Arial"/>
          <w:szCs w:val="24"/>
          <w:lang w:val="en-GB" w:eastAsia="zh-CN" w:bidi="ar"/>
        </w:rPr>
        <w:t xml:space="preserve">. </w:t>
      </w:r>
    </w:p>
    <w:p w14:paraId="4AD225F3">
      <w:pPr>
        <w:rPr>
          <w:rFonts w:cs="Arial"/>
          <w:szCs w:val="24"/>
          <w:lang w:val="en-GB"/>
        </w:rPr>
      </w:pPr>
      <w:r>
        <w:rPr>
          <w:rFonts w:cs="Arial"/>
          <w:szCs w:val="24"/>
          <w:lang w:val="en-GB" w:eastAsia="zh-CN" w:bidi="ar"/>
        </w:rPr>
        <w:t xml:space="preserve">Statista, 2025b. Tesla's vehicle sales by quarter YTD Q3 2025. Available at: </w:t>
      </w:r>
      <w:r>
        <w:fldChar w:fldCharType="begin"/>
      </w:r>
      <w:r>
        <w:instrText xml:space="preserve"> HYPERLINK "https://www.statista.com/statistics/502208/tesla-quarterly-vehicle-deliveries/?srsltid=AfmBOorI0_Dd_IDLyvXhKrlF5qFderdYWhtpv9VREOp1N32Yt1A5H_Lq" </w:instrText>
      </w:r>
      <w:r>
        <w:fldChar w:fldCharType="separate"/>
      </w:r>
      <w:r>
        <w:rPr>
          <w:rStyle w:val="21"/>
          <w:rFonts w:cs="Arial"/>
          <w:szCs w:val="24"/>
          <w:lang w:val="en-GB"/>
        </w:rPr>
        <w:t>https://www.statista.com/statistics/502208/tesla-quarterly-vehicle-deliveries/?srsltid=AfmBOorI0_Dd_IDLyvXhKrlF5qFderdYWhtpv9VREOp1N32Yt1A5H_Lq</w:t>
      </w:r>
      <w:r>
        <w:rPr>
          <w:rStyle w:val="21"/>
          <w:rFonts w:cs="Arial"/>
          <w:szCs w:val="24"/>
          <w:lang w:val="en-GB"/>
        </w:rPr>
        <w:fldChar w:fldCharType="end"/>
      </w:r>
      <w:r>
        <w:rPr>
          <w:rFonts w:cs="Arial"/>
          <w:szCs w:val="24"/>
          <w:lang w:val="en-GB" w:eastAsia="zh-CN" w:bidi="ar"/>
        </w:rPr>
        <w:t xml:space="preserve">. </w:t>
      </w:r>
    </w:p>
    <w:p w14:paraId="7B06B21E">
      <w:pPr>
        <w:rPr>
          <w:rFonts w:cs="Arial"/>
          <w:lang w:val="en-GB"/>
        </w:rPr>
      </w:pPr>
      <w:r>
        <w:rPr>
          <w:rFonts w:cs="Arial"/>
          <w:lang w:val="en-GB" w:eastAsia="zh-CN" w:bidi="ar"/>
        </w:rPr>
        <w:t xml:space="preserve">Tesla Inc., 2025. The Future is Sustainable. Available at: </w:t>
      </w:r>
      <w:r>
        <w:fldChar w:fldCharType="begin"/>
      </w:r>
      <w:r>
        <w:instrText xml:space="preserve"> HYPERLINK "https://www.tesla.com/en_in/about" </w:instrText>
      </w:r>
      <w:r>
        <w:fldChar w:fldCharType="separate"/>
      </w:r>
      <w:r>
        <w:rPr>
          <w:rStyle w:val="21"/>
          <w:rFonts w:cs="Arial"/>
          <w:lang w:val="en-GB"/>
        </w:rPr>
        <w:t>https://www.tesla.com/en_in/about</w:t>
      </w:r>
      <w:r>
        <w:rPr>
          <w:rStyle w:val="21"/>
          <w:rFonts w:cs="Arial"/>
          <w:lang w:val="en-GB"/>
        </w:rPr>
        <w:fldChar w:fldCharType="end"/>
      </w:r>
      <w:r>
        <w:rPr>
          <w:rFonts w:cs="Arial"/>
          <w:lang w:val="en-GB" w:eastAsia="zh-CN" w:bidi="ar"/>
        </w:rPr>
        <w:t xml:space="preserve">. </w:t>
      </w:r>
    </w:p>
    <w:p w14:paraId="4AEC16BE">
      <w:pPr>
        <w:rPr>
          <w:rFonts w:cs="Arial"/>
          <w:lang w:val="en-GB"/>
        </w:rPr>
      </w:pPr>
      <w:r>
        <w:rPr>
          <w:rFonts w:cs="Arial"/>
          <w:szCs w:val="24"/>
          <w:lang w:val="en-GB" w:eastAsia="zh-CN" w:bidi="ar"/>
        </w:rPr>
        <w:t xml:space="preserve">Tesla, 2025. </w:t>
      </w:r>
      <w:r>
        <w:rPr>
          <w:rFonts w:cs="Arial"/>
          <w:i/>
          <w:szCs w:val="24"/>
          <w:lang w:val="en-GB" w:eastAsia="zh-CN" w:bidi="ar"/>
        </w:rPr>
        <w:t>Tesla fourth quarter 2024 production, deliveries and deployments</w:t>
      </w:r>
      <w:r>
        <w:rPr>
          <w:rFonts w:cs="Arial"/>
          <w:szCs w:val="24"/>
          <w:lang w:val="en-GB" w:eastAsia="zh-CN" w:bidi="ar"/>
        </w:rPr>
        <w:t>. Available at:</w:t>
      </w:r>
      <w:r>
        <w:rPr>
          <w:rFonts w:cs="Arial"/>
          <w:lang w:val="en-GB" w:eastAsia="zh-CN" w:bidi="ar"/>
        </w:rPr>
        <w:t xml:space="preserve"> </w:t>
      </w:r>
      <w:r>
        <w:fldChar w:fldCharType="begin"/>
      </w:r>
      <w:r>
        <w:instrText xml:space="preserve"> HYPERLINK "http://ir.tesla.com/press-release/tesla-fourth-quarter-2024-production-deliveries-and-deployments" </w:instrText>
      </w:r>
      <w:r>
        <w:fldChar w:fldCharType="separate"/>
      </w:r>
      <w:r>
        <w:rPr>
          <w:rStyle w:val="21"/>
          <w:rFonts w:cs="Arial"/>
          <w:lang w:val="en-GB"/>
        </w:rPr>
        <w:t>http://ir.tesla.com/press-release/tesla-fourth-quarter-2024-production-deliveries-and-deployments</w:t>
      </w:r>
      <w:r>
        <w:rPr>
          <w:rStyle w:val="21"/>
          <w:rFonts w:cs="Arial"/>
          <w:lang w:val="en-GB"/>
        </w:rPr>
        <w:fldChar w:fldCharType="end"/>
      </w:r>
      <w:r>
        <w:rPr>
          <w:rFonts w:cs="Arial"/>
          <w:lang w:val="en-GB" w:eastAsia="zh-CN" w:bidi="ar"/>
        </w:rPr>
        <w:t xml:space="preserve">. </w:t>
      </w:r>
    </w:p>
    <w:p w14:paraId="5E315BCD">
      <w:pPr>
        <w:rPr>
          <w:rFonts w:cs="Arial"/>
          <w:szCs w:val="24"/>
          <w:lang w:val="en-GB"/>
        </w:rPr>
      </w:pPr>
      <w:r>
        <w:rPr>
          <w:rFonts w:cs="Arial"/>
          <w:szCs w:val="24"/>
          <w:lang w:val="en-GB" w:eastAsia="zh-CN" w:bidi="ar"/>
        </w:rPr>
        <w:t xml:space="preserve">The strategy Institute, 2024. The Ansoff Matrix: A Powerful Tool for Business Strategy and Growth. Available at: </w:t>
      </w:r>
      <w:r>
        <w:fldChar w:fldCharType="begin"/>
      </w:r>
      <w:r>
        <w:instrText xml:space="preserve"> HYPERLINK "https://www.thestrategyinstitute.org/insights/the-ansoff-matrix-a-powerful-tool-for-business-strategy-and-growth" </w:instrText>
      </w:r>
      <w:r>
        <w:fldChar w:fldCharType="separate"/>
      </w:r>
      <w:r>
        <w:rPr>
          <w:rStyle w:val="21"/>
          <w:rFonts w:cs="Arial"/>
          <w:szCs w:val="24"/>
          <w:lang w:val="en-GB"/>
        </w:rPr>
        <w:t>https://www.thestrategyinstitute.org/insights/the-ansoff-matrix-a-powerful-tool-for-business-strategy-and-growth</w:t>
      </w:r>
      <w:r>
        <w:rPr>
          <w:rStyle w:val="21"/>
          <w:rFonts w:cs="Arial"/>
          <w:szCs w:val="24"/>
          <w:lang w:val="en-GB"/>
        </w:rPr>
        <w:fldChar w:fldCharType="end"/>
      </w:r>
      <w:r>
        <w:rPr>
          <w:rFonts w:cs="Arial"/>
          <w:szCs w:val="24"/>
          <w:lang w:val="en-GB" w:eastAsia="zh-CN" w:bidi="ar"/>
        </w:rPr>
        <w:t xml:space="preserve">. </w:t>
      </w:r>
    </w:p>
    <w:p w14:paraId="269BAD14">
      <w:pPr>
        <w:rPr>
          <w:rFonts w:cs="Arial"/>
          <w:sz w:val="28"/>
          <w:lang w:val="en-GB"/>
        </w:rPr>
      </w:pPr>
    </w:p>
    <w:p w14:paraId="3B53893F">
      <w:pPr>
        <w:rPr>
          <w:lang w:val="en-GB"/>
        </w:rPr>
      </w:pPr>
    </w:p>
    <w:sectPr>
      <w:footerReference r:id="rId3" w:type="default"/>
      <w:pgSz w:w="11906" w:h="16838"/>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SimSun">
    <w:altName w:val="宋体"/>
    <w:panose1 w:val="02010600030101010101"/>
    <w:charset w:val="86"/>
    <w:family w:val="auto"/>
    <w:pitch w:val="default"/>
    <w:sig w:usb0="00000000" w:usb1="00000000" w:usb2="00000016" w:usb3="00000000" w:csb0="00040001" w:csb1="00000000"/>
  </w:font>
  <w:font w:name="Calibri Light">
    <w:panose1 w:val="020F030202020403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46EDC5">
    <w:pPr>
      <w:pStyle w:val="12"/>
    </w:pPr>
    <w:r>
      <w:pict>
        <v:shape id="_x0000_s1025" o:spid="_x0000_s1025" o:spt="202" type="#_x0000_t202" style="position:absolute;left:0pt;margin-top:0pt;height:144pt;width:144pt;mso-position-horizontal:right;mso-position-horizontal-relative:margin;mso-wrap-style:none;z-index:251659264;mso-width-relative:page;mso-height-relative:page;" filled="f" stroked="f"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">
          <v:path/>
          <v:fill on="f" focussize="0,0"/>
          <v:stroke on="f" joinstyle="miter"/>
          <v:imagedata o:title=""/>
          <o:lock v:ext="edit" text="t" aspectratio="t"/>
          <v:textbox inset="0mm,0mm,0mm,0mm" style="mso-fit-shape-to-text:t;">
            <w:txbxContent>
              <w:p w14:paraId="1E4F5309">
                <w:pPr>
                  <w:pStyle w:val="12"/>
                </w:pPr>
                <w:r>
                  <w:fldChar w:fldCharType="begin"/>
                </w:r>
                <w:r>
                  <w:instrText xml:space="preserve"> PAGE  \* MERGEFORMAT </w:instrText>
                </w:r>
                <w:r>
                  <w:fldChar w:fldCharType="separate"/>
                </w:r>
                <w:r>
                  <w:t>1</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A1F3C1"/>
    <w:multiLevelType w:val="singleLevel"/>
    <w:tmpl w:val="1EA1F3C1"/>
    <w:lvl w:ilvl="0" w:tentative="0">
      <w:start w:val="1"/>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hdrShapeDefaults>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semiHidden="0" w:name="footer"/>
    <w:lsdException w:uiPriority="99" w:name="index heading"/>
    <w:lsdException w:qFormat="1" w:unhideWhenUsed="0"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360" w:lineRule="auto"/>
      <w:jc w:val="both"/>
    </w:pPr>
    <w:rPr>
      <w:rFonts w:ascii="Arial" w:hAnsi="Arial" w:eastAsia="SimSun" w:cs="Times New Roman"/>
      <w:color w:val="000000" w:themeColor="text1"/>
      <w:kern w:val="0"/>
      <w:sz w:val="24"/>
      <w:szCs w:val="22"/>
      <w:lang w:val="en-IN" w:eastAsia="en-US" w:bidi="ar-SA"/>
      <w14:textFill>
        <w14:solidFill>
          <w14:schemeClr w14:val="tx1"/>
        </w14:solidFill>
      </w14:textFill>
      <w14:ligatures w14:val="none"/>
    </w:rPr>
  </w:style>
  <w:style w:type="paragraph" w:styleId="2">
    <w:name w:val="heading 1"/>
    <w:basedOn w:val="1"/>
    <w:next w:val="1"/>
    <w:link w:val="23"/>
    <w:qFormat/>
    <w:uiPriority w:val="9"/>
    <w:pPr>
      <w:keepNext/>
      <w:keepLines/>
      <w:spacing w:before="360" w:after="80"/>
      <w:outlineLvl w:val="0"/>
    </w:pPr>
    <w:rPr>
      <w:rFonts w:eastAsiaTheme="majorEastAsia" w:cstheme="majorBidi"/>
      <w:b/>
      <w:sz w:val="28"/>
      <w:szCs w:val="40"/>
    </w:rPr>
  </w:style>
  <w:style w:type="paragraph" w:styleId="3">
    <w:name w:val="heading 2"/>
    <w:basedOn w:val="1"/>
    <w:next w:val="1"/>
    <w:link w:val="24"/>
    <w:unhideWhenUsed/>
    <w:qFormat/>
    <w:uiPriority w:val="9"/>
    <w:pPr>
      <w:keepNext/>
      <w:keepLines/>
      <w:spacing w:before="160" w:after="80"/>
      <w:outlineLvl w:val="1"/>
    </w:pPr>
    <w:rPr>
      <w:rFonts w:eastAsiaTheme="majorEastAsia" w:cstheme="majorBidi"/>
      <w:b/>
      <w:sz w:val="26"/>
      <w:szCs w:val="32"/>
    </w:rPr>
  </w:style>
  <w:style w:type="paragraph" w:styleId="4">
    <w:name w:val="heading 3"/>
    <w:basedOn w:val="1"/>
    <w:next w:val="1"/>
    <w:link w:val="25"/>
    <w:unhideWhenUsed/>
    <w:qFormat/>
    <w:uiPriority w:val="9"/>
    <w:pPr>
      <w:keepNext/>
      <w:keepLines/>
      <w:spacing w:before="160" w:after="80"/>
      <w:outlineLvl w:val="2"/>
    </w:pPr>
    <w:rPr>
      <w:rFonts w:eastAsiaTheme="majorEastAsia" w:cstheme="majorBidi"/>
      <w:b/>
      <w:i/>
      <w:szCs w:val="28"/>
    </w:rPr>
  </w:style>
  <w:style w:type="paragraph" w:styleId="5">
    <w:name w:val="heading 4"/>
    <w:basedOn w:val="1"/>
    <w:next w:val="1"/>
    <w:link w:val="26"/>
    <w:unhideWhenUsed/>
    <w:qFormat/>
    <w:uiPriority w:val="9"/>
    <w:pPr>
      <w:keepNext/>
      <w:keepLines/>
      <w:spacing w:before="80" w:after="40"/>
      <w:outlineLvl w:val="3"/>
    </w:pPr>
    <w:rPr>
      <w:rFonts w:eastAsiaTheme="majorEastAsia" w:cstheme="majorBidi"/>
      <w:i/>
      <w:iCs/>
    </w:rPr>
  </w:style>
  <w:style w:type="paragraph" w:styleId="6">
    <w:name w:val="heading 5"/>
    <w:basedOn w:val="1"/>
    <w:next w:val="1"/>
    <w:link w:val="27"/>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8"/>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9"/>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30"/>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31"/>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9">
    <w:name w:val="Default Paragraph Font"/>
    <w:unhideWhenUsed/>
    <w:uiPriority w:val="1"/>
  </w:style>
  <w:style w:type="table" w:default="1" w:styleId="22">
    <w:name w:val="Normal Table"/>
    <w:unhideWhenUsed/>
    <w:uiPriority w:val="99"/>
    <w:tblPr>
      <w:tblLayout w:type="fixed"/>
      <w:tblCellMar>
        <w:top w:w="0" w:type="dxa"/>
        <w:left w:w="108" w:type="dxa"/>
        <w:bottom w:w="0" w:type="dxa"/>
        <w:right w:w="108" w:type="dxa"/>
      </w:tblCellMar>
    </w:tblPr>
  </w:style>
  <w:style w:type="paragraph" w:styleId="11">
    <w:name w:val="caption"/>
    <w:basedOn w:val="1"/>
    <w:next w:val="1"/>
    <w:qFormat/>
    <w:uiPriority w:val="35"/>
    <w:pPr>
      <w:spacing w:line="240" w:lineRule="auto"/>
    </w:pPr>
    <w:rPr>
      <w:b/>
      <w:bCs/>
      <w:color w:val="4F81BD"/>
      <w:sz w:val="18"/>
      <w:szCs w:val="18"/>
    </w:rPr>
  </w:style>
  <w:style w:type="paragraph" w:styleId="12">
    <w:name w:val="footer"/>
    <w:basedOn w:val="1"/>
    <w:link w:val="41"/>
    <w:unhideWhenUsed/>
    <w:uiPriority w:val="99"/>
    <w:pPr>
      <w:tabs>
        <w:tab w:val="center" w:pos="4153"/>
        <w:tab w:val="right" w:pos="8306"/>
      </w:tabs>
      <w:snapToGrid w:val="0"/>
    </w:pPr>
    <w:rPr>
      <w:sz w:val="18"/>
      <w:szCs w:val="18"/>
    </w:rPr>
  </w:style>
  <w:style w:type="paragraph" w:styleId="13">
    <w:name w:val="Normal (Web)"/>
    <w:basedOn w:val="1"/>
    <w:unhideWhenUsed/>
    <w:uiPriority w:val="99"/>
    <w:rPr>
      <w:szCs w:val="24"/>
    </w:rPr>
  </w:style>
  <w:style w:type="paragraph" w:styleId="14">
    <w:name w:val="Subtitle"/>
    <w:basedOn w:val="1"/>
    <w:next w:val="1"/>
    <w:link w:val="3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5">
    <w:name w:val="Title"/>
    <w:basedOn w:val="1"/>
    <w:next w:val="1"/>
    <w:link w:val="32"/>
    <w:qFormat/>
    <w:uiPriority w:val="10"/>
    <w:pPr>
      <w:spacing w:after="80" w:line="240" w:lineRule="auto"/>
      <w:contextualSpacing/>
    </w:pPr>
    <w:rPr>
      <w:rFonts w:asciiTheme="majorHAnsi" w:hAnsiTheme="majorHAnsi" w:eastAsiaTheme="majorEastAsia" w:cstheme="majorBidi"/>
      <w:spacing w:val="-10"/>
      <w:kern w:val="28"/>
      <w:sz w:val="56"/>
      <w:szCs w:val="56"/>
    </w:rPr>
  </w:style>
  <w:style w:type="paragraph" w:styleId="16">
    <w:name w:val="toc 1"/>
    <w:basedOn w:val="1"/>
    <w:next w:val="1"/>
    <w:unhideWhenUsed/>
    <w:uiPriority w:val="39"/>
    <w:pPr>
      <w:spacing w:after="100"/>
    </w:pPr>
  </w:style>
  <w:style w:type="paragraph" w:styleId="17">
    <w:name w:val="toc 2"/>
    <w:basedOn w:val="1"/>
    <w:next w:val="1"/>
    <w:unhideWhenUsed/>
    <w:uiPriority w:val="39"/>
    <w:pPr>
      <w:spacing w:after="100"/>
      <w:ind w:left="220"/>
    </w:pPr>
  </w:style>
  <w:style w:type="paragraph" w:styleId="18">
    <w:name w:val="toc 3"/>
    <w:basedOn w:val="1"/>
    <w:next w:val="1"/>
    <w:unhideWhenUsed/>
    <w:uiPriority w:val="39"/>
    <w:pPr>
      <w:spacing w:after="100"/>
      <w:ind w:left="440"/>
    </w:pPr>
  </w:style>
  <w:style w:type="character" w:styleId="20">
    <w:name w:val="FollowedHyperlink"/>
    <w:basedOn w:val="19"/>
    <w:unhideWhenUsed/>
    <w:uiPriority w:val="99"/>
    <w:rPr>
      <w:color w:val="954F72" w:themeColor="followedHyperlink"/>
      <w:u w:val="single"/>
      <w14:textFill>
        <w14:solidFill>
          <w14:schemeClr w14:val="folHlink"/>
        </w14:solidFill>
      </w14:textFill>
    </w:rPr>
  </w:style>
  <w:style w:type="character" w:styleId="21">
    <w:name w:val="Hyperlink"/>
    <w:unhideWhenUsed/>
    <w:qFormat/>
    <w:uiPriority w:val="99"/>
    <w:rPr>
      <w:color w:val="0000FF"/>
      <w:u w:val="single"/>
    </w:rPr>
  </w:style>
  <w:style w:type="character" w:customStyle="1" w:styleId="23">
    <w:name w:val="Heading 1 Char"/>
    <w:basedOn w:val="19"/>
    <w:link w:val="2"/>
    <w:uiPriority w:val="9"/>
    <w:rPr>
      <w:rFonts w:ascii="Arial" w:hAnsi="Arial" w:eastAsiaTheme="majorEastAsia" w:cstheme="majorBidi"/>
      <w:b/>
      <w:color w:val="000000" w:themeColor="text1"/>
      <w:kern w:val="0"/>
      <w:sz w:val="28"/>
      <w:szCs w:val="40"/>
      <w14:textFill>
        <w14:solidFill>
          <w14:schemeClr w14:val="tx1"/>
        </w14:solidFill>
      </w14:textFill>
      <w14:ligatures w14:val="none"/>
    </w:rPr>
  </w:style>
  <w:style w:type="character" w:customStyle="1" w:styleId="24">
    <w:name w:val="Heading 2 Char"/>
    <w:basedOn w:val="19"/>
    <w:link w:val="3"/>
    <w:uiPriority w:val="9"/>
    <w:rPr>
      <w:rFonts w:ascii="Arial" w:hAnsi="Arial" w:eastAsiaTheme="majorEastAsia" w:cstheme="majorBidi"/>
      <w:b/>
      <w:color w:val="000000" w:themeColor="text1"/>
      <w:kern w:val="0"/>
      <w:sz w:val="26"/>
      <w:szCs w:val="32"/>
      <w14:textFill>
        <w14:solidFill>
          <w14:schemeClr w14:val="tx1"/>
        </w14:solidFill>
      </w14:textFill>
      <w14:ligatures w14:val="none"/>
    </w:rPr>
  </w:style>
  <w:style w:type="character" w:customStyle="1" w:styleId="25">
    <w:name w:val="Heading 3 Char"/>
    <w:basedOn w:val="19"/>
    <w:link w:val="4"/>
    <w:uiPriority w:val="9"/>
    <w:rPr>
      <w:rFonts w:ascii="Arial" w:hAnsi="Arial" w:eastAsiaTheme="majorEastAsia" w:cstheme="majorBidi"/>
      <w:b/>
      <w:i/>
      <w:color w:val="000000" w:themeColor="text1"/>
      <w:kern w:val="0"/>
      <w:szCs w:val="28"/>
      <w14:textFill>
        <w14:solidFill>
          <w14:schemeClr w14:val="tx1"/>
        </w14:solidFill>
      </w14:textFill>
      <w14:ligatures w14:val="none"/>
    </w:rPr>
  </w:style>
  <w:style w:type="character" w:customStyle="1" w:styleId="26">
    <w:name w:val="Heading 4 Char"/>
    <w:basedOn w:val="19"/>
    <w:link w:val="5"/>
    <w:uiPriority w:val="9"/>
    <w:rPr>
      <w:rFonts w:ascii="Arial" w:hAnsi="Arial" w:eastAsiaTheme="majorEastAsia" w:cstheme="majorBidi"/>
      <w:i/>
      <w:iCs/>
      <w:color w:val="000000" w:themeColor="text1"/>
      <w:kern w:val="0"/>
      <w:szCs w:val="22"/>
      <w14:textFill>
        <w14:solidFill>
          <w14:schemeClr w14:val="tx1"/>
        </w14:solidFill>
      </w14:textFill>
      <w14:ligatures w14:val="none"/>
    </w:rPr>
  </w:style>
  <w:style w:type="character" w:customStyle="1" w:styleId="27">
    <w:name w:val="Heading 5 Char"/>
    <w:basedOn w:val="19"/>
    <w:link w:val="6"/>
    <w:semiHidden/>
    <w:uiPriority w:val="9"/>
    <w:rPr>
      <w:rFonts w:eastAsiaTheme="majorEastAsia" w:cstheme="majorBidi"/>
      <w:color w:val="2F5597" w:themeColor="accent1" w:themeShade="BF"/>
    </w:rPr>
  </w:style>
  <w:style w:type="character" w:customStyle="1" w:styleId="28">
    <w:name w:val="Heading 6 Char"/>
    <w:basedOn w:val="19"/>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9">
    <w:name w:val="Heading 7 Char"/>
    <w:basedOn w:val="19"/>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0">
    <w:name w:val="Heading 8 Char"/>
    <w:basedOn w:val="19"/>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31">
    <w:name w:val="Heading 9 Char"/>
    <w:basedOn w:val="19"/>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2">
    <w:name w:val="Title Char"/>
    <w:basedOn w:val="19"/>
    <w:link w:val="15"/>
    <w:uiPriority w:val="10"/>
    <w:rPr>
      <w:rFonts w:asciiTheme="majorHAnsi" w:hAnsiTheme="majorHAnsi" w:eastAsiaTheme="majorEastAsia" w:cstheme="majorBidi"/>
      <w:spacing w:val="-10"/>
      <w:kern w:val="28"/>
      <w:sz w:val="56"/>
      <w:szCs w:val="56"/>
    </w:rPr>
  </w:style>
  <w:style w:type="character" w:customStyle="1" w:styleId="33">
    <w:name w:val="Subtitle Char"/>
    <w:basedOn w:val="19"/>
    <w:link w:val="14"/>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customStyle="1" w:styleId="34">
    <w:name w:val="Quote"/>
    <w:basedOn w:val="1"/>
    <w:next w:val="1"/>
    <w:link w:val="35"/>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Quote Char"/>
    <w:basedOn w:val="19"/>
    <w:link w:val="34"/>
    <w:uiPriority w:val="29"/>
    <w:rPr>
      <w:i/>
      <w:iCs/>
      <w:color w:val="404040" w:themeColor="text1" w:themeTint="BF"/>
      <w14:textFill>
        <w14:solidFill>
          <w14:schemeClr w14:val="tx1">
            <w14:lumMod w14:val="75000"/>
            <w14:lumOff w14:val="25000"/>
          </w14:schemeClr>
        </w14:solidFill>
      </w14:textFill>
    </w:rPr>
  </w:style>
  <w:style w:type="paragraph" w:customStyle="1" w:styleId="36">
    <w:name w:val="List Paragraph"/>
    <w:basedOn w:val="1"/>
    <w:qFormat/>
    <w:uiPriority w:val="34"/>
    <w:pPr>
      <w:ind w:left="720"/>
      <w:contextualSpacing/>
    </w:pPr>
  </w:style>
  <w:style w:type="character" w:customStyle="1" w:styleId="37">
    <w:name w:val="Intense Emphasis"/>
    <w:basedOn w:val="19"/>
    <w:qFormat/>
    <w:uiPriority w:val="21"/>
    <w:rPr>
      <w:i/>
      <w:iCs/>
      <w:color w:val="2F5597" w:themeColor="accent1" w:themeShade="BF"/>
    </w:rPr>
  </w:style>
  <w:style w:type="paragraph" w:customStyle="1" w:styleId="38">
    <w:name w:val="Intense Quote"/>
    <w:basedOn w:val="1"/>
    <w:next w:val="1"/>
    <w:link w:val="39"/>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9">
    <w:name w:val="Intense Quote Char"/>
    <w:basedOn w:val="19"/>
    <w:link w:val="38"/>
    <w:uiPriority w:val="30"/>
    <w:rPr>
      <w:i/>
      <w:iCs/>
      <w:color w:val="2F5597" w:themeColor="accent1" w:themeShade="BF"/>
    </w:rPr>
  </w:style>
  <w:style w:type="character" w:customStyle="1" w:styleId="40">
    <w:name w:val="Intense Reference"/>
    <w:basedOn w:val="19"/>
    <w:qFormat/>
    <w:uiPriority w:val="32"/>
    <w:rPr>
      <w:b/>
      <w:bCs/>
      <w:smallCaps/>
      <w:color w:val="2F5597" w:themeColor="accent1" w:themeShade="BF"/>
      <w:spacing w:val="5"/>
    </w:rPr>
  </w:style>
  <w:style w:type="character" w:customStyle="1" w:styleId="41">
    <w:name w:val="Footer Char"/>
    <w:basedOn w:val="19"/>
    <w:link w:val="12"/>
    <w:uiPriority w:val="99"/>
    <w:rPr>
      <w:rFonts w:ascii="Times New Roman" w:hAnsi="Times New Roman" w:eastAsia="SimSun" w:cs="Times New Roman"/>
      <w:kern w:val="0"/>
      <w:sz w:val="18"/>
      <w:szCs w:val="18"/>
      <w14:ligatures w14:val="none"/>
    </w:rPr>
  </w:style>
  <w:style w:type="paragraph" w:customStyle="1" w:styleId="42">
    <w:name w:val="WPSOffice手动目录 1"/>
    <w:uiPriority w:val="0"/>
    <w:pPr>
      <w:spacing w:after="0" w:line="240" w:lineRule="auto"/>
    </w:pPr>
    <w:rPr>
      <w:rFonts w:ascii="Times New Roman" w:hAnsi="Times New Roman" w:eastAsia="SimSun" w:cs="Times New Roman"/>
      <w:kern w:val="0"/>
      <w:sz w:val="20"/>
      <w:szCs w:val="20"/>
      <w:lang w:val="en-IN" w:eastAsia="en-GB" w:bidi="ar-SA"/>
      <w14:ligatures w14:val="none"/>
    </w:rPr>
  </w:style>
  <w:style w:type="paragraph" w:customStyle="1" w:styleId="43">
    <w:name w:val="WPSOffice手动目录 2"/>
    <w:uiPriority w:val="0"/>
    <w:pPr>
      <w:spacing w:after="0" w:line="240" w:lineRule="auto"/>
      <w:ind w:left="200" w:leftChars="200"/>
    </w:pPr>
    <w:rPr>
      <w:rFonts w:ascii="Times New Roman" w:hAnsi="Times New Roman" w:eastAsia="SimSun" w:cs="Times New Roman"/>
      <w:kern w:val="0"/>
      <w:sz w:val="20"/>
      <w:szCs w:val="20"/>
      <w:lang w:val="en-IN" w:eastAsia="en-GB" w:bidi="ar-SA"/>
      <w14:ligatures w14:val="none"/>
    </w:rPr>
  </w:style>
  <w:style w:type="paragraph" w:customStyle="1" w:styleId="44">
    <w:name w:val="WPSOffice手动目录 3"/>
    <w:uiPriority w:val="0"/>
    <w:pPr>
      <w:spacing w:after="0" w:line="240" w:lineRule="auto"/>
      <w:ind w:left="400" w:leftChars="400"/>
    </w:pPr>
    <w:rPr>
      <w:rFonts w:ascii="Times New Roman" w:hAnsi="Times New Roman" w:eastAsia="SimSun" w:cs="Times New Roman"/>
      <w:kern w:val="0"/>
      <w:sz w:val="20"/>
      <w:szCs w:val="20"/>
      <w:lang w:val="en-IN" w:eastAsia="en-GB" w:bidi="ar-SA"/>
      <w14:ligatures w14: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jpeg"/><Relationship Id="rId12" Type="http://schemas.openxmlformats.org/officeDocument/2006/relationships/image" Target="media/image8.png"/><Relationship Id="rId11" Type="http://schemas.openxmlformats.org/officeDocument/2006/relationships/image" Target="media/image7.pn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21</Pages>
  <Words>4445</Words>
  <Characters>25341</Characters>
  <Lines>211</Lines>
  <Paragraphs>59</Paragraphs>
  <TotalTime>0</TotalTime>
  <ScaleCrop>false</ScaleCrop>
  <LinksUpToDate>false</LinksUpToDate>
  <CharactersWithSpaces>29727</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2026-03-06T12:14:00Z</dcterms:created>
  <dc:creator>user</dc:creator>
  <cp:lastModifiedBy>iPhone</cp:lastModifiedBy>
  <dcterms:modified xsi:type="dcterms:W3CDTF">2026-03-25T23:50:37Z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65198DAF9C322DE76072C46902BE1E16_31</vt:lpwstr>
  </property>
  <property fmtid="{D5CDD505-2E9C-101B-9397-08002B2CF9AE}" pid="3" name="KSOProductBuildVer">
    <vt:lpwstr>3081-11.37.40</vt:lpwstr>
  </property>
</Properties>
</file>