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17175" w:rsidRDefault="00000000">
      <w:r>
        <w:t>Students full name: Hanna Kamaran</w:t>
      </w:r>
    </w:p>
    <w:p w14:paraId="00000002" w14:textId="77777777" w:rsidR="00517175" w:rsidRDefault="00000000">
      <w:r>
        <w:t>Student ID Number: 2438805</w:t>
      </w:r>
    </w:p>
    <w:p w14:paraId="00000003" w14:textId="66DE4DA1" w:rsidR="00517175" w:rsidRDefault="00000000">
      <w:r>
        <w:t xml:space="preserve">Lecturer: </w:t>
      </w:r>
      <w:r w:rsidR="00A159EF" w:rsidRPr="00A159EF">
        <w:t>Amitave Banik</w:t>
      </w:r>
    </w:p>
    <w:p w14:paraId="00000004" w14:textId="77777777" w:rsidR="00517175" w:rsidRDefault="00000000">
      <w:r>
        <w:t>Module: Digital Skills and Research Methods</w:t>
      </w:r>
    </w:p>
    <w:p w14:paraId="00000005" w14:textId="77777777" w:rsidR="00517175" w:rsidRDefault="00000000">
      <w:r>
        <w:t>Module Code: LCHS4007</w:t>
      </w:r>
    </w:p>
    <w:p w14:paraId="00000006" w14:textId="77777777" w:rsidR="00517175" w:rsidRDefault="00000000">
      <w:pPr>
        <w:ind w:left="2160"/>
        <w:rPr>
          <w:b/>
          <w:bCs/>
          <w:i/>
          <w:iCs/>
          <w:sz w:val="26"/>
          <w:szCs w:val="26"/>
          <w:u w:val="single"/>
        </w:rPr>
      </w:pPr>
      <w:bookmarkStart w:id="0" w:name="_uycat8rcuikz" w:colFirst="0" w:colLast="0"/>
      <w:bookmarkStart w:id="1" w:name="_Int_scYAojjl"/>
      <w:bookmarkEnd w:id="0"/>
      <w:r>
        <w:rPr>
          <w:b/>
          <w:bCs/>
          <w:i/>
          <w:iCs/>
          <w:sz w:val="26"/>
          <w:szCs w:val="26"/>
          <w:u w:val="single"/>
        </w:rPr>
        <w:t>Component</w:t>
      </w:r>
      <w:bookmarkEnd w:id="1"/>
      <w:r>
        <w:rPr>
          <w:b/>
          <w:bCs/>
          <w:i/>
          <w:iCs/>
          <w:sz w:val="26"/>
          <w:szCs w:val="26"/>
          <w:u w:val="single"/>
        </w:rPr>
        <w:t xml:space="preserve"> 2 – Research Report</w:t>
      </w:r>
    </w:p>
    <w:p w14:paraId="00000007" w14:textId="77777777" w:rsidR="00517175" w:rsidRDefault="00000000">
      <w:pPr>
        <w:rPr>
          <w:b/>
          <w:bCs/>
          <w:i/>
          <w:iCs/>
          <w:sz w:val="26"/>
          <w:szCs w:val="26"/>
          <w:u w:val="single"/>
        </w:rPr>
      </w:pPr>
      <w:r>
        <w:rPr>
          <w:b/>
          <w:bCs/>
          <w:i/>
          <w:iCs/>
          <w:sz w:val="26"/>
          <w:szCs w:val="26"/>
          <w:u w:val="single"/>
        </w:rPr>
        <w:t xml:space="preserve">Introduction </w:t>
      </w:r>
      <w:r>
        <w:rPr>
          <w:sz w:val="26"/>
          <w:szCs w:val="26"/>
        </w:rPr>
        <w:t xml:space="preserve"> </w:t>
      </w:r>
    </w:p>
    <w:p w14:paraId="00000008" w14:textId="77777777" w:rsidR="00517175" w:rsidRDefault="00000000">
      <w:pPr>
        <w:rPr>
          <w:sz w:val="26"/>
          <w:szCs w:val="26"/>
        </w:rPr>
      </w:pPr>
      <w:r>
        <w:rPr>
          <w:sz w:val="26"/>
          <w:szCs w:val="26"/>
        </w:rPr>
        <w:t>The purpose of this report is to examine a vital modern-day issue within the UK health and social sector; the increase in patient care and facility demand due to an aging population within the UK. This report will critically analyse the primary causes of this shift in age demographic, the complications on the health and social care settings, as well as on the elderly service users. The report will also examine the force for expansion/increase in health care staff in the long term and finally, the questioning of how sustainable and manageable this would be for the service (e.g. financially, staff availability, quality care service, and space capacity).</w:t>
      </w:r>
    </w:p>
    <w:p w14:paraId="00000009" w14:textId="77777777" w:rsidR="00517175" w:rsidRDefault="00517175">
      <w:pPr>
        <w:rPr>
          <w:sz w:val="26"/>
          <w:szCs w:val="26"/>
        </w:rPr>
      </w:pPr>
    </w:p>
    <w:p w14:paraId="0000000A" w14:textId="77777777" w:rsidR="00517175" w:rsidRDefault="00000000">
      <w:pPr>
        <w:rPr>
          <w:b/>
          <w:bCs/>
          <w:i/>
          <w:iCs/>
          <w:sz w:val="20"/>
          <w:szCs w:val="20"/>
          <w:u w:val="single"/>
        </w:rPr>
      </w:pPr>
      <w:r>
        <w:rPr>
          <w:b/>
          <w:bCs/>
          <w:i/>
          <w:iCs/>
          <w:sz w:val="20"/>
          <w:szCs w:val="20"/>
          <w:u w:val="single"/>
        </w:rPr>
        <w:t>Task 1 of 3 – Research Topic Identification</w:t>
      </w:r>
    </w:p>
    <w:p w14:paraId="0000000B" w14:textId="4D54F4AD" w:rsidR="00517175" w:rsidRDefault="00000000">
      <w:pPr>
        <w:rPr>
          <w:rFonts w:ascii="Arial" w:eastAsia="Arial" w:hAnsi="Arial" w:cs="Arial"/>
          <w:sz w:val="22"/>
          <w:szCs w:val="22"/>
        </w:rPr>
      </w:pPr>
      <w:r>
        <w:rPr>
          <w:rFonts w:ascii="Arial" w:eastAsia="Arial" w:hAnsi="Arial" w:cs="Arial"/>
          <w:sz w:val="22"/>
          <w:szCs w:val="22"/>
        </w:rPr>
        <w:t xml:space="preserve">The current issues with the increase of elderly longevity in the health and social care settings are that there is a limited range of services for elderly people who live in their own homes. Those receiving at home care by a health care giver is solemnly dependent upon local health authorities. Those who live in ‘better off’ postcodes could potentially receive frequent health care visits and programmes to </w:t>
      </w:r>
      <w:r w:rsidR="00A159EF">
        <w:rPr>
          <w:rFonts w:ascii="Arial" w:eastAsia="Arial" w:hAnsi="Arial" w:cs="Arial"/>
          <w:sz w:val="22"/>
          <w:szCs w:val="22"/>
        </w:rPr>
        <w:t>help</w:t>
      </w:r>
      <w:r>
        <w:rPr>
          <w:rFonts w:ascii="Arial" w:eastAsia="Arial" w:hAnsi="Arial" w:cs="Arial"/>
          <w:sz w:val="22"/>
          <w:szCs w:val="22"/>
        </w:rPr>
        <w:t xml:space="preserve"> the elderly patient. However, for those who are less fortunate and live in areas that </w:t>
      </w:r>
      <w:bookmarkStart w:id="2" w:name="_Int_YSyj9flP"/>
      <w:r>
        <w:rPr>
          <w:rFonts w:ascii="Arial" w:eastAsia="Arial" w:hAnsi="Arial" w:cs="Arial"/>
          <w:sz w:val="22"/>
          <w:szCs w:val="22"/>
        </w:rPr>
        <w:t>doesn’t</w:t>
      </w:r>
      <w:bookmarkEnd w:id="2"/>
      <w:r>
        <w:rPr>
          <w:rFonts w:ascii="Arial" w:eastAsia="Arial" w:hAnsi="Arial" w:cs="Arial"/>
          <w:sz w:val="22"/>
          <w:szCs w:val="22"/>
        </w:rPr>
        <w:t xml:space="preserve"> have enough funding for extending home care means that the elderly patients have no other </w:t>
      </w:r>
      <w:bookmarkStart w:id="3" w:name="_Int_eDDgOGK0"/>
      <w:r>
        <w:rPr>
          <w:rFonts w:ascii="Arial" w:eastAsia="Arial" w:hAnsi="Arial" w:cs="Arial"/>
          <w:sz w:val="22"/>
          <w:szCs w:val="22"/>
        </w:rPr>
        <w:t>option</w:t>
      </w:r>
      <w:bookmarkEnd w:id="3"/>
      <w:r>
        <w:rPr>
          <w:rFonts w:ascii="Arial" w:eastAsia="Arial" w:hAnsi="Arial" w:cs="Arial"/>
          <w:sz w:val="22"/>
          <w:szCs w:val="22"/>
        </w:rPr>
        <w:t xml:space="preserve"> but to travel to their local health care centre (GP, </w:t>
      </w:r>
      <w:bookmarkStart w:id="4" w:name="_Int_Df1M1Fq9"/>
      <w:r>
        <w:rPr>
          <w:rFonts w:ascii="Arial" w:eastAsia="Arial" w:hAnsi="Arial" w:cs="Arial"/>
          <w:sz w:val="22"/>
          <w:szCs w:val="22"/>
        </w:rPr>
        <w:t>hospitals</w:t>
      </w:r>
      <w:bookmarkEnd w:id="4"/>
      <w:r>
        <w:rPr>
          <w:rFonts w:ascii="Arial" w:eastAsia="Arial" w:hAnsi="Arial" w:cs="Arial"/>
          <w:sz w:val="22"/>
          <w:szCs w:val="22"/>
        </w:rPr>
        <w:t xml:space="preserve"> and other health services). I have selected this as a part of my research because the divide in the levels of care depending on a person's postcode does not meet satisfactory targets and margins. </w:t>
      </w:r>
    </w:p>
    <w:p w14:paraId="0000000C" w14:textId="77777777" w:rsidR="00517175" w:rsidRDefault="00000000">
      <w:pPr>
        <w:rPr>
          <w:rFonts w:ascii="Arial" w:eastAsia="Arial" w:hAnsi="Arial" w:cs="Arial"/>
          <w:sz w:val="22"/>
          <w:szCs w:val="22"/>
        </w:rPr>
      </w:pPr>
      <w:bookmarkStart w:id="5" w:name="_ha2dua7tcuzu" w:colFirst="0" w:colLast="0"/>
      <w:bookmarkEnd w:id="5"/>
      <w:r>
        <w:rPr>
          <w:rFonts w:ascii="Arial" w:eastAsia="Arial" w:hAnsi="Arial" w:cs="Arial"/>
          <w:sz w:val="22"/>
          <w:szCs w:val="22"/>
        </w:rPr>
        <w:t xml:space="preserve">The increase in elderly care and </w:t>
      </w:r>
      <w:bookmarkStart w:id="6" w:name="_Int_SHEA7oeT"/>
      <w:r>
        <w:rPr>
          <w:rFonts w:ascii="Arial" w:eastAsia="Arial" w:hAnsi="Arial" w:cs="Arial"/>
          <w:sz w:val="22"/>
          <w:szCs w:val="22"/>
        </w:rPr>
        <w:t>assistance</w:t>
      </w:r>
      <w:bookmarkEnd w:id="6"/>
      <w:r>
        <w:rPr>
          <w:rFonts w:ascii="Arial" w:eastAsia="Arial" w:hAnsi="Arial" w:cs="Arial"/>
          <w:sz w:val="22"/>
          <w:szCs w:val="22"/>
        </w:rPr>
        <w:t xml:space="preserve"> causes complications on all parts of the healthcare system, e.g; health care staff, financial department, and health care facilities. Statistics show that the population of people ages 50+ in the United Kingdom </w:t>
      </w:r>
      <w:bookmarkStart w:id="7" w:name="_Int_oYGjjzlo"/>
      <w:r>
        <w:rPr>
          <w:rFonts w:ascii="Arial" w:eastAsia="Arial" w:hAnsi="Arial" w:cs="Arial"/>
          <w:sz w:val="22"/>
          <w:szCs w:val="22"/>
        </w:rPr>
        <w:t>is expected</w:t>
      </w:r>
      <w:bookmarkEnd w:id="7"/>
      <w:r>
        <w:rPr>
          <w:rFonts w:ascii="Arial" w:eastAsia="Arial" w:hAnsi="Arial" w:cs="Arial"/>
          <w:sz w:val="22"/>
          <w:szCs w:val="22"/>
        </w:rPr>
        <w:t xml:space="preserve"> to increase by a skyrocketing 19.3% since the year 2024 to the year 2044. This increase in life longevity will cause additional issues and stress for the healthcare services. This rise also means a higher demand for health care workers, an increase of facilities, spaces and more out-patient services required. </w:t>
      </w:r>
      <w:r>
        <w:rPr>
          <w:rFonts w:ascii="Arial" w:eastAsia="Arial" w:hAnsi="Arial" w:cs="Arial"/>
          <w:b/>
          <w:bCs/>
          <w:i/>
          <w:iCs/>
          <w:sz w:val="22"/>
          <w:szCs w:val="22"/>
        </w:rPr>
        <w:t xml:space="preserve">(Age UK, 2024). </w:t>
      </w:r>
      <w:r>
        <w:rPr>
          <w:rFonts w:ascii="Arial" w:eastAsia="Arial" w:hAnsi="Arial" w:cs="Arial"/>
          <w:sz w:val="22"/>
          <w:szCs w:val="22"/>
        </w:rPr>
        <w:t xml:space="preserve">This is especially relevant due to the fact the NHS and all other care workers and staff under the umbrella of health care are </w:t>
      </w:r>
      <w:bookmarkStart w:id="8" w:name="_Int_mmENWaVZ"/>
      <w:r>
        <w:rPr>
          <w:rFonts w:ascii="Arial" w:eastAsia="Arial" w:hAnsi="Arial" w:cs="Arial"/>
          <w:sz w:val="22"/>
          <w:szCs w:val="22"/>
        </w:rPr>
        <w:t>being worked/used</w:t>
      </w:r>
      <w:bookmarkEnd w:id="8"/>
      <w:r>
        <w:rPr>
          <w:rFonts w:ascii="Arial" w:eastAsia="Arial" w:hAnsi="Arial" w:cs="Arial"/>
          <w:sz w:val="22"/>
          <w:szCs w:val="22"/>
        </w:rPr>
        <w:t xml:space="preserve"> at full capacity which is not a sustainable </w:t>
      </w:r>
      <w:bookmarkStart w:id="9" w:name="_Int_S0MUVmyG"/>
      <w:r>
        <w:rPr>
          <w:rFonts w:ascii="Arial" w:eastAsia="Arial" w:hAnsi="Arial" w:cs="Arial"/>
          <w:sz w:val="22"/>
          <w:szCs w:val="22"/>
        </w:rPr>
        <w:t>long term</w:t>
      </w:r>
      <w:bookmarkEnd w:id="9"/>
      <w:r>
        <w:rPr>
          <w:rFonts w:ascii="Arial" w:eastAsia="Arial" w:hAnsi="Arial" w:cs="Arial"/>
          <w:sz w:val="22"/>
          <w:szCs w:val="22"/>
        </w:rPr>
        <w:t xml:space="preserve"> solution.</w:t>
      </w:r>
    </w:p>
    <w:p w14:paraId="0000000D" w14:textId="77777777" w:rsidR="00517175" w:rsidRDefault="00000000">
      <w:pPr>
        <w:rPr>
          <w:rFonts w:ascii="Arial" w:eastAsia="Arial" w:hAnsi="Arial" w:cs="Arial"/>
          <w:sz w:val="22"/>
          <w:szCs w:val="22"/>
        </w:rPr>
      </w:pPr>
      <w:bookmarkStart w:id="10" w:name="_27qodvs0duvj" w:colFirst="0" w:colLast="0"/>
      <w:bookmarkEnd w:id="10"/>
      <w:r>
        <w:rPr>
          <w:rFonts w:ascii="Arial" w:eastAsia="Arial" w:hAnsi="Arial" w:cs="Arial"/>
          <w:sz w:val="22"/>
          <w:szCs w:val="22"/>
        </w:rPr>
        <w:lastRenderedPageBreak/>
        <w:t xml:space="preserve">This issue is not just a big problem for the NHS; it is also a problem for the elderly patients themselves. As the result of budget cuts throughout the NHS, the percentage of district nurses have been reduced since 2014 to 2023. </w:t>
      </w:r>
      <w:r>
        <w:rPr>
          <w:rFonts w:ascii="Arial" w:eastAsia="Arial" w:hAnsi="Arial" w:cs="Arial"/>
          <w:b/>
          <w:bCs/>
          <w:i/>
          <w:iCs/>
          <w:sz w:val="22"/>
          <w:szCs w:val="22"/>
        </w:rPr>
        <w:t>(</w:t>
      </w:r>
      <w:r>
        <w:rPr>
          <w:rFonts w:ascii="Arial" w:eastAsia="Arial" w:hAnsi="Arial" w:cs="Arial"/>
          <w:b/>
          <w:bCs/>
          <w:i/>
          <w:iCs/>
          <w:color w:val="000000"/>
          <w:sz w:val="22"/>
          <w:szCs w:val="22"/>
        </w:rPr>
        <w:t>Reeves, C., Islam, A. and Gentry, T. 2024)</w:t>
      </w:r>
      <w:r>
        <w:rPr>
          <w:rFonts w:ascii="Arial" w:eastAsia="Arial" w:hAnsi="Arial" w:cs="Arial"/>
          <w:color w:val="000000"/>
          <w:sz w:val="22"/>
          <w:szCs w:val="22"/>
        </w:rPr>
        <w:t>.</w:t>
      </w:r>
      <w:r>
        <w:rPr>
          <w:rFonts w:ascii="Arial" w:eastAsia="Arial" w:hAnsi="Arial" w:cs="Arial"/>
          <w:sz w:val="22"/>
          <w:szCs w:val="22"/>
        </w:rPr>
        <w:t xml:space="preserve"> Given the increase in elderly home patients, this decrease in district nurses is not going to make the quality of the elderly health care users better. Rather, it could derail and make it more challenging and difficult. On top of this, with the decrease in district, it then means the elderly people have no other choice but to go to their health care centres to receive the support. This in turn will mean longer waiting time for all patients and unnecessary overnight hospital stays which is both uncomfortable for the elderly patient and costing on the health care setting.</w:t>
      </w:r>
    </w:p>
    <w:p w14:paraId="0000000E" w14:textId="77777777" w:rsidR="00517175" w:rsidRDefault="00000000">
      <w:pPr>
        <w:rPr>
          <w:rFonts w:ascii="Arial" w:eastAsia="Arial" w:hAnsi="Arial" w:cs="Arial"/>
          <w:color w:val="000000"/>
          <w:sz w:val="22"/>
          <w:szCs w:val="22"/>
        </w:rPr>
      </w:pPr>
      <w:bookmarkStart w:id="11" w:name="_86lv1enmdzqy" w:colFirst="0" w:colLast="0"/>
      <w:bookmarkEnd w:id="11"/>
      <w:r>
        <w:rPr>
          <w:rFonts w:ascii="Arial" w:eastAsia="Arial" w:hAnsi="Arial" w:cs="Arial"/>
          <w:color w:val="000000"/>
          <w:sz w:val="22"/>
          <w:szCs w:val="22"/>
        </w:rPr>
        <w:t xml:space="preserve">‌Another unfortunate issue with the accelerated growth of elderly people within the UK is the </w:t>
      </w:r>
      <w:r>
        <w:rPr>
          <w:rFonts w:ascii="Arial" w:eastAsia="Arial" w:hAnsi="Arial" w:cs="Arial"/>
          <w:sz w:val="22"/>
          <w:szCs w:val="22"/>
        </w:rPr>
        <w:t>heavily increased, unsustainable strain put on</w:t>
      </w:r>
      <w:r>
        <w:rPr>
          <w:rFonts w:ascii="Arial" w:eastAsia="Arial" w:hAnsi="Arial" w:cs="Arial"/>
          <w:color w:val="000000"/>
          <w:sz w:val="22"/>
          <w:szCs w:val="22"/>
        </w:rPr>
        <w:t xml:space="preserve"> local GPs. With the increase of elderly people going to their GPs</w:t>
      </w:r>
      <w:r>
        <w:rPr>
          <w:rFonts w:ascii="Arial" w:eastAsia="Arial" w:hAnsi="Arial" w:cs="Arial"/>
          <w:sz w:val="22"/>
          <w:szCs w:val="22"/>
        </w:rPr>
        <w:t xml:space="preserve">, </w:t>
      </w:r>
      <w:r>
        <w:rPr>
          <w:rFonts w:ascii="Arial" w:eastAsia="Arial" w:hAnsi="Arial" w:cs="Arial"/>
          <w:color w:val="000000"/>
          <w:sz w:val="22"/>
          <w:szCs w:val="22"/>
        </w:rPr>
        <w:t xml:space="preserve">the practices are now unable to keep up appointments. The British Medical society (BMA) suggest that “safe working” is up to 25 routine doctor-patient contacts a day. With GPs now climbing ‘unsafe’ working practice at staggering 35 or more routine contacts daily. </w:t>
      </w:r>
      <w:r>
        <w:rPr>
          <w:rFonts w:ascii="Arial" w:eastAsia="Arial" w:hAnsi="Arial" w:cs="Arial"/>
          <w:b/>
          <w:bCs/>
          <w:i/>
          <w:iCs/>
          <w:color w:val="000000"/>
          <w:sz w:val="22"/>
          <w:szCs w:val="22"/>
        </w:rPr>
        <w:t xml:space="preserve">(Reeves, C., Islam, A. And Gentry, T. 2024). </w:t>
      </w:r>
      <w:r>
        <w:rPr>
          <w:rFonts w:ascii="Arial" w:eastAsia="Arial" w:hAnsi="Arial" w:cs="Arial"/>
          <w:color w:val="000000"/>
          <w:sz w:val="22"/>
          <w:szCs w:val="22"/>
        </w:rPr>
        <w:t xml:space="preserve">The relevance of this source is that it indicates the high increase of patients (elderly patients) using GP services to receive help or treatments, in-spite of there being district/community nurses. </w:t>
      </w:r>
    </w:p>
    <w:p w14:paraId="0000000F" w14:textId="77777777" w:rsidR="00517175" w:rsidRDefault="00000000">
      <w:pPr>
        <w:pBdr>
          <w:top w:val="nil"/>
          <w:left w:val="nil"/>
          <w:bottom w:val="nil"/>
          <w:right w:val="nil"/>
          <w:between w:val="nil"/>
        </w:pBdr>
        <w:shd w:val="clear" w:color="auto" w:fill="FFFFFF"/>
        <w:spacing w:line="240" w:lineRule="auto"/>
        <w:rPr>
          <w:rFonts w:ascii="Arial" w:eastAsia="Arial" w:hAnsi="Arial" w:cs="Arial"/>
          <w:color w:val="000000"/>
          <w:sz w:val="22"/>
          <w:szCs w:val="22"/>
        </w:rPr>
      </w:pPr>
      <w:bookmarkStart w:id="12" w:name="_s8zs10izg1zc" w:colFirst="0" w:colLast="0"/>
      <w:bookmarkEnd w:id="12"/>
      <w:r>
        <w:rPr>
          <w:rFonts w:ascii="Calibri" w:eastAsia="Calibri" w:hAnsi="Calibri" w:cs="Calibri"/>
          <w:color w:val="000000"/>
          <w:sz w:val="22"/>
          <w:szCs w:val="22"/>
        </w:rPr>
        <w:t xml:space="preserve">Finally, another reason for the current issues within the UK in the decline of publicly funded care for elderly people. In the UK, the access to receive public funded healthcare is </w:t>
      </w:r>
      <w:r>
        <w:rPr>
          <w:rFonts w:ascii="Calibri" w:eastAsia="Calibri" w:hAnsi="Calibri" w:cs="Calibri"/>
          <w:sz w:val="22"/>
          <w:szCs w:val="22"/>
        </w:rPr>
        <w:t>needs urgent review</w:t>
      </w:r>
      <w:r>
        <w:rPr>
          <w:rFonts w:ascii="Calibri" w:eastAsia="Calibri" w:hAnsi="Calibri" w:cs="Calibri"/>
          <w:color w:val="000000"/>
          <w:sz w:val="22"/>
          <w:szCs w:val="22"/>
        </w:rPr>
        <w:t>. Elderly patients with care requirements are entitled to receive an assessment by their local authority, regardless of their financial circumstances. Any patient, regardless of their needs and severity for care must self-fund care if their annual income is over £23,250. For those who earn roughy between £14,250 and £23,250, they m</w:t>
      </w:r>
      <w:r>
        <w:rPr>
          <w:rFonts w:ascii="Calibri" w:eastAsia="Calibri" w:hAnsi="Calibri" w:cs="Calibri"/>
          <w:sz w:val="22"/>
          <w:szCs w:val="22"/>
        </w:rPr>
        <w:t xml:space="preserve">ay </w:t>
      </w:r>
      <w:r>
        <w:rPr>
          <w:rFonts w:ascii="Calibri" w:eastAsia="Calibri" w:hAnsi="Calibri" w:cs="Calibri"/>
          <w:color w:val="000000"/>
          <w:sz w:val="22"/>
          <w:szCs w:val="22"/>
        </w:rPr>
        <w:t xml:space="preserve">be eligible to some funding and for those who are under the annual income of £14,250 are eligible for full funding depending on the level of need. The national criteria for need were set out under the “Care Act (2012)”. Even with this </w:t>
      </w:r>
      <w:r>
        <w:rPr>
          <w:rFonts w:ascii="Calibri" w:eastAsia="Calibri" w:hAnsi="Calibri" w:cs="Calibri"/>
          <w:sz w:val="22"/>
          <w:szCs w:val="22"/>
        </w:rPr>
        <w:t>a</w:t>
      </w:r>
      <w:r>
        <w:rPr>
          <w:rFonts w:ascii="Calibri" w:eastAsia="Calibri" w:hAnsi="Calibri" w:cs="Calibri"/>
          <w:color w:val="000000"/>
          <w:sz w:val="22"/>
          <w:szCs w:val="22"/>
        </w:rPr>
        <w:t>ct, there h</w:t>
      </w:r>
      <w:r>
        <w:rPr>
          <w:rFonts w:ascii="Calibri" w:eastAsia="Calibri" w:hAnsi="Calibri" w:cs="Calibri"/>
          <w:sz w:val="22"/>
          <w:szCs w:val="22"/>
        </w:rPr>
        <w:t xml:space="preserve">ave </w:t>
      </w:r>
      <w:r>
        <w:rPr>
          <w:rFonts w:ascii="Calibri" w:eastAsia="Calibri" w:hAnsi="Calibri" w:cs="Calibri"/>
          <w:color w:val="000000"/>
          <w:sz w:val="22"/>
          <w:szCs w:val="22"/>
        </w:rPr>
        <w:t xml:space="preserve">still been cases where some patients who have to contribute to their care costs, </w:t>
      </w:r>
      <w:r>
        <w:rPr>
          <w:rFonts w:ascii="Calibri" w:eastAsia="Calibri" w:hAnsi="Calibri" w:cs="Calibri"/>
          <w:sz w:val="22"/>
          <w:szCs w:val="22"/>
        </w:rPr>
        <w:t xml:space="preserve">are not receiving the required and expected support from the </w:t>
      </w:r>
      <w:r>
        <w:rPr>
          <w:rFonts w:ascii="Calibri" w:eastAsia="Calibri" w:hAnsi="Calibri" w:cs="Calibri"/>
          <w:color w:val="000000"/>
          <w:sz w:val="22"/>
          <w:szCs w:val="22"/>
        </w:rPr>
        <w:t>local authorities</w:t>
      </w:r>
      <w:r>
        <w:rPr>
          <w:rFonts w:ascii="Calibri" w:eastAsia="Calibri" w:hAnsi="Calibri" w:cs="Calibri"/>
          <w:sz w:val="22"/>
          <w:szCs w:val="22"/>
        </w:rPr>
        <w:t>. Therefore, t</w:t>
      </w:r>
      <w:r>
        <w:rPr>
          <w:rFonts w:ascii="Calibri" w:eastAsia="Calibri" w:hAnsi="Calibri" w:cs="Calibri"/>
          <w:color w:val="000000"/>
          <w:sz w:val="22"/>
          <w:szCs w:val="22"/>
        </w:rPr>
        <w:t xml:space="preserve">here are patients who have no other possibility but to go through top-up payments or must go with unfinished care. </w:t>
      </w:r>
      <w:r>
        <w:rPr>
          <w:rFonts w:ascii="Calibri" w:eastAsia="Calibri" w:hAnsi="Calibri" w:cs="Calibri"/>
          <w:b/>
          <w:bCs/>
          <w:i/>
          <w:iCs/>
          <w:color w:val="000000"/>
          <w:sz w:val="22"/>
          <w:szCs w:val="22"/>
        </w:rPr>
        <w:t>(</w:t>
      </w:r>
      <w:r>
        <w:rPr>
          <w:rFonts w:ascii="Times New Roman" w:eastAsia="Times New Roman" w:hAnsi="Times New Roman" w:cs="Times New Roman"/>
          <w:b/>
          <w:bCs/>
          <w:i/>
          <w:iCs/>
          <w:color w:val="000000"/>
          <w:sz w:val="22"/>
          <w:szCs w:val="22"/>
          <w:highlight w:val="white"/>
        </w:rPr>
        <w:t xml:space="preserve">Schlepper, L. and Dodsworth, E. (2023). </w:t>
      </w:r>
      <w:r>
        <w:rPr>
          <w:rFonts w:ascii="Arial" w:eastAsia="Arial" w:hAnsi="Arial" w:cs="Arial"/>
          <w:sz w:val="22"/>
          <w:szCs w:val="22"/>
          <w:highlight w:val="white"/>
        </w:rPr>
        <w:t xml:space="preserve">This is being brought up </w:t>
      </w:r>
      <w:r>
        <w:rPr>
          <w:rFonts w:ascii="Arial" w:eastAsia="Arial" w:hAnsi="Arial" w:cs="Arial"/>
          <w:color w:val="000000"/>
          <w:sz w:val="22"/>
          <w:szCs w:val="22"/>
          <w:highlight w:val="white"/>
        </w:rPr>
        <w:t xml:space="preserve">in relevance to elderly care </w:t>
      </w:r>
      <w:r>
        <w:rPr>
          <w:rFonts w:ascii="Arial" w:eastAsia="Arial" w:hAnsi="Arial" w:cs="Arial"/>
          <w:sz w:val="22"/>
          <w:szCs w:val="22"/>
          <w:highlight w:val="white"/>
        </w:rPr>
        <w:t>as t</w:t>
      </w:r>
      <w:r>
        <w:rPr>
          <w:rFonts w:ascii="Arial" w:eastAsia="Arial" w:hAnsi="Arial" w:cs="Arial"/>
          <w:color w:val="000000"/>
          <w:sz w:val="22"/>
          <w:szCs w:val="22"/>
          <w:highlight w:val="white"/>
        </w:rPr>
        <w:t>here are elderly patients who go unnoticed and</w:t>
      </w:r>
      <w:r>
        <w:rPr>
          <w:rFonts w:ascii="Arial" w:eastAsia="Arial" w:hAnsi="Arial" w:cs="Arial"/>
          <w:sz w:val="22"/>
          <w:szCs w:val="22"/>
          <w:highlight w:val="white"/>
        </w:rPr>
        <w:t xml:space="preserve"> are</w:t>
      </w:r>
      <w:r>
        <w:rPr>
          <w:rFonts w:ascii="Arial" w:eastAsia="Arial" w:hAnsi="Arial" w:cs="Arial"/>
          <w:color w:val="000000"/>
          <w:sz w:val="22"/>
          <w:szCs w:val="22"/>
          <w:highlight w:val="white"/>
        </w:rPr>
        <w:t xml:space="preserve"> not treated for care requirements. </w:t>
      </w:r>
      <w:r>
        <w:rPr>
          <w:rFonts w:ascii="Arial" w:eastAsia="Arial" w:hAnsi="Arial" w:cs="Arial"/>
          <w:sz w:val="22"/>
          <w:szCs w:val="22"/>
          <w:highlight w:val="white"/>
        </w:rPr>
        <w:t xml:space="preserve">Ultimately, this </w:t>
      </w:r>
      <w:r>
        <w:rPr>
          <w:rFonts w:ascii="Arial" w:eastAsia="Arial" w:hAnsi="Arial" w:cs="Arial"/>
          <w:color w:val="000000"/>
          <w:sz w:val="22"/>
          <w:szCs w:val="22"/>
          <w:highlight w:val="white"/>
        </w:rPr>
        <w:t>can result to patients being in pain</w:t>
      </w:r>
      <w:r>
        <w:rPr>
          <w:rFonts w:ascii="Arial" w:eastAsia="Arial" w:hAnsi="Arial" w:cs="Arial"/>
          <w:sz w:val="22"/>
          <w:szCs w:val="22"/>
          <w:highlight w:val="white"/>
        </w:rPr>
        <w:t>,</w:t>
      </w:r>
      <w:r>
        <w:rPr>
          <w:rFonts w:ascii="Arial" w:eastAsia="Arial" w:hAnsi="Arial" w:cs="Arial"/>
          <w:color w:val="000000"/>
          <w:sz w:val="22"/>
          <w:szCs w:val="22"/>
          <w:highlight w:val="white"/>
        </w:rPr>
        <w:t xml:space="preserve"> feel as if they’re not cared for </w:t>
      </w:r>
      <w:r>
        <w:rPr>
          <w:rFonts w:ascii="Arial" w:eastAsia="Arial" w:hAnsi="Arial" w:cs="Arial"/>
          <w:sz w:val="22"/>
          <w:szCs w:val="22"/>
          <w:highlight w:val="white"/>
        </w:rPr>
        <w:t>as well as being</w:t>
      </w:r>
      <w:r>
        <w:rPr>
          <w:rFonts w:ascii="Arial" w:eastAsia="Arial" w:hAnsi="Arial" w:cs="Arial"/>
          <w:color w:val="000000"/>
          <w:sz w:val="22"/>
          <w:szCs w:val="22"/>
          <w:highlight w:val="white"/>
        </w:rPr>
        <w:t xml:space="preserve"> overlooked by the NHS and other care facilities. </w:t>
      </w:r>
    </w:p>
    <w:p w14:paraId="00000010" w14:textId="77777777" w:rsidR="00517175" w:rsidRDefault="00000000">
      <w:pPr>
        <w:pBdr>
          <w:top w:val="nil"/>
          <w:left w:val="nil"/>
          <w:bottom w:val="nil"/>
          <w:right w:val="nil"/>
          <w:between w:val="nil"/>
        </w:pBdr>
        <w:shd w:val="clear" w:color="auto" w:fill="FFFFFF"/>
        <w:spacing w:line="240" w:lineRule="auto"/>
        <w:rPr>
          <w:rFonts w:ascii="Helvetica Neue" w:eastAsia="Helvetica Neue" w:hAnsi="Helvetica Neue" w:cs="Helvetica Neue"/>
          <w:color w:val="000000"/>
          <w:sz w:val="18"/>
          <w:szCs w:val="18"/>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14:paraId="00000011" w14:textId="77777777" w:rsidR="00517175" w:rsidRDefault="00000000">
      <w:pPr>
        <w:rPr>
          <w:b/>
          <w:bCs/>
          <w:i/>
          <w:iCs/>
          <w:sz w:val="26"/>
          <w:szCs w:val="26"/>
          <w:u w:val="single"/>
        </w:rPr>
      </w:pPr>
      <w:r>
        <w:rPr>
          <w:b/>
          <w:bCs/>
          <w:i/>
          <w:iCs/>
          <w:sz w:val="26"/>
          <w:szCs w:val="26"/>
          <w:u w:val="single"/>
        </w:rPr>
        <w:t>Task 2 of 3 – Research Methodologies</w:t>
      </w:r>
    </w:p>
    <w:p w14:paraId="00000012" w14:textId="77777777" w:rsidR="00517175" w:rsidRDefault="00000000">
      <w:pPr>
        <w:spacing w:after="0" w:line="240" w:lineRule="auto"/>
        <w:rPr>
          <w:rFonts w:ascii=".AppleSystemUIFont" w:eastAsia=".AppleSystemUIFont" w:hAnsi=".AppleSystemUIFont" w:cs=".AppleSystemUIFont"/>
          <w:sz w:val="22"/>
          <w:szCs w:val="22"/>
        </w:rPr>
      </w:pPr>
      <w:bookmarkStart w:id="13" w:name="_w1gr0w6437lq" w:colFirst="0" w:colLast="0"/>
      <w:bookmarkEnd w:id="13"/>
      <w:r>
        <w:rPr>
          <w:rFonts w:ascii="UICTFontTextStyleBody" w:eastAsia="UICTFontTextStyleBody" w:hAnsi="UICTFontTextStyleBody" w:cs="UICTFontTextStyleBody"/>
          <w:sz w:val="22"/>
          <w:szCs w:val="22"/>
        </w:rPr>
        <w:t>Both qualitative and quantitative research are significant approaches that provide a thorough and effective means of research. The two methods of research are just as effective but significantly cater to different types of findings. </w:t>
      </w:r>
    </w:p>
    <w:p w14:paraId="00000013" w14:textId="77777777" w:rsidR="00517175" w:rsidRDefault="00517175">
      <w:pPr>
        <w:spacing w:after="0" w:line="240" w:lineRule="auto"/>
        <w:rPr>
          <w:rFonts w:ascii="UICTFontTextStyleBody" w:eastAsia="UICTFontTextStyleBody" w:hAnsi="UICTFontTextStyleBody" w:cs="UICTFontTextStyleBody"/>
          <w:sz w:val="22"/>
          <w:szCs w:val="22"/>
        </w:rPr>
      </w:pPr>
      <w:bookmarkStart w:id="14" w:name="_c64qnrfwhgkc" w:colFirst="0" w:colLast="0"/>
      <w:bookmarkEnd w:id="14"/>
    </w:p>
    <w:p w14:paraId="00000014" w14:textId="77777777" w:rsidR="00517175" w:rsidRDefault="00000000">
      <w:pPr>
        <w:spacing w:after="0" w:line="240" w:lineRule="auto"/>
        <w:rPr>
          <w:rFonts w:ascii=".AppleSystemUIFont" w:eastAsia=".AppleSystemUIFont" w:hAnsi=".AppleSystemUIFont" w:cs=".AppleSystemUIFont"/>
          <w:sz w:val="22"/>
          <w:szCs w:val="22"/>
        </w:rPr>
      </w:pPr>
      <w:bookmarkStart w:id="15" w:name="_46y54o1x1bae" w:colFirst="0" w:colLast="0"/>
      <w:bookmarkEnd w:id="15"/>
      <w:r>
        <w:rPr>
          <w:rFonts w:ascii="UICTFontTextStyleBody" w:eastAsia="UICTFontTextStyleBody" w:hAnsi="UICTFontTextStyleBody" w:cs="UICTFontTextStyleBody"/>
          <w:sz w:val="22"/>
          <w:szCs w:val="22"/>
        </w:rPr>
        <w:t>Qualitative research involves using non-numerical data to understand concepts and experiences. This includes gathering research through observations and interviews. (Qualitative Vs Quantitative study, 2023). This method of research aims to gather information through various different means, including photographs, journal entries as well as accessing first hand, primary sources through interviews. (Qualitative Vs Quantitative study, 2023). These are undoubtedly key information required when conducting research, as it will give the analysis a personal and hands-on feel, which can be crucial in being used as supportive evidence when examining a topic. </w:t>
      </w:r>
    </w:p>
    <w:p w14:paraId="00000015" w14:textId="77777777" w:rsidR="00517175" w:rsidRDefault="00517175">
      <w:pPr>
        <w:spacing w:after="0" w:line="240" w:lineRule="auto"/>
        <w:rPr>
          <w:rFonts w:ascii="UICTFontTextStyleBody" w:eastAsia="UICTFontTextStyleBody" w:hAnsi="UICTFontTextStyleBody" w:cs="UICTFontTextStyleBody"/>
          <w:sz w:val="22"/>
          <w:szCs w:val="22"/>
        </w:rPr>
      </w:pPr>
      <w:bookmarkStart w:id="16" w:name="_43ng6ap9mcpz" w:colFirst="0" w:colLast="0"/>
      <w:bookmarkEnd w:id="16"/>
    </w:p>
    <w:p w14:paraId="00000016" w14:textId="77777777" w:rsidR="00517175" w:rsidRDefault="00000000">
      <w:pPr>
        <w:spacing w:after="0" w:line="240" w:lineRule="auto"/>
        <w:rPr>
          <w:rFonts w:ascii="UICTFontTextStyleBody" w:eastAsia="UICTFontTextStyleBody" w:hAnsi="UICTFontTextStyleBody" w:cs="UICTFontTextStyleBody"/>
          <w:sz w:val="22"/>
          <w:szCs w:val="22"/>
        </w:rPr>
      </w:pPr>
      <w:bookmarkStart w:id="17" w:name="_4shifn6t74ap" w:colFirst="0" w:colLast="0"/>
      <w:bookmarkEnd w:id="17"/>
      <w:r>
        <w:rPr>
          <w:rFonts w:ascii="UICTFontTextStyleBody" w:eastAsia="UICTFontTextStyleBody" w:hAnsi="UICTFontTextStyleBody" w:cs="UICTFontTextStyleBody"/>
          <w:sz w:val="22"/>
          <w:szCs w:val="22"/>
        </w:rPr>
        <w:t>This differentiates to the quantitative method of research which uses numerical data to gather understanding on concepts and experiences. It is essentially a statistical approach that uses mathematics to explain and understand findings. (Qualitative Vs Quantitative study, 2023). The main approach to the quantitative methodology includes using surveys, experiments and statistical analysis. (Qualitative Vs Quantitative study, 2023). This is also a crucial means of research as it will give precise findings and data in supporting theories. </w:t>
      </w:r>
    </w:p>
    <w:p w14:paraId="00000017" w14:textId="77777777" w:rsidR="00517175" w:rsidRDefault="00517175">
      <w:pPr>
        <w:spacing w:after="0" w:line="240" w:lineRule="auto"/>
        <w:rPr>
          <w:rFonts w:ascii="UICTFontTextStyleBody" w:eastAsia="UICTFontTextStyleBody" w:hAnsi="UICTFontTextStyleBody" w:cs="UICTFontTextStyleBody"/>
          <w:sz w:val="22"/>
          <w:szCs w:val="22"/>
        </w:rPr>
      </w:pPr>
      <w:bookmarkStart w:id="18" w:name="_6w2soralinap" w:colFirst="0" w:colLast="0"/>
      <w:bookmarkEnd w:id="18"/>
    </w:p>
    <w:p w14:paraId="00000018" w14:textId="77777777" w:rsidR="00517175" w:rsidRDefault="00000000">
      <w:pPr>
        <w:spacing w:after="0" w:line="240" w:lineRule="auto"/>
        <w:rPr>
          <w:rFonts w:ascii=".AppleSystemUIFont" w:eastAsia=".AppleSystemUIFont" w:hAnsi=".AppleSystemUIFont" w:cs=".AppleSystemUIFont"/>
          <w:sz w:val="22"/>
          <w:szCs w:val="22"/>
        </w:rPr>
      </w:pPr>
      <w:bookmarkStart w:id="19" w:name="_oehh7nufkkto" w:colFirst="0" w:colLast="0"/>
      <w:bookmarkEnd w:id="19"/>
      <w:r>
        <w:rPr>
          <w:rFonts w:ascii="UICTFontTextStyleBody" w:eastAsia="UICTFontTextStyleBody" w:hAnsi="UICTFontTextStyleBody" w:cs="UICTFontTextStyleBody"/>
          <w:sz w:val="22"/>
          <w:szCs w:val="22"/>
        </w:rPr>
        <w:t>Overall, both methods of research are crucial in sustaining a well-balanced theory that adds both depth and volume. Indeed, this justifies why I will be using both the quantitative and qualitative research approaches for my chosen topic. The quantitative approach will be used as means of evidence to support my theory using statistical data, whilst the qualitative means of approach will gather evidence using first-hand studies to further reinforce my theory, in turn giving the research a “deeper insight into real world problems”. (Tenny, Brannan and Brannan, 2022).</w:t>
      </w:r>
    </w:p>
    <w:p w14:paraId="00000019" w14:textId="77777777" w:rsidR="00517175" w:rsidRDefault="00517175">
      <w:pPr>
        <w:rPr>
          <w:b/>
          <w:bCs/>
          <w:i/>
          <w:iCs/>
          <w:sz w:val="26"/>
          <w:szCs w:val="26"/>
          <w:u w:val="single"/>
        </w:rPr>
      </w:pPr>
    </w:p>
    <w:p w14:paraId="0000001A" w14:textId="77777777" w:rsidR="00517175" w:rsidRDefault="00517175">
      <w:pPr>
        <w:rPr>
          <w:b/>
          <w:bCs/>
          <w:i/>
          <w:iCs/>
          <w:sz w:val="26"/>
          <w:szCs w:val="26"/>
          <w:u w:val="single"/>
        </w:rPr>
      </w:pPr>
    </w:p>
    <w:p w14:paraId="0000001B" w14:textId="77777777" w:rsidR="00517175" w:rsidRDefault="00000000">
      <w:pPr>
        <w:rPr>
          <w:b/>
          <w:bCs/>
          <w:i/>
          <w:iCs/>
          <w:sz w:val="26"/>
          <w:szCs w:val="26"/>
          <w:u w:val="single"/>
        </w:rPr>
      </w:pPr>
      <w:r>
        <w:rPr>
          <w:b/>
          <w:bCs/>
          <w:i/>
          <w:iCs/>
          <w:sz w:val="26"/>
          <w:szCs w:val="26"/>
          <w:u w:val="single"/>
        </w:rPr>
        <w:t xml:space="preserve">Task 3 of 3 – Data Collection </w:t>
      </w:r>
    </w:p>
    <w:p w14:paraId="0000001C" w14:textId="77777777" w:rsidR="00517175" w:rsidRDefault="00000000">
      <w:pPr>
        <w:rPr>
          <w:sz w:val="20"/>
          <w:szCs w:val="20"/>
        </w:rPr>
      </w:pPr>
      <w:bookmarkStart w:id="20" w:name="_2jmby0nkewnt" w:colFirst="0" w:colLast="0"/>
      <w:bookmarkEnd w:id="20"/>
      <w:r>
        <w:rPr>
          <w:sz w:val="20"/>
          <w:szCs w:val="20"/>
        </w:rPr>
        <w:t>Primary data collection is data that has been collected for the first time and has never been collected before. A few examples of of primary data includes interviews, surveys, and observations. On the other hand, secondary collection is data that includes journals, articles, and books that an earlier researcher has already published (Mazhar et al., 2021). For my research, I assessed whether I should use secondary or primary resources, coming to the conclusion that secondary data collection would be more applicable as well as more resourceful. When using secondary data, I have access to materials such as websites, articles, and books to find relevant sources for my research project on the topic “the increase in patient care and facility demand due to an aging population within the UK”. Moreover, I used the Age UK website to find out more about the decrease in district/neighbourhood health care workers.</w:t>
      </w:r>
    </w:p>
    <w:p w14:paraId="0000001D" w14:textId="77777777" w:rsidR="00517175" w:rsidRDefault="00000000">
      <w:pPr>
        <w:rPr>
          <w:sz w:val="20"/>
          <w:szCs w:val="20"/>
        </w:rPr>
      </w:pPr>
      <w:bookmarkStart w:id="21" w:name="_b1fkc9ay9c6m" w:colFirst="0" w:colLast="0"/>
      <w:bookmarkEnd w:id="21"/>
      <w:r>
        <w:rPr>
          <w:sz w:val="20"/>
          <w:szCs w:val="20"/>
        </w:rPr>
        <w:t>Another additional reason why I have chosen to select secondary data collection for my research project is in attribute to secondary data because it uses previously available data or samples collected during initial phase for reasons other than the planned (primary) research. The same sample that was initially gathered for another topic could be used in secondary data (LANFRANCO GALLOFRE and ONYENEHO, 2023). This links to my research as using already published data helps further back my sources and findings. An example can be seen when I mention statistics and percentages throughout my research to support my theory, with the secondary data giving me the ability to reinforce my theory through my findings.</w:t>
      </w:r>
    </w:p>
    <w:p w14:paraId="0000001E" w14:textId="77777777" w:rsidR="00517175" w:rsidRDefault="00000000">
      <w:pPr>
        <w:rPr>
          <w:sz w:val="26"/>
          <w:szCs w:val="26"/>
        </w:rPr>
      </w:pPr>
      <w:r>
        <w:rPr>
          <w:sz w:val="16"/>
          <w:szCs w:val="16"/>
        </w:rPr>
        <w:t xml:space="preserve"> </w:t>
      </w:r>
    </w:p>
    <w:p w14:paraId="0000001F" w14:textId="77777777" w:rsidR="00517175" w:rsidRDefault="00000000">
      <w:pPr>
        <w:rPr>
          <w:sz w:val="26"/>
          <w:szCs w:val="26"/>
        </w:rPr>
      </w:pPr>
      <w:r>
        <w:rPr>
          <w:b/>
          <w:bCs/>
          <w:sz w:val="26"/>
          <w:szCs w:val="26"/>
          <w:u w:val="single"/>
        </w:rPr>
        <w:t xml:space="preserve">Conclusion </w:t>
      </w:r>
    </w:p>
    <w:p w14:paraId="00000020" w14:textId="77777777" w:rsidR="00517175" w:rsidRDefault="00000000">
      <w:pPr>
        <w:rPr>
          <w:sz w:val="20"/>
          <w:szCs w:val="20"/>
        </w:rPr>
      </w:pPr>
      <w:r>
        <w:rPr>
          <w:sz w:val="20"/>
          <w:szCs w:val="20"/>
        </w:rPr>
        <w:t>This research has shown the modern-day issue within the UK health and social sector; the increase in patient care and facility demand due to an aging population within the UK. This report has shown the disadvantages and strains on both the elderly service users as well as the health care facilities and their staff. To conclude this report, my findings show that without a change in the lack of funding and staff this issue will only continue to worsen. However, if the health facilities receive satisfactory funding, then more elderly patients will be able to access the necessary treatment and care they need.</w:t>
      </w:r>
    </w:p>
    <w:p w14:paraId="00000021" w14:textId="77777777" w:rsidR="00517175" w:rsidRDefault="00517175">
      <w:pPr>
        <w:rPr>
          <w:sz w:val="26"/>
          <w:szCs w:val="26"/>
        </w:rPr>
      </w:pPr>
    </w:p>
    <w:p w14:paraId="00000022" w14:textId="77777777" w:rsidR="00517175" w:rsidRDefault="00000000">
      <w:pPr>
        <w:rPr>
          <w:rFonts w:ascii="Arial" w:eastAsia="Arial" w:hAnsi="Arial" w:cs="Arial"/>
          <w:b/>
          <w:bCs/>
          <w:sz w:val="26"/>
          <w:szCs w:val="26"/>
          <w:u w:val="single"/>
        </w:rPr>
      </w:pPr>
      <w:r>
        <w:rPr>
          <w:rFonts w:ascii="Arial" w:eastAsia="Arial" w:hAnsi="Arial" w:cs="Arial"/>
          <w:b/>
          <w:bCs/>
          <w:sz w:val="26"/>
          <w:szCs w:val="26"/>
          <w:u w:val="single"/>
        </w:rPr>
        <w:lastRenderedPageBreak/>
        <w:t>References/Bibliography:</w:t>
      </w:r>
    </w:p>
    <w:p w14:paraId="00000023" w14:textId="77777777" w:rsidR="00517175" w:rsidRDefault="00517175">
      <w:pPr>
        <w:rPr>
          <w:rFonts w:ascii="Arial" w:eastAsia="Arial" w:hAnsi="Arial" w:cs="Arial"/>
          <w:b/>
          <w:bCs/>
          <w:sz w:val="26"/>
          <w:szCs w:val="26"/>
          <w:u w:val="single"/>
        </w:rPr>
      </w:pPr>
    </w:p>
    <w:p w14:paraId="00000024" w14:textId="77777777" w:rsidR="00517175" w:rsidRDefault="00000000">
      <w:pPr>
        <w:numPr>
          <w:ilvl w:val="0"/>
          <w:numId w:val="1"/>
        </w:numPr>
        <w:pBdr>
          <w:top w:val="nil"/>
          <w:left w:val="nil"/>
          <w:bottom w:val="nil"/>
          <w:right w:val="nil"/>
          <w:between w:val="nil"/>
        </w:pBdr>
        <w:shd w:val="clear" w:color="auto" w:fill="FFFFFF"/>
        <w:spacing w:after="0" w:line="240" w:lineRule="auto"/>
        <w:rPr>
          <w:color w:val="000000"/>
          <w:sz w:val="20"/>
          <w:szCs w:val="20"/>
        </w:rPr>
      </w:pPr>
      <w:r>
        <w:rPr>
          <w:rFonts w:ascii="Arial" w:eastAsia="Arial" w:hAnsi="Arial" w:cs="Arial"/>
          <w:color w:val="000000"/>
          <w:sz w:val="20"/>
          <w:szCs w:val="20"/>
        </w:rPr>
        <w:t>Age UK (2024). </w:t>
      </w:r>
      <w:r>
        <w:rPr>
          <w:rFonts w:ascii="Arial" w:eastAsia="Arial" w:hAnsi="Arial" w:cs="Arial"/>
          <w:i/>
          <w:iCs/>
          <w:color w:val="000000"/>
          <w:sz w:val="20"/>
          <w:szCs w:val="20"/>
        </w:rPr>
        <w:t>State of Health and Care of Older People in England 2024</w:t>
      </w:r>
      <w:r>
        <w:rPr>
          <w:rFonts w:ascii="Arial" w:eastAsia="Arial" w:hAnsi="Arial" w:cs="Arial"/>
          <w:color w:val="000000"/>
          <w:sz w:val="20"/>
          <w:szCs w:val="20"/>
        </w:rPr>
        <w:t>. [online] Age UK. Available at: https://www.ageuk.org.uk/discover/2024/september/state-of-health-and-care-of-older-people-in-england-2024/.</w:t>
      </w:r>
    </w:p>
    <w:p w14:paraId="00000025" w14:textId="77777777" w:rsidR="00517175" w:rsidRDefault="00517175">
      <w:pPr>
        <w:pBdr>
          <w:top w:val="nil"/>
          <w:left w:val="nil"/>
          <w:bottom w:val="nil"/>
          <w:right w:val="nil"/>
          <w:between w:val="nil"/>
        </w:pBdr>
        <w:shd w:val="clear" w:color="auto" w:fill="FFFFFF"/>
        <w:spacing w:line="240" w:lineRule="auto"/>
        <w:rPr>
          <w:rFonts w:ascii="Arial" w:eastAsia="Arial" w:hAnsi="Arial" w:cs="Arial"/>
          <w:color w:val="000000"/>
          <w:sz w:val="20"/>
          <w:szCs w:val="20"/>
        </w:rPr>
      </w:pPr>
    </w:p>
    <w:p w14:paraId="00000026" w14:textId="77777777" w:rsidR="00517175" w:rsidRDefault="00000000">
      <w:pPr>
        <w:numPr>
          <w:ilvl w:val="0"/>
          <w:numId w:val="1"/>
        </w:numPr>
        <w:pBdr>
          <w:top w:val="nil"/>
          <w:left w:val="nil"/>
          <w:bottom w:val="nil"/>
          <w:right w:val="nil"/>
          <w:between w:val="nil"/>
        </w:pBdr>
        <w:shd w:val="clear" w:color="auto" w:fill="FFFFFF"/>
        <w:spacing w:after="0" w:line="240" w:lineRule="auto"/>
        <w:rPr>
          <w:color w:val="000000"/>
          <w:sz w:val="20"/>
          <w:szCs w:val="20"/>
        </w:rPr>
      </w:pPr>
      <w:r>
        <w:rPr>
          <w:rFonts w:ascii="Arial" w:eastAsia="Arial" w:hAnsi="Arial" w:cs="Arial"/>
          <w:color w:val="000000"/>
          <w:sz w:val="20"/>
          <w:szCs w:val="20"/>
        </w:rPr>
        <w:t>Reeves, C., Islam, A. and Gentry, T. (2024). </w:t>
      </w:r>
      <w:r>
        <w:rPr>
          <w:rFonts w:ascii="Arial" w:eastAsia="Arial" w:hAnsi="Arial" w:cs="Arial"/>
          <w:i/>
          <w:iCs/>
          <w:color w:val="000000"/>
          <w:sz w:val="20"/>
          <w:szCs w:val="20"/>
        </w:rPr>
        <w:t>The State of Health and Care of Older People in England 2024</w:t>
      </w:r>
      <w:r>
        <w:rPr>
          <w:rFonts w:ascii="Arial" w:eastAsia="Arial" w:hAnsi="Arial" w:cs="Arial"/>
          <w:color w:val="000000"/>
          <w:sz w:val="20"/>
          <w:szCs w:val="20"/>
        </w:rPr>
        <w:t xml:space="preserve">. [online] Available at: </w:t>
      </w:r>
      <w:hyperlink r:id="rId5">
        <w:r>
          <w:rPr>
            <w:rFonts w:ascii="Arial" w:eastAsia="Arial" w:hAnsi="Arial" w:cs="Arial"/>
            <w:color w:val="0000FF"/>
            <w:sz w:val="20"/>
            <w:szCs w:val="20"/>
            <w:u w:val="single"/>
          </w:rPr>
          <w:t>https://www.ageuk.org.uk/siteassets/documents/reports-and-publications/reports-and-briefings/health--wellbeing/state-of-health-and-care/state_of_health_and_social_care_24.pdf</w:t>
        </w:r>
      </w:hyperlink>
      <w:r>
        <w:rPr>
          <w:rFonts w:ascii="Arial" w:eastAsia="Arial" w:hAnsi="Arial" w:cs="Arial"/>
          <w:color w:val="000000"/>
          <w:sz w:val="20"/>
          <w:szCs w:val="20"/>
        </w:rPr>
        <w:t>.</w:t>
      </w:r>
    </w:p>
    <w:p w14:paraId="00000027" w14:textId="77777777" w:rsidR="00517175" w:rsidRDefault="00517175">
      <w:pPr>
        <w:pBdr>
          <w:top w:val="nil"/>
          <w:left w:val="nil"/>
          <w:bottom w:val="nil"/>
          <w:right w:val="nil"/>
          <w:between w:val="nil"/>
        </w:pBdr>
        <w:shd w:val="clear" w:color="auto" w:fill="FFFFFF"/>
        <w:spacing w:after="0" w:line="240" w:lineRule="auto"/>
        <w:rPr>
          <w:rFonts w:ascii="Arial" w:eastAsia="Arial" w:hAnsi="Arial" w:cs="Arial"/>
          <w:color w:val="000000"/>
          <w:sz w:val="20"/>
          <w:szCs w:val="20"/>
        </w:rPr>
      </w:pPr>
    </w:p>
    <w:p w14:paraId="00000028" w14:textId="77777777" w:rsidR="00517175" w:rsidRDefault="00000000">
      <w:pPr>
        <w:numPr>
          <w:ilvl w:val="0"/>
          <w:numId w:val="1"/>
        </w:numPr>
        <w:pBdr>
          <w:top w:val="nil"/>
          <w:left w:val="nil"/>
          <w:bottom w:val="nil"/>
          <w:right w:val="nil"/>
          <w:between w:val="nil"/>
        </w:pBdr>
        <w:shd w:val="clear" w:color="auto" w:fill="FFFFFF"/>
        <w:spacing w:line="240" w:lineRule="auto"/>
        <w:rPr>
          <w:color w:val="000000"/>
          <w:sz w:val="20"/>
          <w:szCs w:val="20"/>
        </w:rPr>
      </w:pPr>
      <w:r>
        <w:rPr>
          <w:rFonts w:ascii="Arial" w:eastAsia="Arial" w:hAnsi="Arial" w:cs="Arial"/>
          <w:color w:val="000000"/>
          <w:sz w:val="20"/>
          <w:szCs w:val="20"/>
          <w:highlight w:val="white"/>
        </w:rPr>
        <w:t>Schlepper, L. and Dodsworth, E. (2023). </w:t>
      </w:r>
      <w:r>
        <w:rPr>
          <w:rFonts w:ascii="Arial" w:eastAsia="Arial" w:hAnsi="Arial" w:cs="Arial"/>
          <w:i/>
          <w:iCs/>
          <w:color w:val="000000"/>
          <w:sz w:val="20"/>
          <w:szCs w:val="20"/>
        </w:rPr>
        <w:t>The Decline of Publicly Funded Social Care for Older Adults</w:t>
      </w:r>
      <w:r>
        <w:rPr>
          <w:rFonts w:ascii="Arial" w:eastAsia="Arial" w:hAnsi="Arial" w:cs="Arial"/>
          <w:color w:val="000000"/>
          <w:sz w:val="20"/>
          <w:szCs w:val="20"/>
          <w:highlight w:val="white"/>
        </w:rPr>
        <w:t xml:space="preserve">. [online] Nuffield Trust. Available at: </w:t>
      </w:r>
      <w:hyperlink r:id="rId6">
        <w:r>
          <w:rPr>
            <w:rFonts w:ascii="Arial" w:eastAsia="Arial" w:hAnsi="Arial" w:cs="Arial"/>
            <w:color w:val="0000FF"/>
            <w:sz w:val="20"/>
            <w:szCs w:val="20"/>
            <w:highlight w:val="white"/>
            <w:u w:val="single"/>
          </w:rPr>
          <w:t>https://www.nuffieldtrust.org.uk/resource/the-decline-of-publicly-funded-social-care-for-older-adults</w:t>
        </w:r>
      </w:hyperlink>
      <w:r>
        <w:rPr>
          <w:rFonts w:ascii="Arial" w:eastAsia="Arial" w:hAnsi="Arial" w:cs="Arial"/>
          <w:color w:val="000000"/>
          <w:sz w:val="20"/>
          <w:szCs w:val="20"/>
          <w:highlight w:val="white"/>
        </w:rPr>
        <w:t>.</w:t>
      </w:r>
    </w:p>
    <w:p w14:paraId="00000029" w14:textId="77777777" w:rsidR="00517175" w:rsidRDefault="00517175">
      <w:pPr>
        <w:pBdr>
          <w:top w:val="nil"/>
          <w:left w:val="nil"/>
          <w:bottom w:val="nil"/>
          <w:right w:val="nil"/>
          <w:between w:val="nil"/>
        </w:pBdr>
        <w:shd w:val="clear" w:color="auto" w:fill="FFFFFF"/>
        <w:spacing w:line="240" w:lineRule="auto"/>
        <w:ind w:left="360"/>
        <w:rPr>
          <w:rFonts w:ascii="Arial" w:eastAsia="Arial" w:hAnsi="Arial" w:cs="Arial"/>
          <w:color w:val="000000"/>
          <w:sz w:val="20"/>
          <w:szCs w:val="20"/>
        </w:rPr>
      </w:pPr>
    </w:p>
    <w:p w14:paraId="0000002A" w14:textId="77777777" w:rsidR="00517175" w:rsidRDefault="00000000">
      <w:pPr>
        <w:numPr>
          <w:ilvl w:val="0"/>
          <w:numId w:val="1"/>
        </w:numPr>
        <w:pBdr>
          <w:top w:val="nil"/>
          <w:left w:val="nil"/>
          <w:bottom w:val="nil"/>
          <w:right w:val="nil"/>
          <w:between w:val="nil"/>
        </w:pBdr>
        <w:spacing w:after="0" w:line="240" w:lineRule="auto"/>
        <w:rPr>
          <w:color w:val="000000"/>
          <w:sz w:val="20"/>
          <w:szCs w:val="20"/>
        </w:rPr>
      </w:pPr>
      <w:r>
        <w:rPr>
          <w:rFonts w:ascii="Arial" w:eastAsia="Arial" w:hAnsi="Arial" w:cs="Arial"/>
          <w:color w:val="000000"/>
          <w:sz w:val="20"/>
          <w:szCs w:val="20"/>
        </w:rPr>
        <w:t>NU Editorial contributors. (2023). What Is Qualitative vs. Quantitative Study?. [Online]. National University. Available at: https://www.nu.edu/blog/qualitative-vs-quantitative-study/ [Accessed 10 December 2025].</w:t>
      </w:r>
    </w:p>
    <w:p w14:paraId="0000002B" w14:textId="77777777" w:rsidR="00517175" w:rsidRDefault="00517175">
      <w:pPr>
        <w:rPr>
          <w:rFonts w:ascii="Arial" w:eastAsia="Arial" w:hAnsi="Arial" w:cs="Arial"/>
          <w:sz w:val="20"/>
          <w:szCs w:val="20"/>
        </w:rPr>
      </w:pPr>
    </w:p>
    <w:p w14:paraId="0000002C" w14:textId="77777777" w:rsidR="00517175" w:rsidRDefault="00000000">
      <w:pPr>
        <w:numPr>
          <w:ilvl w:val="0"/>
          <w:numId w:val="1"/>
        </w:numPr>
        <w:pBdr>
          <w:top w:val="nil"/>
          <w:left w:val="nil"/>
          <w:bottom w:val="nil"/>
          <w:right w:val="nil"/>
          <w:between w:val="nil"/>
        </w:pBdr>
        <w:spacing w:after="0" w:line="240" w:lineRule="auto"/>
        <w:rPr>
          <w:color w:val="000000"/>
          <w:sz w:val="20"/>
          <w:szCs w:val="20"/>
        </w:rPr>
      </w:pPr>
      <w:r>
        <w:rPr>
          <w:rFonts w:ascii="Arial" w:eastAsia="Arial" w:hAnsi="Arial" w:cs="Arial"/>
          <w:color w:val="000000"/>
          <w:sz w:val="20"/>
          <w:szCs w:val="20"/>
        </w:rPr>
        <w:t>Steven Tenny; Janelle M. Brannan; Grace D. Brannan. (2022). Qualitative Study. [Online]. National library of medicine. Available at: https://www.ncbi.nlm.nih.gov/books/NBK470395/ [Accessed 14 December 2025].</w:t>
      </w:r>
    </w:p>
    <w:p w14:paraId="0000002D" w14:textId="77777777" w:rsidR="00517175" w:rsidRDefault="00517175">
      <w:pPr>
        <w:pBdr>
          <w:top w:val="nil"/>
          <w:left w:val="nil"/>
          <w:bottom w:val="nil"/>
          <w:right w:val="nil"/>
          <w:between w:val="nil"/>
        </w:pBdr>
        <w:spacing w:after="0"/>
        <w:ind w:left="720"/>
        <w:rPr>
          <w:rFonts w:ascii="Arial" w:eastAsia="Arial" w:hAnsi="Arial" w:cs="Arial"/>
          <w:color w:val="000000"/>
          <w:sz w:val="20"/>
          <w:szCs w:val="20"/>
        </w:rPr>
      </w:pPr>
    </w:p>
    <w:p w14:paraId="0000002E" w14:textId="77777777" w:rsidR="00517175" w:rsidRDefault="00517175">
      <w:pPr>
        <w:pBdr>
          <w:top w:val="nil"/>
          <w:left w:val="nil"/>
          <w:bottom w:val="nil"/>
          <w:right w:val="nil"/>
          <w:between w:val="nil"/>
        </w:pBdr>
        <w:spacing w:after="0" w:line="240" w:lineRule="auto"/>
        <w:ind w:left="720"/>
        <w:rPr>
          <w:rFonts w:ascii="Arial" w:eastAsia="Arial" w:hAnsi="Arial" w:cs="Arial"/>
          <w:color w:val="000000"/>
          <w:sz w:val="20"/>
          <w:szCs w:val="20"/>
        </w:rPr>
      </w:pPr>
    </w:p>
    <w:p w14:paraId="0000002F" w14:textId="77777777" w:rsidR="00517175" w:rsidRDefault="00000000">
      <w:pPr>
        <w:numPr>
          <w:ilvl w:val="0"/>
          <w:numId w:val="1"/>
        </w:numPr>
        <w:pBdr>
          <w:top w:val="nil"/>
          <w:left w:val="nil"/>
          <w:bottom w:val="nil"/>
          <w:right w:val="nil"/>
          <w:between w:val="nil"/>
        </w:pBdr>
        <w:spacing w:after="0" w:line="240" w:lineRule="auto"/>
        <w:rPr>
          <w:color w:val="000000"/>
          <w:sz w:val="20"/>
          <w:szCs w:val="20"/>
        </w:rPr>
      </w:pPr>
      <w:r>
        <w:rPr>
          <w:rFonts w:ascii="Arial" w:eastAsia="Arial" w:hAnsi="Arial" w:cs="Arial"/>
          <w:color w:val="000000"/>
          <w:sz w:val="20"/>
          <w:szCs w:val="20"/>
        </w:rPr>
        <w:t>LANFRANCO GALLOFRE, M.F. and ONYENEHO, K. (2023). </w:t>
      </w:r>
      <w:r>
        <w:rPr>
          <w:rFonts w:ascii="Arial" w:eastAsia="Arial" w:hAnsi="Arial" w:cs="Arial"/>
          <w:i/>
          <w:iCs/>
          <w:color w:val="000000"/>
          <w:sz w:val="20"/>
          <w:szCs w:val="20"/>
        </w:rPr>
        <w:t>Understanding the value of secondary research data</w:t>
      </w:r>
      <w:r>
        <w:rPr>
          <w:rFonts w:ascii="Arial" w:eastAsia="Arial" w:hAnsi="Arial" w:cs="Arial"/>
          <w:color w:val="000000"/>
          <w:sz w:val="20"/>
          <w:szCs w:val="20"/>
        </w:rPr>
        <w:t>. [online] National Institute on Aging. Available at: https://www.nia.nih.gov/research/blog/2023/06/understanding-value-secondary-research-data.</w:t>
      </w:r>
    </w:p>
    <w:p w14:paraId="00000030" w14:textId="77777777" w:rsidR="00517175" w:rsidRDefault="00517175">
      <w:pPr>
        <w:rPr>
          <w:sz w:val="26"/>
          <w:szCs w:val="26"/>
        </w:rPr>
      </w:pPr>
    </w:p>
    <w:p w14:paraId="00000031" w14:textId="77777777" w:rsidR="00517175" w:rsidRDefault="00517175">
      <w:pPr>
        <w:rPr>
          <w:sz w:val="26"/>
          <w:szCs w:val="26"/>
        </w:rPr>
      </w:pPr>
    </w:p>
    <w:sectPr w:rsidR="0051717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Play">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mbria"/>
    <w:panose1 w:val="020B0604020202020204"/>
    <w:charset w:val="00"/>
    <w:family w:val="auto"/>
    <w:pitch w:val="default"/>
  </w:font>
  <w:font w:name="UICTFontTextStyleBody">
    <w:altName w:val="Cambria"/>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scYAojjl" int2:invalidationBookmarkName="" int2:hashCode="ySxSngcxxX79dV" int2:id="eZpNcyVv">
      <int2:state int2:value="Rejected" int2:type="style"/>
    </int2:bookmark>
    <int2:bookmark int2:bookmarkName="_Int_SHEA7oeT" int2:invalidationBookmarkName="" int2:hashCode="nooB8ljuYJMKIn" int2:id="00rl3Wm2">
      <int2:state int2:value="Rejected" int2:type="style"/>
    </int2:bookmark>
    <int2:bookmark int2:bookmarkName="_Int_Df1M1Fq9" int2:invalidationBookmarkName="" int2:hashCode="uHMFPRO3ci+X9y" int2:id="3ZuXmnq5">
      <int2:state int2:value="Rejected" int2:type="style"/>
    </int2:bookmark>
    <int2:bookmark int2:bookmarkName="_Int_YSyj9flP" int2:invalidationBookmarkName="" int2:hashCode="NZyFr9UBPaHvBg" int2:id="HeYk98Ep">
      <int2:state int2:value="Rejected" int2:type="style"/>
    </int2:bookmark>
    <int2:bookmark int2:bookmarkName="_Int_eDDgOGK0" int2:invalidationBookmarkName="" int2:hashCode="FOsU7OUt+ZwoS4" int2:id="CFVoyI9u">
      <int2:state int2:value="Rejected" int2:type="style"/>
    </int2:bookmark>
    <int2:bookmark int2:bookmarkName="_Int_oYGjjzlo" int2:invalidationBookmarkName="" int2:hashCode="wGaqei8aKWnHGI" int2:id="nqeyGV8Q">
      <int2:state int2:value="Rejected" int2:type="style"/>
    </int2:bookmark>
    <int2:bookmark int2:bookmarkName="_Int_S0MUVmyG" int2:invalidationBookmarkName="" int2:hashCode="MoY5WIGzvRNW3f" int2:id="KSRl0z14">
      <int2:state int2:value="Rejected" int2:type="gram"/>
    </int2:bookmark>
    <int2:bookmark int2:bookmarkName="_Int_mmENWaVZ" int2:invalidationBookmarkName="" int2:hashCode="zmyMHegDAtPFOS" int2:id="u0NcAsq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A0D4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337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175"/>
    <w:rsid w:val="00517175"/>
    <w:rsid w:val="00581522"/>
    <w:rsid w:val="00A159EF"/>
    <w:rsid w:val="00A6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D39A20"/>
  <w15:docId w15:val="{3FE8096E-0608-104F-A990-F4C6925C9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uffieldtrust.org.uk/resource/the-decline-of-publicly-funded-social-care-for-older-adults" TargetMode="External"/><Relationship Id="rId5" Type="http://schemas.openxmlformats.org/officeDocument/2006/relationships/hyperlink" Target="https://www.ageuk.org.uk/siteassets/documents/reports-and-publications/reports-and-briefings/health--wellbeing/state-of-health-and-care/state_of_health_and_social_care_24.pdf"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1741</Words>
  <Characters>9927</Characters>
  <Application>Microsoft Office Word</Application>
  <DocSecurity>0</DocSecurity>
  <Lines>82</Lines>
  <Paragraphs>23</Paragraphs>
  <ScaleCrop>false</ScaleCrop>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 Kamaran (2438805)</cp:lastModifiedBy>
  <cp:revision>3</cp:revision>
  <dcterms:created xsi:type="dcterms:W3CDTF">2025-12-16T17:05:00Z</dcterms:created>
  <dcterms:modified xsi:type="dcterms:W3CDTF">2025-12-16T17:06:00Z</dcterms:modified>
</cp:coreProperties>
</file>