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Times Roman" w:cs="Times Roman" w:hAnsi="Times Roman" w:eastAsia="Times Roman"/>
          <w:sz w:val="24"/>
          <w:szCs w:val="24"/>
        </w:rPr>
      </w:pPr>
      <w:r>
        <w:rPr>
          <w:rFonts w:ascii="Times Roman" w:hAnsi="Times Roman"/>
          <w:sz w:val="24"/>
          <w:szCs w:val="24"/>
          <w:rtl w:val="0"/>
          <w:lang w:val="en-US"/>
        </w:rPr>
        <w:t>Module Title: Ind</w:t>
      </w:r>
      <w:r>
        <w:rPr>
          <w:rFonts w:ascii="Times Roman" w:hAnsi="Times Roman" w:hint="default"/>
          <w:sz w:val="24"/>
          <w:szCs w:val="24"/>
          <w:rtl w:val="0"/>
          <w:lang w:val="en-US"/>
        </w:rPr>
        <w:t>é</w:t>
      </w:r>
      <w:r>
        <w:rPr>
          <w:rFonts w:ascii="Times Roman" w:hAnsi="Times Roman"/>
          <w:sz w:val="24"/>
          <w:szCs w:val="24"/>
          <w:rtl w:val="0"/>
          <w:lang w:val="en-US"/>
        </w:rPr>
        <w:t xml:space="preserve">pendant Study </w:t>
      </w:r>
    </w:p>
    <w:p>
      <w:pPr>
        <w:pStyle w:val="Body"/>
        <w:rPr>
          <w:rFonts w:ascii="Times Roman" w:cs="Times Roman" w:hAnsi="Times Roman" w:eastAsia="Times Roman"/>
          <w:sz w:val="24"/>
          <w:szCs w:val="24"/>
        </w:rPr>
      </w:pPr>
    </w:p>
    <w:p>
      <w:pPr>
        <w:pStyle w:val="Body"/>
        <w:rPr>
          <w:rFonts w:ascii="Times Roman" w:cs="Times Roman" w:hAnsi="Times Roman" w:eastAsia="Times Roman"/>
          <w:sz w:val="24"/>
          <w:szCs w:val="24"/>
        </w:rPr>
      </w:pPr>
      <w:r>
        <w:rPr>
          <w:rFonts w:ascii="Times Roman" w:hAnsi="Times Roman"/>
          <w:sz w:val="24"/>
          <w:szCs w:val="24"/>
          <w:rtl w:val="0"/>
          <w:lang w:val="en-US"/>
        </w:rPr>
        <w:t xml:space="preserve">Module code: BMPF7012 </w:t>
      </w:r>
    </w:p>
    <w:p>
      <w:pPr>
        <w:pStyle w:val="Body"/>
        <w:rPr>
          <w:rFonts w:ascii="Times Roman" w:cs="Times Roman" w:hAnsi="Times Roman" w:eastAsia="Times Roman"/>
          <w:sz w:val="24"/>
          <w:szCs w:val="24"/>
        </w:rPr>
      </w:pPr>
    </w:p>
    <w:p>
      <w:pPr>
        <w:pStyle w:val="Body"/>
        <w:rPr>
          <w:rFonts w:ascii="Times Roman" w:cs="Times Roman" w:hAnsi="Times Roman" w:eastAsia="Times Roman"/>
          <w:sz w:val="24"/>
          <w:szCs w:val="24"/>
        </w:rPr>
      </w:pPr>
      <w:r>
        <w:rPr>
          <w:rFonts w:ascii="Times Roman" w:hAnsi="Times Roman"/>
          <w:sz w:val="24"/>
          <w:szCs w:val="24"/>
          <w:rtl w:val="0"/>
          <w:lang w:val="en-US"/>
        </w:rPr>
        <w:t>Student Number: 2031096</w:t>
      </w:r>
    </w:p>
    <w:p>
      <w:pPr>
        <w:pStyle w:val="Body"/>
        <w:rPr>
          <w:rFonts w:ascii="Times Roman" w:cs="Times Roman" w:hAnsi="Times Roman" w:eastAsia="Times Roman"/>
          <w:sz w:val="24"/>
          <w:szCs w:val="24"/>
        </w:rPr>
      </w:pPr>
    </w:p>
    <w:p>
      <w:pPr>
        <w:pStyle w:val="Body"/>
        <w:rPr>
          <w:rFonts w:ascii="Times Roman" w:cs="Times Roman" w:hAnsi="Times Roman" w:eastAsia="Times Roman"/>
          <w:sz w:val="24"/>
          <w:szCs w:val="24"/>
        </w:rPr>
      </w:pPr>
      <w:r>
        <w:rPr>
          <w:rFonts w:ascii="Times Roman" w:hAnsi="Times Roman"/>
          <w:sz w:val="24"/>
          <w:szCs w:val="24"/>
          <w:rtl w:val="0"/>
          <w:lang w:val="en-US"/>
        </w:rPr>
        <w:t xml:space="preserve">Word Count 1172 </w:t>
      </w:r>
    </w:p>
    <w:p>
      <w:pPr>
        <w:pStyle w:val="Body"/>
        <w:rPr>
          <w:rFonts w:ascii="Times Roman" w:cs="Times Roman" w:hAnsi="Times Roman" w:eastAsia="Times Roman"/>
          <w:sz w:val="24"/>
          <w:szCs w:val="24"/>
        </w:rPr>
      </w:pPr>
    </w:p>
    <w:p>
      <w:pPr>
        <w:pStyle w:val="Body"/>
        <w:rPr>
          <w:rFonts w:ascii="Times Roman" w:cs="Times Roman" w:hAnsi="Times Roman" w:eastAsia="Times Roman"/>
          <w:sz w:val="24"/>
          <w:szCs w:val="24"/>
        </w:rPr>
      </w:pPr>
      <w:r>
        <w:rPr>
          <w:rFonts w:ascii="Times Roman" w:hAnsi="Times Roman"/>
          <w:sz w:val="24"/>
          <w:szCs w:val="24"/>
          <w:rtl w:val="0"/>
          <w:lang w:val="en-US"/>
        </w:rPr>
        <w:t xml:space="preserve">Assignment Title - Literature review to support the independent Study Module - Introduction of a Out Of Hospital Cardiac Arrest Desk Within Emergency Medical Coordination Services to support cardiac arrest survival in Wales </w:t>
      </w:r>
    </w:p>
    <w:p>
      <w:pPr>
        <w:pStyle w:val="Body"/>
        <w:bidi w:val="0"/>
      </w:pPr>
    </w:p>
    <w:p>
      <w:pPr>
        <w:pStyle w:val="Body"/>
        <w:bidi w:val="0"/>
      </w:pPr>
    </w:p>
    <w:p>
      <w:pPr>
        <w:pStyle w:val="Body"/>
        <w:bidi w:val="0"/>
      </w:pP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Literature Review: Introducing an Out-of-Hospital Cardiac Arrest Desk within Emergency Medical Coordination Services to Improve Survival</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fr-FR"/>
        </w:rPr>
        <w:t>Introduction</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Out-of-Hospital Cardiac Arrest (OHCA) is a critical public health concern in the UK, with more than 30,000 cardiac arrests occurring annually outside of hospital settings (Resuscitation Council UK, 2021). Despite advances in ambulance response times and public awareness initiatives, the survival rate remains low, with less than 10% of patients surviving to hospital discharge. The UK government, along with healthcare providers, has focused on enhancing emergency medical coordination and response systems, including the creation of a dedicated OHCA Desk within Emergency Medical Coordination Services (EMCS). This desk would offer real-time clinical guidance, facilitate video triage, and centralise expertise, aiming to improve survival outcomes and align with national health policies, such as the NHS Long Term Plan (2019), Scotland</w:t>
      </w:r>
      <w:r>
        <w:rPr>
          <w:rFonts w:ascii="Times Roman" w:hAnsi="Times Roman" w:hint="default"/>
          <w:rtl w:val="1"/>
        </w:rPr>
        <w:t>’</w:t>
      </w:r>
      <w:r>
        <w:rPr>
          <w:rFonts w:ascii="Times Roman" w:hAnsi="Times Roman"/>
          <w:rtl w:val="0"/>
        </w:rPr>
        <w:t>s OHCA Strategy 2021-2026, and Wales</w:t>
      </w:r>
      <w:r>
        <w:rPr>
          <w:rFonts w:ascii="Times Roman" w:hAnsi="Times Roman" w:hint="default"/>
          <w:rtl w:val="1"/>
        </w:rPr>
        <w:t>’</w:t>
      </w:r>
      <w:r>
        <w:rPr>
          <w:rFonts w:ascii="Times Roman" w:hAnsi="Times Roman"/>
          <w:rtl w:val="0"/>
          <w:lang w:val="en-US"/>
        </w:rPr>
        <w:t>s 2017 Out-of-Hospital Cardiac Arrest Plan.</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This literature review critically evaluates the potential impact of an OHCA Desk, using a blend of Kotter</w:t>
      </w:r>
      <w:r>
        <w:rPr>
          <w:rFonts w:ascii="Times Roman" w:hAnsi="Times Roman" w:hint="default"/>
          <w:rtl w:val="1"/>
        </w:rPr>
        <w:t>’</w:t>
      </w:r>
      <w:r>
        <w:rPr>
          <w:rFonts w:ascii="Times Roman" w:hAnsi="Times Roman"/>
          <w:rtl w:val="0"/>
          <w:lang w:val="en-US"/>
        </w:rPr>
        <w:t>s 8-Step Change Model (Kotter, 1996) and Gibbs</w:t>
      </w:r>
      <w:r>
        <w:rPr>
          <w:rFonts w:ascii="Times Roman" w:hAnsi="Times Roman" w:hint="default"/>
          <w:rtl w:val="1"/>
        </w:rPr>
        <w:t>’</w:t>
      </w:r>
      <w:r>
        <w:rPr>
          <w:rFonts w:ascii="Times Roman" w:hAnsi="Times Roman"/>
          <w:rtl w:val="0"/>
          <w:lang w:val="en-US"/>
        </w:rPr>
        <w:t>s Reflective Practice Model (Gibbs, 1988) as frameworks to examine the effectiveness of such an initiative. It draws on evidence from international and local case studies, including NHS pilot projects, and discusses the key challenges and benefits associated with this approach.</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Linking to Policy</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The NHS Long Term Plan (2019) sets a vision of improving OHCA outcomes by increasing the number of people receiving timely cardiopulmonary resuscitation (CPR) and defibrillation. Scotland</w:t>
      </w:r>
      <w:r>
        <w:rPr>
          <w:rFonts w:ascii="Times Roman" w:hAnsi="Times Roman" w:hint="default"/>
          <w:rtl w:val="1"/>
        </w:rPr>
        <w:t>’</w:t>
      </w:r>
      <w:r>
        <w:rPr>
          <w:rFonts w:ascii="Times Roman" w:hAnsi="Times Roman"/>
          <w:rtl w:val="0"/>
          <w:lang w:val="en-US"/>
        </w:rPr>
        <w:t>s national strategy (2021) aims to improve survival outcomes by enhancing bystander CPR and emergency care coordination. In Wales, the Out-of-Hospital Cardiac Arrest Plan (Welsh Government, 2017) has sought to create a nation of lifesavers through improved training and system integration. The creation of an OHCA Desk within EMCS aligns with these policy ambitions by improving system integration, and supporting a rapid and coordinated response to OHCAs.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Theoretical Framework: Kotter</w:t>
      </w:r>
      <w:r>
        <w:rPr>
          <w:rFonts w:ascii="Times Roman" w:hAnsi="Times Roman" w:hint="default"/>
          <w:rtl w:val="1"/>
        </w:rPr>
        <w:t>’</w:t>
      </w:r>
      <w:r>
        <w:rPr>
          <w:rFonts w:ascii="Times Roman" w:hAnsi="Times Roman"/>
          <w:rtl w:val="0"/>
          <w:lang w:val="en-US"/>
        </w:rPr>
        <w:t>s 8-Step Model of Change</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Create Urgency: The persistent low survival rate for OHCA in many parts of the UK necessitates a focus on improving survival outcomes. Creating urgency involves raising awareness about the disparities in OHCA survival rates across different regions (Sudden Cardiac Arrest UK, 2023) and demonstrating the potential impact of implementing an OHCA Desk in improving outcomes through coordinated and expert-led responses.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Form a Powerful Coalition: The success of implementing an OHCA Desk requires a collaborative effort among a multidisciplinary team, including paramedics, control room managers, clinicians, NHS strategists, and patient advocacy groups (Maclean &amp; Vannet, 2016). These stakeholders can drive the necessary cultural and operational changes to ensure the desk</w:t>
      </w:r>
      <w:r>
        <w:rPr>
          <w:rFonts w:ascii="Times Roman" w:hAnsi="Times Roman" w:hint="default"/>
          <w:rtl w:val="1"/>
        </w:rPr>
        <w:t>’</w:t>
      </w:r>
      <w:r>
        <w:rPr>
          <w:rFonts w:ascii="Times Roman" w:hAnsi="Times Roman"/>
          <w:rtl w:val="0"/>
          <w:lang w:val="it-IT"/>
        </w:rPr>
        <w:t>s success.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Create a Vision for Change: The vision for this change is to reduce variability in OHCA survival rates across the UK by introducing a centralised, clinically supported command-and-control function that enhances triage, provides real-time CPR guidance, and ensures swift decision-making during OHCA incidents.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Communicate the Vision: Communication strategies should focus on engaging stakeholders, using alignment with national policies such as the NHS Long Term Plan and Scotland</w:t>
      </w:r>
      <w:r>
        <w:rPr>
          <w:rFonts w:ascii="Times Roman" w:hAnsi="Times Roman" w:hint="default"/>
          <w:rtl w:val="1"/>
        </w:rPr>
        <w:t>’</w:t>
      </w:r>
      <w:r>
        <w:rPr>
          <w:rFonts w:ascii="Times Roman" w:hAnsi="Times Roman"/>
          <w:rtl w:val="0"/>
          <w:lang w:val="en-US"/>
        </w:rPr>
        <w:t>s OHCA Strategy to garner widespread support and commitment from regional health authorities and emergency services.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Remove Obstacles: Barriers to implementation include the need for investment in technology (video-enabled triage systems), overcoming logistical challenges, and building confidence among dispatchers. Addressing these obstacles requires adequate funding, training, and technical support.</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 xml:space="preserve">Create Short-Term Wins: Quick wins could include the successful implementation of pilot projects, such as those seen in the East of England, which saw improvements in CPR effectiveness and faster response times following the introduction of a dedicated OHCA Desk (AACE, 2023). </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Build on the Change: Expanding the remit of the OHCA Desk to include post-resuscitation care and providing continuous feedback for quality improvement</w:t>
      </w:r>
      <w:r>
        <w:rPr>
          <w:rFonts w:ascii="Times Roman" w:hAnsi="Times Roman"/>
          <w:rtl w:val="0"/>
          <w:lang w:val="en-US"/>
        </w:rPr>
        <w:t>.</w:t>
      </w:r>
      <w:r>
        <w:rPr>
          <w:rFonts w:ascii="Times Roman" w:hAnsi="Times Roman"/>
          <w:rtl w:val="0"/>
        </w:rPr>
        <w:t xml:space="preserve"> </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Anchor the Changes: To ensure long-term success, the OHCA Desk must be embedded within the routine operations of control rooms</w:t>
      </w:r>
      <w:r>
        <w:rPr>
          <w:rFonts w:ascii="Times Roman" w:hAnsi="Times Roman"/>
          <w:rtl w:val="0"/>
          <w:lang w:val="en-US"/>
        </w:rPr>
        <w:t>.</w:t>
      </w:r>
    </w:p>
    <w:p>
      <w:pPr>
        <w:pStyle w:val="Default"/>
        <w:suppressAutoHyphens w:val="1"/>
        <w:spacing w:before="0" w:after="299" w:line="360" w:lineRule="auto"/>
        <w:rPr>
          <w:rFonts w:ascii="Times Roman" w:cs="Times Roman" w:hAnsi="Times Roman" w:eastAsia="Times Roman"/>
        </w:rPr>
      </w:pPr>
      <w:r>
        <w:rPr>
          <w:rFonts w:ascii="Times Roman" w:hAnsi="Times Roman"/>
          <w:rtl w:val="0"/>
        </w:rPr>
        <w:t>Gibbs</w:t>
      </w:r>
      <w:r>
        <w:rPr>
          <w:rFonts w:ascii="Times Roman" w:hAnsi="Times Roman" w:hint="default"/>
          <w:rtl w:val="1"/>
        </w:rPr>
        <w:t>’</w:t>
      </w:r>
      <w:r>
        <w:rPr>
          <w:rFonts w:ascii="Times Roman" w:hAnsi="Times Roman"/>
          <w:rtl w:val="0"/>
          <w:lang w:val="en-US"/>
        </w:rPr>
        <w:t>s Reflective Practice Model</w:t>
      </w:r>
    </w:p>
    <w:p>
      <w:pPr>
        <w:pStyle w:val="Default"/>
        <w:suppressAutoHyphens w:val="1"/>
        <w:spacing w:before="0" w:after="299" w:line="360" w:lineRule="auto"/>
        <w:rPr>
          <w:rFonts w:ascii="Times Roman" w:cs="Times Roman" w:hAnsi="Times Roman" w:eastAsia="Times Roman"/>
        </w:rPr>
      </w:pPr>
      <w:r>
        <w:rPr>
          <w:rFonts w:ascii="Times Roman" w:hAnsi="Times Roman"/>
          <w:rtl w:val="0"/>
        </w:rPr>
        <w:t>Gibbs</w:t>
      </w:r>
      <w:r>
        <w:rPr>
          <w:rFonts w:ascii="Times Roman" w:hAnsi="Times Roman" w:hint="default"/>
          <w:rtl w:val="1"/>
        </w:rPr>
        <w:t>’</w:t>
      </w:r>
      <w:r>
        <w:rPr>
          <w:rFonts w:ascii="Times Roman" w:hAnsi="Times Roman"/>
          <w:rtl w:val="0"/>
          <w:lang w:val="en-US"/>
        </w:rPr>
        <w:t>s model emphasizes the importance of reflection in professional practice, which is particularly relevant in emergency medical coordination. The OHCA Desk offers an opportunity for continuous reflection on response practices, triage procedures, and clinical outcomes. Reflection during the implementation phase can be guided by the following steps: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Description: Initial pilot projects of the OHCA Desk, such as those in East of England and London, provide valuable insights into the desk's impact on survival rates and dispatcher effectiveness (AACE, 2023; LAS, 2023).</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Feelings: Stakeholders involved in these projects may experience mixed feelings regarding the complexity and resource demands of the new systems. Engaging these stakeholders early and ensuring their buy-in.</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Evaluation: The success of the OHCA Desk should be evaluated by examining survival rates, dispatch-to-treatment times, and the quality of bystander CPR.</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 xml:space="preserve">Analysis: By </w:t>
      </w:r>
      <w:r>
        <w:rPr>
          <w:rFonts w:ascii="Times Roman" w:hAnsi="Times Roman"/>
          <w:rtl w:val="0"/>
          <w:lang w:val="en-US"/>
        </w:rPr>
        <w:t>analysing</w:t>
      </w:r>
      <w:r>
        <w:rPr>
          <w:rFonts w:ascii="Times Roman" w:hAnsi="Times Roman"/>
          <w:rtl w:val="0"/>
          <w:lang w:val="en-US"/>
        </w:rPr>
        <w:t xml:space="preserve"> data from pilot projects and comparing it with previous outcomes, it is possible to assess whether the introduction of the OHCA Desk  survival rates.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Conclusion: Continuous reflection through the pilot and rollout phases can help improve the desk</w:t>
      </w:r>
      <w:r>
        <w:rPr>
          <w:rFonts w:ascii="Times Roman" w:hAnsi="Times Roman" w:hint="default"/>
          <w:rtl w:val="1"/>
        </w:rPr>
        <w:t>’</w:t>
      </w:r>
      <w:r>
        <w:rPr>
          <w:rFonts w:ascii="Times Roman" w:hAnsi="Times Roman"/>
          <w:rtl w:val="0"/>
          <w:lang w:val="en-US"/>
        </w:rPr>
        <w:t>s design and operation, making it a more effective tool in saving lives.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Action Plan: Incorporating feedback from initial pilots into future designs and operational models ensures that the system evolves to meet its intended goals.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Evidence from International and Local Practice</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da-DK"/>
        </w:rPr>
        <w:t>Denmark: Denmark</w:t>
      </w:r>
      <w:r>
        <w:rPr>
          <w:rFonts w:ascii="Times Roman" w:hAnsi="Times Roman" w:hint="default"/>
          <w:rtl w:val="1"/>
        </w:rPr>
        <w:t>’</w:t>
      </w:r>
      <w:r>
        <w:rPr>
          <w:rFonts w:ascii="Times Roman" w:hAnsi="Times Roman"/>
          <w:rtl w:val="0"/>
          <w:lang w:val="en-US"/>
        </w:rPr>
        <w:t>s OHCA survival rate increased from 4% to 16% between 2001 and 2020, driven by systemic changes, including centralised dispatcher decision-support, real-time clinical advice, and video triage (Hansen et al., 2022). This success is attributed to effective integration of new technologies and training, serving as a model for the UK.</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North America: In King County, Washington, OHCA survival rates for shockable rhythms reach 20-25%, partly due to innovations such as dispatcher-assisted CPR and video-enabled triage systems (Cobb et al., 2012). These innovations improved bystander CPR quality, suggesting that a similar approach could be effective in the UK.</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UK Practice: The East of England trial of a dedicated OHCA Desk demonstrated a marked improvement in bystander CPR effectiveness and reduced response times (AACE, 2023). Similarly, London</w:t>
      </w:r>
      <w:r>
        <w:rPr>
          <w:rFonts w:ascii="Times Roman" w:hAnsi="Times Roman" w:hint="default"/>
          <w:rtl w:val="1"/>
        </w:rPr>
        <w:t>’</w:t>
      </w:r>
      <w:r>
        <w:rPr>
          <w:rFonts w:ascii="Times Roman" w:hAnsi="Times Roman"/>
          <w:rtl w:val="0"/>
          <w:lang w:val="en-US"/>
        </w:rPr>
        <w:t>s ARREST trial, which involved rapid triage and patient transfer to specialized cardiac centers, highlighted the benefits of centralized decision-making in improving patient outcomes (LAS, 2023).</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Challenges and Benefits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Benefits: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Improved survival rates due to better-coordinated responses (Bolle et al., 2010).</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Enhanced bystander CPR effectiveness through real-time guidance (Patel et al., 2021).</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Faster identification and triage of cardiac arrest incidents.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Challenges: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Digital equity: Ensuring reliable broadband access for video triage in remote areas.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Training: Overcoming resistance to change and ensuring that all staff are adequately trained in new systems.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Resource pressures: Balancing the need for an OHCA Desk with other emergency service priorities.</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it-IT"/>
        </w:rPr>
        <w:t>Conclusion</w:t>
      </w:r>
    </w:p>
    <w:p>
      <w:pPr>
        <w:pStyle w:val="Default"/>
        <w:suppressAutoHyphens w:val="1"/>
        <w:spacing w:before="0" w:after="299" w:line="360" w:lineRule="auto"/>
        <w:rPr>
          <w:rFonts w:ascii="Times Roman" w:cs="Times Roman" w:hAnsi="Times Roman" w:eastAsia="Times Roman"/>
        </w:rPr>
      </w:pPr>
      <w:r>
        <w:rPr>
          <w:rFonts w:ascii="Times Roman" w:hAnsi="Times Roman"/>
          <w:rtl w:val="0"/>
          <w:lang w:val="en-US"/>
        </w:rPr>
        <w:t>The introduction of an OHCA Desk within Emergency Medical Coordination Services represents a promising innovation for improving survival rates following out-of-hospital cardiac arrest. The use of Kotter</w:t>
      </w:r>
      <w:r>
        <w:rPr>
          <w:rFonts w:ascii="Times Roman" w:hAnsi="Times Roman" w:hint="default"/>
          <w:rtl w:val="1"/>
        </w:rPr>
        <w:t>’</w:t>
      </w:r>
      <w:r>
        <w:rPr>
          <w:rFonts w:ascii="Times Roman" w:hAnsi="Times Roman"/>
          <w:rtl w:val="0"/>
          <w:lang w:val="en-US"/>
        </w:rPr>
        <w:t>s 8-Step Change Model provides a structured approach to implementing the desk, while Gibbs</w:t>
      </w:r>
      <w:r>
        <w:rPr>
          <w:rFonts w:ascii="Times Roman" w:hAnsi="Times Roman" w:hint="default"/>
          <w:rtl w:val="1"/>
        </w:rPr>
        <w:t>’</w:t>
      </w:r>
      <w:r>
        <w:rPr>
          <w:rFonts w:ascii="Times Roman" w:hAnsi="Times Roman"/>
          <w:rtl w:val="0"/>
          <w:lang w:val="en-US"/>
        </w:rPr>
        <w:t>s Reflective Practice Model ensures continuous learning and adaptation throughout the process. Evidence from international and local examples supports the effectiveness of such centralized coordination and real-time clinical support. With careful planning, investment in technology and training, and engagement with key stakeholders, the OHCA Desk has the potential to significantly enhance outcomes and align with national health policies aimed at improving emergency medical services across the UK.</w:t>
      </w:r>
    </w:p>
    <w:p>
      <w:pPr>
        <w:pStyle w:val="Default"/>
        <w:suppressAutoHyphens w:val="1"/>
        <w:spacing w:before="0" w:after="299" w:line="360" w:lineRule="auto"/>
        <w:rPr>
          <w:rFonts w:ascii="Times Roman" w:cs="Times Roman" w:hAnsi="Times Roman" w:eastAsia="Times Roman"/>
        </w:rPr>
      </w:pPr>
    </w:p>
    <w:p>
      <w:pPr>
        <w:pStyle w:val="Default"/>
        <w:suppressAutoHyphens w:val="1"/>
        <w:spacing w:before="0" w:after="299" w:line="360" w:lineRule="auto"/>
      </w:pPr>
      <w:r>
        <w:rPr>
          <w:rFonts w:ascii="Arial Unicode MS" w:cs="Arial Unicode MS" w:hAnsi="Arial Unicode MS" w:eastAsia="Arial Unicode MS"/>
          <w:b w:val="0"/>
          <w:bCs w:val="0"/>
          <w:i w:val="0"/>
          <w:iCs w:val="0"/>
        </w:rPr>
        <w:br w:type="page"/>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Reference List.</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Aylward, M., Phiilips, C. and Howson, H. (2013). simply Prudent Healthcare - achieving better care and value for money In Wales - discussion paper. [online] CTR Training . Bevan Commission . Available at: https://ctrtraining.co.uk/documents/BevanCommissionSimplyPrudentHealthcarev104122013.pdf [Accessed 21 Mar. 202</w:t>
      </w:r>
      <w:r>
        <w:rPr>
          <w:rFonts w:ascii="Times Roman" w:hAnsi="Times Roman"/>
          <w:outline w:val="0"/>
          <w:color w:val="808080"/>
          <w:rtl w:val="0"/>
          <w:lang w:val="en-US"/>
          <w14:textFill>
            <w14:solidFill>
              <w14:srgbClr w14:val="808080"/>
            </w14:solidFill>
          </w14:textFill>
        </w:rPr>
        <w:t>5</w:t>
      </w:r>
      <w:r>
        <w:rPr>
          <w:rFonts w:ascii="Times Roman" w:hAnsi="Times Roman"/>
          <w:outline w:val="0"/>
          <w:color w:val="808080"/>
          <w:rtl w:val="0"/>
          <w:lang w:val="pt-PT"/>
          <w14:textFill>
            <w14:solidFill>
              <w14:srgbClr w14:val="808080"/>
            </w14:solidFill>
          </w14:textFill>
        </w:rPr>
        <w:t>].</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Burnes, B. (2004). Kurt Lewin and the Planned Approach to Change: A Re-Appraisal. Journal of Management Studies, 41(6), pp.977</w:t>
      </w:r>
      <w:r>
        <w:rPr>
          <w:rFonts w:ascii="Times Roman" w:hAnsi="Times Roman" w:hint="default"/>
          <w:outline w:val="0"/>
          <w:color w:val="808080"/>
          <w:rtl w:val="0"/>
          <w14:textFill>
            <w14:solidFill>
              <w14:srgbClr w14:val="808080"/>
            </w14:solidFill>
          </w14:textFill>
        </w:rPr>
        <w:t>–</w:t>
      </w:r>
      <w:r>
        <w:rPr>
          <w:rFonts w:ascii="Times Roman" w:hAnsi="Times Roman"/>
          <w:outline w:val="0"/>
          <w:color w:val="808080"/>
          <w:rtl w:val="0"/>
          <w:lang w:val="en-US"/>
          <w14:textFill>
            <w14:solidFill>
              <w14:srgbClr w14:val="808080"/>
            </w14:solidFill>
          </w14:textFill>
        </w:rPr>
        <w:t>1002. doi:https://doi.org/10.1111/j.1467-6486.2004.00463.x.</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Cottrell, S. (2023). Critical thinking skills : developing effective analysis and argument. 2nd ed. Basingstoke: Palgrave Macmillan.</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Denison, D., Nieminen, L. and Kotrba, L. (2012a). Diagnosing organizational cultures: A conceptual and empirical review of culture effectiveness surveys. European Journal of Work and Organizational Psychology, 23(1), pp.145</w:t>
      </w:r>
      <w:r>
        <w:rPr>
          <w:rFonts w:ascii="Times Roman" w:hAnsi="Times Roman" w:hint="default"/>
          <w:outline w:val="0"/>
          <w:color w:val="808080"/>
          <w:rtl w:val="0"/>
          <w14:textFill>
            <w14:solidFill>
              <w14:srgbClr w14:val="808080"/>
            </w14:solidFill>
          </w14:textFill>
        </w:rPr>
        <w:t>–</w:t>
      </w:r>
      <w:r>
        <w:rPr>
          <w:rFonts w:ascii="Times Roman" w:hAnsi="Times Roman"/>
          <w:outline w:val="0"/>
          <w:color w:val="808080"/>
          <w:rtl w:val="0"/>
          <w:lang w:val="pt-PT"/>
          <w14:textFill>
            <w14:solidFill>
              <w14:srgbClr w14:val="808080"/>
            </w14:solidFill>
          </w14:textFill>
        </w:rPr>
        <w:t>161. doi:https://doi.org/10.1080/1359432x.2012.713173.</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Gibbs, G. (1988). Learning by doing: A guide to teaching and learning methods. Oxford: Further Education Unit.</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Hasselqvist-Ax, I., Riva, G., Herlitz, J., Rosenqvist, M., Hollenberg, J., Nordberg, P., Ringh, M., Jonsson, M., Axelsson, C., Lindqvist, J., Karlsson, T. and Svensson, L. (2015). Early Cardiopulmonary Resuscitation in Out-of-Hospital Cardiac Arrest. New England Journal of Medicine, [online] 372(24), pp.2307</w:t>
      </w:r>
      <w:r>
        <w:rPr>
          <w:rFonts w:ascii="Times Roman" w:hAnsi="Times Roman" w:hint="default"/>
          <w:outline w:val="0"/>
          <w:color w:val="808080"/>
          <w:rtl w:val="0"/>
          <w14:textFill>
            <w14:solidFill>
              <w14:srgbClr w14:val="808080"/>
            </w14:solidFill>
          </w14:textFill>
        </w:rPr>
        <w:t>–</w:t>
      </w:r>
      <w:r>
        <w:rPr>
          <w:rFonts w:ascii="Times Roman" w:hAnsi="Times Roman"/>
          <w:outline w:val="0"/>
          <w:color w:val="808080"/>
          <w:rtl w:val="0"/>
          <w14:textFill>
            <w14:solidFill>
              <w14:srgbClr w14:val="808080"/>
            </w14:solidFill>
          </w14:textFill>
        </w:rPr>
        <w:t>2315. doi:https://doi.org/10.1056/nejmoa1405796.</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Knowles, M.S., Holton III, E.F., Swanson, R.A. and Robinson, P.A. (2020). The adult learner : The definitive classic in adult education and human resource development. 9th ed. Milton Park, Abingdon, Oxon ; New York, Ny: Routledge, Cop.</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Kotter, J.P. (1996). Leading change. Boston, Mass.: Harvard Business School Press.</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Moon, J.A. (2004). A Handbook of Reflective and Experiential Learning : Theory and Practice. Hoboken: Taylor and Francis.</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NHS Institute for Innovation and Improvement2008 (2008). The NHS Change Model: Organisational Health and Sustainability Framework. Coventry : NHS Institute for Innovation and Improvement.</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14:textFill>
            <w14:solidFill>
              <w14:srgbClr w14:val="808080"/>
            </w14:solidFill>
          </w14:textFill>
        </w:rPr>
        <w:t>Perkins, G.D., Jacobs, I.G., Nadkarni, V.M., Berg, R.A., Bhanji, F., Biarent, D., Bossaert, L.L., Brett, S.J., Chamberlain, D., de Caen, A.R., Deakin, C.D., Finn, J.C., Gr</w:t>
      </w:r>
      <w:r>
        <w:rPr>
          <w:rFonts w:ascii="Times Roman" w:hAnsi="Times Roman" w:hint="default"/>
          <w:outline w:val="0"/>
          <w:color w:val="808080"/>
          <w:rtl w:val="0"/>
          <w14:textFill>
            <w14:solidFill>
              <w14:srgbClr w14:val="808080"/>
            </w14:solidFill>
          </w14:textFill>
        </w:rPr>
        <w:t>ä</w:t>
      </w:r>
      <w:r>
        <w:rPr>
          <w:rFonts w:ascii="Times Roman" w:hAnsi="Times Roman"/>
          <w:outline w:val="0"/>
          <w:color w:val="808080"/>
          <w:rtl w:val="0"/>
          <w:lang w:val="en-US"/>
          <w14:textFill>
            <w14:solidFill>
              <w14:srgbClr w14:val="808080"/>
            </w14:solidFill>
          </w14:textFill>
        </w:rPr>
        <w:t>sner, J.-T., Hazinski, M.F., Iwami, T., Koster, R.W., Lim, S.H., Huei-Ming Ma, M., McNally, B.F. and Morley, P.T. (2015). Cardiac Arrest and Cardiopulmonary Resuscitation Outcome Reports: Update of the Utstein Resuscitation Registry Templates for Out-of-Hospital Cardiac Arrest. Circulation, 132(13), pp.1286</w:t>
      </w:r>
      <w:r>
        <w:rPr>
          <w:rFonts w:ascii="Times Roman" w:hAnsi="Times Roman" w:hint="default"/>
          <w:outline w:val="0"/>
          <w:color w:val="808080"/>
          <w:rtl w:val="0"/>
          <w14:textFill>
            <w14:solidFill>
              <w14:srgbClr w14:val="808080"/>
            </w14:solidFill>
          </w14:textFill>
        </w:rPr>
        <w:t>–</w:t>
      </w:r>
      <w:r>
        <w:rPr>
          <w:rFonts w:ascii="Times Roman" w:hAnsi="Times Roman"/>
          <w:outline w:val="0"/>
          <w:color w:val="808080"/>
          <w:rtl w:val="0"/>
          <w:lang w:val="pt-PT"/>
          <w14:textFill>
            <w14:solidFill>
              <w14:srgbClr w14:val="808080"/>
            </w14:solidFill>
          </w14:textFill>
        </w:rPr>
        <w:t>1300. doi:https://doi.org/10.1161/cir.0000000000000144.</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de-DE"/>
          <w14:textFill>
            <w14:solidFill>
              <w14:srgbClr w14:val="808080"/>
            </w14:solidFill>
          </w14:textFill>
        </w:rPr>
        <w:t>Sch</w:t>
      </w:r>
      <w:r>
        <w:rPr>
          <w:rFonts w:ascii="Times Roman" w:hAnsi="Times Roman" w:hint="default"/>
          <w:outline w:val="0"/>
          <w:color w:val="808080"/>
          <w:rtl w:val="0"/>
          <w:lang w:val="sv-SE"/>
          <w14:textFill>
            <w14:solidFill>
              <w14:srgbClr w14:val="808080"/>
            </w14:solidFill>
          </w14:textFill>
        </w:rPr>
        <w:t>ö</w:t>
      </w:r>
      <w:r>
        <w:rPr>
          <w:rFonts w:ascii="Times Roman" w:hAnsi="Times Roman"/>
          <w:outline w:val="0"/>
          <w:color w:val="808080"/>
          <w:rtl w:val="0"/>
          <w:lang w:val="en-US"/>
          <w14:textFill>
            <w14:solidFill>
              <w14:srgbClr w14:val="808080"/>
            </w14:solidFill>
          </w14:textFill>
        </w:rPr>
        <w:t>n, D.A. (1983). The Reflective Practitioner: How Professionals Think in action. London: Temple Smith.</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Senge, P.M. (1990). The Fifth Discipline. Broadway Business.</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Van Brink-Budgen, R. (2000). Critical Thinking for Students : learn the skills of critical assessment and effective argument. Oxford: How To Books.</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Welsh Ambulance Services University NHS Trust (2023). Integrated Medium Term Plan . [online] Welsh Ambulance Services university NHS Trust integrated medium term plan . Cwmbran : Welsh Ambulance Services University NHS Trust . Available at: https://ambulance.nhs.wales/files/publications/strategies-and-plans/imtp-public-summary-may-2023/ [Accessed 12 Mar. 2025].</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r>
        <w:rPr>
          <w:rFonts w:ascii="Times Roman" w:hAnsi="Times Roman"/>
          <w:outline w:val="0"/>
          <w:color w:val="808080"/>
          <w:rtl w:val="0"/>
          <w:lang w:val="en-US"/>
          <w14:textFill>
            <w14:solidFill>
              <w14:srgbClr w14:val="808080"/>
            </w14:solidFill>
          </w14:textFill>
        </w:rPr>
        <w:t>Welsh Government (2023). Digital and Data Strategy for Health and Social Care in Wales. [online] Cardiff: Welsh Government . Available at: https://www.gov.wales/digital-and-data-strategy-health-and-social-care-wales-html [Accessed 15 Apr. 2025].</w:t>
      </w:r>
    </w:p>
    <w:p>
      <w:pPr>
        <w:pStyle w:val="Default"/>
        <w:suppressAutoHyphens w:val="1"/>
        <w:spacing w:before="0" w:line="360" w:lineRule="auto"/>
        <w:rPr>
          <w:rFonts w:ascii="Times Roman" w:cs="Times Roman" w:hAnsi="Times Roman" w:eastAsia="Times Roman"/>
          <w:outline w:val="0"/>
          <w:color w:val="808080"/>
          <w14:textFill>
            <w14:solidFill>
              <w14:srgbClr w14:val="808080"/>
            </w14:solidFill>
          </w14:textFill>
        </w:rPr>
      </w:pPr>
    </w:p>
    <w:p>
      <w:pPr>
        <w:pStyle w:val="Default"/>
        <w:suppressAutoHyphens w:val="1"/>
        <w:spacing w:before="0" w:line="360" w:lineRule="auto"/>
      </w:pPr>
      <w:r>
        <w:rPr>
          <w:rFonts w:ascii="Times Roman" w:hAnsi="Times Roman"/>
          <w:outline w:val="0"/>
          <w:color w:val="808080"/>
          <w:rtl w:val="0"/>
          <w:lang w:val="en-US"/>
          <w14:textFill>
            <w14:solidFill>
              <w14:srgbClr w14:val="808080"/>
            </w14:solidFill>
          </w14:textFill>
        </w:rPr>
        <w:t>Welsh Government (2017). Out of Hospital Cardiac Arrest Plan. Cardiff: Welsh Government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