
<file path=[Content_Types].xml><?xml version="1.0" encoding="utf-8"?>
<Types xmlns="http://schemas.openxmlformats.org/package/2006/content-types">
  <Default Extension="png" ContentType="image/png"/>
  <Default Extension="tmp"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48E4" w:rsidRPr="00476F6D" w:rsidRDefault="009248E4" w:rsidP="009248E4">
      <w:pPr>
        <w:spacing w:before="212"/>
        <w:jc w:val="center"/>
        <w:rPr>
          <w:rFonts w:asciiTheme="minorBidi" w:hAnsiTheme="minorBidi"/>
          <w:b/>
          <w:sz w:val="56"/>
          <w:szCs w:val="56"/>
        </w:rPr>
      </w:pPr>
      <w:r w:rsidRPr="00476F6D">
        <w:rPr>
          <w:rFonts w:asciiTheme="minorBidi" w:hAnsiTheme="minorBidi"/>
          <w:noProof/>
          <w:lang w:eastAsia="en-GB"/>
        </w:rPr>
        <w:drawing>
          <wp:inline distT="0" distB="0" distL="0" distR="0" wp14:anchorId="0EF5E794" wp14:editId="0AC1CD25">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9248E4" w:rsidRPr="00476F6D" w:rsidRDefault="009248E4" w:rsidP="009248E4">
      <w:pPr>
        <w:spacing w:before="212"/>
        <w:rPr>
          <w:rFonts w:asciiTheme="minorBidi" w:hAnsiTheme="minorBidi"/>
          <w:b/>
          <w:sz w:val="56"/>
        </w:rPr>
      </w:pPr>
    </w:p>
    <w:p w:rsidR="009248E4" w:rsidRPr="00476F6D" w:rsidRDefault="009248E4" w:rsidP="009248E4">
      <w:pPr>
        <w:spacing w:before="212"/>
        <w:rPr>
          <w:rFonts w:asciiTheme="minorBidi" w:hAnsiTheme="minorBidi"/>
          <w:b/>
          <w:sz w:val="40"/>
          <w:szCs w:val="40"/>
          <w:highlight w:val="yellow"/>
          <w:lang w:val="fr-FR"/>
        </w:rPr>
      </w:pPr>
      <w:r w:rsidRPr="00476F6D">
        <w:rPr>
          <w:rFonts w:asciiTheme="minorBidi" w:hAnsiTheme="minorBidi"/>
          <w:b/>
          <w:bCs/>
          <w:sz w:val="48"/>
          <w:szCs w:val="48"/>
          <w:lang w:val="fr-FR"/>
        </w:rPr>
        <w:t>MODULE CODE: ECPT6005</w:t>
      </w:r>
    </w:p>
    <w:p w:rsidR="009248E4" w:rsidRPr="00476F6D" w:rsidRDefault="009248E4" w:rsidP="009248E4">
      <w:pPr>
        <w:spacing w:before="212"/>
        <w:rPr>
          <w:rFonts w:asciiTheme="minorBidi" w:hAnsiTheme="minorBidi"/>
          <w:b/>
          <w:sz w:val="48"/>
          <w:szCs w:val="48"/>
          <w:lang w:val="fr-FR"/>
        </w:rPr>
      </w:pPr>
    </w:p>
    <w:p w:rsidR="009248E4" w:rsidRPr="00476F6D" w:rsidRDefault="009248E4" w:rsidP="009248E4">
      <w:pPr>
        <w:spacing w:before="212"/>
        <w:rPr>
          <w:rFonts w:asciiTheme="minorBidi" w:hAnsiTheme="minorBidi"/>
          <w:b/>
          <w:sz w:val="48"/>
          <w:szCs w:val="48"/>
          <w:lang w:val="fr-FR"/>
        </w:rPr>
      </w:pPr>
      <w:r w:rsidRPr="00476F6D">
        <w:rPr>
          <w:rFonts w:asciiTheme="minorBidi" w:hAnsiTheme="minorBidi"/>
          <w:b/>
          <w:sz w:val="48"/>
          <w:szCs w:val="48"/>
          <w:lang w:val="fr-FR"/>
        </w:rPr>
        <w:t>ASSESSMENT COMPONENT:</w:t>
      </w:r>
      <w:r w:rsidRPr="00476F6D">
        <w:rPr>
          <w:rFonts w:asciiTheme="minorBidi" w:hAnsiTheme="minorBidi"/>
          <w:b/>
          <w:bCs/>
          <w:sz w:val="48"/>
          <w:szCs w:val="48"/>
          <w:lang w:val="fr-FR"/>
        </w:rPr>
        <w:t xml:space="preserve"> 1 – </w:t>
      </w:r>
      <w:r w:rsidRPr="00476F6D">
        <w:rPr>
          <w:rFonts w:asciiTheme="minorBidi" w:hAnsiTheme="minorBidi"/>
          <w:b/>
          <w:bCs/>
          <w:sz w:val="48"/>
          <w:szCs w:val="48"/>
        </w:rPr>
        <w:t>Reflective</w:t>
      </w:r>
      <w:r w:rsidRPr="00476F6D">
        <w:rPr>
          <w:rFonts w:asciiTheme="minorBidi" w:hAnsiTheme="minorBidi"/>
          <w:b/>
          <w:bCs/>
          <w:sz w:val="48"/>
          <w:szCs w:val="48"/>
          <w:lang w:val="fr-FR"/>
        </w:rPr>
        <w:t xml:space="preserve"> </w:t>
      </w:r>
      <w:r w:rsidRPr="00476F6D">
        <w:rPr>
          <w:rFonts w:asciiTheme="minorBidi" w:hAnsiTheme="minorBidi"/>
          <w:b/>
          <w:bCs/>
          <w:sz w:val="48"/>
          <w:szCs w:val="48"/>
        </w:rPr>
        <w:t>Assignment</w:t>
      </w:r>
    </w:p>
    <w:p w:rsidR="009248E4" w:rsidRPr="00476F6D" w:rsidRDefault="009248E4" w:rsidP="009248E4">
      <w:pPr>
        <w:spacing w:before="7"/>
        <w:jc w:val="center"/>
        <w:rPr>
          <w:rFonts w:asciiTheme="minorBidi" w:hAnsiTheme="minorBidi"/>
          <w:b/>
          <w:sz w:val="44"/>
        </w:rPr>
      </w:pPr>
    </w:p>
    <w:p w:rsidR="009248E4" w:rsidRPr="00476F6D" w:rsidRDefault="009248E4" w:rsidP="009248E4">
      <w:pPr>
        <w:spacing w:before="3"/>
        <w:rPr>
          <w:rFonts w:asciiTheme="minorBidi" w:hAnsiTheme="minorBidi"/>
          <w:b/>
          <w:sz w:val="48"/>
          <w:szCs w:val="48"/>
        </w:rPr>
      </w:pPr>
      <w:r w:rsidRPr="00476F6D">
        <w:rPr>
          <w:rFonts w:asciiTheme="minorBidi" w:hAnsiTheme="minorBidi"/>
          <w:b/>
          <w:sz w:val="48"/>
          <w:szCs w:val="48"/>
        </w:rPr>
        <w:t>STUDENT NAME:</w:t>
      </w:r>
      <w:r>
        <w:rPr>
          <w:rFonts w:asciiTheme="minorBidi" w:hAnsiTheme="minorBidi"/>
          <w:b/>
          <w:sz w:val="48"/>
          <w:szCs w:val="48"/>
        </w:rPr>
        <w:t xml:space="preserve"> Gareth Edwards</w:t>
      </w:r>
    </w:p>
    <w:p w:rsidR="009248E4" w:rsidRPr="00476F6D" w:rsidRDefault="009248E4" w:rsidP="009248E4">
      <w:pPr>
        <w:spacing w:before="3"/>
        <w:rPr>
          <w:rFonts w:asciiTheme="minorBidi" w:hAnsiTheme="minorBidi"/>
          <w:b/>
          <w:sz w:val="48"/>
          <w:szCs w:val="48"/>
        </w:rPr>
      </w:pPr>
    </w:p>
    <w:p w:rsidR="009248E4" w:rsidRPr="00476F6D" w:rsidRDefault="009248E4" w:rsidP="009248E4">
      <w:pPr>
        <w:spacing w:before="3"/>
        <w:rPr>
          <w:rFonts w:asciiTheme="minorBidi" w:hAnsiTheme="minorBidi"/>
          <w:b/>
          <w:sz w:val="48"/>
          <w:szCs w:val="48"/>
        </w:rPr>
      </w:pPr>
      <w:r w:rsidRPr="00476F6D">
        <w:rPr>
          <w:rFonts w:asciiTheme="minorBidi" w:hAnsiTheme="minorBidi"/>
          <w:b/>
          <w:sz w:val="48"/>
          <w:szCs w:val="48"/>
        </w:rPr>
        <w:t>STUDENT NUMBER:</w:t>
      </w:r>
      <w:r>
        <w:rPr>
          <w:rFonts w:asciiTheme="minorBidi" w:hAnsiTheme="minorBidi"/>
          <w:b/>
          <w:sz w:val="48"/>
          <w:szCs w:val="48"/>
        </w:rPr>
        <w:t xml:space="preserve"> 1403207</w:t>
      </w:r>
    </w:p>
    <w:p w:rsidR="009248E4" w:rsidRDefault="009248E4" w:rsidP="009248E4">
      <w:pPr>
        <w:rPr>
          <w:rFonts w:asciiTheme="minorBidi" w:hAnsiTheme="minorBidi"/>
          <w:b/>
          <w:sz w:val="47"/>
        </w:rPr>
      </w:pPr>
    </w:p>
    <w:p w:rsidR="009248E4" w:rsidRPr="00F718C7" w:rsidRDefault="009248E4" w:rsidP="009248E4">
      <w:pPr>
        <w:rPr>
          <w:rFonts w:asciiTheme="minorBidi" w:hAnsiTheme="minorBidi"/>
          <w:b/>
          <w:bCs/>
          <w:u w:val="single"/>
        </w:rPr>
      </w:pPr>
      <w:r w:rsidRPr="00476F6D">
        <w:rPr>
          <w:rFonts w:asciiTheme="minorBidi" w:hAnsiTheme="minorBidi"/>
          <w:b/>
          <w:bCs/>
          <w:u w:val="single"/>
        </w:rPr>
        <w:t xml:space="preserve">AI Acknowledgement  </w:t>
      </w:r>
    </w:p>
    <w:p w:rsidR="009248E4" w:rsidRPr="00476F6D" w:rsidRDefault="009248E4" w:rsidP="009248E4">
      <w:pPr>
        <w:rPr>
          <w:rFonts w:asciiTheme="minorBidi" w:hAnsiTheme="minorBidi"/>
        </w:rPr>
      </w:pPr>
      <w:r w:rsidRPr="00476F6D">
        <w:rPr>
          <w:rFonts w:asciiTheme="minorBidi" w:hAnsiTheme="minorBidi"/>
        </w:rPr>
        <w:t xml:space="preserve">I confirm that I have not used any AI tools in the research and creation of this assignment. </w:t>
      </w:r>
    </w:p>
    <w:p w:rsidR="009248E4" w:rsidRPr="00476F6D" w:rsidRDefault="009248E4" w:rsidP="009248E4">
      <w:pPr>
        <w:rPr>
          <w:rFonts w:asciiTheme="minorBidi" w:hAnsiTheme="minorBidi"/>
        </w:rPr>
      </w:pPr>
      <w:r w:rsidRPr="00476F6D">
        <w:rPr>
          <w:rFonts w:asciiTheme="minorBidi" w:hAnsiTheme="minorBidi"/>
        </w:rPr>
        <w:t xml:space="preserve">I confirm that I have not presented any AI generated materials as my own work. </w:t>
      </w:r>
    </w:p>
    <w:p w:rsidR="009248E4" w:rsidRPr="00476F6D" w:rsidRDefault="009248E4" w:rsidP="009248E4">
      <w:pPr>
        <w:rPr>
          <w:rFonts w:asciiTheme="minorBidi" w:hAnsiTheme="minorBidi"/>
        </w:rPr>
      </w:pPr>
      <w:r w:rsidRPr="00476F6D">
        <w:rPr>
          <w:rFonts w:asciiTheme="minorBidi" w:hAnsiTheme="minorBidi"/>
        </w:rPr>
        <w:t>I confirm that I have copies of my drafts, notes, and other resources I used, which I may be asked to provide in evidence.</w:t>
      </w:r>
    </w:p>
    <w:p w:rsidR="009248E4" w:rsidRPr="00F718C7" w:rsidRDefault="009248E4" w:rsidP="009248E4">
      <w:pPr>
        <w:rPr>
          <w:rFonts w:asciiTheme="minorBidi" w:hAnsiTheme="minorBidi"/>
          <w:b/>
        </w:rPr>
      </w:pPr>
    </w:p>
    <w:p w:rsidR="009248E4" w:rsidRDefault="009248E4">
      <w:pPr>
        <w:spacing w:after="200" w:line="276" w:lineRule="auto"/>
      </w:pPr>
      <w:r>
        <w:br w:type="page"/>
      </w:r>
    </w:p>
    <w:p w:rsidR="00D85500" w:rsidRPr="002A4D51" w:rsidRDefault="00D9405B">
      <w:pPr>
        <w:rPr>
          <w:rFonts w:ascii="Arial" w:hAnsi="Arial" w:cs="Arial"/>
          <w:b/>
          <w:sz w:val="32"/>
          <w:szCs w:val="32"/>
        </w:rPr>
      </w:pPr>
      <w:proofErr w:type="gramStart"/>
      <w:r w:rsidRPr="002A4D51">
        <w:rPr>
          <w:rFonts w:ascii="Arial" w:hAnsi="Arial" w:cs="Arial"/>
          <w:b/>
          <w:sz w:val="32"/>
          <w:szCs w:val="32"/>
        </w:rPr>
        <w:lastRenderedPageBreak/>
        <w:t>Part 1.</w:t>
      </w:r>
      <w:proofErr w:type="gramEnd"/>
    </w:p>
    <w:p w:rsidR="00D9405B" w:rsidRDefault="00D9405B">
      <w:pPr>
        <w:rPr>
          <w:rFonts w:ascii="Arial" w:hAnsi="Arial" w:cs="Arial"/>
          <w:b/>
          <w:sz w:val="28"/>
          <w:szCs w:val="28"/>
        </w:rPr>
      </w:pPr>
      <w:r w:rsidRPr="002A4D51">
        <w:rPr>
          <w:rFonts w:ascii="Arial" w:hAnsi="Arial" w:cs="Arial"/>
          <w:b/>
          <w:sz w:val="28"/>
          <w:szCs w:val="28"/>
        </w:rPr>
        <w:t xml:space="preserve">Current thinking, guidelines and standards relating to behaviour management and effective learner </w:t>
      </w:r>
      <w:proofErr w:type="gramStart"/>
      <w:r w:rsidRPr="002A4D51">
        <w:rPr>
          <w:rFonts w:ascii="Arial" w:hAnsi="Arial" w:cs="Arial"/>
          <w:b/>
          <w:sz w:val="28"/>
          <w:szCs w:val="28"/>
        </w:rPr>
        <w:t>engagement  with</w:t>
      </w:r>
      <w:proofErr w:type="gramEnd"/>
      <w:r w:rsidRPr="002A4D51">
        <w:rPr>
          <w:rFonts w:ascii="Arial" w:hAnsi="Arial" w:cs="Arial"/>
          <w:b/>
          <w:sz w:val="28"/>
          <w:szCs w:val="28"/>
        </w:rPr>
        <w:t xml:space="preserve"> reference to the post compulsory sector</w:t>
      </w:r>
    </w:p>
    <w:p w:rsidR="002A4D51" w:rsidRDefault="002A4D51" w:rsidP="002A4D51">
      <w:pPr>
        <w:pStyle w:val="NormalWeb"/>
        <w:spacing w:after="0" w:line="240" w:lineRule="auto"/>
      </w:pPr>
      <w:r>
        <w:rPr>
          <w:rFonts w:ascii="Arial" w:hAnsi="Arial" w:cs="Arial"/>
        </w:rPr>
        <w:t xml:space="preserve">That behaviour management and effective learner engagement are </w:t>
      </w:r>
      <w:proofErr w:type="gramStart"/>
      <w:r>
        <w:rPr>
          <w:rFonts w:ascii="Arial" w:hAnsi="Arial" w:cs="Arial"/>
        </w:rPr>
        <w:t>key</w:t>
      </w:r>
      <w:proofErr w:type="gramEnd"/>
      <w:r>
        <w:rPr>
          <w:rFonts w:ascii="Arial" w:hAnsi="Arial" w:cs="Arial"/>
        </w:rPr>
        <w:t xml:space="preserve"> to successful learning outcomes in all educational settings is uniformly acknowledged. While </w:t>
      </w:r>
      <w:proofErr w:type="spellStart"/>
      <w:r>
        <w:rPr>
          <w:rFonts w:ascii="Arial" w:hAnsi="Arial" w:cs="Arial"/>
        </w:rPr>
        <w:t>well established</w:t>
      </w:r>
      <w:proofErr w:type="spellEnd"/>
      <w:r>
        <w:rPr>
          <w:rFonts w:ascii="Arial" w:hAnsi="Arial" w:cs="Arial"/>
        </w:rPr>
        <w:t xml:space="preserve"> theories of behaviour, such as Jones (2000), and Maslow (1943) do inform current practice, none are widely held up as universally applicable models. Some go so far as to assert theories can explain learning (Gagne, 1965), while others (Wong</w:t>
      </w:r>
      <w:proofErr w:type="gramStart"/>
      <w:r>
        <w:rPr>
          <w:rFonts w:ascii="Arial" w:hAnsi="Arial" w:cs="Arial"/>
        </w:rPr>
        <w:t>,2014</w:t>
      </w:r>
      <w:proofErr w:type="gramEnd"/>
      <w:r>
        <w:rPr>
          <w:rFonts w:ascii="Arial" w:hAnsi="Arial" w:cs="Arial"/>
        </w:rPr>
        <w:t xml:space="preserve">) contextualise their work as a series of guidelines rather than a holistic concept. Ideas developed in and for a school setting do not automatically translate to the post compulsory sector. The post compulsory sector encompasses further, higher and adult education in a wide variety of contexts. It is posited that the age profile of post compulsory learners mean behaviour management and learner motivation is better understood from the </w:t>
      </w:r>
      <w:proofErr w:type="spellStart"/>
      <w:r>
        <w:rPr>
          <w:rFonts w:ascii="Arial" w:hAnsi="Arial" w:cs="Arial"/>
        </w:rPr>
        <w:t>andrological</w:t>
      </w:r>
      <w:proofErr w:type="spellEnd"/>
      <w:r>
        <w:rPr>
          <w:rFonts w:ascii="Arial" w:hAnsi="Arial" w:cs="Arial"/>
        </w:rPr>
        <w:t xml:space="preserve"> model ( Knowles, 1975) than those formed from a pedagogical perspective. The teacher is governed and guided in their responsibilities and approach both by a legislative framework and, as professionals in Wales by a set of professional standards (Welsh government, 2023). How both impact practice is outlined here and then related back to theory. Ultimately it is concluded that developing </w:t>
      </w:r>
      <w:proofErr w:type="spellStart"/>
      <w:r>
        <w:rPr>
          <w:rFonts w:ascii="Arial" w:hAnsi="Arial" w:cs="Arial"/>
        </w:rPr>
        <w:t>ones</w:t>
      </w:r>
      <w:proofErr w:type="spellEnd"/>
      <w:r>
        <w:rPr>
          <w:rFonts w:ascii="Arial" w:hAnsi="Arial" w:cs="Arial"/>
        </w:rPr>
        <w:t xml:space="preserve"> own approach to discharging legal and professional responsibilities, while enabling an environment which maximises learner engagement within the context they work is part of the professional development of the individual educator.</w:t>
      </w:r>
    </w:p>
    <w:p w:rsidR="002A4D51" w:rsidRDefault="002A4D51" w:rsidP="002A4D51">
      <w:pPr>
        <w:pStyle w:val="NormalWeb"/>
        <w:spacing w:before="57" w:beforeAutospacing="0" w:after="57" w:line="240" w:lineRule="auto"/>
      </w:pPr>
      <w:r>
        <w:rPr>
          <w:rFonts w:ascii="Arial" w:hAnsi="Arial" w:cs="Arial"/>
        </w:rPr>
        <w:t xml:space="preserve">Of the prominent theorists, it is Fred Jones </w:t>
      </w:r>
      <w:proofErr w:type="gramStart"/>
      <w:r>
        <w:rPr>
          <w:rFonts w:ascii="Arial" w:hAnsi="Arial" w:cs="Arial"/>
        </w:rPr>
        <w:t>who’s</w:t>
      </w:r>
      <w:proofErr w:type="gramEnd"/>
      <w:r>
        <w:rPr>
          <w:rFonts w:ascii="Arial" w:hAnsi="Arial" w:cs="Arial"/>
        </w:rPr>
        <w:t xml:space="preserve"> approach most rooted in behaviourism (Davis, B., &amp; Francis, K. 2021) and based on a traditional classroom model. His positive behaviour model (tools for teaching 2000) advocates reinforcing good behaviour and learning through rewards while maintaining a physical proximity between pupil and teacher as they work which encourages engagement and inhibits negative behaviours. It has been praised as a pragmatic and affordable means of creating a successful learning environment (Ref). Alternatively, Kohn (200?) argues that the focus on extrinsic motivations has come at the expense of intrinsic motivation which is what, ultimately, motivates the student to learn and thus makes Jones’ model </w:t>
      </w:r>
      <w:proofErr w:type="spellStart"/>
      <w:r>
        <w:rPr>
          <w:rFonts w:ascii="Arial" w:hAnsi="Arial" w:cs="Arial"/>
        </w:rPr>
        <w:t>counter productive</w:t>
      </w:r>
      <w:proofErr w:type="spellEnd"/>
      <w:r>
        <w:rPr>
          <w:rFonts w:ascii="Arial" w:hAnsi="Arial" w:cs="Arial"/>
        </w:rPr>
        <w:t>. Questions of whether a teacher exerting physical authority through proximity is practical or appropriate have been raised (</w:t>
      </w:r>
      <w:proofErr w:type="spellStart"/>
      <w:r>
        <w:rPr>
          <w:rFonts w:ascii="Arial" w:hAnsi="Arial" w:cs="Arial"/>
        </w:rPr>
        <w:t>Lebor</w:t>
      </w:r>
      <w:proofErr w:type="spellEnd"/>
      <w:r>
        <w:rPr>
          <w:rFonts w:ascii="Arial" w:hAnsi="Arial" w:cs="Arial"/>
        </w:rPr>
        <w:t xml:space="preserve">, 20217 pp28-29) pointing out </w:t>
      </w:r>
      <w:proofErr w:type="gramStart"/>
      <w:r>
        <w:rPr>
          <w:rFonts w:ascii="Arial" w:hAnsi="Arial" w:cs="Arial"/>
        </w:rPr>
        <w:t>that learners</w:t>
      </w:r>
      <w:proofErr w:type="gramEnd"/>
      <w:r>
        <w:rPr>
          <w:rFonts w:ascii="Arial" w:hAnsi="Arial" w:cs="Arial"/>
        </w:rPr>
        <w:t xml:space="preserve"> may be larger than the teacher, and that in many contexts it can be seen as intrusive. These objections, have added relevance when considering the motivations and age range of the post compulsory learner.</w:t>
      </w:r>
    </w:p>
    <w:p w:rsidR="002A4D51" w:rsidRDefault="002A4D51" w:rsidP="002A4D51">
      <w:pPr>
        <w:pStyle w:val="NormalWeb"/>
        <w:spacing w:after="0" w:line="240" w:lineRule="auto"/>
      </w:pPr>
      <w:r>
        <w:rPr>
          <w:rFonts w:ascii="Arial" w:hAnsi="Arial" w:cs="Arial"/>
        </w:rPr>
        <w:t xml:space="preserve">A diametrically opposed, humanist theory comes from Maslow (1943). In contrast to Jones, his focus is the individual learner and facilitation of the intrinsic motivation to learn. He sets out a hierarchy of needs which exist within each individual. Motivation to learn, he argues, meets the need for </w:t>
      </w:r>
      <w:proofErr w:type="spellStart"/>
      <w:r>
        <w:rPr>
          <w:rFonts w:ascii="Arial" w:hAnsi="Arial" w:cs="Arial"/>
        </w:rPr>
        <w:t>self esteem</w:t>
      </w:r>
      <w:proofErr w:type="spellEnd"/>
      <w:r>
        <w:rPr>
          <w:rFonts w:ascii="Arial" w:hAnsi="Arial" w:cs="Arial"/>
        </w:rPr>
        <w:t xml:space="preserve"> and can only be effectively achieved once physiological, emotional and security needs have been met. It has received acclaim for being moral and compassionate but questions how well it translates to an untidy reality have been raised, not least by Maslow, indirectly, whose failure to achieve the desired outcome when putting his ideas into practice led him to blame the student’s characters (Hoffman, 1988).</w:t>
      </w:r>
    </w:p>
    <w:p w:rsidR="002A4D51" w:rsidRDefault="002A4D51" w:rsidP="002A4D51">
      <w:pPr>
        <w:pStyle w:val="NormalWeb"/>
        <w:spacing w:after="0" w:line="240" w:lineRule="auto"/>
      </w:pPr>
      <w:r>
        <w:rPr>
          <w:rFonts w:ascii="Arial" w:hAnsi="Arial" w:cs="Arial"/>
        </w:rPr>
        <w:lastRenderedPageBreak/>
        <w:t>A theory based on creating tribes or learning communities (Gibbs, 1995) advocates group and cooperative learning, offering advice on creating the physical environment to facilitate that. It offers insights into organising for a learning context which enhances engagement, but runs into problems when considering the availability of resources (Lebor</w:t>
      </w:r>
      <w:proofErr w:type="gramStart"/>
      <w:r>
        <w:rPr>
          <w:rFonts w:ascii="Arial" w:hAnsi="Arial" w:cs="Arial"/>
        </w:rPr>
        <w:t>,2017</w:t>
      </w:r>
      <w:proofErr w:type="gramEnd"/>
      <w:r>
        <w:rPr>
          <w:rFonts w:ascii="Arial" w:hAnsi="Arial" w:cs="Arial"/>
        </w:rPr>
        <w:t>)</w:t>
      </w:r>
    </w:p>
    <w:p w:rsidR="002A4D51" w:rsidRDefault="002A4D51" w:rsidP="002A4D51">
      <w:pPr>
        <w:pStyle w:val="NormalWeb"/>
        <w:spacing w:after="0" w:line="240" w:lineRule="auto"/>
      </w:pPr>
      <w:r>
        <w:rPr>
          <w:rFonts w:ascii="Arial" w:hAnsi="Arial" w:cs="Arial"/>
        </w:rPr>
        <w:t>In The Classroom Management Book (Wong, H 2014) offers a series of suggestions and proposes methodologies based on planning and collaborative classroom management rather than a unified theory. It is this approach that perhaps sums up current thinking; less founded on universal theories than a variety of practices and approaches used to suit the learning context.</w:t>
      </w:r>
    </w:p>
    <w:p w:rsidR="002A4D51" w:rsidRDefault="002A4D51" w:rsidP="002A4D51">
      <w:pPr>
        <w:pStyle w:val="NormalWeb"/>
        <w:spacing w:after="0" w:line="240" w:lineRule="auto"/>
      </w:pPr>
      <w:r>
        <w:rPr>
          <w:rFonts w:ascii="Arial" w:hAnsi="Arial" w:cs="Arial"/>
        </w:rPr>
        <w:t>The post compulsory sector’s defining characteristic marks it out as a different learning context than the compulsory sector from which a majority of ideas and guidance on behaviour management originate. As a result many methods adopted in schools do not transfer well into the contexts in which post sixteen education is delivered. Additionally, despite interest in creating a unified post compulsory sector (</w:t>
      </w:r>
      <w:proofErr w:type="spellStart"/>
      <w:r>
        <w:rPr>
          <w:rFonts w:ascii="Arial" w:hAnsi="Arial" w:cs="Arial"/>
        </w:rPr>
        <w:t>Raffe</w:t>
      </w:r>
      <w:proofErr w:type="spellEnd"/>
      <w:r>
        <w:rPr>
          <w:rFonts w:ascii="Arial" w:hAnsi="Arial" w:cs="Arial"/>
        </w:rPr>
        <w:t>, David et al</w:t>
      </w:r>
      <w:proofErr w:type="gramStart"/>
      <w:r>
        <w:rPr>
          <w:rFonts w:ascii="Arial" w:hAnsi="Arial" w:cs="Arial"/>
        </w:rPr>
        <w:t>,1998</w:t>
      </w:r>
      <w:proofErr w:type="gramEnd"/>
      <w:r>
        <w:rPr>
          <w:rFonts w:ascii="Arial" w:hAnsi="Arial" w:cs="Arial"/>
        </w:rPr>
        <w:t xml:space="preserve">) it encompasses widely differing learning contexts, needs and learner profiles within it. While there is a need to avoid generalisation, that post compulsory learners are approaching or in adulthood suggests a conceptual framework based on the </w:t>
      </w:r>
      <w:proofErr w:type="spellStart"/>
      <w:r>
        <w:rPr>
          <w:rFonts w:ascii="Arial" w:hAnsi="Arial" w:cs="Arial"/>
        </w:rPr>
        <w:t>Andragogical</w:t>
      </w:r>
      <w:proofErr w:type="spellEnd"/>
      <w:r>
        <w:rPr>
          <w:rFonts w:ascii="Arial" w:hAnsi="Arial" w:cs="Arial"/>
        </w:rPr>
        <w:t xml:space="preserve"> Model (Knowles, 1975) may be a better foundation to understand learner motivation, engagement and behaviour than ideas grounded in pedagogy like those, Maslow excepted, cited in this work. The </w:t>
      </w:r>
      <w:proofErr w:type="spellStart"/>
      <w:r>
        <w:rPr>
          <w:rFonts w:ascii="Arial" w:hAnsi="Arial" w:cs="Arial"/>
        </w:rPr>
        <w:t>andragogist</w:t>
      </w:r>
      <w:proofErr w:type="spellEnd"/>
      <w:r>
        <w:rPr>
          <w:rFonts w:ascii="Arial" w:hAnsi="Arial" w:cs="Arial"/>
        </w:rPr>
        <w:t xml:space="preserve"> views the adult learner as intrinsically motivated by their need to learn, states that effective adult learning must relate to that individuals experience and that individuality increases with age. As a consequence engagement with the adult’s personal need to learn is a precondition for effective learning. An education tailored to experience coupled with the increased individuality of the learner would favour a model based on </w:t>
      </w:r>
      <w:proofErr w:type="spellStart"/>
      <w:r>
        <w:rPr>
          <w:rFonts w:ascii="Arial" w:hAnsi="Arial" w:cs="Arial"/>
        </w:rPr>
        <w:t>ongoing</w:t>
      </w:r>
      <w:proofErr w:type="spellEnd"/>
      <w:r>
        <w:rPr>
          <w:rFonts w:ascii="Arial" w:hAnsi="Arial" w:cs="Arial"/>
        </w:rPr>
        <w:t xml:space="preserve"> strong engagement with each individual, </w:t>
      </w:r>
      <w:proofErr w:type="spellStart"/>
      <w:r>
        <w:rPr>
          <w:rFonts w:ascii="Arial" w:hAnsi="Arial" w:cs="Arial"/>
        </w:rPr>
        <w:t>self directed</w:t>
      </w:r>
      <w:proofErr w:type="spellEnd"/>
      <w:r>
        <w:rPr>
          <w:rFonts w:ascii="Arial" w:hAnsi="Arial" w:cs="Arial"/>
        </w:rPr>
        <w:t xml:space="preserve"> learning to provide better engagement and behaviour management done on a </w:t>
      </w:r>
      <w:proofErr w:type="spellStart"/>
      <w:r>
        <w:rPr>
          <w:rFonts w:ascii="Arial" w:hAnsi="Arial" w:cs="Arial"/>
        </w:rPr>
        <w:t>self regulating</w:t>
      </w:r>
      <w:proofErr w:type="spellEnd"/>
      <w:r>
        <w:rPr>
          <w:rFonts w:ascii="Arial" w:hAnsi="Arial" w:cs="Arial"/>
        </w:rPr>
        <w:t>, democratic basis than conceptualised in models such as Jones’, maybe owing more to Maslow’s focus on individual wellbeing..</w:t>
      </w:r>
    </w:p>
    <w:p w:rsidR="002A4D51" w:rsidRDefault="002A4D51" w:rsidP="002A4D51">
      <w:pPr>
        <w:pStyle w:val="NormalWeb"/>
        <w:spacing w:after="0" w:line="240" w:lineRule="auto"/>
      </w:pPr>
      <w:r>
        <w:rPr>
          <w:rFonts w:ascii="Arial" w:hAnsi="Arial" w:cs="Arial"/>
        </w:rPr>
        <w:t>The Welsh commission for tertiary education’s published strategy (MEDR 2025) puts the learner at its centre and points to an alignment with the ‘andragogy in practice’ (Holton, Knowles et al 2020 ) model. The Welsh government’s professional standards for post compulsory practitioners (2023) emphasizes building a collaborative relationship with learners and enabling them to take responsibility for their learning and assessment. It is within this framework that the professional in Wales should motivate and engage the learner while managing behaviour.</w:t>
      </w:r>
    </w:p>
    <w:p w:rsidR="002A4D51" w:rsidRDefault="002A4D51" w:rsidP="002A4D51">
      <w:pPr>
        <w:pStyle w:val="NormalWeb"/>
        <w:spacing w:before="57" w:beforeAutospacing="0" w:after="57" w:line="240" w:lineRule="auto"/>
      </w:pPr>
      <w:r>
        <w:rPr>
          <w:rFonts w:ascii="Arial" w:hAnsi="Arial" w:cs="Arial"/>
        </w:rPr>
        <w:t>In practice the means of engaging with learners, which behaviours to manage and how depends to a large extent on context (</w:t>
      </w:r>
      <w:proofErr w:type="spellStart"/>
      <w:r>
        <w:rPr>
          <w:rFonts w:ascii="Arial" w:hAnsi="Arial" w:cs="Arial"/>
        </w:rPr>
        <w:t>Lebor</w:t>
      </w:r>
      <w:proofErr w:type="spellEnd"/>
      <w:r>
        <w:rPr>
          <w:rFonts w:ascii="Arial" w:hAnsi="Arial" w:cs="Arial"/>
        </w:rPr>
        <w:t xml:space="preserve">, 2017 p.77). To engage </w:t>
      </w:r>
      <w:proofErr w:type="gramStart"/>
      <w:r>
        <w:rPr>
          <w:rFonts w:ascii="Arial" w:hAnsi="Arial" w:cs="Arial"/>
        </w:rPr>
        <w:t xml:space="preserve">with an </w:t>
      </w:r>
      <w:proofErr w:type="spellStart"/>
      <w:r>
        <w:rPr>
          <w:rFonts w:ascii="Arial" w:hAnsi="Arial" w:cs="Arial"/>
        </w:rPr>
        <w:t>individuals</w:t>
      </w:r>
      <w:proofErr w:type="spellEnd"/>
      <w:proofErr w:type="gramEnd"/>
      <w:r>
        <w:rPr>
          <w:rFonts w:ascii="Arial" w:hAnsi="Arial" w:cs="Arial"/>
        </w:rPr>
        <w:t xml:space="preserve"> ‘need to learn’ or experience requires diverse approaches while behaviour acceptable in a workshop may be disruptive in a classroom. Effective teaching requires the practitioner to calibrate their approach according to individual and context. There is good evidence that empathy improves learner engagement and outcomes (</w:t>
      </w:r>
      <w:proofErr w:type="spellStart"/>
      <w:r>
        <w:rPr>
          <w:rFonts w:ascii="Arial" w:hAnsi="Arial" w:cs="Arial"/>
        </w:rPr>
        <w:t>Aldrup</w:t>
      </w:r>
      <w:proofErr w:type="spellEnd"/>
      <w:r>
        <w:rPr>
          <w:rFonts w:ascii="Arial" w:hAnsi="Arial" w:cs="Arial"/>
        </w:rPr>
        <w:t xml:space="preserve">, </w:t>
      </w:r>
      <w:proofErr w:type="spellStart"/>
      <w:r>
        <w:rPr>
          <w:rFonts w:ascii="Arial" w:hAnsi="Arial" w:cs="Arial"/>
        </w:rPr>
        <w:t>Carstensen</w:t>
      </w:r>
      <w:proofErr w:type="spellEnd"/>
      <w:r>
        <w:rPr>
          <w:rFonts w:ascii="Arial" w:hAnsi="Arial" w:cs="Arial"/>
        </w:rPr>
        <w:t xml:space="preserve"> and Klusman</w:t>
      </w:r>
      <w:proofErr w:type="gramStart"/>
      <w:r>
        <w:rPr>
          <w:rFonts w:ascii="Arial" w:hAnsi="Arial" w:cs="Arial"/>
        </w:rPr>
        <w:t>,2022</w:t>
      </w:r>
      <w:proofErr w:type="gramEnd"/>
      <w:r>
        <w:rPr>
          <w:rFonts w:ascii="Arial" w:hAnsi="Arial" w:cs="Arial"/>
        </w:rPr>
        <w:t xml:space="preserve">) and this may be considered as a fundamental element in successful education. </w:t>
      </w:r>
    </w:p>
    <w:p w:rsidR="002A4D51" w:rsidRDefault="002A4D51" w:rsidP="002A4D51">
      <w:pPr>
        <w:pStyle w:val="NormalWeb"/>
        <w:spacing w:before="57" w:beforeAutospacing="0" w:after="57" w:line="240" w:lineRule="auto"/>
      </w:pPr>
      <w:r>
        <w:rPr>
          <w:rFonts w:ascii="Arial" w:hAnsi="Arial" w:cs="Arial"/>
        </w:rPr>
        <w:t xml:space="preserve">Although the post compulsory sector may trend towards the individual’s requirements and learning </w:t>
      </w:r>
      <w:proofErr w:type="gramStart"/>
      <w:r>
        <w:rPr>
          <w:rFonts w:ascii="Arial" w:hAnsi="Arial" w:cs="Arial"/>
        </w:rPr>
        <w:t>be</w:t>
      </w:r>
      <w:proofErr w:type="gramEnd"/>
      <w:r>
        <w:rPr>
          <w:rFonts w:ascii="Arial" w:hAnsi="Arial" w:cs="Arial"/>
        </w:rPr>
        <w:t xml:space="preserve"> undertaken on that basis, it is true that significant </w:t>
      </w:r>
      <w:r>
        <w:rPr>
          <w:rFonts w:ascii="Arial" w:hAnsi="Arial" w:cs="Arial"/>
        </w:rPr>
        <w:lastRenderedPageBreak/>
        <w:t xml:space="preserve">elements will be undertaken as a collective </w:t>
      </w:r>
      <w:proofErr w:type="spellStart"/>
      <w:r>
        <w:rPr>
          <w:rFonts w:ascii="Arial" w:hAnsi="Arial" w:cs="Arial"/>
        </w:rPr>
        <w:t>endeavor</w:t>
      </w:r>
      <w:proofErr w:type="spellEnd"/>
      <w:r>
        <w:rPr>
          <w:rFonts w:ascii="Arial" w:hAnsi="Arial" w:cs="Arial"/>
        </w:rPr>
        <w:t xml:space="preserve"> in a shared space. Disruptive behaviour is among the biggest concerns (Powell and Todd</w:t>
      </w:r>
      <w:proofErr w:type="gramStart"/>
      <w:r>
        <w:rPr>
          <w:rFonts w:ascii="Arial" w:hAnsi="Arial" w:cs="Arial"/>
        </w:rPr>
        <w:t>,2004</w:t>
      </w:r>
      <w:proofErr w:type="gramEnd"/>
      <w:r>
        <w:rPr>
          <w:rFonts w:ascii="Arial" w:hAnsi="Arial" w:cs="Arial"/>
        </w:rPr>
        <w:t>) of tutors, and disruptive behaviour doesn’t stop with age. A difference between school and post compulsory context is that the teacher as authority figure no longer applies. While a democratised, collaborative approach for setting agreed limits on behaviour is effective there will still be occasions where it needs addressing. Part of the Public Sector Equality Duty (UK.gov) to maintain an inclusive and welcoming space is that discriminatory behaviour must be challenged when it occurs. Another legal duty incumbent on the teacher is safeguarding. Certain behaviours are indicative that a situation requiring attention may exist. Training and judgement must be used and if a safeguarding issue is suspected the professional must act. In practice this involves engaging the learner and openly referring the issue, with or without their consent to the institution’s safeguarding lead. Less dramatic, and far more common is low level disruptive behaviour which can impact upon the group. Here it is on the professional to gauge if a challenge is warranted. Models such as transactional analysis (Berne, 1961) may help inform any intervention or conflict; again though it must from part of the teaching professionals’ skillset to manage situations as they arise</w:t>
      </w:r>
    </w:p>
    <w:p w:rsidR="002A4D51" w:rsidRDefault="002A4D51" w:rsidP="002A4D51">
      <w:pPr>
        <w:pStyle w:val="NormalWeb"/>
        <w:spacing w:before="57" w:beforeAutospacing="0" w:after="57" w:line="240" w:lineRule="auto"/>
        <w:rPr>
          <w:rFonts w:ascii="Arial" w:hAnsi="Arial" w:cs="Arial"/>
        </w:rPr>
      </w:pPr>
      <w:r>
        <w:rPr>
          <w:rFonts w:ascii="Arial" w:hAnsi="Arial" w:cs="Arial"/>
        </w:rPr>
        <w:t xml:space="preserve">In conclusion current thinking on effective learner engagement and behaviour management is that while theories of learning may provide insights and while there may be official </w:t>
      </w:r>
      <w:proofErr w:type="gramStart"/>
      <w:r>
        <w:rPr>
          <w:rFonts w:ascii="Arial" w:hAnsi="Arial" w:cs="Arial"/>
        </w:rPr>
        <w:t>goals ,</w:t>
      </w:r>
      <w:proofErr w:type="gramEnd"/>
      <w:r>
        <w:rPr>
          <w:rFonts w:ascii="Arial" w:hAnsi="Arial" w:cs="Arial"/>
        </w:rPr>
        <w:t xml:space="preserve"> guidance and legal duties, it is primarily through the professional themselves building a flexible empathetic attitude into their </w:t>
      </w:r>
      <w:proofErr w:type="spellStart"/>
      <w:r>
        <w:rPr>
          <w:rFonts w:ascii="Arial" w:hAnsi="Arial" w:cs="Arial"/>
        </w:rPr>
        <w:t>make up</w:t>
      </w:r>
      <w:proofErr w:type="spellEnd"/>
      <w:r>
        <w:rPr>
          <w:rFonts w:ascii="Arial" w:hAnsi="Arial" w:cs="Arial"/>
        </w:rPr>
        <w:t xml:space="preserve"> that is most significant in determining whether they can effectively build learner engagement and manage behaviour in their area of responsibility</w:t>
      </w:r>
    </w:p>
    <w:p w:rsidR="002A4D51" w:rsidRDefault="002A4D51">
      <w:pPr>
        <w:spacing w:after="200" w:line="276" w:lineRule="auto"/>
        <w:rPr>
          <w:rFonts w:ascii="Arial" w:eastAsia="Times New Roman" w:hAnsi="Arial" w:cs="Arial"/>
          <w:kern w:val="0"/>
          <w:lang w:eastAsia="en-GB"/>
          <w14:ligatures w14:val="none"/>
        </w:rPr>
      </w:pPr>
      <w:r>
        <w:rPr>
          <w:rFonts w:ascii="Arial" w:hAnsi="Arial" w:cs="Arial"/>
        </w:rPr>
        <w:br w:type="page"/>
      </w:r>
    </w:p>
    <w:p w:rsidR="00D9405B" w:rsidRPr="002A4D51" w:rsidRDefault="00D9405B">
      <w:pPr>
        <w:rPr>
          <w:rFonts w:ascii="Arial" w:hAnsi="Arial" w:cs="Arial"/>
          <w:b/>
          <w:sz w:val="32"/>
          <w:szCs w:val="32"/>
        </w:rPr>
      </w:pPr>
      <w:r w:rsidRPr="002A4D51">
        <w:rPr>
          <w:rFonts w:ascii="Arial" w:hAnsi="Arial" w:cs="Arial"/>
          <w:b/>
          <w:sz w:val="32"/>
          <w:szCs w:val="32"/>
        </w:rPr>
        <w:lastRenderedPageBreak/>
        <w:t>Part 2</w:t>
      </w:r>
    </w:p>
    <w:p w:rsidR="00D9405B" w:rsidRDefault="00D9405B">
      <w:pPr>
        <w:rPr>
          <w:rFonts w:ascii="Arial" w:hAnsi="Arial" w:cs="Arial"/>
          <w:b/>
          <w:sz w:val="28"/>
          <w:szCs w:val="28"/>
        </w:rPr>
      </w:pPr>
      <w:r w:rsidRPr="002A4D51">
        <w:rPr>
          <w:rFonts w:ascii="Arial" w:hAnsi="Arial" w:cs="Arial"/>
          <w:b/>
          <w:sz w:val="28"/>
          <w:szCs w:val="28"/>
        </w:rPr>
        <w:t>Reflective Account of two teaching observations and one session</w:t>
      </w:r>
    </w:p>
    <w:p w:rsidR="00E25D35" w:rsidRPr="00E25D35" w:rsidRDefault="00E25D35" w:rsidP="00E25D35">
      <w:pPr>
        <w:spacing w:after="200" w:line="276" w:lineRule="auto"/>
        <w:rPr>
          <w:rFonts w:eastAsiaTheme="minorHAnsi"/>
          <w:b/>
          <w:kern w:val="0"/>
          <w:lang w:eastAsia="en-US"/>
          <w14:ligatures w14:val="none"/>
        </w:rPr>
      </w:pPr>
      <w:r w:rsidRPr="00E25D35">
        <w:rPr>
          <w:rFonts w:eastAsiaTheme="minorHAnsi"/>
          <w:b/>
          <w:kern w:val="0"/>
          <w:lang w:eastAsia="en-US"/>
          <w14:ligatures w14:val="none"/>
        </w:rPr>
        <w:t>Intro</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This reflection is an account of two observations of one teaching professional and one lesson of my own teaching practice. The focus is on learner engagement and behaviour and the strategies employed to foster and manage both aspects. The professional standard referred to are those cited in part one, as are the theorists</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 xml:space="preserve"> The Driscoll framework is used, so the reflection is divided into three parts. The initial section recounts my observation of two similar classroom lessons taken by one professional with the same learning group and my own workshop based lesson delivered to that group. In the initial case elements I saw as relevant are detailed, while in the latter my intended strategies are included with how they worked in practice. A second section is my interpretation of what I observed and what I did as related to </w:t>
      </w:r>
      <w:proofErr w:type="gramStart"/>
      <w:r w:rsidRPr="00E25D35">
        <w:rPr>
          <w:rFonts w:ascii="Arial" w:eastAsiaTheme="minorHAnsi" w:hAnsi="Arial" w:cs="Arial"/>
          <w:kern w:val="0"/>
          <w:lang w:eastAsia="en-US"/>
          <w14:ligatures w14:val="none"/>
        </w:rPr>
        <w:t>concepts  explored</w:t>
      </w:r>
      <w:proofErr w:type="gramEnd"/>
      <w:r w:rsidRPr="00E25D35">
        <w:rPr>
          <w:rFonts w:ascii="Arial" w:eastAsiaTheme="minorHAnsi" w:hAnsi="Arial" w:cs="Arial"/>
          <w:kern w:val="0"/>
          <w:lang w:eastAsia="en-US"/>
          <w14:ligatures w14:val="none"/>
        </w:rPr>
        <w:t xml:space="preserve"> in Part one of this assignment. A final section </w:t>
      </w:r>
      <w:proofErr w:type="gramStart"/>
      <w:r w:rsidRPr="00E25D35">
        <w:rPr>
          <w:rFonts w:ascii="Arial" w:eastAsiaTheme="minorHAnsi" w:hAnsi="Arial" w:cs="Arial"/>
          <w:kern w:val="0"/>
          <w:lang w:eastAsia="en-US"/>
          <w14:ligatures w14:val="none"/>
        </w:rPr>
        <w:t>extracts  the</w:t>
      </w:r>
      <w:proofErr w:type="gramEnd"/>
      <w:r w:rsidRPr="00E25D35">
        <w:rPr>
          <w:rFonts w:ascii="Arial" w:eastAsiaTheme="minorHAnsi" w:hAnsi="Arial" w:cs="Arial"/>
          <w:kern w:val="0"/>
          <w:lang w:eastAsia="en-US"/>
          <w14:ligatures w14:val="none"/>
        </w:rPr>
        <w:t xml:space="preserve"> results of my reflection from the context in which they occurred and condenses them into elements that will aid my professional development going forward. It should be seen as the basis of the SMART action plan contained in the appendix.</w:t>
      </w:r>
    </w:p>
    <w:p w:rsidR="00E25D35" w:rsidRPr="00E25D35" w:rsidRDefault="00E25D35" w:rsidP="00E25D35">
      <w:pPr>
        <w:spacing w:after="200" w:line="276" w:lineRule="auto"/>
        <w:rPr>
          <w:rFonts w:ascii="Arial" w:eastAsiaTheme="minorHAnsi" w:hAnsi="Arial" w:cs="Arial"/>
          <w:b/>
          <w:kern w:val="0"/>
          <w:lang w:eastAsia="en-US"/>
          <w14:ligatures w14:val="none"/>
        </w:rPr>
      </w:pPr>
      <w:r w:rsidRPr="00E25D35">
        <w:rPr>
          <w:rFonts w:ascii="Arial" w:eastAsiaTheme="minorHAnsi" w:hAnsi="Arial" w:cs="Arial"/>
          <w:b/>
          <w:kern w:val="0"/>
          <w:lang w:eastAsia="en-US"/>
          <w14:ligatures w14:val="none"/>
        </w:rPr>
        <w:t>What</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 xml:space="preserve">The two observed lessons were in a classroom for working on PC’s, which were arranged around the perimeter of the room. At the front of the room was an E board and in the centre a long table that could seat up to six.  The class of twelve, male first year BTEC students were each sat at a PC with access to the module’s digital </w:t>
      </w:r>
      <w:proofErr w:type="gramStart"/>
      <w:r w:rsidRPr="00E25D35">
        <w:rPr>
          <w:rFonts w:ascii="Arial" w:eastAsiaTheme="minorHAnsi" w:hAnsi="Arial" w:cs="Arial"/>
          <w:kern w:val="0"/>
          <w:lang w:eastAsia="en-US"/>
          <w14:ligatures w14:val="none"/>
        </w:rPr>
        <w:t>classroom(</w:t>
      </w:r>
      <w:proofErr w:type="gramEnd"/>
      <w:r w:rsidRPr="00E25D35">
        <w:rPr>
          <w:rFonts w:ascii="Arial" w:eastAsiaTheme="minorHAnsi" w:hAnsi="Arial" w:cs="Arial"/>
          <w:kern w:val="0"/>
          <w:lang w:eastAsia="en-US"/>
          <w14:ligatures w14:val="none"/>
        </w:rPr>
        <w:t>DC). In both lessons the topic was engineering principles/mathematics, both were revision sessions for an upcoming examination assessment and both were conducted entirely in English</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 xml:space="preserve">The first lesson was shaped by the disruption of students leaving and arriving at intervals during the lesson due to an assessment in progress for another module. For that reason study was largely self-directed, with students accessing material uploaded to the DC. The practitioner initially steered engagement with relevant material by suggesting suitable items based on individual areas of interest. As the lesson progressed the teacher maintained a close physical proximity by regularly circulating the room and ‘checking in’ with students at their stations. This had echoes </w:t>
      </w:r>
      <w:proofErr w:type="gramStart"/>
      <w:r w:rsidRPr="00E25D35">
        <w:rPr>
          <w:rFonts w:ascii="Arial" w:eastAsiaTheme="minorHAnsi" w:hAnsi="Arial" w:cs="Arial"/>
          <w:kern w:val="0"/>
          <w:lang w:eastAsia="en-US"/>
          <w14:ligatures w14:val="none"/>
        </w:rPr>
        <w:t>of  Fred</w:t>
      </w:r>
      <w:proofErr w:type="gramEnd"/>
      <w:r w:rsidRPr="00E25D35">
        <w:rPr>
          <w:rFonts w:ascii="Arial" w:eastAsiaTheme="minorHAnsi" w:hAnsi="Arial" w:cs="Arial"/>
          <w:kern w:val="0"/>
          <w:lang w:eastAsia="en-US"/>
          <w14:ligatures w14:val="none"/>
        </w:rPr>
        <w:t xml:space="preserve"> Jones as his presence appeared to have the dual effect of driving </w:t>
      </w:r>
      <w:proofErr w:type="spellStart"/>
      <w:r w:rsidRPr="00E25D35">
        <w:rPr>
          <w:rFonts w:ascii="Arial" w:eastAsiaTheme="minorHAnsi" w:hAnsi="Arial" w:cs="Arial"/>
          <w:kern w:val="0"/>
          <w:lang w:eastAsia="en-US"/>
          <w14:ligatures w14:val="none"/>
        </w:rPr>
        <w:t>ongoing</w:t>
      </w:r>
      <w:proofErr w:type="spellEnd"/>
      <w:r w:rsidRPr="00E25D35">
        <w:rPr>
          <w:rFonts w:ascii="Arial" w:eastAsiaTheme="minorHAnsi" w:hAnsi="Arial" w:cs="Arial"/>
          <w:kern w:val="0"/>
          <w:lang w:eastAsia="en-US"/>
          <w14:ligatures w14:val="none"/>
        </w:rPr>
        <w:t xml:space="preserve"> engagement and inhibiting ‘wandering off’ on the internet.  At intervals the teacher created small learning groups who moved to the centre table who then collaboratively tackled individual problems. The level of background noise suggested not all students were fully ‘on task’ at all times. This seemed permissible within the general level of engagement required by the practitioner, but when voices were raised to a level potentially distracting to others he assertively intervened. Towards </w:t>
      </w:r>
      <w:r w:rsidRPr="00E25D35">
        <w:rPr>
          <w:rFonts w:ascii="Arial" w:eastAsiaTheme="minorHAnsi" w:hAnsi="Arial" w:cs="Arial"/>
          <w:kern w:val="0"/>
          <w:lang w:eastAsia="en-US"/>
          <w14:ligatures w14:val="none"/>
        </w:rPr>
        <w:lastRenderedPageBreak/>
        <w:t>the end of the lesson he set the group the task of seeking out an exam question they couldn’t answer.</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 xml:space="preserve">The second session took place that afternoon. In the introduction the teacher invited students to submit the question they had landed upon in the last lesson, indicating he had prepared engagement with this lesson in advance. Having democratically agreed on </w:t>
      </w:r>
      <w:proofErr w:type="gramStart"/>
      <w:r w:rsidRPr="00E25D35">
        <w:rPr>
          <w:rFonts w:ascii="Arial" w:eastAsiaTheme="minorHAnsi" w:hAnsi="Arial" w:cs="Arial"/>
          <w:kern w:val="0"/>
          <w:lang w:eastAsia="en-US"/>
          <w14:ligatures w14:val="none"/>
        </w:rPr>
        <w:t>a  trigonometry</w:t>
      </w:r>
      <w:proofErr w:type="gramEnd"/>
      <w:r w:rsidRPr="00E25D35">
        <w:rPr>
          <w:rFonts w:ascii="Arial" w:eastAsiaTheme="minorHAnsi" w:hAnsi="Arial" w:cs="Arial"/>
          <w:kern w:val="0"/>
          <w:lang w:eastAsia="en-US"/>
          <w14:ligatures w14:val="none"/>
        </w:rPr>
        <w:t xml:space="preserve"> problem, he reproduced it on the board and proceeded with a traditional lecture. Engagement was maintained with good ‘pedagogical content knowledge’  It was done entirely through English with the exception that the </w:t>
      </w:r>
      <w:proofErr w:type="spellStart"/>
      <w:r w:rsidRPr="00E25D35">
        <w:rPr>
          <w:rFonts w:ascii="Arial" w:eastAsiaTheme="minorHAnsi" w:hAnsi="Arial" w:cs="Arial"/>
          <w:kern w:val="0"/>
          <w:lang w:eastAsia="en-US"/>
          <w14:ligatures w14:val="none"/>
        </w:rPr>
        <w:t>monoglot</w:t>
      </w:r>
      <w:proofErr w:type="spellEnd"/>
      <w:r w:rsidRPr="00E25D35">
        <w:rPr>
          <w:rFonts w:ascii="Arial" w:eastAsiaTheme="minorHAnsi" w:hAnsi="Arial" w:cs="Arial"/>
          <w:kern w:val="0"/>
          <w:lang w:eastAsia="en-US"/>
          <w14:ligatures w14:val="none"/>
        </w:rPr>
        <w:t xml:space="preserve"> </w:t>
      </w:r>
      <w:proofErr w:type="spellStart"/>
      <w:r w:rsidRPr="00E25D35">
        <w:rPr>
          <w:rFonts w:ascii="Arial" w:eastAsiaTheme="minorHAnsi" w:hAnsi="Arial" w:cs="Arial"/>
          <w:kern w:val="0"/>
          <w:lang w:eastAsia="en-US"/>
          <w14:ligatures w14:val="none"/>
        </w:rPr>
        <w:t>teacher,with</w:t>
      </w:r>
      <w:proofErr w:type="spellEnd"/>
      <w:r w:rsidRPr="00E25D35">
        <w:rPr>
          <w:rFonts w:ascii="Arial" w:eastAsiaTheme="minorHAnsi" w:hAnsi="Arial" w:cs="Arial"/>
          <w:kern w:val="0"/>
          <w:lang w:eastAsia="en-US"/>
          <w14:ligatures w14:val="none"/>
        </w:rPr>
        <w:t xml:space="preserve"> prompting, recalled ‘</w:t>
      </w:r>
      <w:proofErr w:type="spellStart"/>
      <w:r w:rsidRPr="00E25D35">
        <w:rPr>
          <w:rFonts w:ascii="Arial" w:eastAsiaTheme="minorHAnsi" w:hAnsi="Arial" w:cs="Arial"/>
          <w:kern w:val="0"/>
          <w:lang w:eastAsia="en-US"/>
          <w14:ligatures w14:val="none"/>
        </w:rPr>
        <w:t>cyfagos</w:t>
      </w:r>
      <w:proofErr w:type="spellEnd"/>
      <w:r w:rsidRPr="00E25D35">
        <w:rPr>
          <w:rFonts w:ascii="Arial" w:eastAsiaTheme="minorHAnsi" w:hAnsi="Arial" w:cs="Arial"/>
          <w:kern w:val="0"/>
          <w:lang w:eastAsia="en-US"/>
          <w14:ligatures w14:val="none"/>
        </w:rPr>
        <w:t>’ as adjacent in Welsh and used it throughout when ‘talking triangles’</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The lesson I took involved the same learners but was a practical session in a workshop setting. I had prepared a lesson plan which leant into Gibbs, being based on self-selecting group work, which was intended to facilitate cooperative learning within each ‘</w:t>
      </w:r>
      <w:proofErr w:type="spellStart"/>
      <w:r w:rsidRPr="00E25D35">
        <w:rPr>
          <w:rFonts w:ascii="Arial" w:eastAsiaTheme="minorHAnsi" w:hAnsi="Arial" w:cs="Arial"/>
          <w:kern w:val="0"/>
          <w:lang w:eastAsia="en-US"/>
          <w14:ligatures w14:val="none"/>
        </w:rPr>
        <w:t>tribe’.This</w:t>
      </w:r>
      <w:proofErr w:type="spellEnd"/>
      <w:r w:rsidRPr="00E25D35">
        <w:rPr>
          <w:rFonts w:ascii="Arial" w:eastAsiaTheme="minorHAnsi" w:hAnsi="Arial" w:cs="Arial"/>
          <w:kern w:val="0"/>
          <w:lang w:eastAsia="en-US"/>
          <w14:ligatures w14:val="none"/>
        </w:rPr>
        <w:t xml:space="preserve"> was enabled by the resources and space available. My own role within the plan involved being proximate with the learning groups. I was able to offer bespoke support and advice and make the informal assessment of each individual’s readiness to repeat the activity in a formal assessment. The lesson was conducted in English and Welsh intended to reflect the bilingual learning environment. When the operations were completed I took the initiative and substituted a visual check for allowing them to take the engines outside and (successfully) attempt to start them.</w:t>
      </w:r>
    </w:p>
    <w:p w:rsidR="00E25D35" w:rsidRPr="00E25D35" w:rsidRDefault="00E25D35" w:rsidP="00E25D35">
      <w:pPr>
        <w:spacing w:after="200" w:line="276" w:lineRule="auto"/>
        <w:rPr>
          <w:rFonts w:ascii="Arial" w:eastAsiaTheme="minorHAnsi" w:hAnsi="Arial" w:cs="Arial"/>
          <w:b/>
          <w:kern w:val="0"/>
          <w:lang w:eastAsia="en-US"/>
          <w14:ligatures w14:val="none"/>
        </w:rPr>
      </w:pPr>
      <w:r w:rsidRPr="00E25D35">
        <w:rPr>
          <w:rFonts w:ascii="Arial" w:eastAsiaTheme="minorHAnsi" w:hAnsi="Arial" w:cs="Arial"/>
          <w:b/>
          <w:kern w:val="0"/>
          <w:lang w:eastAsia="en-US"/>
          <w14:ligatures w14:val="none"/>
        </w:rPr>
        <w:t>So what?</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 xml:space="preserve">With two different learning contexts there were different engagement and behaviours and the strategies employed to manage them reflect this. One constant was the learning group who represent one of few where the Professional </w:t>
      </w:r>
      <w:proofErr w:type="gramStart"/>
      <w:r w:rsidRPr="00E25D35">
        <w:rPr>
          <w:rFonts w:ascii="Arial" w:eastAsiaTheme="minorHAnsi" w:hAnsi="Arial" w:cs="Arial"/>
          <w:kern w:val="0"/>
          <w:lang w:eastAsia="en-US"/>
          <w14:ligatures w14:val="none"/>
        </w:rPr>
        <w:t>Standard(</w:t>
      </w:r>
      <w:proofErr w:type="gramEnd"/>
      <w:r w:rsidRPr="00E25D35">
        <w:rPr>
          <w:rFonts w:ascii="Arial" w:eastAsiaTheme="minorHAnsi" w:hAnsi="Arial" w:cs="Arial"/>
          <w:kern w:val="0"/>
          <w:lang w:eastAsia="en-US"/>
          <w14:ligatures w14:val="none"/>
        </w:rPr>
        <w:t xml:space="preserve">Wales.gov) relating to Welsh overlaps with that of inclusion While not aligning with theories of behaviour or recognised strategies for  engaging learners it was to me a very significant element so has formed a large part of my reflection. Of the group, at least half are first language Welsh speakers, with some being notably less comfortable speaking English, </w:t>
      </w:r>
      <w:proofErr w:type="gramStart"/>
      <w:r w:rsidRPr="00E25D35">
        <w:rPr>
          <w:rFonts w:ascii="Arial" w:eastAsiaTheme="minorHAnsi" w:hAnsi="Arial" w:cs="Arial"/>
          <w:kern w:val="0"/>
          <w:lang w:eastAsia="en-US"/>
          <w14:ligatures w14:val="none"/>
        </w:rPr>
        <w:t>At</w:t>
      </w:r>
      <w:proofErr w:type="gramEnd"/>
      <w:r w:rsidRPr="00E25D35">
        <w:rPr>
          <w:rFonts w:ascii="Arial" w:eastAsiaTheme="minorHAnsi" w:hAnsi="Arial" w:cs="Arial"/>
          <w:kern w:val="0"/>
          <w:lang w:eastAsia="en-US"/>
          <w14:ligatures w14:val="none"/>
        </w:rPr>
        <w:t xml:space="preserve"> the other end are one or two whose functional Welsh is very low. This is compounded by the fact the course itself is in English and no Welsh option exists. My understanding of a bilingual Wales is that all should be able to live within which medium they prefer. I believe a strategy to facilitate that by using Welsh where that is the learner’s chosen medium is key to engaging with them at the level I’m aiming for. To an extent I believe I was successful in doing that; practically, I found although I can approximate fluency (in Welsh) for a period, it does begin to unwind when I’m focussed on other elements. Unexpectedly </w:t>
      </w:r>
      <w:proofErr w:type="gramStart"/>
      <w:r w:rsidRPr="00E25D35">
        <w:rPr>
          <w:rFonts w:ascii="Arial" w:eastAsiaTheme="minorHAnsi" w:hAnsi="Arial" w:cs="Arial"/>
          <w:kern w:val="0"/>
          <w:lang w:eastAsia="en-US"/>
          <w14:ligatures w14:val="none"/>
        </w:rPr>
        <w:t>to  switch</w:t>
      </w:r>
      <w:proofErr w:type="gramEnd"/>
      <w:r w:rsidRPr="00E25D35">
        <w:rPr>
          <w:rFonts w:ascii="Arial" w:eastAsiaTheme="minorHAnsi" w:hAnsi="Arial" w:cs="Arial"/>
          <w:kern w:val="0"/>
          <w:lang w:eastAsia="en-US"/>
          <w14:ligatures w14:val="none"/>
        </w:rPr>
        <w:t xml:space="preserve"> between languages proved difficult and I did at points become aware that for some engagement specifically in English was needed. For me the adoption and inclusion of an uncommon Welsh word by the </w:t>
      </w:r>
      <w:proofErr w:type="spellStart"/>
      <w:r w:rsidRPr="00E25D35">
        <w:rPr>
          <w:rFonts w:ascii="Arial" w:eastAsiaTheme="minorHAnsi" w:hAnsi="Arial" w:cs="Arial"/>
          <w:kern w:val="0"/>
          <w:lang w:eastAsia="en-US"/>
          <w14:ligatures w14:val="none"/>
        </w:rPr>
        <w:t>non Welsh</w:t>
      </w:r>
      <w:proofErr w:type="spellEnd"/>
      <w:r w:rsidRPr="00E25D35">
        <w:rPr>
          <w:rFonts w:ascii="Arial" w:eastAsiaTheme="minorHAnsi" w:hAnsi="Arial" w:cs="Arial"/>
          <w:kern w:val="0"/>
          <w:lang w:eastAsia="en-US"/>
          <w14:ligatures w14:val="none"/>
        </w:rPr>
        <w:t xml:space="preserve"> speaking teacher in the observation lesson was notable in what I’m guessing was a strategy of engagement with the </w:t>
      </w:r>
      <w:r w:rsidRPr="00E25D35">
        <w:rPr>
          <w:rFonts w:ascii="Arial" w:eastAsiaTheme="minorHAnsi" w:hAnsi="Arial" w:cs="Arial"/>
          <w:kern w:val="0"/>
          <w:lang w:eastAsia="en-US"/>
          <w14:ligatures w14:val="none"/>
        </w:rPr>
        <w:lastRenderedPageBreak/>
        <w:t>language and learner. It suggested to me that engagement in the bilingual space goes beyond ability in language.</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 xml:space="preserve">The fixed classroom layout and learning context of the observations meant they resembled generic school lessons in ways. While it could be said the professional was asserting his authority by maintaining proximity, ensuring learners were not ‘leaving the room through the screen’ and occasionally reminding people to stay on task, it was done with a light touch and respectful attitude. It does need noting that the group shows a good general level of engagement and a near total absence of challenging behaviour. I was struck how the excellent pedagogical content knowledge of the teacher aligned with the learner’s goal oriented need to learn during the second lesson and helped produce positive engagement. It was striking that he was able to pick a random problem and then seamlessly present it in a form learner’s could engage with. It brought home to me that at the core of any successful strategy to engage learners </w:t>
      </w:r>
      <w:proofErr w:type="gramStart"/>
      <w:r w:rsidRPr="00E25D35">
        <w:rPr>
          <w:rFonts w:ascii="Arial" w:eastAsiaTheme="minorHAnsi" w:hAnsi="Arial" w:cs="Arial"/>
          <w:kern w:val="0"/>
          <w:lang w:eastAsia="en-US"/>
          <w14:ligatures w14:val="none"/>
        </w:rPr>
        <w:t>is</w:t>
      </w:r>
      <w:proofErr w:type="gramEnd"/>
      <w:r w:rsidRPr="00E25D35">
        <w:rPr>
          <w:rFonts w:ascii="Arial" w:eastAsiaTheme="minorHAnsi" w:hAnsi="Arial" w:cs="Arial"/>
          <w:kern w:val="0"/>
          <w:lang w:eastAsia="en-US"/>
          <w14:ligatures w14:val="none"/>
        </w:rPr>
        <w:t xml:space="preserve"> solid content knowledge tailored for learning.</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Retrospectively, my lesson could be seen as containing elements of Jones’ theory in that I maintained close physical proximity with the class throughout and rewarded their positive engagement with a ‘fun’ activity. I’m not sure it helps my professional development to relate everything to a theory, however, as I increasingly share Gagne’s view. The strategy I did consciously implement- organising group work-seemed successful in enabling learners to take responsibility for their own learning as per the professional standard.</w:t>
      </w:r>
    </w:p>
    <w:p w:rsidR="00E25D35" w:rsidRPr="00E25D35" w:rsidRDefault="00E25D35" w:rsidP="00E25D35">
      <w:pPr>
        <w:spacing w:after="200" w:line="276" w:lineRule="auto"/>
        <w:rPr>
          <w:rFonts w:ascii="Arial" w:eastAsiaTheme="minorHAnsi" w:hAnsi="Arial" w:cs="Arial"/>
          <w:b/>
          <w:kern w:val="0"/>
          <w:lang w:eastAsia="en-US"/>
          <w14:ligatures w14:val="none"/>
        </w:rPr>
      </w:pPr>
      <w:r w:rsidRPr="00E25D35">
        <w:rPr>
          <w:rFonts w:ascii="Arial" w:eastAsiaTheme="minorHAnsi" w:hAnsi="Arial" w:cs="Arial"/>
          <w:b/>
          <w:kern w:val="0"/>
          <w:lang w:eastAsia="en-US"/>
          <w14:ligatures w14:val="none"/>
        </w:rPr>
        <w:t>Now what?</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Clearly it is to ramp up the Welsh usage, become a better, more empathetic person and refresh my content knowledge so I become a font of pedagogical content knowledge. Condensing these aims into SMART goals and concrete action is less obvious and more complex though.</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On the Welsh lang</w:t>
      </w:r>
      <w:r>
        <w:rPr>
          <w:rFonts w:ascii="Arial" w:eastAsiaTheme="minorHAnsi" w:hAnsi="Arial" w:cs="Arial"/>
          <w:kern w:val="0"/>
          <w:lang w:eastAsia="en-US"/>
          <w14:ligatures w14:val="none"/>
        </w:rPr>
        <w:t xml:space="preserve">uage, </w:t>
      </w:r>
      <w:r w:rsidRPr="00E25D35">
        <w:rPr>
          <w:rFonts w:ascii="Arial" w:eastAsiaTheme="minorHAnsi" w:hAnsi="Arial" w:cs="Arial"/>
          <w:kern w:val="0"/>
          <w:lang w:eastAsia="en-US"/>
          <w14:ligatures w14:val="none"/>
        </w:rPr>
        <w:t>a goal of immersing myself in it by taking part in one of many Welsh medium activity groups locally seems SMART and I’d aim to be doing that within a fortnight. I think the fact it would be taking me outside my comfort zone would also promote the empathy and ability to engage I want to foster within myself</w:t>
      </w:r>
    </w:p>
    <w:p w:rsidR="00E25D35" w:rsidRPr="00E25D35"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 xml:space="preserve">Although not part of the reflection my </w:t>
      </w:r>
      <w:proofErr w:type="spellStart"/>
      <w:r w:rsidRPr="00E25D35">
        <w:rPr>
          <w:rFonts w:ascii="Arial" w:eastAsiaTheme="minorHAnsi" w:hAnsi="Arial" w:cs="Arial"/>
          <w:kern w:val="0"/>
          <w:lang w:eastAsia="en-US"/>
          <w14:ligatures w14:val="none"/>
        </w:rPr>
        <w:t>ongoing</w:t>
      </w:r>
      <w:proofErr w:type="spellEnd"/>
      <w:r w:rsidRPr="00E25D35">
        <w:rPr>
          <w:rFonts w:ascii="Arial" w:eastAsiaTheme="minorHAnsi" w:hAnsi="Arial" w:cs="Arial"/>
          <w:kern w:val="0"/>
          <w:lang w:eastAsia="en-US"/>
          <w14:ligatures w14:val="none"/>
        </w:rPr>
        <w:t xml:space="preserve"> lack of digital skills need addressing. I will be looking over summer to complete relevant digital skills course on UWTSD library and learning resource.</w:t>
      </w:r>
    </w:p>
    <w:p w:rsidR="006A6497" w:rsidRDefault="00E25D35" w:rsidP="00E25D35">
      <w:pPr>
        <w:spacing w:after="200" w:line="276" w:lineRule="auto"/>
        <w:rPr>
          <w:rFonts w:ascii="Arial" w:eastAsiaTheme="minorHAnsi" w:hAnsi="Arial" w:cs="Arial"/>
          <w:kern w:val="0"/>
          <w:lang w:eastAsia="en-US"/>
          <w14:ligatures w14:val="none"/>
        </w:rPr>
      </w:pPr>
      <w:r w:rsidRPr="00E25D35">
        <w:rPr>
          <w:rFonts w:ascii="Arial" w:eastAsiaTheme="minorHAnsi" w:hAnsi="Arial" w:cs="Arial"/>
          <w:kern w:val="0"/>
          <w:lang w:eastAsia="en-US"/>
          <w14:ligatures w14:val="none"/>
        </w:rPr>
        <w:t>Lastly I intend to spend the time between now and the next academic year going through old study materials in areas I aim to teach in, refreshing my knowledge and looking at ways of producing it in ‘teachable format’</w:t>
      </w:r>
    </w:p>
    <w:p w:rsidR="00D9405B" w:rsidRDefault="006A6497" w:rsidP="006A6497">
      <w:pPr>
        <w:spacing w:after="200" w:line="276" w:lineRule="auto"/>
        <w:rPr>
          <w:rFonts w:ascii="Arial" w:hAnsi="Arial" w:cs="Arial"/>
          <w:b/>
          <w:sz w:val="28"/>
          <w:szCs w:val="28"/>
        </w:rPr>
      </w:pPr>
      <w:r>
        <w:rPr>
          <w:rFonts w:ascii="Arial" w:eastAsiaTheme="minorHAnsi" w:hAnsi="Arial" w:cs="Arial"/>
          <w:kern w:val="0"/>
          <w:lang w:eastAsia="en-US"/>
          <w14:ligatures w14:val="none"/>
        </w:rPr>
        <w:br w:type="page"/>
      </w:r>
      <w:r w:rsidR="00D9405B" w:rsidRPr="002A4D51">
        <w:rPr>
          <w:rFonts w:ascii="Arial" w:hAnsi="Arial" w:cs="Arial"/>
          <w:b/>
          <w:sz w:val="28"/>
          <w:szCs w:val="28"/>
        </w:rPr>
        <w:lastRenderedPageBreak/>
        <w:t>References</w:t>
      </w:r>
    </w:p>
    <w:p w:rsidR="006A6497" w:rsidRPr="006A6497" w:rsidRDefault="006A6497" w:rsidP="006A6497">
      <w:pPr>
        <w:spacing w:after="200" w:line="276" w:lineRule="auto"/>
        <w:rPr>
          <w:rFonts w:eastAsiaTheme="minorHAnsi"/>
          <w:kern w:val="0"/>
          <w:sz w:val="22"/>
          <w:szCs w:val="22"/>
          <w:lang w:eastAsia="en-US"/>
          <w14:ligatures w14:val="none"/>
        </w:rPr>
      </w:pPr>
      <w:proofErr w:type="spellStart"/>
      <w:proofErr w:type="gramStart"/>
      <w:r w:rsidRPr="006A6497">
        <w:rPr>
          <w:rFonts w:eastAsiaTheme="minorHAnsi"/>
          <w:kern w:val="0"/>
          <w:sz w:val="22"/>
          <w:szCs w:val="22"/>
          <w:lang w:eastAsia="en-US"/>
          <w14:ligatures w14:val="none"/>
        </w:rPr>
        <w:t>Aldrup</w:t>
      </w:r>
      <w:proofErr w:type="spellEnd"/>
      <w:r w:rsidRPr="006A6497">
        <w:rPr>
          <w:rFonts w:eastAsiaTheme="minorHAnsi"/>
          <w:kern w:val="0"/>
          <w:sz w:val="22"/>
          <w:szCs w:val="22"/>
          <w:lang w:eastAsia="en-US"/>
          <w14:ligatures w14:val="none"/>
        </w:rPr>
        <w:t xml:space="preserve">, Karen &amp; </w:t>
      </w:r>
      <w:proofErr w:type="spellStart"/>
      <w:r w:rsidRPr="006A6497">
        <w:rPr>
          <w:rFonts w:eastAsiaTheme="minorHAnsi"/>
          <w:kern w:val="0"/>
          <w:sz w:val="22"/>
          <w:szCs w:val="22"/>
          <w:lang w:eastAsia="en-US"/>
          <w14:ligatures w14:val="none"/>
        </w:rPr>
        <w:t>Carstensen</w:t>
      </w:r>
      <w:proofErr w:type="spellEnd"/>
      <w:r w:rsidRPr="006A6497">
        <w:rPr>
          <w:rFonts w:eastAsiaTheme="minorHAnsi"/>
          <w:kern w:val="0"/>
          <w:sz w:val="22"/>
          <w:szCs w:val="22"/>
          <w:lang w:eastAsia="en-US"/>
          <w14:ligatures w14:val="none"/>
        </w:rPr>
        <w:t xml:space="preserve">, Bastian &amp; </w:t>
      </w:r>
      <w:proofErr w:type="spellStart"/>
      <w:r w:rsidRPr="006A6497">
        <w:rPr>
          <w:rFonts w:eastAsiaTheme="minorHAnsi"/>
          <w:kern w:val="0"/>
          <w:sz w:val="22"/>
          <w:szCs w:val="22"/>
          <w:lang w:eastAsia="en-US"/>
          <w14:ligatures w14:val="none"/>
        </w:rPr>
        <w:t>Klusmann</w:t>
      </w:r>
      <w:proofErr w:type="spellEnd"/>
      <w:r w:rsidRPr="006A6497">
        <w:rPr>
          <w:rFonts w:eastAsiaTheme="minorHAnsi"/>
          <w:kern w:val="0"/>
          <w:sz w:val="22"/>
          <w:szCs w:val="22"/>
          <w:lang w:eastAsia="en-US"/>
          <w14:ligatures w14:val="none"/>
        </w:rPr>
        <w:t xml:space="preserve">, </w:t>
      </w:r>
      <w:proofErr w:type="spellStart"/>
      <w:r w:rsidRPr="006A6497">
        <w:rPr>
          <w:rFonts w:eastAsiaTheme="minorHAnsi"/>
          <w:kern w:val="0"/>
          <w:sz w:val="22"/>
          <w:szCs w:val="22"/>
          <w:lang w:eastAsia="en-US"/>
          <w14:ligatures w14:val="none"/>
        </w:rPr>
        <w:t>Uta</w:t>
      </w:r>
      <w:proofErr w:type="spellEnd"/>
      <w:r w:rsidRPr="006A6497">
        <w:rPr>
          <w:rFonts w:eastAsiaTheme="minorHAnsi"/>
          <w:kern w:val="0"/>
          <w:sz w:val="22"/>
          <w:szCs w:val="22"/>
          <w:lang w:eastAsia="en-US"/>
          <w14:ligatures w14:val="none"/>
        </w:rPr>
        <w:t>.</w:t>
      </w:r>
      <w:proofErr w:type="gramEnd"/>
      <w:r w:rsidRPr="006A6497">
        <w:rPr>
          <w:rFonts w:eastAsiaTheme="minorHAnsi"/>
          <w:kern w:val="0"/>
          <w:sz w:val="22"/>
          <w:szCs w:val="22"/>
          <w:lang w:eastAsia="en-US"/>
          <w14:ligatures w14:val="none"/>
        </w:rPr>
        <w:t xml:space="preserve"> (2022). </w:t>
      </w:r>
      <w:r w:rsidRPr="006A6497">
        <w:rPr>
          <w:rFonts w:eastAsiaTheme="minorHAnsi"/>
          <w:i/>
          <w:kern w:val="0"/>
          <w:sz w:val="22"/>
          <w:szCs w:val="22"/>
          <w:lang w:eastAsia="en-US"/>
          <w14:ligatures w14:val="none"/>
        </w:rPr>
        <w:t xml:space="preserve">Is Empathy the Key to Effective Teaching? </w:t>
      </w:r>
      <w:proofErr w:type="gramStart"/>
      <w:r w:rsidRPr="006A6497">
        <w:rPr>
          <w:rFonts w:eastAsiaTheme="minorHAnsi"/>
          <w:i/>
          <w:kern w:val="0"/>
          <w:sz w:val="22"/>
          <w:szCs w:val="22"/>
          <w:lang w:eastAsia="en-US"/>
          <w14:ligatures w14:val="none"/>
        </w:rPr>
        <w:t>A Systematic Review of Its Association with Teacher-Student Interactions and Student Outcomes.</w:t>
      </w:r>
      <w:proofErr w:type="gramEnd"/>
      <w:r w:rsidRPr="006A6497">
        <w:rPr>
          <w:rFonts w:eastAsiaTheme="minorHAnsi"/>
          <w:kern w:val="0"/>
          <w:sz w:val="22"/>
          <w:szCs w:val="22"/>
          <w:lang w:eastAsia="en-US"/>
          <w14:ligatures w14:val="none"/>
        </w:rPr>
        <w:t xml:space="preserve"> </w:t>
      </w:r>
      <w:proofErr w:type="gramStart"/>
      <w:r w:rsidRPr="006A6497">
        <w:rPr>
          <w:rFonts w:eastAsiaTheme="minorHAnsi"/>
          <w:kern w:val="0"/>
          <w:sz w:val="22"/>
          <w:szCs w:val="22"/>
          <w:lang w:eastAsia="en-US"/>
          <w14:ligatures w14:val="none"/>
        </w:rPr>
        <w:t>Educational Psychology Review.</w:t>
      </w:r>
      <w:proofErr w:type="gramEnd"/>
      <w:r w:rsidRPr="006A6497">
        <w:rPr>
          <w:rFonts w:eastAsiaTheme="minorHAnsi"/>
          <w:kern w:val="0"/>
          <w:sz w:val="22"/>
          <w:szCs w:val="22"/>
          <w:lang w:eastAsia="en-US"/>
          <w14:ligatures w14:val="none"/>
        </w:rPr>
        <w:t xml:space="preserve"> 34. 1-40. </w:t>
      </w:r>
      <w:proofErr w:type="gramStart"/>
      <w:r w:rsidRPr="006A6497">
        <w:rPr>
          <w:rFonts w:eastAsiaTheme="minorHAnsi"/>
          <w:kern w:val="0"/>
          <w:sz w:val="22"/>
          <w:szCs w:val="22"/>
          <w:lang w:eastAsia="en-US"/>
          <w14:ligatures w14:val="none"/>
        </w:rPr>
        <w:t>10.1007/s10648-021-09649-y.</w:t>
      </w:r>
      <w:proofErr w:type="gramEnd"/>
    </w:p>
    <w:p w:rsidR="006A6497" w:rsidRPr="006A6497" w:rsidRDefault="006A6497" w:rsidP="006A6497">
      <w:pPr>
        <w:spacing w:after="200" w:line="276" w:lineRule="auto"/>
        <w:rPr>
          <w:rFonts w:eastAsiaTheme="minorHAnsi"/>
          <w:kern w:val="0"/>
          <w:sz w:val="22"/>
          <w:szCs w:val="22"/>
          <w:lang w:eastAsia="en-US"/>
          <w14:ligatures w14:val="none"/>
        </w:rPr>
      </w:pPr>
      <w:r w:rsidRPr="006A6497">
        <w:rPr>
          <w:rFonts w:eastAsiaTheme="minorHAnsi"/>
          <w:kern w:val="0"/>
          <w:sz w:val="22"/>
          <w:szCs w:val="22"/>
          <w:lang w:eastAsia="en-US"/>
          <w14:ligatures w14:val="none"/>
        </w:rPr>
        <w:t xml:space="preserve">Berne, E. (1961). </w:t>
      </w:r>
      <w:r w:rsidRPr="006A6497">
        <w:rPr>
          <w:rFonts w:eastAsiaTheme="minorHAnsi"/>
          <w:i/>
          <w:iCs/>
          <w:kern w:val="0"/>
          <w:sz w:val="22"/>
          <w:szCs w:val="22"/>
          <w:lang w:eastAsia="en-US"/>
          <w14:ligatures w14:val="none"/>
        </w:rPr>
        <w:t>Transactional analysis in psychotherapy: A systematic individual and social psychiatry.</w:t>
      </w:r>
      <w:r w:rsidRPr="006A6497">
        <w:rPr>
          <w:rFonts w:eastAsiaTheme="minorHAnsi"/>
          <w:kern w:val="0"/>
          <w:sz w:val="22"/>
          <w:szCs w:val="22"/>
          <w:lang w:eastAsia="en-US"/>
          <w14:ligatures w14:val="none"/>
        </w:rPr>
        <w:t xml:space="preserve"> </w:t>
      </w:r>
      <w:proofErr w:type="gramStart"/>
      <w:r w:rsidRPr="006A6497">
        <w:rPr>
          <w:rFonts w:eastAsiaTheme="minorHAnsi"/>
          <w:kern w:val="0"/>
          <w:sz w:val="22"/>
          <w:szCs w:val="22"/>
          <w:lang w:eastAsia="en-US"/>
          <w14:ligatures w14:val="none"/>
        </w:rPr>
        <w:t>Grove Press.</w:t>
      </w:r>
      <w:proofErr w:type="gramEnd"/>
      <w:r w:rsidRPr="006A6497">
        <w:rPr>
          <w:rFonts w:eastAsiaTheme="minorHAnsi"/>
          <w:kern w:val="0"/>
          <w:sz w:val="22"/>
          <w:szCs w:val="22"/>
          <w:lang w:eastAsia="en-US"/>
          <w14:ligatures w14:val="none"/>
        </w:rPr>
        <w:t xml:space="preserve"> </w:t>
      </w:r>
      <w:hyperlink r:id="rId7" w:tgtFrame="_blank" w:history="1">
        <w:r w:rsidRPr="006A6497">
          <w:rPr>
            <w:rFonts w:eastAsiaTheme="minorHAnsi"/>
            <w:color w:val="0000FF"/>
            <w:kern w:val="0"/>
            <w:sz w:val="22"/>
            <w:szCs w:val="22"/>
            <w:u w:val="single"/>
            <w:lang w:eastAsia="en-US"/>
            <w14:ligatures w14:val="none"/>
          </w:rPr>
          <w:t>https://doi.org/10.1037/11495-000</w:t>
        </w:r>
      </w:hyperlink>
    </w:p>
    <w:p w:rsidR="006A6497" w:rsidRPr="006A6497" w:rsidRDefault="006A6497" w:rsidP="006A6497">
      <w:pPr>
        <w:spacing w:after="200" w:line="276" w:lineRule="auto"/>
        <w:rPr>
          <w:rFonts w:ascii="Arial" w:eastAsiaTheme="minorHAnsi" w:hAnsi="Arial" w:cs="Arial"/>
          <w:kern w:val="0"/>
          <w:sz w:val="22"/>
          <w:szCs w:val="22"/>
          <w:lang w:eastAsia="en-US"/>
          <w14:ligatures w14:val="none"/>
        </w:rPr>
      </w:pPr>
      <w:proofErr w:type="gramStart"/>
      <w:r w:rsidRPr="006A6497">
        <w:rPr>
          <w:rFonts w:ascii="Arial" w:eastAsiaTheme="minorHAnsi" w:hAnsi="Arial" w:cs="Arial"/>
          <w:kern w:val="0"/>
          <w:sz w:val="22"/>
          <w:szCs w:val="22"/>
          <w:lang w:eastAsia="en-US"/>
          <w14:ligatures w14:val="none"/>
        </w:rPr>
        <w:t>Davis, B., &amp; Francis, K. (2021).</w:t>
      </w:r>
      <w:proofErr w:type="gramEnd"/>
      <w:r w:rsidRPr="006A6497">
        <w:rPr>
          <w:rFonts w:ascii="Arial" w:eastAsiaTheme="minorHAnsi" w:hAnsi="Arial" w:cs="Arial"/>
          <w:kern w:val="0"/>
          <w:sz w:val="22"/>
          <w:szCs w:val="22"/>
          <w:lang w:eastAsia="en-US"/>
          <w14:ligatures w14:val="none"/>
        </w:rPr>
        <w:t xml:space="preserve"> </w:t>
      </w:r>
      <w:proofErr w:type="gramStart"/>
      <w:r w:rsidRPr="006A6497">
        <w:rPr>
          <w:rFonts w:ascii="Arial" w:eastAsiaTheme="minorHAnsi" w:hAnsi="Arial" w:cs="Arial"/>
          <w:kern w:val="0"/>
          <w:sz w:val="22"/>
          <w:szCs w:val="22"/>
          <w:lang w:eastAsia="en-US"/>
          <w14:ligatures w14:val="none"/>
        </w:rPr>
        <w:t xml:space="preserve">“Non-Adversarial Method (Fred Jones Theory)” in </w:t>
      </w:r>
      <w:r w:rsidRPr="006A6497">
        <w:rPr>
          <w:rFonts w:ascii="Arial" w:eastAsiaTheme="minorHAnsi" w:hAnsi="Arial" w:cs="Arial"/>
          <w:i/>
          <w:iCs/>
          <w:kern w:val="0"/>
          <w:sz w:val="22"/>
          <w:szCs w:val="22"/>
          <w:lang w:eastAsia="en-US"/>
          <w14:ligatures w14:val="none"/>
        </w:rPr>
        <w:t>Discourses on Learning in Education</w:t>
      </w:r>
      <w:r w:rsidRPr="006A6497">
        <w:rPr>
          <w:rFonts w:ascii="Arial" w:eastAsiaTheme="minorHAnsi" w:hAnsi="Arial" w:cs="Arial"/>
          <w:kern w:val="0"/>
          <w:sz w:val="22"/>
          <w:szCs w:val="22"/>
          <w:lang w:eastAsia="en-US"/>
          <w14:ligatures w14:val="none"/>
        </w:rPr>
        <w:t>.</w:t>
      </w:r>
      <w:proofErr w:type="gramEnd"/>
      <w:r w:rsidRPr="006A6497">
        <w:rPr>
          <w:rFonts w:ascii="Arial" w:eastAsiaTheme="minorHAnsi" w:hAnsi="Arial" w:cs="Arial"/>
          <w:kern w:val="0"/>
          <w:sz w:val="22"/>
          <w:szCs w:val="22"/>
          <w:lang w:eastAsia="en-US"/>
          <w14:ligatures w14:val="none"/>
        </w:rPr>
        <w:t xml:space="preserve"> </w:t>
      </w:r>
      <w:hyperlink r:id="rId8" w:history="1">
        <w:r w:rsidRPr="006A6497">
          <w:rPr>
            <w:rFonts w:ascii="Arial" w:eastAsiaTheme="minorHAnsi" w:hAnsi="Arial" w:cs="Arial"/>
            <w:color w:val="0000FF" w:themeColor="hyperlink"/>
            <w:kern w:val="0"/>
            <w:sz w:val="22"/>
            <w:szCs w:val="22"/>
            <w:u w:val="single"/>
            <w:lang w:eastAsia="en-US"/>
            <w14:ligatures w14:val="none"/>
          </w:rPr>
          <w:t>https://learningdiscourses.com</w:t>
        </w:r>
      </w:hyperlink>
      <w:r w:rsidRPr="006A6497">
        <w:rPr>
          <w:rFonts w:ascii="Arial" w:eastAsiaTheme="minorHAnsi" w:hAnsi="Arial" w:cs="Arial"/>
          <w:kern w:val="0"/>
          <w:sz w:val="22"/>
          <w:szCs w:val="22"/>
          <w:lang w:eastAsia="en-US"/>
          <w14:ligatures w14:val="none"/>
        </w:rPr>
        <w:t>.</w:t>
      </w:r>
    </w:p>
    <w:p w:rsidR="006A6497" w:rsidRPr="006A6497" w:rsidRDefault="006A6497" w:rsidP="006A6497">
      <w:pPr>
        <w:spacing w:after="200" w:line="276" w:lineRule="auto"/>
        <w:rPr>
          <w:rFonts w:ascii="Arial" w:eastAsiaTheme="minorHAnsi" w:hAnsi="Arial" w:cs="Arial"/>
          <w:kern w:val="0"/>
          <w:sz w:val="22"/>
          <w:szCs w:val="22"/>
          <w:lang w:eastAsia="en-US"/>
          <w14:ligatures w14:val="none"/>
        </w:rPr>
      </w:pPr>
      <w:proofErr w:type="spellStart"/>
      <w:r w:rsidRPr="006A6497">
        <w:rPr>
          <w:rFonts w:ascii="Arial" w:eastAsiaTheme="minorHAnsi" w:hAnsi="Arial" w:cs="Arial"/>
          <w:kern w:val="0"/>
          <w:sz w:val="22"/>
          <w:szCs w:val="22"/>
          <w:lang w:eastAsia="en-US"/>
          <w14:ligatures w14:val="none"/>
        </w:rPr>
        <w:t>Gagne</w:t>
      </w:r>
      <w:proofErr w:type="gramStart"/>
      <w:r w:rsidRPr="006A6497">
        <w:rPr>
          <w:rFonts w:ascii="Arial" w:eastAsiaTheme="minorHAnsi" w:hAnsi="Arial" w:cs="Arial"/>
          <w:kern w:val="0"/>
          <w:sz w:val="22"/>
          <w:szCs w:val="22"/>
          <w:lang w:eastAsia="en-US"/>
          <w14:ligatures w14:val="none"/>
        </w:rPr>
        <w:t>,R</w:t>
      </w:r>
      <w:proofErr w:type="spellEnd"/>
      <w:proofErr w:type="gramEnd"/>
      <w:r w:rsidRPr="006A6497">
        <w:rPr>
          <w:rFonts w:ascii="Arial" w:eastAsiaTheme="minorHAnsi" w:hAnsi="Arial" w:cs="Arial"/>
          <w:kern w:val="0"/>
          <w:sz w:val="22"/>
          <w:szCs w:val="22"/>
          <w:lang w:eastAsia="en-US"/>
          <w14:ligatures w14:val="none"/>
        </w:rPr>
        <w:t xml:space="preserve">. (1965) </w:t>
      </w:r>
      <w:r w:rsidRPr="006A6497">
        <w:rPr>
          <w:rFonts w:ascii="Arial" w:eastAsiaTheme="minorHAnsi" w:hAnsi="Arial" w:cs="Arial"/>
          <w:i/>
          <w:kern w:val="0"/>
          <w:sz w:val="22"/>
          <w:szCs w:val="22"/>
          <w:lang w:eastAsia="en-US"/>
          <w14:ligatures w14:val="none"/>
        </w:rPr>
        <w:t xml:space="preserve">Conditions of learning, </w:t>
      </w:r>
      <w:r w:rsidRPr="006A6497">
        <w:rPr>
          <w:rFonts w:ascii="Arial" w:eastAsiaTheme="minorHAnsi" w:hAnsi="Arial" w:cs="Arial"/>
          <w:kern w:val="0"/>
          <w:sz w:val="22"/>
          <w:szCs w:val="22"/>
          <w:lang w:eastAsia="en-US"/>
          <w14:ligatures w14:val="none"/>
        </w:rPr>
        <w:t xml:space="preserve">New York, Holt, </w:t>
      </w:r>
      <w:proofErr w:type="spellStart"/>
      <w:r w:rsidRPr="006A6497">
        <w:rPr>
          <w:rFonts w:ascii="Arial" w:eastAsiaTheme="minorHAnsi" w:hAnsi="Arial" w:cs="Arial"/>
          <w:kern w:val="0"/>
          <w:sz w:val="22"/>
          <w:szCs w:val="22"/>
          <w:lang w:eastAsia="en-US"/>
          <w14:ligatures w14:val="none"/>
        </w:rPr>
        <w:t>Rheinhart</w:t>
      </w:r>
      <w:proofErr w:type="spellEnd"/>
      <w:r w:rsidRPr="006A6497">
        <w:rPr>
          <w:rFonts w:ascii="Arial" w:eastAsiaTheme="minorHAnsi" w:hAnsi="Arial" w:cs="Arial"/>
          <w:kern w:val="0"/>
          <w:sz w:val="22"/>
          <w:szCs w:val="22"/>
          <w:lang w:eastAsia="en-US"/>
          <w14:ligatures w14:val="none"/>
        </w:rPr>
        <w:t xml:space="preserve"> and Winston</w:t>
      </w:r>
    </w:p>
    <w:p w:rsidR="006A6497" w:rsidRPr="006A6497" w:rsidRDefault="006A6497" w:rsidP="006A6497">
      <w:pPr>
        <w:spacing w:after="200" w:line="276" w:lineRule="auto"/>
        <w:rPr>
          <w:rFonts w:ascii="Arial" w:eastAsiaTheme="minorHAnsi" w:hAnsi="Arial" w:cs="Arial"/>
          <w:kern w:val="0"/>
          <w:sz w:val="22"/>
          <w:szCs w:val="22"/>
          <w:lang w:eastAsia="en-US"/>
          <w14:ligatures w14:val="none"/>
        </w:rPr>
      </w:pPr>
      <w:r w:rsidRPr="006A6497">
        <w:rPr>
          <w:rFonts w:ascii="Arial" w:eastAsiaTheme="minorHAnsi" w:hAnsi="Arial" w:cs="Arial"/>
          <w:kern w:val="0"/>
          <w:sz w:val="22"/>
          <w:szCs w:val="22"/>
          <w:lang w:eastAsia="en-US"/>
          <w14:ligatures w14:val="none"/>
        </w:rPr>
        <w:t xml:space="preserve">Gibbs, J. (1995) </w:t>
      </w:r>
      <w:r w:rsidRPr="006A6497">
        <w:rPr>
          <w:rFonts w:ascii="Arial" w:eastAsiaTheme="minorHAnsi" w:hAnsi="Arial" w:cs="Arial"/>
          <w:i/>
          <w:iCs/>
          <w:kern w:val="0"/>
          <w:sz w:val="22"/>
          <w:szCs w:val="22"/>
          <w:lang w:eastAsia="en-US"/>
          <w14:ligatures w14:val="none"/>
        </w:rPr>
        <w:t>Tribes : a new way of learning and being together</w:t>
      </w:r>
      <w:proofErr w:type="gramStart"/>
      <w:r w:rsidRPr="006A6497">
        <w:rPr>
          <w:rFonts w:ascii="Arial" w:eastAsiaTheme="minorHAnsi" w:hAnsi="Arial" w:cs="Arial"/>
          <w:i/>
          <w:iCs/>
          <w:kern w:val="0"/>
          <w:sz w:val="22"/>
          <w:szCs w:val="22"/>
          <w:lang w:eastAsia="en-US"/>
          <w14:ligatures w14:val="none"/>
        </w:rPr>
        <w:t>  /</w:t>
      </w:r>
      <w:proofErr w:type="gramEnd"/>
      <w:r w:rsidRPr="006A6497">
        <w:rPr>
          <w:rFonts w:ascii="Arial" w:eastAsiaTheme="minorHAnsi" w:hAnsi="Arial" w:cs="Arial"/>
          <w:i/>
          <w:iCs/>
          <w:kern w:val="0"/>
          <w:sz w:val="22"/>
          <w:szCs w:val="22"/>
          <w:lang w:eastAsia="en-US"/>
          <w14:ligatures w14:val="none"/>
        </w:rPr>
        <w:t xml:space="preserve"> by Jeanne Gibbs ; in collaboration with Teachers and Administrators Extraordinaire.</w:t>
      </w:r>
      <w:r w:rsidRPr="006A6497">
        <w:rPr>
          <w:rFonts w:ascii="Arial" w:eastAsiaTheme="minorHAnsi" w:hAnsi="Arial" w:cs="Arial"/>
          <w:kern w:val="0"/>
          <w:sz w:val="22"/>
          <w:szCs w:val="22"/>
          <w:lang w:eastAsia="en-US"/>
          <w14:ligatures w14:val="none"/>
        </w:rPr>
        <w:t xml:space="preserve"> Sausalito, CA: </w:t>
      </w:r>
      <w:proofErr w:type="spellStart"/>
      <w:r w:rsidRPr="006A6497">
        <w:rPr>
          <w:rFonts w:ascii="Arial" w:eastAsiaTheme="minorHAnsi" w:hAnsi="Arial" w:cs="Arial"/>
          <w:kern w:val="0"/>
          <w:sz w:val="22"/>
          <w:szCs w:val="22"/>
          <w:lang w:eastAsia="en-US"/>
          <w14:ligatures w14:val="none"/>
        </w:rPr>
        <w:t>Center</w:t>
      </w:r>
      <w:proofErr w:type="spellEnd"/>
      <w:r w:rsidRPr="006A6497">
        <w:rPr>
          <w:rFonts w:ascii="Arial" w:eastAsiaTheme="minorHAnsi" w:hAnsi="Arial" w:cs="Arial"/>
          <w:kern w:val="0"/>
          <w:sz w:val="22"/>
          <w:szCs w:val="22"/>
          <w:lang w:eastAsia="en-US"/>
          <w14:ligatures w14:val="none"/>
        </w:rPr>
        <w:t xml:space="preserve"> Source Systems.</w:t>
      </w:r>
    </w:p>
    <w:p w:rsidR="006A6497" w:rsidRPr="006A6497" w:rsidRDefault="006A6497" w:rsidP="006A6497">
      <w:pPr>
        <w:spacing w:after="200" w:line="276" w:lineRule="auto"/>
        <w:rPr>
          <w:rFonts w:ascii="Arial" w:eastAsiaTheme="minorHAnsi" w:hAnsi="Arial" w:cs="Arial"/>
          <w:kern w:val="0"/>
          <w:sz w:val="22"/>
          <w:szCs w:val="22"/>
          <w:lang w:eastAsia="en-US"/>
          <w14:ligatures w14:val="none"/>
        </w:rPr>
      </w:pPr>
      <w:r w:rsidRPr="006A6497">
        <w:rPr>
          <w:rFonts w:ascii="Arial" w:eastAsiaTheme="minorHAnsi" w:hAnsi="Arial" w:cs="Arial"/>
          <w:kern w:val="0"/>
          <w:sz w:val="22"/>
          <w:szCs w:val="22"/>
          <w:lang w:eastAsia="en-US"/>
          <w14:ligatures w14:val="none"/>
        </w:rPr>
        <w:t xml:space="preserve">Hoffman E. (1988). </w:t>
      </w:r>
      <w:r w:rsidRPr="006A6497">
        <w:rPr>
          <w:rFonts w:ascii="Arial" w:eastAsiaTheme="minorHAnsi" w:hAnsi="Arial" w:cs="Arial"/>
          <w:i/>
          <w:iCs/>
          <w:kern w:val="0"/>
          <w:sz w:val="22"/>
          <w:szCs w:val="22"/>
          <w:lang w:eastAsia="en-US"/>
          <w14:ligatures w14:val="none"/>
        </w:rPr>
        <w:t>The right to be human: A biography of Abraham Maslow</w:t>
      </w:r>
      <w:r w:rsidRPr="006A6497">
        <w:rPr>
          <w:rFonts w:ascii="Arial" w:eastAsiaTheme="minorHAnsi" w:hAnsi="Arial" w:cs="Arial"/>
          <w:kern w:val="0"/>
          <w:sz w:val="22"/>
          <w:szCs w:val="22"/>
          <w:lang w:eastAsia="en-US"/>
          <w14:ligatures w14:val="none"/>
        </w:rPr>
        <w:t xml:space="preserve">. J. P. </w:t>
      </w:r>
      <w:proofErr w:type="spellStart"/>
      <w:r w:rsidRPr="006A6497">
        <w:rPr>
          <w:rFonts w:ascii="Arial" w:eastAsiaTheme="minorHAnsi" w:hAnsi="Arial" w:cs="Arial"/>
          <w:kern w:val="0"/>
          <w:sz w:val="22"/>
          <w:szCs w:val="22"/>
          <w:lang w:eastAsia="en-US"/>
          <w14:ligatures w14:val="none"/>
        </w:rPr>
        <w:t>Tarcher</w:t>
      </w:r>
      <w:proofErr w:type="spellEnd"/>
    </w:p>
    <w:p w:rsidR="006A6497" w:rsidRPr="006A6497" w:rsidRDefault="006A6497" w:rsidP="006A6497">
      <w:pPr>
        <w:spacing w:after="200" w:line="276" w:lineRule="auto"/>
        <w:rPr>
          <w:rFonts w:ascii="Arial" w:eastAsiaTheme="minorHAnsi" w:hAnsi="Arial" w:cs="Arial"/>
          <w:kern w:val="0"/>
          <w:sz w:val="22"/>
          <w:szCs w:val="22"/>
          <w:lang w:eastAsia="en-US"/>
          <w14:ligatures w14:val="none"/>
        </w:rPr>
      </w:pPr>
      <w:proofErr w:type="spellStart"/>
      <w:r w:rsidRPr="006A6497">
        <w:rPr>
          <w:rFonts w:ascii="Arial" w:eastAsiaTheme="minorHAnsi" w:hAnsi="Arial" w:cs="Arial"/>
          <w:kern w:val="0"/>
          <w:sz w:val="22"/>
          <w:szCs w:val="22"/>
          <w:lang w:eastAsia="en-US"/>
          <w14:ligatures w14:val="none"/>
        </w:rPr>
        <w:t>Holton</w:t>
      </w:r>
      <w:proofErr w:type="gramStart"/>
      <w:r w:rsidRPr="006A6497">
        <w:rPr>
          <w:rFonts w:ascii="Arial" w:eastAsiaTheme="minorHAnsi" w:hAnsi="Arial" w:cs="Arial"/>
          <w:kern w:val="0"/>
          <w:sz w:val="22"/>
          <w:szCs w:val="22"/>
          <w:lang w:eastAsia="en-US"/>
          <w14:ligatures w14:val="none"/>
        </w:rPr>
        <w:t>,E.F</w:t>
      </w:r>
      <w:proofErr w:type="spellEnd"/>
      <w:proofErr w:type="gramEnd"/>
      <w:r w:rsidRPr="006A6497">
        <w:rPr>
          <w:rFonts w:ascii="Arial" w:eastAsiaTheme="minorHAnsi" w:hAnsi="Arial" w:cs="Arial"/>
          <w:kern w:val="0"/>
          <w:sz w:val="22"/>
          <w:szCs w:val="22"/>
          <w:lang w:eastAsia="en-US"/>
          <w14:ligatures w14:val="none"/>
        </w:rPr>
        <w:t xml:space="preserve">, </w:t>
      </w:r>
      <w:proofErr w:type="spellStart"/>
      <w:r w:rsidRPr="006A6497">
        <w:rPr>
          <w:rFonts w:ascii="Arial" w:eastAsiaTheme="minorHAnsi" w:hAnsi="Arial" w:cs="Arial"/>
          <w:kern w:val="0"/>
          <w:sz w:val="22"/>
          <w:szCs w:val="22"/>
          <w:lang w:eastAsia="en-US"/>
          <w14:ligatures w14:val="none"/>
        </w:rPr>
        <w:t>KnowlesM</w:t>
      </w:r>
      <w:proofErr w:type="spellEnd"/>
      <w:r w:rsidRPr="006A6497">
        <w:rPr>
          <w:rFonts w:ascii="Arial" w:eastAsiaTheme="minorHAnsi" w:hAnsi="Arial" w:cs="Arial"/>
          <w:kern w:val="0"/>
          <w:sz w:val="22"/>
          <w:szCs w:val="22"/>
          <w:lang w:eastAsia="en-US"/>
          <w14:ligatures w14:val="none"/>
        </w:rPr>
        <w:t>.,Robinson,p.,</w:t>
      </w:r>
      <w:proofErr w:type="spellStart"/>
      <w:r w:rsidRPr="006A6497">
        <w:rPr>
          <w:rFonts w:ascii="Arial" w:eastAsiaTheme="minorHAnsi" w:hAnsi="Arial" w:cs="Arial"/>
          <w:kern w:val="0"/>
          <w:sz w:val="22"/>
          <w:szCs w:val="22"/>
          <w:lang w:eastAsia="en-US"/>
          <w14:ligatures w14:val="none"/>
        </w:rPr>
        <w:t>Swanson,R</w:t>
      </w:r>
      <w:proofErr w:type="spellEnd"/>
      <w:r w:rsidRPr="006A6497">
        <w:rPr>
          <w:rFonts w:ascii="Arial" w:eastAsiaTheme="minorHAnsi" w:hAnsi="Arial" w:cs="Arial"/>
          <w:kern w:val="0"/>
          <w:sz w:val="22"/>
          <w:szCs w:val="22"/>
          <w:lang w:eastAsia="en-US"/>
          <w14:ligatures w14:val="none"/>
        </w:rPr>
        <w:t xml:space="preserve">.(2020) 9ed </w:t>
      </w:r>
      <w:r w:rsidRPr="006A6497">
        <w:rPr>
          <w:rFonts w:ascii="Arial" w:eastAsiaTheme="minorHAnsi" w:hAnsi="Arial" w:cs="Arial"/>
          <w:i/>
          <w:kern w:val="0"/>
          <w:sz w:val="22"/>
          <w:szCs w:val="22"/>
          <w:lang w:eastAsia="en-US"/>
          <w14:ligatures w14:val="none"/>
        </w:rPr>
        <w:t xml:space="preserve">The Adult Learner: The definitive classic in adult education and human resource development </w:t>
      </w:r>
      <w:proofErr w:type="spellStart"/>
      <w:r w:rsidRPr="006A6497">
        <w:rPr>
          <w:rFonts w:ascii="Arial" w:eastAsiaTheme="minorHAnsi" w:hAnsi="Arial" w:cs="Arial"/>
          <w:kern w:val="0"/>
          <w:sz w:val="22"/>
          <w:szCs w:val="22"/>
          <w:lang w:eastAsia="en-US"/>
          <w14:ligatures w14:val="none"/>
        </w:rPr>
        <w:t>Routledge</w:t>
      </w:r>
      <w:proofErr w:type="spellEnd"/>
      <w:r w:rsidRPr="006A6497">
        <w:rPr>
          <w:rFonts w:ascii="Arial" w:eastAsiaTheme="minorHAnsi" w:hAnsi="Arial" w:cs="Arial"/>
          <w:kern w:val="0"/>
          <w:sz w:val="22"/>
          <w:szCs w:val="22"/>
          <w:lang w:eastAsia="en-US"/>
          <w14:ligatures w14:val="none"/>
        </w:rPr>
        <w:t>, London.</w:t>
      </w:r>
    </w:p>
    <w:p w:rsidR="006A6497" w:rsidRPr="006A6497" w:rsidRDefault="006A6497" w:rsidP="006A6497">
      <w:pPr>
        <w:spacing w:after="200" w:line="276" w:lineRule="auto"/>
        <w:rPr>
          <w:rFonts w:ascii="Arial" w:eastAsiaTheme="minorHAnsi" w:hAnsi="Arial" w:cs="Arial"/>
          <w:kern w:val="0"/>
          <w:sz w:val="22"/>
          <w:szCs w:val="22"/>
          <w:lang w:eastAsia="en-US"/>
          <w14:ligatures w14:val="none"/>
        </w:rPr>
      </w:pPr>
      <w:proofErr w:type="gramStart"/>
      <w:r w:rsidRPr="006A6497">
        <w:rPr>
          <w:rFonts w:ascii="Arial" w:eastAsiaTheme="minorHAnsi" w:hAnsi="Arial" w:cs="Arial"/>
          <w:kern w:val="0"/>
          <w:sz w:val="22"/>
          <w:szCs w:val="22"/>
          <w:lang w:eastAsia="en-US"/>
          <w14:ligatures w14:val="none"/>
        </w:rPr>
        <w:t>Jones, F. (2000).</w:t>
      </w:r>
      <w:proofErr w:type="gramEnd"/>
      <w:r w:rsidRPr="006A6497">
        <w:rPr>
          <w:rFonts w:ascii="Arial" w:eastAsiaTheme="minorHAnsi" w:hAnsi="Arial" w:cs="Arial"/>
          <w:kern w:val="0"/>
          <w:sz w:val="22"/>
          <w:szCs w:val="22"/>
          <w:lang w:eastAsia="en-US"/>
          <w14:ligatures w14:val="none"/>
        </w:rPr>
        <w:t xml:space="preserve"> </w:t>
      </w:r>
      <w:proofErr w:type="gramStart"/>
      <w:r w:rsidRPr="006A6497">
        <w:rPr>
          <w:rFonts w:ascii="Arial" w:eastAsiaTheme="minorHAnsi" w:hAnsi="Arial" w:cs="Arial"/>
          <w:kern w:val="0"/>
          <w:sz w:val="22"/>
          <w:szCs w:val="22"/>
          <w:lang w:eastAsia="en-US"/>
          <w14:ligatures w14:val="none"/>
        </w:rPr>
        <w:t>Tools for Teaching.</w:t>
      </w:r>
      <w:proofErr w:type="gramEnd"/>
      <w:r w:rsidRPr="006A6497">
        <w:rPr>
          <w:rFonts w:ascii="Arial" w:eastAsiaTheme="minorHAnsi" w:hAnsi="Arial" w:cs="Arial"/>
          <w:kern w:val="0"/>
          <w:sz w:val="22"/>
          <w:szCs w:val="22"/>
          <w:lang w:eastAsia="en-US"/>
          <w14:ligatures w14:val="none"/>
        </w:rPr>
        <w:t xml:space="preserve"> Hong Kong: Frederic H. Jones &amp; Associates, Inc.</w:t>
      </w:r>
    </w:p>
    <w:p w:rsidR="006A6497" w:rsidRPr="006A6497" w:rsidRDefault="006A6497" w:rsidP="006A6497">
      <w:pPr>
        <w:spacing w:after="200" w:line="276" w:lineRule="auto"/>
        <w:rPr>
          <w:rFonts w:ascii="Arial" w:eastAsiaTheme="minorHAnsi" w:hAnsi="Arial" w:cs="Arial"/>
          <w:kern w:val="0"/>
          <w:sz w:val="22"/>
          <w:szCs w:val="22"/>
          <w:lang w:eastAsia="en-US"/>
          <w14:ligatures w14:val="none"/>
        </w:rPr>
      </w:pPr>
      <w:proofErr w:type="spellStart"/>
      <w:r w:rsidRPr="006A6497">
        <w:rPr>
          <w:rFonts w:ascii="Arial" w:eastAsiaTheme="minorHAnsi" w:hAnsi="Arial" w:cs="Arial"/>
          <w:kern w:val="0"/>
          <w:sz w:val="22"/>
          <w:szCs w:val="22"/>
          <w:lang w:eastAsia="en-US"/>
          <w14:ligatures w14:val="none"/>
        </w:rPr>
        <w:t>Lebor</w:t>
      </w:r>
      <w:proofErr w:type="gramStart"/>
      <w:r w:rsidRPr="006A6497">
        <w:rPr>
          <w:rFonts w:ascii="Arial" w:eastAsiaTheme="minorHAnsi" w:hAnsi="Arial" w:cs="Arial"/>
          <w:kern w:val="0"/>
          <w:sz w:val="22"/>
          <w:szCs w:val="22"/>
          <w:lang w:eastAsia="en-US"/>
          <w14:ligatures w14:val="none"/>
        </w:rPr>
        <w:t>,M</w:t>
      </w:r>
      <w:proofErr w:type="spellEnd"/>
      <w:proofErr w:type="gramEnd"/>
      <w:r w:rsidRPr="006A6497">
        <w:rPr>
          <w:rFonts w:ascii="Arial" w:eastAsiaTheme="minorHAnsi" w:hAnsi="Arial" w:cs="Arial"/>
          <w:kern w:val="0"/>
          <w:sz w:val="22"/>
          <w:szCs w:val="22"/>
          <w:lang w:eastAsia="en-US"/>
          <w14:ligatures w14:val="none"/>
        </w:rPr>
        <w:t xml:space="preserve">. (2017), </w:t>
      </w:r>
      <w:r w:rsidRPr="006A6497">
        <w:rPr>
          <w:rFonts w:ascii="Arial" w:eastAsiaTheme="minorHAnsi" w:hAnsi="Arial" w:cs="Arial"/>
          <w:i/>
          <w:kern w:val="0"/>
          <w:sz w:val="22"/>
          <w:szCs w:val="22"/>
          <w:lang w:eastAsia="en-US"/>
          <w14:ligatures w14:val="none"/>
        </w:rPr>
        <w:t xml:space="preserve">Classroom behaviour management in the post school sector: Student and teacher perspectives on the battle against being educated, </w:t>
      </w:r>
      <w:r w:rsidRPr="006A6497">
        <w:rPr>
          <w:rFonts w:ascii="Arial" w:eastAsiaTheme="minorHAnsi" w:hAnsi="Arial" w:cs="Arial"/>
          <w:kern w:val="0"/>
          <w:sz w:val="22"/>
          <w:szCs w:val="22"/>
          <w:lang w:eastAsia="en-US"/>
          <w14:ligatures w14:val="none"/>
        </w:rPr>
        <w:t>Cham, Springer International Publishing AG</w:t>
      </w:r>
    </w:p>
    <w:p w:rsidR="006A6497" w:rsidRPr="006A6497" w:rsidRDefault="006A6497" w:rsidP="006A6497">
      <w:pPr>
        <w:spacing w:after="200" w:line="276" w:lineRule="auto"/>
        <w:rPr>
          <w:rFonts w:ascii="Arial" w:eastAsiaTheme="minorHAnsi" w:hAnsi="Arial" w:cs="Arial"/>
          <w:i/>
          <w:kern w:val="0"/>
          <w:sz w:val="22"/>
          <w:szCs w:val="22"/>
          <w:lang w:eastAsia="en-US"/>
          <w14:ligatures w14:val="none"/>
        </w:rPr>
      </w:pPr>
      <w:proofErr w:type="spellStart"/>
      <w:r w:rsidRPr="006A6497">
        <w:rPr>
          <w:rFonts w:ascii="Arial" w:eastAsiaTheme="minorHAnsi" w:hAnsi="Arial" w:cs="Arial"/>
          <w:kern w:val="0"/>
          <w:sz w:val="22"/>
          <w:szCs w:val="22"/>
          <w:lang w:eastAsia="en-US"/>
          <w14:ligatures w14:val="none"/>
        </w:rPr>
        <w:t>Llwyodraeth</w:t>
      </w:r>
      <w:proofErr w:type="spellEnd"/>
      <w:r w:rsidRPr="006A6497">
        <w:rPr>
          <w:rFonts w:ascii="Arial" w:eastAsiaTheme="minorHAnsi" w:hAnsi="Arial" w:cs="Arial"/>
          <w:kern w:val="0"/>
          <w:sz w:val="22"/>
          <w:szCs w:val="22"/>
          <w:lang w:eastAsia="en-US"/>
          <w14:ligatures w14:val="none"/>
        </w:rPr>
        <w:t xml:space="preserve"> </w:t>
      </w:r>
      <w:proofErr w:type="spellStart"/>
      <w:r w:rsidRPr="006A6497">
        <w:rPr>
          <w:rFonts w:ascii="Arial" w:eastAsiaTheme="minorHAnsi" w:hAnsi="Arial" w:cs="Arial"/>
          <w:kern w:val="0"/>
          <w:sz w:val="22"/>
          <w:szCs w:val="22"/>
          <w:lang w:eastAsia="en-US"/>
          <w14:ligatures w14:val="none"/>
        </w:rPr>
        <w:t>Cymru</w:t>
      </w:r>
      <w:proofErr w:type="spellEnd"/>
      <w:r w:rsidRPr="006A6497">
        <w:rPr>
          <w:rFonts w:ascii="Arial" w:eastAsiaTheme="minorHAnsi" w:hAnsi="Arial" w:cs="Arial"/>
          <w:kern w:val="0"/>
          <w:sz w:val="22"/>
          <w:szCs w:val="22"/>
          <w:lang w:eastAsia="en-US"/>
          <w14:ligatures w14:val="none"/>
        </w:rPr>
        <w:t xml:space="preserve">, </w:t>
      </w:r>
      <w:r w:rsidRPr="006A6497">
        <w:rPr>
          <w:rFonts w:ascii="Arial" w:eastAsiaTheme="minorHAnsi" w:hAnsi="Arial" w:cs="Arial"/>
          <w:i/>
          <w:kern w:val="0"/>
          <w:sz w:val="22"/>
          <w:szCs w:val="22"/>
          <w:lang w:eastAsia="en-US"/>
          <w14:ligatures w14:val="none"/>
        </w:rPr>
        <w:t xml:space="preserve">Professional standards for further education teachers, work based learning practitioners and adult learning practitioners in Wales, </w:t>
      </w:r>
      <w:hyperlink r:id="rId9" w:history="1">
        <w:r w:rsidRPr="006A6497">
          <w:rPr>
            <w:rFonts w:ascii="Arial" w:eastAsiaTheme="minorHAnsi" w:hAnsi="Arial" w:cs="Arial"/>
            <w:i/>
            <w:color w:val="0000FF" w:themeColor="hyperlink"/>
            <w:kern w:val="0"/>
            <w:sz w:val="22"/>
            <w:szCs w:val="22"/>
            <w:u w:val="single"/>
            <w:lang w:eastAsia="en-US"/>
            <w14:ligatures w14:val="none"/>
          </w:rPr>
          <w:t>https://hwb.gov.wales/api/storage/c08350b0-22e5-4d12-ba0d-544abb35ba95/Professional%20standards%20for%20FE%20%20WBL%20and%20ACL%20Practitioners%20-%20June%202023%20%28E%29.pdf?preview=true</w:t>
        </w:r>
      </w:hyperlink>
    </w:p>
    <w:p w:rsidR="006A6497" w:rsidRPr="006A6497" w:rsidRDefault="006A6497" w:rsidP="006A6497">
      <w:pPr>
        <w:spacing w:after="200" w:line="276" w:lineRule="auto"/>
        <w:rPr>
          <w:rFonts w:ascii="Arial" w:eastAsiaTheme="minorHAnsi" w:hAnsi="Arial" w:cs="Arial"/>
          <w:kern w:val="0"/>
          <w:sz w:val="22"/>
          <w:szCs w:val="22"/>
          <w:lang w:eastAsia="en-US"/>
          <w14:ligatures w14:val="none"/>
        </w:rPr>
      </w:pPr>
      <w:r w:rsidRPr="006A6497">
        <w:rPr>
          <w:rFonts w:ascii="Arial" w:eastAsiaTheme="minorHAnsi" w:hAnsi="Arial" w:cs="Arial"/>
          <w:kern w:val="0"/>
          <w:sz w:val="22"/>
          <w:szCs w:val="22"/>
          <w:lang w:eastAsia="en-US"/>
          <w14:ligatures w14:val="none"/>
        </w:rPr>
        <w:t xml:space="preserve">Maslow, A. H. (1943). </w:t>
      </w:r>
      <w:proofErr w:type="gramStart"/>
      <w:r w:rsidRPr="006A6497">
        <w:rPr>
          <w:rFonts w:ascii="Arial" w:eastAsiaTheme="minorHAnsi" w:hAnsi="Arial" w:cs="Arial"/>
          <w:kern w:val="0"/>
          <w:sz w:val="22"/>
          <w:szCs w:val="22"/>
          <w:lang w:eastAsia="en-US"/>
          <w14:ligatures w14:val="none"/>
        </w:rPr>
        <w:t>A theory of human motivation.</w:t>
      </w:r>
      <w:proofErr w:type="gramEnd"/>
      <w:r w:rsidRPr="006A6497">
        <w:rPr>
          <w:rFonts w:ascii="Arial" w:eastAsiaTheme="minorHAnsi" w:hAnsi="Arial" w:cs="Arial"/>
          <w:kern w:val="0"/>
          <w:sz w:val="22"/>
          <w:szCs w:val="22"/>
          <w:lang w:eastAsia="en-US"/>
          <w14:ligatures w14:val="none"/>
        </w:rPr>
        <w:t xml:space="preserve"> </w:t>
      </w:r>
      <w:r w:rsidRPr="006A6497">
        <w:rPr>
          <w:rFonts w:ascii="Arial" w:eastAsiaTheme="minorHAnsi" w:hAnsi="Arial" w:cs="Arial"/>
          <w:i/>
          <w:iCs/>
          <w:kern w:val="0"/>
          <w:sz w:val="22"/>
          <w:szCs w:val="22"/>
          <w:lang w:eastAsia="en-US"/>
          <w14:ligatures w14:val="none"/>
        </w:rPr>
        <w:t>Psychological Review, 50</w:t>
      </w:r>
      <w:r w:rsidRPr="006A6497">
        <w:rPr>
          <w:rFonts w:ascii="Arial" w:eastAsiaTheme="minorHAnsi" w:hAnsi="Arial" w:cs="Arial"/>
          <w:kern w:val="0"/>
          <w:sz w:val="22"/>
          <w:szCs w:val="22"/>
          <w:lang w:eastAsia="en-US"/>
          <w14:ligatures w14:val="none"/>
        </w:rPr>
        <w:t>(4), 370-396.</w:t>
      </w:r>
    </w:p>
    <w:p w:rsidR="006A6497" w:rsidRPr="006A6497" w:rsidRDefault="006A6497" w:rsidP="006A6497">
      <w:pPr>
        <w:spacing w:after="200" w:line="276" w:lineRule="auto"/>
        <w:rPr>
          <w:rFonts w:ascii="Arial" w:eastAsiaTheme="minorHAnsi" w:hAnsi="Arial" w:cs="Arial"/>
          <w:i/>
          <w:kern w:val="0"/>
          <w:sz w:val="22"/>
          <w:szCs w:val="22"/>
          <w:lang w:eastAsia="en-US"/>
          <w14:ligatures w14:val="none"/>
        </w:rPr>
      </w:pPr>
      <w:proofErr w:type="spellStart"/>
      <w:r w:rsidRPr="006A6497">
        <w:rPr>
          <w:rFonts w:ascii="Arial" w:eastAsiaTheme="minorHAnsi" w:hAnsi="Arial" w:cs="Arial"/>
          <w:kern w:val="0"/>
          <w:sz w:val="22"/>
          <w:szCs w:val="22"/>
          <w:lang w:eastAsia="en-US"/>
          <w14:ligatures w14:val="none"/>
        </w:rPr>
        <w:t>Medr</w:t>
      </w:r>
      <w:proofErr w:type="spellEnd"/>
      <w:r w:rsidRPr="006A6497">
        <w:rPr>
          <w:rFonts w:ascii="Arial" w:eastAsiaTheme="minorHAnsi" w:hAnsi="Arial" w:cs="Arial"/>
          <w:kern w:val="0"/>
          <w:sz w:val="22"/>
          <w:szCs w:val="22"/>
          <w:lang w:eastAsia="en-US"/>
          <w14:ligatures w14:val="none"/>
        </w:rPr>
        <w:t xml:space="preserve">, </w:t>
      </w:r>
      <w:proofErr w:type="spellStart"/>
      <w:r w:rsidRPr="006A6497">
        <w:rPr>
          <w:rFonts w:ascii="Arial" w:eastAsiaTheme="minorHAnsi" w:hAnsi="Arial" w:cs="Arial"/>
          <w:kern w:val="0"/>
          <w:sz w:val="22"/>
          <w:szCs w:val="22"/>
          <w:lang w:eastAsia="en-US"/>
          <w14:ligatures w14:val="none"/>
        </w:rPr>
        <w:t>Comiswn</w:t>
      </w:r>
      <w:proofErr w:type="spellEnd"/>
      <w:r w:rsidRPr="006A6497">
        <w:rPr>
          <w:rFonts w:ascii="Arial" w:eastAsiaTheme="minorHAnsi" w:hAnsi="Arial" w:cs="Arial"/>
          <w:kern w:val="0"/>
          <w:sz w:val="22"/>
          <w:szCs w:val="22"/>
          <w:lang w:eastAsia="en-US"/>
          <w14:ligatures w14:val="none"/>
        </w:rPr>
        <w:t xml:space="preserve"> </w:t>
      </w:r>
      <w:proofErr w:type="spellStart"/>
      <w:r w:rsidRPr="006A6497">
        <w:rPr>
          <w:rFonts w:ascii="Arial" w:eastAsiaTheme="minorHAnsi" w:hAnsi="Arial" w:cs="Arial"/>
          <w:kern w:val="0"/>
          <w:sz w:val="22"/>
          <w:szCs w:val="22"/>
          <w:lang w:eastAsia="en-US"/>
          <w14:ligatures w14:val="none"/>
        </w:rPr>
        <w:t>addysg</w:t>
      </w:r>
      <w:proofErr w:type="spellEnd"/>
      <w:r w:rsidRPr="006A6497">
        <w:rPr>
          <w:rFonts w:ascii="Arial" w:eastAsiaTheme="minorHAnsi" w:hAnsi="Arial" w:cs="Arial"/>
          <w:kern w:val="0"/>
          <w:sz w:val="22"/>
          <w:szCs w:val="22"/>
          <w:lang w:eastAsia="en-US"/>
          <w14:ligatures w14:val="none"/>
        </w:rPr>
        <w:t xml:space="preserve"> </w:t>
      </w:r>
      <w:proofErr w:type="spellStart"/>
      <w:r w:rsidRPr="006A6497">
        <w:rPr>
          <w:rFonts w:ascii="Arial" w:eastAsiaTheme="minorHAnsi" w:hAnsi="Arial" w:cs="Arial"/>
          <w:kern w:val="0"/>
          <w:sz w:val="22"/>
          <w:szCs w:val="22"/>
          <w:lang w:eastAsia="en-US"/>
          <w14:ligatures w14:val="none"/>
        </w:rPr>
        <w:t>drydyddol</w:t>
      </w:r>
      <w:proofErr w:type="spellEnd"/>
      <w:r w:rsidRPr="006A6497">
        <w:rPr>
          <w:rFonts w:ascii="Arial" w:eastAsiaTheme="minorHAnsi" w:hAnsi="Arial" w:cs="Arial"/>
          <w:kern w:val="0"/>
          <w:sz w:val="22"/>
          <w:szCs w:val="22"/>
          <w:lang w:eastAsia="en-US"/>
          <w14:ligatures w14:val="none"/>
        </w:rPr>
        <w:t xml:space="preserve"> ac </w:t>
      </w:r>
      <w:proofErr w:type="spellStart"/>
      <w:r w:rsidRPr="006A6497">
        <w:rPr>
          <w:rFonts w:ascii="Arial" w:eastAsiaTheme="minorHAnsi" w:hAnsi="Arial" w:cs="Arial"/>
          <w:kern w:val="0"/>
          <w:sz w:val="22"/>
          <w:szCs w:val="22"/>
          <w:lang w:eastAsia="en-US"/>
          <w14:ligatures w14:val="none"/>
        </w:rPr>
        <w:t>ymchwil</w:t>
      </w:r>
      <w:proofErr w:type="spellEnd"/>
      <w:r w:rsidRPr="006A6497">
        <w:rPr>
          <w:rFonts w:ascii="Arial" w:eastAsiaTheme="minorHAnsi" w:hAnsi="Arial" w:cs="Arial"/>
          <w:kern w:val="0"/>
          <w:sz w:val="22"/>
          <w:szCs w:val="22"/>
          <w:lang w:eastAsia="en-US"/>
          <w14:ligatures w14:val="none"/>
        </w:rPr>
        <w:t xml:space="preserve">, </w:t>
      </w:r>
      <w:r w:rsidRPr="006A6497">
        <w:rPr>
          <w:rFonts w:ascii="Arial" w:eastAsiaTheme="minorHAnsi" w:hAnsi="Arial" w:cs="Arial"/>
          <w:i/>
          <w:kern w:val="0"/>
          <w:sz w:val="22"/>
          <w:szCs w:val="22"/>
          <w:lang w:eastAsia="en-US"/>
          <w14:ligatures w14:val="none"/>
        </w:rPr>
        <w:t xml:space="preserve">Strategic Plan 2025-30 </w:t>
      </w:r>
      <w:hyperlink r:id="rId10" w:history="1">
        <w:r w:rsidRPr="006A6497">
          <w:rPr>
            <w:rFonts w:ascii="Arial" w:eastAsiaTheme="minorHAnsi" w:hAnsi="Arial" w:cs="Arial"/>
            <w:i/>
            <w:color w:val="0000FF" w:themeColor="hyperlink"/>
            <w:kern w:val="0"/>
            <w:sz w:val="22"/>
            <w:szCs w:val="22"/>
            <w:u w:val="single"/>
            <w:lang w:eastAsia="en-US"/>
            <w14:ligatures w14:val="none"/>
          </w:rPr>
          <w:t>https://www.medr.cymru/wp-content/uploads/2025/03/Medr-Strategic-Plan-2025-2030.pdf</w:t>
        </w:r>
      </w:hyperlink>
    </w:p>
    <w:p w:rsidR="006A6497" w:rsidRPr="006A6497" w:rsidRDefault="006A6497" w:rsidP="006A6497">
      <w:pPr>
        <w:spacing w:after="0" w:line="240" w:lineRule="auto"/>
        <w:rPr>
          <w:rFonts w:ascii="Arial" w:eastAsia="Times New Roman" w:hAnsi="Arial" w:cs="Arial"/>
          <w:kern w:val="0"/>
          <w:sz w:val="22"/>
          <w:szCs w:val="22"/>
          <w:lang w:eastAsia="en-GB"/>
          <w14:ligatures w14:val="none"/>
        </w:rPr>
      </w:pPr>
      <w:proofErr w:type="spellStart"/>
      <w:r w:rsidRPr="006A6497">
        <w:rPr>
          <w:rFonts w:ascii="Arial" w:eastAsia="Times New Roman" w:hAnsi="Arial" w:cs="Arial"/>
          <w:kern w:val="0"/>
          <w:sz w:val="22"/>
          <w:szCs w:val="22"/>
          <w:lang w:eastAsia="en-GB"/>
          <w14:ligatures w14:val="none"/>
        </w:rPr>
        <w:t>Raffe</w:t>
      </w:r>
      <w:proofErr w:type="spellEnd"/>
      <w:r w:rsidRPr="006A6497">
        <w:rPr>
          <w:rFonts w:ascii="Arial" w:eastAsia="Times New Roman" w:hAnsi="Arial" w:cs="Arial"/>
          <w:kern w:val="0"/>
          <w:sz w:val="22"/>
          <w:szCs w:val="22"/>
          <w:lang w:eastAsia="en-GB"/>
          <w14:ligatures w14:val="none"/>
        </w:rPr>
        <w:t xml:space="preserve">, David, et al. “The Unification of Post-Compulsory Education: Towards a Conceptual Framework.” </w:t>
      </w:r>
      <w:r w:rsidRPr="006A6497">
        <w:rPr>
          <w:rFonts w:ascii="Arial" w:eastAsia="Times New Roman" w:hAnsi="Arial" w:cs="Arial"/>
          <w:i/>
          <w:iCs/>
          <w:kern w:val="0"/>
          <w:sz w:val="22"/>
          <w:szCs w:val="22"/>
          <w:lang w:eastAsia="en-GB"/>
          <w14:ligatures w14:val="none"/>
        </w:rPr>
        <w:t>British Journal of Educational Studies</w:t>
      </w:r>
      <w:r w:rsidRPr="006A6497">
        <w:rPr>
          <w:rFonts w:ascii="Arial" w:eastAsia="Times New Roman" w:hAnsi="Arial" w:cs="Arial"/>
          <w:kern w:val="0"/>
          <w:sz w:val="22"/>
          <w:szCs w:val="22"/>
          <w:lang w:eastAsia="en-GB"/>
          <w14:ligatures w14:val="none"/>
        </w:rPr>
        <w:t xml:space="preserve">, vol. 46, no. 2, 1998, pp. 169–87. </w:t>
      </w:r>
      <w:proofErr w:type="gramStart"/>
      <w:r w:rsidRPr="006A6497">
        <w:rPr>
          <w:rFonts w:ascii="Arial" w:eastAsia="Times New Roman" w:hAnsi="Arial" w:cs="Arial"/>
          <w:i/>
          <w:iCs/>
          <w:kern w:val="0"/>
          <w:sz w:val="22"/>
          <w:szCs w:val="22"/>
          <w:lang w:eastAsia="en-GB"/>
          <w14:ligatures w14:val="none"/>
        </w:rPr>
        <w:t>JSTOR</w:t>
      </w:r>
      <w:r w:rsidRPr="006A6497">
        <w:rPr>
          <w:rFonts w:ascii="Arial" w:eastAsia="Times New Roman" w:hAnsi="Arial" w:cs="Arial"/>
          <w:kern w:val="0"/>
          <w:sz w:val="22"/>
          <w:szCs w:val="22"/>
          <w:lang w:eastAsia="en-GB"/>
          <w14:ligatures w14:val="none"/>
        </w:rPr>
        <w:t xml:space="preserve">, </w:t>
      </w:r>
      <w:hyperlink r:id="rId11" w:history="1">
        <w:r w:rsidRPr="006A6497">
          <w:rPr>
            <w:rFonts w:ascii="Arial" w:eastAsia="Times New Roman" w:hAnsi="Arial" w:cs="Arial"/>
            <w:color w:val="0000FF" w:themeColor="hyperlink"/>
            <w:kern w:val="0"/>
            <w:sz w:val="22"/>
            <w:szCs w:val="22"/>
            <w:u w:val="single"/>
            <w:lang w:eastAsia="en-GB"/>
            <w14:ligatures w14:val="none"/>
          </w:rPr>
          <w:t>http://www.jstor.org/stable/3121782.</w:t>
        </w:r>
        <w:proofErr w:type="gramEnd"/>
        <w:r w:rsidRPr="006A6497">
          <w:rPr>
            <w:rFonts w:ascii="Arial" w:eastAsia="Times New Roman" w:hAnsi="Arial" w:cs="Arial"/>
            <w:color w:val="0000FF" w:themeColor="hyperlink"/>
            <w:kern w:val="0"/>
            <w:sz w:val="22"/>
            <w:szCs w:val="22"/>
            <w:u w:val="single"/>
            <w:lang w:eastAsia="en-GB"/>
            <w14:ligatures w14:val="none"/>
          </w:rPr>
          <w:t xml:space="preserve"> </w:t>
        </w:r>
        <w:proofErr w:type="gramStart"/>
        <w:r w:rsidRPr="006A6497">
          <w:rPr>
            <w:rFonts w:ascii="Arial" w:eastAsia="Times New Roman" w:hAnsi="Arial" w:cs="Arial"/>
            <w:color w:val="0000FF" w:themeColor="hyperlink"/>
            <w:kern w:val="0"/>
            <w:sz w:val="22"/>
            <w:szCs w:val="22"/>
            <w:u w:val="single"/>
            <w:lang w:eastAsia="en-GB"/>
            <w14:ligatures w14:val="none"/>
          </w:rPr>
          <w:t>Accessed 29 May 2025</w:t>
        </w:r>
      </w:hyperlink>
      <w:r w:rsidRPr="006A6497">
        <w:rPr>
          <w:rFonts w:ascii="Arial" w:eastAsia="Times New Roman" w:hAnsi="Arial" w:cs="Arial"/>
          <w:kern w:val="0"/>
          <w:sz w:val="22"/>
          <w:szCs w:val="22"/>
          <w:lang w:eastAsia="en-GB"/>
          <w14:ligatures w14:val="none"/>
        </w:rPr>
        <w:t>.</w:t>
      </w:r>
      <w:proofErr w:type="gramEnd"/>
    </w:p>
    <w:p w:rsidR="006A6497" w:rsidRPr="006A6497" w:rsidRDefault="006A6497" w:rsidP="006A6497">
      <w:pPr>
        <w:spacing w:after="0" w:line="240" w:lineRule="auto"/>
        <w:rPr>
          <w:rFonts w:ascii="Arial" w:eastAsia="Times New Roman" w:hAnsi="Arial" w:cs="Arial"/>
          <w:kern w:val="0"/>
          <w:sz w:val="22"/>
          <w:szCs w:val="22"/>
          <w:lang w:eastAsia="en-GB"/>
          <w14:ligatures w14:val="none"/>
        </w:rPr>
      </w:pPr>
    </w:p>
    <w:p w:rsidR="006A6497" w:rsidRPr="006A6497" w:rsidRDefault="006A6497" w:rsidP="006A6497">
      <w:pPr>
        <w:spacing w:after="0" w:line="240" w:lineRule="auto"/>
        <w:rPr>
          <w:rFonts w:ascii="Arial" w:eastAsia="Times New Roman" w:hAnsi="Arial" w:cs="Arial"/>
          <w:kern w:val="0"/>
          <w:sz w:val="22"/>
          <w:szCs w:val="22"/>
          <w:lang w:eastAsia="en-GB"/>
          <w14:ligatures w14:val="none"/>
        </w:rPr>
      </w:pPr>
      <w:hyperlink r:id="rId12" w:history="1">
        <w:r w:rsidRPr="006A6497">
          <w:rPr>
            <w:rFonts w:ascii="Arial" w:eastAsia="Times New Roman" w:hAnsi="Arial" w:cs="Arial"/>
            <w:color w:val="0000FF" w:themeColor="hyperlink"/>
            <w:kern w:val="0"/>
            <w:sz w:val="22"/>
            <w:szCs w:val="22"/>
            <w:u w:val="single"/>
            <w:lang w:eastAsia="en-GB"/>
            <w14:ligatures w14:val="none"/>
          </w:rPr>
          <w:t>https://www.gov.uk/government/publications/public-sector-equality-duty-guidance-for-public-authorities/public-sector-equality-duty-guidance-for-public-authorities</w:t>
        </w:r>
      </w:hyperlink>
    </w:p>
    <w:p w:rsidR="006A6497" w:rsidRPr="006A6497" w:rsidRDefault="006A6497" w:rsidP="006A6497">
      <w:pPr>
        <w:spacing w:after="0" w:line="240" w:lineRule="auto"/>
        <w:rPr>
          <w:rFonts w:ascii="Arial" w:eastAsia="Times New Roman" w:hAnsi="Arial" w:cs="Arial"/>
          <w:kern w:val="0"/>
          <w:sz w:val="22"/>
          <w:szCs w:val="22"/>
          <w:lang w:eastAsia="en-GB"/>
          <w14:ligatures w14:val="none"/>
        </w:rPr>
      </w:pPr>
    </w:p>
    <w:p w:rsidR="006A6497" w:rsidRDefault="006A6497" w:rsidP="006A6497">
      <w:pPr>
        <w:spacing w:after="200" w:line="276" w:lineRule="auto"/>
        <w:rPr>
          <w:rFonts w:ascii="Arial" w:eastAsiaTheme="minorHAnsi" w:hAnsi="Arial" w:cs="Arial"/>
          <w:kern w:val="0"/>
          <w:sz w:val="22"/>
          <w:szCs w:val="22"/>
          <w:lang w:eastAsia="en-US"/>
          <w14:ligatures w14:val="none"/>
        </w:rPr>
      </w:pPr>
      <w:proofErr w:type="gramStart"/>
      <w:r w:rsidRPr="006A6497">
        <w:rPr>
          <w:rFonts w:ascii="Arial" w:eastAsiaTheme="minorHAnsi" w:hAnsi="Arial" w:cs="Arial"/>
          <w:kern w:val="0"/>
          <w:sz w:val="22"/>
          <w:szCs w:val="22"/>
          <w:lang w:eastAsia="en-US"/>
          <w14:ligatures w14:val="none"/>
        </w:rPr>
        <w:t>.Wong, H., &amp; Wong, R. (2014).</w:t>
      </w:r>
      <w:proofErr w:type="gramEnd"/>
      <w:r w:rsidRPr="006A6497">
        <w:rPr>
          <w:rFonts w:ascii="Arial" w:eastAsiaTheme="minorHAnsi" w:hAnsi="Arial" w:cs="Arial"/>
          <w:kern w:val="0"/>
          <w:sz w:val="22"/>
          <w:szCs w:val="22"/>
          <w:lang w:eastAsia="en-US"/>
          <w14:ligatures w14:val="none"/>
        </w:rPr>
        <w:t xml:space="preserve"> </w:t>
      </w:r>
      <w:proofErr w:type="gramStart"/>
      <w:r w:rsidRPr="006A6497">
        <w:rPr>
          <w:rFonts w:ascii="Arial" w:eastAsiaTheme="minorHAnsi" w:hAnsi="Arial" w:cs="Arial"/>
          <w:i/>
          <w:kern w:val="0"/>
          <w:sz w:val="22"/>
          <w:szCs w:val="22"/>
          <w:lang w:eastAsia="en-US"/>
          <w14:ligatures w14:val="none"/>
        </w:rPr>
        <w:t>The Classroom Management Book</w:t>
      </w:r>
      <w:r w:rsidRPr="006A6497">
        <w:rPr>
          <w:rFonts w:ascii="Arial" w:eastAsiaTheme="minorHAnsi" w:hAnsi="Arial" w:cs="Arial"/>
          <w:kern w:val="0"/>
          <w:sz w:val="22"/>
          <w:szCs w:val="22"/>
          <w:lang w:eastAsia="en-US"/>
          <w14:ligatures w14:val="none"/>
        </w:rPr>
        <w:t>.</w:t>
      </w:r>
      <w:proofErr w:type="gramEnd"/>
      <w:r w:rsidRPr="006A6497">
        <w:rPr>
          <w:rFonts w:ascii="Arial" w:eastAsiaTheme="minorHAnsi" w:hAnsi="Arial" w:cs="Arial"/>
          <w:kern w:val="0"/>
          <w:sz w:val="22"/>
          <w:szCs w:val="22"/>
          <w:lang w:eastAsia="en-US"/>
          <w14:ligatures w14:val="none"/>
        </w:rPr>
        <w:t xml:space="preserve"> Mountainside, CA: Wong Publishing.  </w:t>
      </w:r>
    </w:p>
    <w:p w:rsidR="00A03424" w:rsidRPr="003546C1" w:rsidRDefault="006A6497" w:rsidP="00287268">
      <w:pPr>
        <w:spacing w:after="200" w:line="276" w:lineRule="auto"/>
        <w:rPr>
          <w:rFonts w:ascii="Arial" w:eastAsiaTheme="minorHAnsi" w:hAnsi="Arial" w:cs="Arial"/>
          <w:kern w:val="0"/>
          <w:lang w:eastAsia="en-US"/>
          <w14:ligatures w14:val="none"/>
        </w:rPr>
      </w:pPr>
      <w:r>
        <w:rPr>
          <w:rFonts w:ascii="Arial" w:eastAsiaTheme="minorHAnsi" w:hAnsi="Arial" w:cs="Arial"/>
          <w:kern w:val="0"/>
          <w:sz w:val="22"/>
          <w:szCs w:val="22"/>
          <w:lang w:eastAsia="en-US"/>
          <w14:ligatures w14:val="none"/>
        </w:rPr>
        <w:br w:type="page"/>
      </w:r>
      <w:proofErr w:type="gramStart"/>
      <w:r w:rsidR="00D9405B" w:rsidRPr="002A4D51">
        <w:rPr>
          <w:rFonts w:ascii="Arial" w:hAnsi="Arial" w:cs="Arial"/>
          <w:b/>
          <w:sz w:val="28"/>
          <w:szCs w:val="28"/>
        </w:rPr>
        <w:lastRenderedPageBreak/>
        <w:t>Appendix</w:t>
      </w:r>
      <w:r w:rsidR="003546C1">
        <w:rPr>
          <w:rFonts w:ascii="Arial" w:hAnsi="Arial" w:cs="Arial"/>
          <w:b/>
        </w:rPr>
        <w:t>.</w:t>
      </w:r>
      <w:proofErr w:type="gramEnd"/>
      <w:r w:rsidR="003546C1">
        <w:rPr>
          <w:rFonts w:ascii="Arial" w:hAnsi="Arial" w:cs="Arial"/>
          <w:b/>
        </w:rPr>
        <w:t xml:space="preserve"> Observation forms</w:t>
      </w:r>
      <w:bookmarkStart w:id="0" w:name="_GoBack"/>
      <w:bookmarkEnd w:id="0"/>
    </w:p>
    <w:p w:rsidR="00A03424" w:rsidRPr="002A4D51" w:rsidRDefault="00CC0C99">
      <w:pPr>
        <w:rPr>
          <w:rFonts w:ascii="Arial" w:hAnsi="Arial" w:cs="Arial"/>
          <w:b/>
        </w:rPr>
      </w:pPr>
      <w:r w:rsidRPr="002A4D51">
        <w:rPr>
          <w:rFonts w:ascii="Arial" w:hAnsi="Arial" w:cs="Arial"/>
          <w:b/>
          <w:noProof/>
          <w:sz w:val="28"/>
          <w:szCs w:val="28"/>
          <w:lang w:eastAsia="en-GB"/>
          <w14:ligatures w14:val="none"/>
        </w:rPr>
        <w:drawing>
          <wp:inline distT="0" distB="0" distL="0" distR="0" wp14:anchorId="13131053" wp14:editId="5D65FA85">
            <wp:extent cx="5731510" cy="542327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AC3BA4.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5423270"/>
                    </a:xfrm>
                    <a:prstGeom prst="rect">
                      <a:avLst/>
                    </a:prstGeom>
                  </pic:spPr>
                </pic:pic>
              </a:graphicData>
            </a:graphic>
          </wp:inline>
        </w:drawing>
      </w:r>
    </w:p>
    <w:p w:rsidR="00287268" w:rsidRDefault="00287268">
      <w:pPr>
        <w:spacing w:after="200" w:line="276" w:lineRule="auto"/>
        <w:rPr>
          <w:rFonts w:ascii="Arial" w:hAnsi="Arial" w:cs="Arial"/>
          <w:b/>
          <w:noProof/>
          <w:sz w:val="28"/>
          <w:szCs w:val="28"/>
          <w:lang w:eastAsia="en-GB"/>
          <w14:ligatures w14:val="none"/>
        </w:rPr>
      </w:pPr>
      <w:r>
        <w:rPr>
          <w:rFonts w:ascii="Arial" w:hAnsi="Arial" w:cs="Arial"/>
          <w:b/>
          <w:noProof/>
          <w:sz w:val="28"/>
          <w:szCs w:val="28"/>
          <w:lang w:eastAsia="en-GB"/>
          <w14:ligatures w14:val="none"/>
        </w:rPr>
        <w:br w:type="page"/>
      </w:r>
    </w:p>
    <w:p w:rsidR="00A03424" w:rsidRPr="002A4D51" w:rsidRDefault="00A03424">
      <w:pPr>
        <w:rPr>
          <w:rFonts w:ascii="Arial" w:hAnsi="Arial" w:cs="Arial"/>
          <w:b/>
          <w:sz w:val="28"/>
          <w:szCs w:val="28"/>
        </w:rPr>
      </w:pPr>
    </w:p>
    <w:p w:rsidR="004A651A" w:rsidRPr="002A4D51" w:rsidRDefault="004A651A">
      <w:pPr>
        <w:rPr>
          <w:rFonts w:ascii="Arial" w:hAnsi="Arial" w:cs="Arial"/>
          <w:b/>
        </w:rPr>
      </w:pPr>
      <w:r w:rsidRPr="002A4D51">
        <w:rPr>
          <w:rFonts w:ascii="Arial" w:hAnsi="Arial" w:cs="Arial"/>
          <w:b/>
          <w:noProof/>
          <w:lang w:eastAsia="en-GB"/>
          <w14:ligatures w14:val="none"/>
        </w:rPr>
        <w:drawing>
          <wp:inline distT="0" distB="0" distL="0" distR="0" wp14:anchorId="16A30DDC" wp14:editId="08576DEB">
            <wp:extent cx="6008914" cy="7859486"/>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12565" cy="7864261"/>
                    </a:xfrm>
                    <a:prstGeom prst="rect">
                      <a:avLst/>
                    </a:prstGeom>
                    <a:noFill/>
                    <a:ln>
                      <a:noFill/>
                    </a:ln>
                  </pic:spPr>
                </pic:pic>
              </a:graphicData>
            </a:graphic>
          </wp:inline>
        </w:drawing>
      </w:r>
    </w:p>
    <w:p w:rsidR="004A651A" w:rsidRPr="002A4D51" w:rsidRDefault="004A651A">
      <w:pPr>
        <w:rPr>
          <w:rFonts w:ascii="Arial" w:hAnsi="Arial" w:cs="Arial"/>
          <w:b/>
        </w:rPr>
      </w:pPr>
    </w:p>
    <w:p w:rsidR="004A651A" w:rsidRPr="002A4D51" w:rsidRDefault="004A651A">
      <w:pPr>
        <w:rPr>
          <w:rFonts w:ascii="Arial" w:hAnsi="Arial" w:cs="Arial"/>
          <w:b/>
        </w:rPr>
      </w:pPr>
    </w:p>
    <w:p w:rsidR="00287268" w:rsidRDefault="00287268">
      <w:pPr>
        <w:spacing w:after="200" w:line="276" w:lineRule="auto"/>
        <w:rPr>
          <w:rFonts w:ascii="Arial" w:hAnsi="Arial" w:cs="Arial"/>
          <w:b/>
        </w:rPr>
      </w:pPr>
      <w:r>
        <w:rPr>
          <w:rFonts w:ascii="Arial" w:hAnsi="Arial" w:cs="Arial"/>
          <w:b/>
        </w:rPr>
        <w:lastRenderedPageBreak/>
        <w:br w:type="page"/>
      </w:r>
    </w:p>
    <w:p w:rsidR="004A651A" w:rsidRPr="002A4D51" w:rsidRDefault="004A651A">
      <w:pPr>
        <w:rPr>
          <w:rFonts w:ascii="Arial" w:hAnsi="Arial" w:cs="Arial"/>
          <w:b/>
        </w:rPr>
      </w:pPr>
      <w:r w:rsidRPr="002A4D51">
        <w:rPr>
          <w:rFonts w:ascii="Arial" w:hAnsi="Arial" w:cs="Arial"/>
          <w:b/>
        </w:rPr>
        <w:lastRenderedPageBreak/>
        <w:t>Lesson plan</w:t>
      </w:r>
    </w:p>
    <w:p w:rsidR="00DD7C88" w:rsidRDefault="00DD7C88">
      <w:pPr>
        <w:rPr>
          <w:b/>
        </w:rPr>
      </w:pPr>
      <w:r>
        <w:rPr>
          <w:b/>
          <w:noProof/>
          <w:lang w:eastAsia="en-GB"/>
          <w14:ligatures w14:val="none"/>
        </w:rPr>
        <w:drawing>
          <wp:inline distT="0" distB="0" distL="0" distR="0">
            <wp:extent cx="5731510" cy="8242465"/>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242465"/>
                    </a:xfrm>
                    <a:prstGeom prst="rect">
                      <a:avLst/>
                    </a:prstGeom>
                    <a:noFill/>
                    <a:ln>
                      <a:noFill/>
                    </a:ln>
                  </pic:spPr>
                </pic:pic>
              </a:graphicData>
            </a:graphic>
          </wp:inline>
        </w:drawing>
      </w:r>
    </w:p>
    <w:p w:rsidR="00DD7C88" w:rsidRDefault="00DD7C88">
      <w:pPr>
        <w:rPr>
          <w:b/>
        </w:rPr>
      </w:pPr>
      <w:r>
        <w:rPr>
          <w:b/>
          <w:noProof/>
          <w:lang w:eastAsia="en-GB"/>
          <w14:ligatures w14:val="none"/>
        </w:rPr>
        <w:lastRenderedPageBreak/>
        <w:drawing>
          <wp:inline distT="0" distB="0" distL="0" distR="0">
            <wp:extent cx="5731510" cy="74918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491805"/>
                    </a:xfrm>
                    <a:prstGeom prst="rect">
                      <a:avLst/>
                    </a:prstGeom>
                    <a:noFill/>
                    <a:ln>
                      <a:noFill/>
                    </a:ln>
                  </pic:spPr>
                </pic:pic>
              </a:graphicData>
            </a:graphic>
          </wp:inline>
        </w:drawing>
      </w:r>
    </w:p>
    <w:p w:rsidR="00DD7C88" w:rsidRDefault="00DD7C88">
      <w:pPr>
        <w:rPr>
          <w:b/>
        </w:rPr>
      </w:pPr>
    </w:p>
    <w:p w:rsidR="00DD7C88" w:rsidRDefault="00DD7C88">
      <w:pPr>
        <w:rPr>
          <w:b/>
        </w:rPr>
      </w:pPr>
    </w:p>
    <w:p w:rsidR="00DD7C88" w:rsidRDefault="00DD7C88">
      <w:pPr>
        <w:rPr>
          <w:b/>
        </w:rPr>
      </w:pPr>
    </w:p>
    <w:p w:rsidR="00DD7C88" w:rsidRDefault="00DD7C88">
      <w:pPr>
        <w:rPr>
          <w:b/>
        </w:rPr>
      </w:pPr>
    </w:p>
    <w:p w:rsidR="00DD7C88" w:rsidRDefault="00DD7C88">
      <w:pPr>
        <w:rPr>
          <w:b/>
        </w:rPr>
      </w:pPr>
      <w:r>
        <w:rPr>
          <w:b/>
          <w:noProof/>
          <w:lang w:eastAsia="en-GB"/>
          <w14:ligatures w14:val="none"/>
        </w:rPr>
        <w:lastRenderedPageBreak/>
        <w:drawing>
          <wp:inline distT="0" distB="0" distL="0" distR="0">
            <wp:extent cx="5731510" cy="453878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538782"/>
                    </a:xfrm>
                    <a:prstGeom prst="rect">
                      <a:avLst/>
                    </a:prstGeom>
                    <a:noFill/>
                    <a:ln>
                      <a:noFill/>
                    </a:ln>
                  </pic:spPr>
                </pic:pic>
              </a:graphicData>
            </a:graphic>
          </wp:inline>
        </w:drawing>
      </w:r>
    </w:p>
    <w:p w:rsidR="00DD7C88" w:rsidRDefault="00DD7C88">
      <w:pPr>
        <w:rPr>
          <w:b/>
        </w:rPr>
      </w:pPr>
    </w:p>
    <w:p w:rsidR="004A651A" w:rsidRDefault="004A651A">
      <w:pPr>
        <w:rPr>
          <w:b/>
        </w:rPr>
      </w:pPr>
    </w:p>
    <w:p w:rsidR="004A651A" w:rsidRDefault="00287268">
      <w:pPr>
        <w:rPr>
          <w:b/>
        </w:rPr>
      </w:pPr>
      <w:r>
        <w:rPr>
          <w:b/>
        </w:rPr>
        <w:t>SMART Action Plan</w:t>
      </w:r>
    </w:p>
    <w:p w:rsidR="00287268" w:rsidRDefault="00287268" w:rsidP="00287268">
      <w:pPr>
        <w:pStyle w:val="ListParagraph"/>
        <w:numPr>
          <w:ilvl w:val="0"/>
          <w:numId w:val="1"/>
        </w:numPr>
      </w:pPr>
      <w:r>
        <w:rPr>
          <w:b/>
        </w:rPr>
        <w:t xml:space="preserve">Action: </w:t>
      </w:r>
      <w:r w:rsidRPr="00287268">
        <w:t xml:space="preserve">Find and take part in Welsh medium activity on </w:t>
      </w:r>
      <w:proofErr w:type="spellStart"/>
      <w:r w:rsidRPr="00287268">
        <w:t>ongoing</w:t>
      </w:r>
      <w:proofErr w:type="spellEnd"/>
      <w:r>
        <w:t xml:space="preserve"> </w:t>
      </w:r>
      <w:r w:rsidRPr="00287268">
        <w:t>basis</w:t>
      </w:r>
    </w:p>
    <w:p w:rsidR="00287268" w:rsidRDefault="00287268" w:rsidP="00287268">
      <w:pPr>
        <w:ind w:left="720"/>
      </w:pPr>
      <w:r w:rsidRPr="00287268">
        <w:rPr>
          <w:b/>
        </w:rPr>
        <w:t>Time:</w:t>
      </w:r>
      <w:r>
        <w:t xml:space="preserve"> Within the next fortnight</w:t>
      </w:r>
    </w:p>
    <w:p w:rsidR="00287268" w:rsidRDefault="00287268" w:rsidP="00287268">
      <w:pPr>
        <w:ind w:left="720"/>
      </w:pPr>
      <w:r>
        <w:rPr>
          <w:b/>
        </w:rPr>
        <w:t xml:space="preserve">Prof </w:t>
      </w:r>
      <w:proofErr w:type="spellStart"/>
      <w:r>
        <w:rPr>
          <w:b/>
        </w:rPr>
        <w:t>Stds</w:t>
      </w:r>
      <w:proofErr w:type="spellEnd"/>
      <w:r>
        <w:rPr>
          <w:b/>
        </w:rPr>
        <w:t>:</w:t>
      </w:r>
      <w:r>
        <w:t xml:space="preserve">  Wales as bilingual nation, promoting inclusion, deliver effective learning</w:t>
      </w:r>
    </w:p>
    <w:p w:rsidR="00287268" w:rsidRDefault="00287268" w:rsidP="00287268">
      <w:pPr>
        <w:pStyle w:val="ListParagraph"/>
        <w:numPr>
          <w:ilvl w:val="0"/>
          <w:numId w:val="1"/>
        </w:numPr>
      </w:pPr>
      <w:r w:rsidRPr="00A720EA">
        <w:rPr>
          <w:b/>
        </w:rPr>
        <w:t>Action</w:t>
      </w:r>
      <w:r>
        <w:t>:  Complete online courses on UWTSD library resource on using digital tools</w:t>
      </w:r>
    </w:p>
    <w:p w:rsidR="00287268" w:rsidRDefault="00287268" w:rsidP="00287268">
      <w:pPr>
        <w:ind w:left="720"/>
      </w:pPr>
      <w:r w:rsidRPr="00A720EA">
        <w:rPr>
          <w:b/>
        </w:rPr>
        <w:t>Time</w:t>
      </w:r>
      <w:r>
        <w:t>: 3 months</w:t>
      </w:r>
    </w:p>
    <w:p w:rsidR="00287268" w:rsidRDefault="00287268" w:rsidP="00287268">
      <w:pPr>
        <w:ind w:left="720"/>
      </w:pPr>
      <w:r w:rsidRPr="00A720EA">
        <w:rPr>
          <w:b/>
        </w:rPr>
        <w:t xml:space="preserve">Prof </w:t>
      </w:r>
      <w:proofErr w:type="spellStart"/>
      <w:r w:rsidRPr="00A720EA">
        <w:rPr>
          <w:b/>
        </w:rPr>
        <w:t>Stds</w:t>
      </w:r>
      <w:proofErr w:type="spellEnd"/>
      <w:r w:rsidR="00E23326" w:rsidRPr="00A720EA">
        <w:rPr>
          <w:b/>
        </w:rPr>
        <w:t>:</w:t>
      </w:r>
      <w:r w:rsidR="00A720EA">
        <w:rPr>
          <w:b/>
        </w:rPr>
        <w:t xml:space="preserve"> </w:t>
      </w:r>
      <w:r w:rsidR="00E23326">
        <w:t>deliver effective teaching</w:t>
      </w:r>
      <w:r w:rsidR="00A720EA">
        <w:t>, critically reflect on own values…</w:t>
      </w:r>
    </w:p>
    <w:p w:rsidR="00A720EA" w:rsidRDefault="00A720EA" w:rsidP="00A720EA">
      <w:pPr>
        <w:pStyle w:val="ListParagraph"/>
        <w:numPr>
          <w:ilvl w:val="0"/>
          <w:numId w:val="1"/>
        </w:numPr>
      </w:pPr>
      <w:r w:rsidRPr="00A720EA">
        <w:rPr>
          <w:b/>
        </w:rPr>
        <w:t>Action</w:t>
      </w:r>
      <w:r>
        <w:t>: Refresh my own content knowledge by going over old study materials and other sources</w:t>
      </w:r>
    </w:p>
    <w:p w:rsidR="00A720EA" w:rsidRDefault="00A720EA" w:rsidP="00A720EA">
      <w:pPr>
        <w:ind w:left="720"/>
      </w:pPr>
      <w:r w:rsidRPr="00A720EA">
        <w:rPr>
          <w:b/>
        </w:rPr>
        <w:t>Time</w:t>
      </w:r>
      <w:r>
        <w:t xml:space="preserve">: </w:t>
      </w:r>
      <w:proofErr w:type="spellStart"/>
      <w:r>
        <w:t>Ongoing</w:t>
      </w:r>
      <w:proofErr w:type="spellEnd"/>
    </w:p>
    <w:p w:rsidR="00A720EA" w:rsidRPr="00287268" w:rsidRDefault="00A720EA" w:rsidP="00A720EA">
      <w:pPr>
        <w:ind w:left="720"/>
      </w:pPr>
      <w:r w:rsidRPr="00A720EA">
        <w:rPr>
          <w:b/>
        </w:rPr>
        <w:t xml:space="preserve">Prof </w:t>
      </w:r>
      <w:proofErr w:type="spellStart"/>
      <w:r w:rsidRPr="00A720EA">
        <w:rPr>
          <w:b/>
        </w:rPr>
        <w:t>Stds</w:t>
      </w:r>
      <w:proofErr w:type="spellEnd"/>
      <w:r>
        <w:t>: Maintain and update knowledge, Plan and deliver effective learning</w:t>
      </w:r>
    </w:p>
    <w:p w:rsidR="004A651A" w:rsidRPr="00287268" w:rsidRDefault="004A651A">
      <w:r w:rsidRPr="00287268">
        <w:lastRenderedPageBreak/>
        <w:br w:type="page"/>
      </w:r>
    </w:p>
    <w:p w:rsidR="004A651A" w:rsidRDefault="004A651A">
      <w:pPr>
        <w:rPr>
          <w:b/>
        </w:rPr>
      </w:pPr>
    </w:p>
    <w:p w:rsidR="008656F9" w:rsidRDefault="008656F9">
      <w:pPr>
        <w:rPr>
          <w:rFonts w:cstheme="minorHAnsi"/>
          <w:b/>
        </w:rPr>
      </w:pPr>
    </w:p>
    <w:p w:rsidR="008656F9" w:rsidRPr="008656F9" w:rsidRDefault="008656F9">
      <w:pPr>
        <w:rPr>
          <w:rFonts w:cstheme="minorHAnsi"/>
          <w:b/>
        </w:rPr>
      </w:pPr>
    </w:p>
    <w:p w:rsidR="00D9405B" w:rsidRDefault="00D9405B">
      <w:pPr>
        <w:rPr>
          <w:b/>
          <w:sz w:val="28"/>
          <w:szCs w:val="28"/>
        </w:rPr>
      </w:pPr>
    </w:p>
    <w:p w:rsidR="00A03424" w:rsidRPr="00A03424" w:rsidRDefault="00A03424">
      <w:pPr>
        <w:rPr>
          <w:b/>
        </w:rPr>
      </w:pPr>
    </w:p>
    <w:p w:rsidR="00D9405B" w:rsidRPr="00D9405B" w:rsidRDefault="00D9405B">
      <w:pPr>
        <w:rPr>
          <w:b/>
          <w:sz w:val="28"/>
          <w:szCs w:val="28"/>
        </w:rPr>
      </w:pPr>
    </w:p>
    <w:p w:rsidR="00D9405B" w:rsidRDefault="00D9405B">
      <w:pPr>
        <w:rPr>
          <w:b/>
        </w:rPr>
      </w:pPr>
    </w:p>
    <w:p w:rsidR="00D9405B" w:rsidRPr="00D9405B" w:rsidRDefault="00D9405B">
      <w:pPr>
        <w:rPr>
          <w:b/>
        </w:rPr>
      </w:pPr>
    </w:p>
    <w:p w:rsidR="00D9405B" w:rsidRPr="007A2836" w:rsidRDefault="00D9405B">
      <w:pPr>
        <w:rPr>
          <w:b/>
          <w:sz w:val="28"/>
          <w:szCs w:val="28"/>
        </w:rPr>
      </w:pPr>
    </w:p>
    <w:sectPr w:rsidR="00D9405B" w:rsidRPr="007A28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487546"/>
    <w:multiLevelType w:val="hybridMultilevel"/>
    <w:tmpl w:val="74B60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731F"/>
    <w:rsid w:val="00287268"/>
    <w:rsid w:val="002A4D51"/>
    <w:rsid w:val="003546C1"/>
    <w:rsid w:val="0035635E"/>
    <w:rsid w:val="004A651A"/>
    <w:rsid w:val="006A6497"/>
    <w:rsid w:val="007A2836"/>
    <w:rsid w:val="008656F9"/>
    <w:rsid w:val="008F731F"/>
    <w:rsid w:val="009248E4"/>
    <w:rsid w:val="00A03424"/>
    <w:rsid w:val="00A720EA"/>
    <w:rsid w:val="00CC0C99"/>
    <w:rsid w:val="00D85500"/>
    <w:rsid w:val="00D9405B"/>
    <w:rsid w:val="00DD7C88"/>
    <w:rsid w:val="00E23326"/>
    <w:rsid w:val="00E25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48E4"/>
    <w:pPr>
      <w:spacing w:after="160" w:line="278" w:lineRule="auto"/>
    </w:pPr>
    <w:rPr>
      <w:rFonts w:eastAsiaTheme="minorEastAsia"/>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48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8E4"/>
    <w:rPr>
      <w:rFonts w:ascii="Tahoma" w:eastAsiaTheme="minorEastAsia" w:hAnsi="Tahoma" w:cs="Tahoma"/>
      <w:kern w:val="2"/>
      <w:sz w:val="16"/>
      <w:szCs w:val="16"/>
      <w:lang w:eastAsia="zh-CN"/>
      <w14:ligatures w14:val="standardContextual"/>
    </w:rPr>
  </w:style>
  <w:style w:type="paragraph" w:styleId="NormalWeb">
    <w:name w:val="Normal (Web)"/>
    <w:basedOn w:val="Normal"/>
    <w:uiPriority w:val="99"/>
    <w:semiHidden/>
    <w:unhideWhenUsed/>
    <w:rsid w:val="002A4D51"/>
    <w:pPr>
      <w:spacing w:before="100" w:beforeAutospacing="1" w:after="142" w:line="276" w:lineRule="auto"/>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28726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48E4"/>
    <w:pPr>
      <w:spacing w:after="160" w:line="278" w:lineRule="auto"/>
    </w:pPr>
    <w:rPr>
      <w:rFonts w:eastAsiaTheme="minorEastAsia"/>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48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8E4"/>
    <w:rPr>
      <w:rFonts w:ascii="Tahoma" w:eastAsiaTheme="minorEastAsia" w:hAnsi="Tahoma" w:cs="Tahoma"/>
      <w:kern w:val="2"/>
      <w:sz w:val="16"/>
      <w:szCs w:val="16"/>
      <w:lang w:eastAsia="zh-CN"/>
      <w14:ligatures w14:val="standardContextual"/>
    </w:rPr>
  </w:style>
  <w:style w:type="paragraph" w:styleId="NormalWeb">
    <w:name w:val="Normal (Web)"/>
    <w:basedOn w:val="Normal"/>
    <w:uiPriority w:val="99"/>
    <w:semiHidden/>
    <w:unhideWhenUsed/>
    <w:rsid w:val="002A4D51"/>
    <w:pPr>
      <w:spacing w:before="100" w:beforeAutospacing="1" w:after="142" w:line="276" w:lineRule="auto"/>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2872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1371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discourses.com" TargetMode="External"/><Relationship Id="rId13" Type="http://schemas.openxmlformats.org/officeDocument/2006/relationships/image" Target="media/image2.tmp"/><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psycnet.apa.org/doi/10.1037/11495-000" TargetMode="External"/><Relationship Id="rId12" Type="http://schemas.openxmlformats.org/officeDocument/2006/relationships/hyperlink" Target="https://www.gov.uk/government/publications/public-sector-equality-duty-guidance-for-public-authorities/public-sector-equality-duty-guidance-for-public-authorities" TargetMode="External"/><Relationship Id="rId17" Type="http://schemas.openxmlformats.org/officeDocument/2006/relationships/image" Target="media/image6.emf"/><Relationship Id="rId2" Type="http://schemas.openxmlformats.org/officeDocument/2006/relationships/styles" Target="styles.xml"/><Relationship Id="rId16" Type="http://schemas.openxmlformats.org/officeDocument/2006/relationships/image" Target="media/image5.emf"/><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www.jstor.org/stable/3121782.%20Accessed%2029%20May%202025" TargetMode="External"/><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hyperlink" Target="https://www.medr.cymru/wp-content/uploads/2025/03/Medr-Strategic-Plan-2025-2030.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hwb.gov.wales/api/storage/c08350b0-22e5-4d12-ba0d-544abb35ba95/Professional%20standards%20for%20FE%20%20WBL%20and%20ACL%20Practitioners%20-%20June%202023%20%28E%29.pdf?preview=true" TargetMode="Externa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TotalTime>
  <Pages>16</Pages>
  <Words>3594</Words>
  <Characters>18332</Characters>
  <Application>Microsoft Office Word</Application>
  <DocSecurity>0</DocSecurity>
  <Lines>305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i7</dc:creator>
  <cp:lastModifiedBy>Hp i7</cp:lastModifiedBy>
  <cp:revision>15</cp:revision>
  <dcterms:created xsi:type="dcterms:W3CDTF">2025-05-28T15:11:00Z</dcterms:created>
  <dcterms:modified xsi:type="dcterms:W3CDTF">2025-05-30T20:55:00Z</dcterms:modified>
</cp:coreProperties>
</file>