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35D55" w14:textId="63C6157C" w:rsidR="00A761BB" w:rsidRDefault="00A761BB" w:rsidP="00395CB5"/>
    <w:p w14:paraId="413324CB" w14:textId="6217450E" w:rsidR="003A345B" w:rsidRDefault="003A345B" w:rsidP="00395CB5"/>
    <w:p w14:paraId="31C1049A" w14:textId="77777777" w:rsidR="003A345B" w:rsidRDefault="003A345B" w:rsidP="00395CB5"/>
    <w:p w14:paraId="4F894D13" w14:textId="77777777" w:rsidR="00A761BB" w:rsidRDefault="00A761BB" w:rsidP="00395CB5"/>
    <w:p w14:paraId="609A8037" w14:textId="17205C80" w:rsidR="00395CB5" w:rsidRDefault="00395CB5" w:rsidP="00395CB5">
      <w:r>
        <w:rPr>
          <w:noProof/>
        </w:rPr>
        <mc:AlternateContent>
          <mc:Choice Requires="wps">
            <w:drawing>
              <wp:anchor distT="0" distB="0" distL="114300" distR="114300" simplePos="0" relativeHeight="251659264" behindDoc="0" locked="0" layoutInCell="1" allowOverlap="1" wp14:anchorId="553C55FA" wp14:editId="499FB5DD">
                <wp:simplePos x="0" y="0"/>
                <wp:positionH relativeFrom="column">
                  <wp:posOffset>4254500</wp:posOffset>
                </wp:positionH>
                <wp:positionV relativeFrom="paragraph">
                  <wp:posOffset>38100</wp:posOffset>
                </wp:positionV>
                <wp:extent cx="1172210" cy="1143000"/>
                <wp:effectExtent l="0" t="0" r="8890" b="12700"/>
                <wp:wrapNone/>
                <wp:docPr id="1" name="Text Box 1"/>
                <wp:cNvGraphicFramePr/>
                <a:graphic xmlns:a="http://schemas.openxmlformats.org/drawingml/2006/main">
                  <a:graphicData uri="http://schemas.microsoft.com/office/word/2010/wordprocessingShape">
                    <wps:wsp>
                      <wps:cNvSpPr txBox="1"/>
                      <wps:spPr>
                        <a:xfrm>
                          <a:off x="0" y="0"/>
                          <a:ext cx="1172210" cy="1143000"/>
                        </a:xfrm>
                        <a:prstGeom prst="rect">
                          <a:avLst/>
                        </a:prstGeom>
                        <a:solidFill>
                          <a:schemeClr val="lt1"/>
                        </a:solidFill>
                        <a:ln w="6350">
                          <a:solidFill>
                            <a:prstClr val="black"/>
                          </a:solidFill>
                        </a:ln>
                      </wps:spPr>
                      <wps:txbx>
                        <w:txbxContent>
                          <w:p w14:paraId="04D0323F" w14:textId="033D1BA2" w:rsidR="00395CB5" w:rsidRDefault="00395CB5">
                            <w:r>
                              <w:rPr>
                                <w:noProof/>
                              </w:rPr>
                              <w:drawing>
                                <wp:inline distT="0" distB="0" distL="0" distR="0" wp14:anchorId="5A59C3EE" wp14:editId="1956E225">
                                  <wp:extent cx="981710" cy="9817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981710" cy="981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3C55FA" id="_x0000_t202" coordsize="21600,21600" o:spt="202" path="m,l,21600r21600,l21600,xe">
                <v:stroke joinstyle="miter"/>
                <v:path gradientshapeok="t" o:connecttype="rect"/>
              </v:shapetype>
              <v:shape id="Text Box 1" o:spid="_x0000_s1026" type="#_x0000_t202" style="position:absolute;margin-left:335pt;margin-top:3pt;width:92.3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" fillcolor="white [3201]" strokeweight=".5pt">
                <v:textbox>
                  <w:txbxContent>
                    <w:p w14:paraId="04D0323F" w14:textId="033D1BA2" w:rsidR="00395CB5" w:rsidRDefault="00395CB5">
                      <w:r>
                        <w:rPr>
                          <w:noProof/>
                        </w:rPr>
                        <w:drawing>
                          <wp:inline distT="0" distB="0" distL="0" distR="0" wp14:anchorId="5A59C3EE" wp14:editId="1956E225">
                            <wp:extent cx="981710" cy="9817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981710" cy="981710"/>
                                    </a:xfrm>
                                    <a:prstGeom prst="rect">
                                      <a:avLst/>
                                    </a:prstGeom>
                                  </pic:spPr>
                                </pic:pic>
                              </a:graphicData>
                            </a:graphic>
                          </wp:inline>
                        </w:drawing>
                      </w:r>
                    </w:p>
                  </w:txbxContent>
                </v:textbox>
              </v:shape>
            </w:pict>
          </mc:Fallback>
        </mc:AlternateContent>
      </w:r>
      <w:r>
        <w:t>Gratsiela Todorova Dimitrova</w:t>
      </w:r>
    </w:p>
    <w:p w14:paraId="2235A6A8" w14:textId="57A05096" w:rsidR="00395CB5" w:rsidRDefault="00395CB5" w:rsidP="00395CB5">
      <w:r>
        <w:t>2029951</w:t>
      </w:r>
    </w:p>
    <w:p w14:paraId="6D22B11B" w14:textId="77DEFEC6" w:rsidR="00395CB5" w:rsidRDefault="00395CB5" w:rsidP="00395CB5">
      <w:r>
        <w:t>BSC Cloud Computing</w:t>
      </w:r>
    </w:p>
    <w:p w14:paraId="66F14AEC" w14:textId="1952F299" w:rsidR="00395CB5" w:rsidRDefault="0099100D" w:rsidP="00395CB5">
      <w:r>
        <w:t>Data analysis and visualisation</w:t>
      </w:r>
      <w:r w:rsidR="00395CB5">
        <w:t xml:space="preserve"> </w:t>
      </w:r>
      <w:r>
        <w:t xml:space="preserve">- </w:t>
      </w:r>
    </w:p>
    <w:p w14:paraId="51D43226" w14:textId="31D085F4" w:rsidR="00395CB5" w:rsidRDefault="00395CB5" w:rsidP="00395CB5">
      <w:r>
        <w:t>ACC</w:t>
      </w:r>
      <w:r w:rsidR="0099100D">
        <w:t>B</w:t>
      </w:r>
      <w:r>
        <w:t>40</w:t>
      </w:r>
      <w:r w:rsidR="0099100D">
        <w:t>0</w:t>
      </w:r>
      <w:r>
        <w:t>2_LON</w:t>
      </w:r>
    </w:p>
    <w:p w14:paraId="27AFA142" w14:textId="6D4B1914" w:rsidR="0099100D" w:rsidRDefault="0099100D" w:rsidP="00395CB5">
      <w:r>
        <w:t>Task 1</w:t>
      </w:r>
    </w:p>
    <w:p w14:paraId="2E6964CC" w14:textId="2AB3D4BD" w:rsidR="00A65488" w:rsidRDefault="00A65488" w:rsidP="00441512"/>
    <w:p w14:paraId="4FF51766" w14:textId="5A98E9C5" w:rsidR="003A2C85" w:rsidRDefault="003A2C85" w:rsidP="00441512"/>
    <w:p w14:paraId="374D00CF" w14:textId="2024E1AA" w:rsidR="00657CAB" w:rsidRDefault="00657CAB" w:rsidP="00441512"/>
    <w:p w14:paraId="41F1EFC7" w14:textId="798887E5" w:rsidR="00657CAB" w:rsidRDefault="00657CAB" w:rsidP="00441512"/>
    <w:p w14:paraId="05D25DE5" w14:textId="7268DDD9" w:rsidR="00657CAB" w:rsidRDefault="00657CAB" w:rsidP="00441512"/>
    <w:p w14:paraId="3C13CEDC" w14:textId="5EF39FAB" w:rsidR="00657CAB" w:rsidRDefault="00657CAB" w:rsidP="00441512"/>
    <w:p w14:paraId="4341437B" w14:textId="39C68FCA" w:rsidR="00657CAB" w:rsidRDefault="00657CAB" w:rsidP="00441512"/>
    <w:p w14:paraId="11870483" w14:textId="03C4DE0D" w:rsidR="00657CAB" w:rsidRDefault="00657CAB" w:rsidP="00441512"/>
    <w:p w14:paraId="32873EA3" w14:textId="097AC99C" w:rsidR="00657CAB" w:rsidRDefault="00657CAB" w:rsidP="00441512"/>
    <w:p w14:paraId="469529B5" w14:textId="77777777" w:rsidR="00657CAB" w:rsidRDefault="00657CAB" w:rsidP="00441512"/>
    <w:p w14:paraId="03819001" w14:textId="1C7E3A2D" w:rsidR="003A2C85" w:rsidRDefault="003A2C85" w:rsidP="00441512"/>
    <w:p w14:paraId="318A9296" w14:textId="636DDBE5" w:rsidR="003A2C85" w:rsidRDefault="003A2C85" w:rsidP="00657CAB">
      <w:pPr>
        <w:jc w:val="center"/>
        <w:rPr>
          <w:sz w:val="32"/>
          <w:szCs w:val="32"/>
        </w:rPr>
      </w:pPr>
      <w:r w:rsidRPr="00657CAB">
        <w:rPr>
          <w:sz w:val="32"/>
          <w:szCs w:val="32"/>
        </w:rPr>
        <w:t xml:space="preserve">My discussion considering </w:t>
      </w:r>
      <w:r w:rsidR="00657CAB" w:rsidRPr="00657CAB">
        <w:rPr>
          <w:sz w:val="32"/>
          <w:szCs w:val="32"/>
        </w:rPr>
        <w:t>A3 poster: “Infographic: Covid-19 Accelerating Print Industry Transformation”</w:t>
      </w:r>
    </w:p>
    <w:p w14:paraId="0899C38D" w14:textId="0DEFA628" w:rsidR="00657CAB" w:rsidRDefault="00657CAB" w:rsidP="00657CAB">
      <w:pPr>
        <w:jc w:val="center"/>
        <w:rPr>
          <w:sz w:val="32"/>
          <w:szCs w:val="32"/>
        </w:rPr>
      </w:pPr>
    </w:p>
    <w:p w14:paraId="3DC60D45" w14:textId="71F7E781" w:rsidR="00657CAB" w:rsidRDefault="00657CAB" w:rsidP="00657CAB">
      <w:pPr>
        <w:jc w:val="center"/>
        <w:rPr>
          <w:sz w:val="32"/>
          <w:szCs w:val="32"/>
        </w:rPr>
      </w:pPr>
    </w:p>
    <w:p w14:paraId="4E793F17" w14:textId="1C763FAE" w:rsidR="00657CAB" w:rsidRDefault="00657CAB" w:rsidP="00657CAB">
      <w:pPr>
        <w:jc w:val="center"/>
        <w:rPr>
          <w:sz w:val="32"/>
          <w:szCs w:val="32"/>
        </w:rPr>
      </w:pPr>
    </w:p>
    <w:p w14:paraId="7F75C661" w14:textId="64488513" w:rsidR="00657CAB" w:rsidRDefault="00657CAB" w:rsidP="00657CAB">
      <w:pPr>
        <w:jc w:val="center"/>
        <w:rPr>
          <w:sz w:val="32"/>
          <w:szCs w:val="32"/>
        </w:rPr>
      </w:pPr>
    </w:p>
    <w:p w14:paraId="6878AD37" w14:textId="77777777" w:rsidR="00657CAB" w:rsidRDefault="00657CAB" w:rsidP="00657CAB">
      <w:pPr>
        <w:jc w:val="center"/>
        <w:rPr>
          <w:sz w:val="32"/>
          <w:szCs w:val="32"/>
        </w:rPr>
      </w:pPr>
    </w:p>
    <w:p w14:paraId="6D924799" w14:textId="1FD1B650" w:rsidR="00657CAB" w:rsidRDefault="00657CAB" w:rsidP="00657CAB">
      <w:pPr>
        <w:jc w:val="center"/>
        <w:rPr>
          <w:sz w:val="32"/>
          <w:szCs w:val="32"/>
        </w:rPr>
      </w:pPr>
    </w:p>
    <w:p w14:paraId="4B4BED1C" w14:textId="3AD4210A" w:rsidR="00657CAB" w:rsidRDefault="00657CAB" w:rsidP="00657CAB">
      <w:pPr>
        <w:jc w:val="center"/>
        <w:rPr>
          <w:sz w:val="32"/>
          <w:szCs w:val="32"/>
        </w:rPr>
      </w:pPr>
    </w:p>
    <w:p w14:paraId="77045C9D" w14:textId="7D61E705" w:rsidR="00657CAB" w:rsidRDefault="00657CAB" w:rsidP="00657CAB">
      <w:pPr>
        <w:jc w:val="center"/>
        <w:rPr>
          <w:sz w:val="32"/>
          <w:szCs w:val="32"/>
        </w:rPr>
      </w:pPr>
    </w:p>
    <w:p w14:paraId="2FE8B1EA" w14:textId="0CFE24AB" w:rsidR="00657CAB" w:rsidRDefault="00657CAB" w:rsidP="00657CAB">
      <w:pPr>
        <w:jc w:val="center"/>
        <w:rPr>
          <w:sz w:val="32"/>
          <w:szCs w:val="32"/>
        </w:rPr>
      </w:pPr>
    </w:p>
    <w:p w14:paraId="0CD1729D" w14:textId="5A26B73E" w:rsidR="00657CAB" w:rsidRDefault="00657CAB" w:rsidP="00657CAB">
      <w:pPr>
        <w:jc w:val="center"/>
        <w:rPr>
          <w:sz w:val="32"/>
          <w:szCs w:val="32"/>
        </w:rPr>
      </w:pPr>
    </w:p>
    <w:p w14:paraId="1A50A6EF" w14:textId="2320D766" w:rsidR="00657CAB" w:rsidRDefault="00657CAB" w:rsidP="00657CAB">
      <w:pPr>
        <w:jc w:val="center"/>
        <w:rPr>
          <w:sz w:val="32"/>
          <w:szCs w:val="32"/>
        </w:rPr>
      </w:pPr>
    </w:p>
    <w:p w14:paraId="3DF41CDA" w14:textId="5903A4E5" w:rsidR="00657CAB" w:rsidRDefault="00657CAB" w:rsidP="00657CAB">
      <w:pPr>
        <w:jc w:val="center"/>
        <w:rPr>
          <w:sz w:val="32"/>
          <w:szCs w:val="32"/>
        </w:rPr>
      </w:pPr>
    </w:p>
    <w:p w14:paraId="7BD9CCE4" w14:textId="6D962FA6" w:rsidR="00657CAB" w:rsidRDefault="00657CAB" w:rsidP="00657CAB">
      <w:pPr>
        <w:jc w:val="center"/>
        <w:rPr>
          <w:sz w:val="32"/>
          <w:szCs w:val="32"/>
        </w:rPr>
      </w:pPr>
    </w:p>
    <w:p w14:paraId="35AEF801" w14:textId="146D0C37" w:rsidR="00657CAB" w:rsidRDefault="00657CAB" w:rsidP="00657CAB">
      <w:pPr>
        <w:jc w:val="center"/>
        <w:rPr>
          <w:sz w:val="32"/>
          <w:szCs w:val="32"/>
        </w:rPr>
      </w:pPr>
    </w:p>
    <w:p w14:paraId="367A6941" w14:textId="77777777" w:rsidR="00657CAB" w:rsidRPr="00657CAB" w:rsidRDefault="00657CAB" w:rsidP="00657CAB">
      <w:pPr>
        <w:jc w:val="center"/>
        <w:rPr>
          <w:sz w:val="32"/>
          <w:szCs w:val="32"/>
        </w:rPr>
      </w:pPr>
    </w:p>
    <w:p w14:paraId="203FB903" w14:textId="77777777" w:rsidR="00441512" w:rsidRDefault="00441512" w:rsidP="00441512">
      <w:pPr>
        <w:pStyle w:val="ContentsHeading"/>
        <w:pageBreakBefore/>
      </w:pPr>
      <w:r>
        <w:lastRenderedPageBreak/>
        <w:t>Table of Contents</w:t>
      </w:r>
    </w:p>
    <w:p w14:paraId="47A979C3" w14:textId="54CCF2D6" w:rsidR="00441512" w:rsidRPr="00FB1A93" w:rsidRDefault="00441512" w:rsidP="00441512">
      <w:pPr>
        <w:pStyle w:val="TOC1"/>
        <w:rPr>
          <w:noProof/>
          <w:szCs w:val="24"/>
        </w:rPr>
      </w:pPr>
      <w:r>
        <w:fldChar w:fldCharType="begin"/>
      </w:r>
      <w:r>
        <w:instrText xml:space="preserve"> TOC \f \o "1-9" \o "1-9" </w:instrText>
      </w:r>
      <w:r>
        <w:fldChar w:fldCharType="separate"/>
      </w:r>
      <w:r w:rsidRPr="00FB1A93">
        <w:rPr>
          <w:noProof/>
          <w:szCs w:val="24"/>
        </w:rPr>
        <w:t>Cover page</w:t>
      </w:r>
      <w:r w:rsidR="00372909" w:rsidRPr="00FB1A93">
        <w:rPr>
          <w:noProof/>
          <w:szCs w:val="24"/>
        </w:rPr>
        <w:t>……………………………………………………………………………………..1</w:t>
      </w:r>
    </w:p>
    <w:p w14:paraId="558CCFD0" w14:textId="0A60C7A6" w:rsidR="00372909" w:rsidRPr="00FB1A93" w:rsidRDefault="005611DB" w:rsidP="00441512">
      <w:pPr>
        <w:pStyle w:val="TOC1"/>
        <w:rPr>
          <w:rFonts w:ascii="Calibri" w:eastAsia="Times New Roman" w:hAnsi="Calibri" w:cs="Times New Roman"/>
          <w:noProof/>
          <w:color w:val="auto"/>
          <w:szCs w:val="24"/>
          <w:lang w:val="en-IN" w:eastAsia="en-IN"/>
        </w:rPr>
      </w:pPr>
      <w:r>
        <w:rPr>
          <w:noProof/>
          <w:szCs w:val="24"/>
        </w:rPr>
        <w:t>Contents………..</w:t>
      </w:r>
      <w:r w:rsidR="00372909" w:rsidRPr="00FB1A93">
        <w:rPr>
          <w:noProof/>
          <w:szCs w:val="24"/>
        </w:rPr>
        <w:t>………………………………………………………………………………2</w:t>
      </w:r>
    </w:p>
    <w:p w14:paraId="4BB1073B" w14:textId="61307771" w:rsidR="00441512" w:rsidRPr="00FB1A93" w:rsidRDefault="00DD0587" w:rsidP="00441512">
      <w:pPr>
        <w:pStyle w:val="TOC1"/>
        <w:rPr>
          <w:noProof/>
          <w:szCs w:val="24"/>
        </w:rPr>
      </w:pPr>
      <w:r>
        <w:rPr>
          <w:noProof/>
          <w:szCs w:val="24"/>
        </w:rPr>
        <w:t>Topic</w:t>
      </w:r>
      <w:r w:rsidR="00441512" w:rsidRPr="00FB1A93">
        <w:rPr>
          <w:noProof/>
          <w:szCs w:val="24"/>
        </w:rPr>
        <w:tab/>
        <w:t>3</w:t>
      </w:r>
    </w:p>
    <w:p w14:paraId="320C9610" w14:textId="54171347" w:rsidR="00E965C8" w:rsidRDefault="00E965C8" w:rsidP="00441512">
      <w:pPr>
        <w:pStyle w:val="TOC1"/>
        <w:rPr>
          <w:noProof/>
        </w:rPr>
      </w:pPr>
      <w:r>
        <w:rPr>
          <w:noProof/>
        </w:rPr>
        <w:t>List of references………………………………………………………………………………</w:t>
      </w:r>
      <w:r w:rsidR="009E2A38">
        <w:rPr>
          <w:noProof/>
        </w:rPr>
        <w:t>5</w:t>
      </w:r>
    </w:p>
    <w:p w14:paraId="4A91B529" w14:textId="55DF4F9E" w:rsidR="00E965C8" w:rsidRDefault="00E965C8" w:rsidP="00441512">
      <w:pPr>
        <w:pStyle w:val="TOC1"/>
        <w:rPr>
          <w:noProof/>
        </w:rPr>
      </w:pPr>
      <w:r>
        <w:rPr>
          <w:noProof/>
        </w:rPr>
        <w:t>Appendices…………………………………………………………………………………….</w:t>
      </w:r>
      <w:r w:rsidR="00576F90">
        <w:rPr>
          <w:noProof/>
        </w:rPr>
        <w:t>6</w:t>
      </w:r>
    </w:p>
    <w:p w14:paraId="2EE2B8CA" w14:textId="77777777" w:rsidR="00E965C8" w:rsidRDefault="00E965C8" w:rsidP="00441512">
      <w:pPr>
        <w:pStyle w:val="TOC1"/>
        <w:rPr>
          <w:rFonts w:ascii="Calibri" w:eastAsia="Times New Roman" w:hAnsi="Calibri" w:cs="Times New Roman"/>
          <w:noProof/>
          <w:color w:val="auto"/>
          <w:sz w:val="22"/>
          <w:lang w:val="en-IN" w:eastAsia="en-IN"/>
        </w:rPr>
      </w:pPr>
    </w:p>
    <w:p w14:paraId="616F30A8" w14:textId="3B965574" w:rsidR="00441512" w:rsidRDefault="00441512" w:rsidP="00FB1A93">
      <w:pPr>
        <w:pStyle w:val="TOC1"/>
        <w:tabs>
          <w:tab w:val="clear" w:pos="9360"/>
          <w:tab w:val="left" w:pos="5859"/>
        </w:tabs>
        <w:rPr>
          <w:rFonts w:ascii="Times" w:hAnsi="Times" w:cs="Times"/>
          <w:b/>
          <w:bCs/>
          <w:sz w:val="72"/>
          <w:szCs w:val="72"/>
        </w:rPr>
      </w:pPr>
      <w:r>
        <w:fldChar w:fldCharType="end"/>
      </w:r>
      <w:r w:rsidR="00FB1A93">
        <w:tab/>
      </w:r>
    </w:p>
    <w:p w14:paraId="482496AC" w14:textId="77777777" w:rsidR="00A65488" w:rsidRDefault="00A65488" w:rsidP="0099100D">
      <w:pPr>
        <w:jc w:val="center"/>
      </w:pPr>
    </w:p>
    <w:p w14:paraId="45FFE053" w14:textId="77777777" w:rsidR="00A65488" w:rsidRDefault="00A65488" w:rsidP="0099100D">
      <w:pPr>
        <w:jc w:val="center"/>
      </w:pPr>
    </w:p>
    <w:p w14:paraId="3979E70D" w14:textId="5AC95067" w:rsidR="00441512" w:rsidRDefault="00441512" w:rsidP="00441512">
      <w:pPr>
        <w:pStyle w:val="paragraph"/>
        <w:spacing w:before="0" w:beforeAutospacing="0" w:after="0" w:afterAutospacing="0"/>
        <w:textAlignment w:val="baseline"/>
        <w:rPr>
          <w:rFonts w:ascii="Segoe UI" w:hAnsi="Segoe UI" w:cs="Segoe UI"/>
          <w:sz w:val="18"/>
          <w:szCs w:val="18"/>
        </w:rPr>
      </w:pPr>
    </w:p>
    <w:p w14:paraId="593474C1" w14:textId="6BE665CC" w:rsidR="00A65488" w:rsidRDefault="00A65488" w:rsidP="0099100D">
      <w:pPr>
        <w:jc w:val="center"/>
      </w:pPr>
    </w:p>
    <w:p w14:paraId="00DC3F1F" w14:textId="1C6E2D0E" w:rsidR="00FB3AEA" w:rsidRDefault="00FB3AEA" w:rsidP="0099100D">
      <w:pPr>
        <w:jc w:val="center"/>
      </w:pPr>
    </w:p>
    <w:p w14:paraId="49C32CAE" w14:textId="5F95F633" w:rsidR="00FB3AEA" w:rsidRDefault="00FB3AEA" w:rsidP="0099100D">
      <w:pPr>
        <w:jc w:val="center"/>
      </w:pPr>
    </w:p>
    <w:p w14:paraId="1712E2BD" w14:textId="4A9128D4" w:rsidR="00FB3AEA" w:rsidRDefault="00FB3AEA" w:rsidP="0099100D">
      <w:pPr>
        <w:jc w:val="center"/>
      </w:pPr>
    </w:p>
    <w:p w14:paraId="3DD82163" w14:textId="27859AAC" w:rsidR="00FB3AEA" w:rsidRDefault="00FB3AEA" w:rsidP="0099100D">
      <w:pPr>
        <w:jc w:val="center"/>
      </w:pPr>
    </w:p>
    <w:p w14:paraId="4B8B8BCE" w14:textId="437F3713" w:rsidR="00FB3AEA" w:rsidRDefault="00FB3AEA" w:rsidP="0099100D">
      <w:pPr>
        <w:jc w:val="center"/>
      </w:pPr>
    </w:p>
    <w:p w14:paraId="0270BA8F" w14:textId="39B1AD95" w:rsidR="00FB3AEA" w:rsidRDefault="00FB3AEA" w:rsidP="0099100D">
      <w:pPr>
        <w:jc w:val="center"/>
      </w:pPr>
    </w:p>
    <w:p w14:paraId="705CF85B" w14:textId="39B0B9FD" w:rsidR="00FB3AEA" w:rsidRDefault="00FB3AEA" w:rsidP="0099100D">
      <w:pPr>
        <w:jc w:val="center"/>
      </w:pPr>
    </w:p>
    <w:p w14:paraId="4BDBED5C" w14:textId="4F2DC314" w:rsidR="00FB3AEA" w:rsidRDefault="00FB3AEA" w:rsidP="0099100D">
      <w:pPr>
        <w:jc w:val="center"/>
      </w:pPr>
    </w:p>
    <w:p w14:paraId="29A1BC3F" w14:textId="3CBF7888" w:rsidR="00FB3AEA" w:rsidRDefault="00FB3AEA" w:rsidP="0099100D">
      <w:pPr>
        <w:jc w:val="center"/>
      </w:pPr>
    </w:p>
    <w:p w14:paraId="187FC35D" w14:textId="77777777" w:rsidR="00FB3AEA" w:rsidRDefault="00FB3AEA" w:rsidP="0099100D">
      <w:pPr>
        <w:jc w:val="center"/>
      </w:pPr>
    </w:p>
    <w:p w14:paraId="7D2CBEC6" w14:textId="77777777" w:rsidR="00A65488" w:rsidRDefault="00A65488" w:rsidP="0099100D">
      <w:pPr>
        <w:jc w:val="center"/>
      </w:pPr>
    </w:p>
    <w:p w14:paraId="60EC1AD2" w14:textId="77777777" w:rsidR="00A65488" w:rsidRDefault="00A65488" w:rsidP="0099100D">
      <w:pPr>
        <w:jc w:val="center"/>
      </w:pPr>
    </w:p>
    <w:p w14:paraId="6142659C" w14:textId="77777777" w:rsidR="00A65488" w:rsidRDefault="00A65488" w:rsidP="0099100D">
      <w:pPr>
        <w:jc w:val="center"/>
      </w:pPr>
    </w:p>
    <w:p w14:paraId="16FC16B8" w14:textId="77777777" w:rsidR="00A65488" w:rsidRDefault="00A65488" w:rsidP="0099100D">
      <w:pPr>
        <w:jc w:val="center"/>
      </w:pPr>
    </w:p>
    <w:p w14:paraId="05E7E85A" w14:textId="77777777" w:rsidR="00A65488" w:rsidRDefault="00A65488" w:rsidP="0099100D">
      <w:pPr>
        <w:jc w:val="center"/>
      </w:pPr>
    </w:p>
    <w:p w14:paraId="4889DC5B" w14:textId="664410E1" w:rsidR="00A65488" w:rsidRDefault="006A0C21" w:rsidP="003F7DBB">
      <w:pPr>
        <w:ind w:firstLine="720"/>
      </w:pPr>
      <w:r>
        <w:t xml:space="preserve">In this </w:t>
      </w:r>
      <w:r w:rsidR="00E614F0">
        <w:t>t</w:t>
      </w:r>
      <w:r>
        <w:t>ask</w:t>
      </w:r>
      <w:r w:rsidR="00E614F0">
        <w:t>,</w:t>
      </w:r>
      <w:r>
        <w:t xml:space="preserve"> we are going to discuss the poster named “Infographic: Covid-19 Accelerating Print Industry Transformation</w:t>
      </w:r>
      <w:r w:rsidR="00BB0E03">
        <w:t>”</w:t>
      </w:r>
      <w:r w:rsidR="009005CC">
        <w:t xml:space="preserve">, with all the weak and good points of </w:t>
      </w:r>
      <w:r w:rsidR="0015145B">
        <w:t>t</w:t>
      </w:r>
      <w:r w:rsidR="009005CC">
        <w:t>he way</w:t>
      </w:r>
      <w:r w:rsidR="003F7DBB">
        <w:t xml:space="preserve"> </w:t>
      </w:r>
      <w:r w:rsidR="009005CC">
        <w:t xml:space="preserve">data </w:t>
      </w:r>
      <w:r w:rsidR="0015145B">
        <w:t>was expressed.</w:t>
      </w:r>
    </w:p>
    <w:p w14:paraId="429C0759" w14:textId="4125CE21" w:rsidR="003F7DBB" w:rsidRDefault="0099100D" w:rsidP="0015145B">
      <w:pPr>
        <w:ind w:firstLine="720"/>
      </w:pPr>
      <w:r>
        <w:t xml:space="preserve">This poster contains information about how Covid-19 </w:t>
      </w:r>
      <w:r w:rsidR="00E614F0">
        <w:t xml:space="preserve">affects us </w:t>
      </w:r>
      <w:r w:rsidR="0015145B">
        <w:t xml:space="preserve">in </w:t>
      </w:r>
      <w:r>
        <w:t xml:space="preserve">the </w:t>
      </w:r>
      <w:r w:rsidR="0015145B">
        <w:t xml:space="preserve">Print Industry, </w:t>
      </w:r>
      <w:r>
        <w:t>represent</w:t>
      </w:r>
      <w:r w:rsidR="00BC7817">
        <w:t>ed</w:t>
      </w:r>
      <w:r>
        <w:t xml:space="preserve"> in 7 different diagrams</w:t>
      </w:r>
      <w:r w:rsidR="00EE192D">
        <w:t>, styled in different ways</w:t>
      </w:r>
      <w:r w:rsidR="003F7DBB">
        <w:t xml:space="preserve"> by using variations of colours, sizes and messages</w:t>
      </w:r>
      <w:r w:rsidR="00EE192D">
        <w:t>.</w:t>
      </w:r>
      <w:r w:rsidR="00E50DAA">
        <w:t xml:space="preserve"> However, </w:t>
      </w:r>
      <w:r w:rsidR="00BB0E03">
        <w:t>there are</w:t>
      </w:r>
      <w:r w:rsidR="00E50DAA">
        <w:t xml:space="preserve"> a lot of </w:t>
      </w:r>
      <w:r w:rsidR="00BB0E03">
        <w:t xml:space="preserve">good, bad points and </w:t>
      </w:r>
      <w:r w:rsidR="00E50DAA">
        <w:t>mistakes in those specific points:</w:t>
      </w:r>
    </w:p>
    <w:p w14:paraId="41E21290" w14:textId="6BDFD0E5" w:rsidR="00272FD4" w:rsidRDefault="00E50DAA" w:rsidP="009D592E">
      <w:pPr>
        <w:ind w:firstLine="720"/>
      </w:pPr>
      <w:r>
        <w:t>Trying to i</w:t>
      </w:r>
      <w:r w:rsidR="00272FD4">
        <w:t xml:space="preserve">dentify the </w:t>
      </w:r>
      <w:r w:rsidR="00192673">
        <w:t xml:space="preserve">topic of the poster is the </w:t>
      </w:r>
      <w:r w:rsidR="00E614F0">
        <w:t>primary</w:t>
      </w:r>
      <w:r w:rsidR="00192673">
        <w:t xml:space="preserve"> problem. A head</w:t>
      </w:r>
      <w:r w:rsidR="00E614F0">
        <w:t>er</w:t>
      </w:r>
      <w:r w:rsidR="00192673">
        <w:t xml:space="preserve"> is missing which makes it very hard to understand the </w:t>
      </w:r>
      <w:r w:rsidR="009B6C61">
        <w:t>main idea</w:t>
      </w:r>
      <w:r w:rsidR="00E614F0">
        <w:t xml:space="preserve"> and criteria</w:t>
      </w:r>
      <w:r w:rsidR="00B728C0">
        <w:t xml:space="preserve"> and</w:t>
      </w:r>
      <w:r w:rsidR="00E614F0">
        <w:t xml:space="preserve"> topic of the piece</w:t>
      </w:r>
      <w:r w:rsidR="00B728C0">
        <w:t xml:space="preserve">. </w:t>
      </w:r>
      <w:r w:rsidR="00E614F0">
        <w:t>I</w:t>
      </w:r>
      <w:r w:rsidR="00192673">
        <w:t>t is a matter of a good practise, first to express the topic that we are going to observe</w:t>
      </w:r>
      <w:r w:rsidR="002B04B1">
        <w:t xml:space="preserve"> [6]</w:t>
      </w:r>
      <w:r w:rsidR="00192673">
        <w:t xml:space="preserve">. </w:t>
      </w:r>
      <w:r w:rsidR="009B6C61">
        <w:t>A</w:t>
      </w:r>
      <w:r w:rsidR="00192673">
        <w:t>ll 7</w:t>
      </w:r>
      <w:r w:rsidR="00272FD4">
        <w:t xml:space="preserve"> graph</w:t>
      </w:r>
      <w:r w:rsidR="00C7024A">
        <w:t>ic</w:t>
      </w:r>
      <w:r w:rsidR="00192673">
        <w:t>s have a titl</w:t>
      </w:r>
      <w:r w:rsidR="00217B01">
        <w:t>e</w:t>
      </w:r>
      <w:r w:rsidR="00272FD4">
        <w:t xml:space="preserve">. </w:t>
      </w:r>
      <w:r w:rsidR="00192673">
        <w:t>However, s</w:t>
      </w:r>
      <w:r w:rsidR="00272FD4">
        <w:t xml:space="preserve">ome of the titles are hard to understand and </w:t>
      </w:r>
      <w:r w:rsidR="00192673">
        <w:t>th</w:t>
      </w:r>
      <w:r w:rsidR="00C416B5">
        <w:t>is</w:t>
      </w:r>
      <w:r w:rsidR="00192673">
        <w:t xml:space="preserve"> is the second problem </w:t>
      </w:r>
      <w:r w:rsidR="00023B86">
        <w:t xml:space="preserve">for the </w:t>
      </w:r>
      <w:r w:rsidR="00192673">
        <w:t>reader</w:t>
      </w:r>
      <w:r w:rsidR="00023B86">
        <w:t xml:space="preserve">. </w:t>
      </w:r>
      <w:r w:rsidR="00217B01">
        <w:t>I</w:t>
      </w:r>
      <w:r w:rsidR="00023B86">
        <w:t>n the</w:t>
      </w:r>
      <w:r w:rsidR="00217B01">
        <w:t xml:space="preserve"> title of the</w:t>
      </w:r>
      <w:r w:rsidR="00023B86">
        <w:t xml:space="preserve"> 4</w:t>
      </w:r>
      <w:r w:rsidR="00023B86" w:rsidRPr="009D592E">
        <w:rPr>
          <w:vertAlign w:val="superscript"/>
        </w:rPr>
        <w:t>th</w:t>
      </w:r>
      <w:r w:rsidR="00023B86">
        <w:t xml:space="preserve"> </w:t>
      </w:r>
      <w:r w:rsidR="00E63291">
        <w:t>diagram,</w:t>
      </w:r>
      <w:r w:rsidR="00023B86">
        <w:t xml:space="preserve"> we are observing the vertical demand</w:t>
      </w:r>
      <w:r w:rsidR="002C2D9E">
        <w:t xml:space="preserve"> </w:t>
      </w:r>
      <w:r w:rsidR="00192673">
        <w:t xml:space="preserve">by </w:t>
      </w:r>
      <w:r w:rsidR="002C2D9E">
        <w:t>industr</w:t>
      </w:r>
      <w:r w:rsidR="00192673">
        <w:t>ies</w:t>
      </w:r>
      <w:r w:rsidR="00372015">
        <w:t>.</w:t>
      </w:r>
      <w:r w:rsidR="002C2D9E">
        <w:t xml:space="preserve"> </w:t>
      </w:r>
      <w:r w:rsidR="00C7024A">
        <w:t>But i</w:t>
      </w:r>
      <w:r w:rsidR="00500AA1">
        <w:t>t is showing increasing and decreasing at the same time</w:t>
      </w:r>
      <w:r w:rsidR="00C7024A">
        <w:t xml:space="preserve"> </w:t>
      </w:r>
      <w:r w:rsidR="00785D1A">
        <w:t>and there</w:t>
      </w:r>
      <w:r w:rsidR="002C2D9E">
        <w:t xml:space="preserve"> is no</w:t>
      </w:r>
      <w:r w:rsidR="00241F39">
        <w:t xml:space="preserve"> </w:t>
      </w:r>
      <w:r w:rsidR="002C2D9E">
        <w:t xml:space="preserve">information </w:t>
      </w:r>
      <w:r w:rsidR="00C7024A">
        <w:t xml:space="preserve">given </w:t>
      </w:r>
      <w:r w:rsidR="002C2D9E">
        <w:t xml:space="preserve">about </w:t>
      </w:r>
      <w:r w:rsidR="00372015">
        <w:t xml:space="preserve">it. Demand? Maybe we are talking about </w:t>
      </w:r>
      <w:r w:rsidR="002C2D9E">
        <w:t xml:space="preserve">the prices of </w:t>
      </w:r>
      <w:r w:rsidR="00372015">
        <w:t xml:space="preserve">a </w:t>
      </w:r>
      <w:r w:rsidR="002C2D9E">
        <w:lastRenderedPageBreak/>
        <w:t xml:space="preserve">product or </w:t>
      </w:r>
      <w:r w:rsidR="00372015">
        <w:t xml:space="preserve">a </w:t>
      </w:r>
      <w:r w:rsidR="002C2D9E">
        <w:t>service. T</w:t>
      </w:r>
      <w:r w:rsidR="00023B86">
        <w:t>he data given is not communicating with the title</w:t>
      </w:r>
      <w:r w:rsidR="00E614F0">
        <w:t xml:space="preserve">, this </w:t>
      </w:r>
      <w:r w:rsidR="002C2D9E">
        <w:t xml:space="preserve">is causing some </w:t>
      </w:r>
      <w:r w:rsidR="00E614F0">
        <w:t>issues</w:t>
      </w:r>
      <w:r w:rsidR="004544D3">
        <w:t xml:space="preserve"> and the message is not clear.</w:t>
      </w:r>
      <w:r w:rsidR="00BF31B0">
        <w:t xml:space="preserve"> Please check Appendix 4.</w:t>
      </w:r>
    </w:p>
    <w:p w14:paraId="20F92D2C" w14:textId="7480D430" w:rsidR="00500AA1" w:rsidRDefault="0053784D" w:rsidP="009D592E">
      <w:pPr>
        <w:ind w:firstLine="720"/>
      </w:pPr>
      <w:r>
        <w:t xml:space="preserve">Choosing the right colour to show a massage is </w:t>
      </w:r>
      <w:r w:rsidR="005E2F34">
        <w:t>taking</w:t>
      </w:r>
      <w:r>
        <w:t xml:space="preserve"> a major role when we are making a poster</w:t>
      </w:r>
      <w:r w:rsidR="004C1E38">
        <w:t xml:space="preserve"> [1]</w:t>
      </w:r>
      <w:r>
        <w:t xml:space="preserve">. It is all about the design. We should be able to understand the different data given. Unfortunately, there are some </w:t>
      </w:r>
      <w:r w:rsidR="004C1E38">
        <w:t xml:space="preserve">confusing situations </w:t>
      </w:r>
      <w:r>
        <w:t>in the charts of figures: 1,3 and 7.</w:t>
      </w:r>
      <w:r w:rsidR="00D177F2">
        <w:t xml:space="preserve"> First thing</w:t>
      </w:r>
      <w:r w:rsidR="00E614F0">
        <w:t>,</w:t>
      </w:r>
      <w:r w:rsidR="00D177F2">
        <w:t xml:space="preserve"> the colours are similar and hard to recognise</w:t>
      </w:r>
      <w:r w:rsidR="005E2F34">
        <w:t xml:space="preserve">, or </w:t>
      </w:r>
      <w:r w:rsidR="00E614F0">
        <w:t>the colour</w:t>
      </w:r>
      <w:r w:rsidR="005E2F34">
        <w:t xml:space="preserve"> </w:t>
      </w:r>
      <w:r w:rsidR="00E614F0">
        <w:t xml:space="preserve">is </w:t>
      </w:r>
      <w:r w:rsidR="005E2F34">
        <w:t xml:space="preserve">representing two different </w:t>
      </w:r>
      <w:r w:rsidR="00C010DD">
        <w:t>data</w:t>
      </w:r>
      <w:r w:rsidR="005E2F34">
        <w:t>.</w:t>
      </w:r>
      <w:r w:rsidR="00D177F2">
        <w:t xml:space="preserve"> Choosing a lot of grey and black shadows is not the best option</w:t>
      </w:r>
      <w:r w:rsidR="004C1E38">
        <w:t xml:space="preserve">. </w:t>
      </w:r>
      <w:r w:rsidR="00D177F2">
        <w:t xml:space="preserve">This could be avoided by </w:t>
      </w:r>
      <w:r w:rsidR="00C010DD">
        <w:t>adding bright and dark</w:t>
      </w:r>
      <w:r w:rsidR="008D0EC8">
        <w:t xml:space="preserve"> tones</w:t>
      </w:r>
      <w:r w:rsidR="00831DAD">
        <w:t xml:space="preserve">. </w:t>
      </w:r>
      <w:r w:rsidR="004C1E38">
        <w:t xml:space="preserve">Please check my suggestion on </w:t>
      </w:r>
      <w:r w:rsidR="005B3C7A">
        <w:t>Appendices</w:t>
      </w:r>
      <w:r w:rsidR="004C1E38">
        <w:t xml:space="preserve"> 1, 2 and 3</w:t>
      </w:r>
    </w:p>
    <w:p w14:paraId="79752C07" w14:textId="4BA4A8B5" w:rsidR="004D0B0F" w:rsidRDefault="000B4495" w:rsidP="009D592E">
      <w:pPr>
        <w:ind w:firstLine="720"/>
      </w:pPr>
      <w:r>
        <w:t>The way</w:t>
      </w:r>
      <w:r w:rsidR="00E614F0">
        <w:t xml:space="preserve"> the </w:t>
      </w:r>
      <w:r>
        <w:t xml:space="preserve">text </w:t>
      </w:r>
      <w:r w:rsidR="00076825">
        <w:t>has been written varies</w:t>
      </w:r>
      <w:r w:rsidR="00E614F0">
        <w:t xml:space="preserve"> including the similar </w:t>
      </w:r>
      <w:r w:rsidR="00076825">
        <w:t xml:space="preserve">type of font for the </w:t>
      </w:r>
      <w:r w:rsidR="00EE0AE9">
        <w:t>topics of the graphics</w:t>
      </w:r>
      <w:r w:rsidR="00E614F0">
        <w:t>. W</w:t>
      </w:r>
      <w:r w:rsidR="0091626B">
        <w:t xml:space="preserve">are underlying the important information </w:t>
      </w:r>
      <w:r w:rsidR="00E614F0">
        <w:t xml:space="preserve">it is very well </w:t>
      </w:r>
      <w:r w:rsidR="0091626B">
        <w:t>organised</w:t>
      </w:r>
      <w:r w:rsidR="00F525C9">
        <w:t xml:space="preserve"> [7]</w:t>
      </w:r>
      <w:r w:rsidR="0091626B">
        <w:t xml:space="preserve">. The size of the text on some of the charts are too small and hard to </w:t>
      </w:r>
      <w:r w:rsidR="00AE42AE">
        <w:t>see</w:t>
      </w:r>
      <w:r w:rsidR="0091626B">
        <w:t xml:space="preserve">: Chart No 1, 6 and 7. </w:t>
      </w:r>
      <w:r w:rsidR="00D452C9">
        <w:t>The text</w:t>
      </w:r>
      <w:r w:rsidR="0091626B">
        <w:t xml:space="preserve"> needs to be bigger</w:t>
      </w:r>
      <w:r w:rsidR="00AE42AE">
        <w:t xml:space="preserve"> </w:t>
      </w:r>
      <w:r w:rsidR="0077384A">
        <w:t xml:space="preserve">and </w:t>
      </w:r>
      <w:r w:rsidR="00AE42AE">
        <w:t>readable</w:t>
      </w:r>
      <w:r w:rsidR="0091626B">
        <w:t xml:space="preserve">. What </w:t>
      </w:r>
      <w:r w:rsidR="005B3C7A">
        <w:t xml:space="preserve">attracts my </w:t>
      </w:r>
      <w:r w:rsidR="0091626B">
        <w:t>attention is the size of the numbers on chart 3. It is confusing, because the</w:t>
      </w:r>
      <w:r w:rsidR="00E614F0">
        <w:t xml:space="preserve">y </w:t>
      </w:r>
      <w:r w:rsidR="0091626B">
        <w:t xml:space="preserve">are not even. 68% is written </w:t>
      </w:r>
      <w:r w:rsidR="00AE42AE">
        <w:t xml:space="preserve">in a </w:t>
      </w:r>
      <w:r w:rsidR="0091626B">
        <w:t xml:space="preserve">much bigger </w:t>
      </w:r>
      <w:r w:rsidR="00AE42AE">
        <w:t xml:space="preserve">way </w:t>
      </w:r>
      <w:r w:rsidR="0091626B">
        <w:t xml:space="preserve">than the rest. </w:t>
      </w:r>
      <w:r w:rsidR="00E614F0">
        <w:t xml:space="preserve">Using this </w:t>
      </w:r>
      <w:r w:rsidR="00251CE2">
        <w:t>technique</w:t>
      </w:r>
      <w:r w:rsidR="00EA1B94">
        <w:t>,</w:t>
      </w:r>
      <w:r w:rsidR="00C426EF">
        <w:t xml:space="preserve"> we</w:t>
      </w:r>
      <w:r w:rsidR="00AE42AE">
        <w:t xml:space="preserve"> are sending a message for more attention, but in th</w:t>
      </w:r>
      <w:r w:rsidR="00E614F0">
        <w:t>is</w:t>
      </w:r>
      <w:r w:rsidR="00AE42AE">
        <w:t xml:space="preserve"> case, it is not needed. So, this </w:t>
      </w:r>
      <w:r w:rsidR="00C426EF">
        <w:t>must</w:t>
      </w:r>
      <w:r w:rsidR="00AE42AE">
        <w:t xml:space="preserve"> be changed.</w:t>
      </w:r>
    </w:p>
    <w:p w14:paraId="653206F5" w14:textId="338F96A5" w:rsidR="009D592E" w:rsidRDefault="008269DC" w:rsidP="009D592E">
      <w:r>
        <w:tab/>
      </w:r>
      <w:r>
        <w:rPr>
          <w:rStyle w:val="normaltextrun"/>
          <w:rFonts w:ascii="Calibri" w:hAnsi="Calibri" w:cs="Calibri"/>
        </w:rPr>
        <w:t xml:space="preserve">According to the suitability of the graphs, we have several types used in this poster: column, doughnut and pie </w:t>
      </w:r>
      <w:r>
        <w:rPr>
          <w:rStyle w:val="eop"/>
          <w:rFonts w:ascii="Calibri" w:hAnsi="Calibri" w:cs="Calibri"/>
        </w:rPr>
        <w:t>charts</w:t>
      </w:r>
      <w:r w:rsidR="0070119C">
        <w:rPr>
          <w:rStyle w:val="eop"/>
          <w:rFonts w:ascii="Calibri" w:hAnsi="Calibri" w:cs="Calibri"/>
        </w:rPr>
        <w:t>, which is a good option and practise [2].</w:t>
      </w:r>
      <w:r w:rsidR="00C72659">
        <w:rPr>
          <w:rStyle w:val="eop"/>
          <w:rFonts w:ascii="Calibri" w:hAnsi="Calibri" w:cs="Calibri"/>
        </w:rPr>
        <w:t xml:space="preserve"> But let’s check picture</w:t>
      </w:r>
      <w:r w:rsidR="00FC01F1">
        <w:rPr>
          <w:rStyle w:val="eop"/>
          <w:rFonts w:ascii="Calibri" w:hAnsi="Calibri" w:cs="Calibri"/>
        </w:rPr>
        <w:t xml:space="preserve"> 1</w:t>
      </w:r>
      <w:r w:rsidR="00C72659">
        <w:rPr>
          <w:rStyle w:val="eop"/>
          <w:rFonts w:ascii="Calibri" w:hAnsi="Calibri" w:cs="Calibri"/>
        </w:rPr>
        <w:t>.</w:t>
      </w:r>
      <w:r w:rsidR="00FC01F1">
        <w:rPr>
          <w:rStyle w:val="eop"/>
          <w:rFonts w:ascii="Calibri" w:hAnsi="Calibri" w:cs="Calibri"/>
        </w:rPr>
        <w:t xml:space="preserve"> </w:t>
      </w:r>
      <w:r w:rsidR="00C72659">
        <w:rPr>
          <w:rStyle w:val="eop"/>
          <w:rFonts w:ascii="Calibri" w:hAnsi="Calibri" w:cs="Calibri"/>
        </w:rPr>
        <w:t>W</w:t>
      </w:r>
      <w:r w:rsidR="00FC01F1">
        <w:rPr>
          <w:rStyle w:val="eop"/>
          <w:rFonts w:ascii="Calibri" w:hAnsi="Calibri" w:cs="Calibri"/>
        </w:rPr>
        <w:t xml:space="preserve">e have a doughnut type chart </w:t>
      </w:r>
      <w:r w:rsidR="00857916">
        <w:rPr>
          <w:rStyle w:val="eop"/>
          <w:rFonts w:ascii="Calibri" w:hAnsi="Calibri" w:cs="Calibri"/>
        </w:rPr>
        <w:t xml:space="preserve">and </w:t>
      </w:r>
      <w:r w:rsidR="00FC01F1">
        <w:rPr>
          <w:rStyle w:val="eop"/>
          <w:rFonts w:ascii="Calibri" w:hAnsi="Calibri" w:cs="Calibri"/>
        </w:rPr>
        <w:t>the size of 2% is two times bigger than the size of 4</w:t>
      </w:r>
      <w:r w:rsidR="00164443">
        <w:rPr>
          <w:rStyle w:val="eop"/>
          <w:rFonts w:ascii="Calibri" w:hAnsi="Calibri" w:cs="Calibri"/>
        </w:rPr>
        <w:t>%</w:t>
      </w:r>
      <w:r w:rsidR="0077384A">
        <w:rPr>
          <w:rStyle w:val="eop"/>
          <w:rFonts w:ascii="Calibri" w:hAnsi="Calibri" w:cs="Calibri"/>
        </w:rPr>
        <w:t xml:space="preserve">. My solution is, </w:t>
      </w:r>
      <w:r w:rsidR="00164443">
        <w:rPr>
          <w:rStyle w:val="eop"/>
          <w:rFonts w:ascii="Calibri" w:hAnsi="Calibri" w:cs="Calibri"/>
        </w:rPr>
        <w:t>please check Appendix 1</w:t>
      </w:r>
      <w:r w:rsidR="00A53E58">
        <w:rPr>
          <w:rStyle w:val="eop"/>
          <w:rFonts w:ascii="Calibri" w:hAnsi="Calibri" w:cs="Calibri"/>
        </w:rPr>
        <w:t>. S</w:t>
      </w:r>
      <w:r w:rsidR="00FC01F1">
        <w:rPr>
          <w:rStyle w:val="eop"/>
          <w:rFonts w:ascii="Calibri" w:hAnsi="Calibri" w:cs="Calibri"/>
        </w:rPr>
        <w:t>ame on picture</w:t>
      </w:r>
      <w:r>
        <w:rPr>
          <w:rStyle w:val="eop"/>
          <w:rFonts w:ascii="Calibri" w:hAnsi="Calibri" w:cs="Calibri"/>
        </w:rPr>
        <w:t xml:space="preserve"> 3</w:t>
      </w:r>
      <w:r w:rsidR="00A53E58">
        <w:rPr>
          <w:rStyle w:val="eop"/>
          <w:rFonts w:ascii="Calibri" w:hAnsi="Calibri" w:cs="Calibri"/>
        </w:rPr>
        <w:t>,</w:t>
      </w:r>
      <w:r>
        <w:rPr>
          <w:rStyle w:val="eop"/>
          <w:rFonts w:ascii="Calibri" w:hAnsi="Calibri" w:cs="Calibri"/>
        </w:rPr>
        <w:t xml:space="preserve"> we have a column chart not suitable for the purposes of the informatio</w:t>
      </w:r>
      <w:r w:rsidR="00164443">
        <w:rPr>
          <w:rStyle w:val="eop"/>
          <w:rFonts w:ascii="Calibri" w:hAnsi="Calibri" w:cs="Calibri"/>
        </w:rPr>
        <w:t>n</w:t>
      </w:r>
      <w:r w:rsidR="00A53E58">
        <w:rPr>
          <w:rStyle w:val="eop"/>
          <w:rFonts w:ascii="Calibri" w:hAnsi="Calibri" w:cs="Calibri"/>
        </w:rPr>
        <w:t xml:space="preserve">, </w:t>
      </w:r>
      <w:r w:rsidR="00FC01F1">
        <w:rPr>
          <w:rStyle w:val="eop"/>
          <w:rFonts w:ascii="Calibri" w:hAnsi="Calibri" w:cs="Calibri"/>
        </w:rPr>
        <w:t xml:space="preserve">because you can’t see the right size of the percentages 2 and 3. They look equal in the graph. </w:t>
      </w:r>
      <w:r w:rsidR="0077384A">
        <w:rPr>
          <w:rStyle w:val="eop"/>
          <w:rFonts w:ascii="Calibri" w:hAnsi="Calibri" w:cs="Calibri"/>
        </w:rPr>
        <w:t xml:space="preserve">I’ve changed it. </w:t>
      </w:r>
      <w:r w:rsidR="00164443">
        <w:rPr>
          <w:rStyle w:val="eop"/>
          <w:rFonts w:ascii="Calibri" w:hAnsi="Calibri" w:cs="Calibri"/>
        </w:rPr>
        <w:t xml:space="preserve">Please check Appendix 2. </w:t>
      </w:r>
      <w:r w:rsidR="00AD78DE">
        <w:rPr>
          <w:rStyle w:val="eop"/>
          <w:rFonts w:ascii="Calibri" w:hAnsi="Calibri" w:cs="Calibri"/>
        </w:rPr>
        <w:t>Also,</w:t>
      </w:r>
      <w:r w:rsidR="00FC01F1">
        <w:rPr>
          <w:rStyle w:val="eop"/>
          <w:rFonts w:ascii="Calibri" w:hAnsi="Calibri" w:cs="Calibri"/>
        </w:rPr>
        <w:t xml:space="preserve"> on the same picture there is </w:t>
      </w:r>
      <w:r w:rsidR="00E614F0">
        <w:rPr>
          <w:rStyle w:val="eop"/>
          <w:rFonts w:ascii="Calibri" w:hAnsi="Calibri" w:cs="Calibri"/>
        </w:rPr>
        <w:t>an</w:t>
      </w:r>
      <w:r w:rsidR="00FC01F1">
        <w:rPr>
          <w:rStyle w:val="eop"/>
          <w:rFonts w:ascii="Calibri" w:hAnsi="Calibri" w:cs="Calibri"/>
        </w:rPr>
        <w:t xml:space="preserve"> extra </w:t>
      </w:r>
      <w:r w:rsidR="00A53E58">
        <w:rPr>
          <w:rStyle w:val="eop"/>
          <w:rFonts w:ascii="Calibri" w:hAnsi="Calibri" w:cs="Calibri"/>
        </w:rPr>
        <w:t xml:space="preserve">image </w:t>
      </w:r>
      <w:r w:rsidR="00FC01F1">
        <w:rPr>
          <w:rStyle w:val="eop"/>
          <w:rFonts w:ascii="Calibri" w:hAnsi="Calibri" w:cs="Calibri"/>
        </w:rPr>
        <w:t xml:space="preserve">of a narrow </w:t>
      </w:r>
      <w:r w:rsidR="0077384A">
        <w:rPr>
          <w:rStyle w:val="eop"/>
          <w:rFonts w:ascii="Calibri" w:hAnsi="Calibri" w:cs="Calibri"/>
        </w:rPr>
        <w:t>image,</w:t>
      </w:r>
      <w:r w:rsidR="00E614F0">
        <w:rPr>
          <w:rStyle w:val="eop"/>
          <w:rFonts w:ascii="Calibri" w:hAnsi="Calibri" w:cs="Calibri"/>
        </w:rPr>
        <w:t xml:space="preserve"> </w:t>
      </w:r>
      <w:r w:rsidR="00FC01F1">
        <w:rPr>
          <w:rStyle w:val="eop"/>
          <w:rFonts w:ascii="Calibri" w:hAnsi="Calibri" w:cs="Calibri"/>
        </w:rPr>
        <w:t xml:space="preserve">showing </w:t>
      </w:r>
      <w:r w:rsidR="00E614F0">
        <w:rPr>
          <w:rStyle w:val="eop"/>
          <w:rFonts w:ascii="Calibri" w:hAnsi="Calibri" w:cs="Calibri"/>
        </w:rPr>
        <w:t xml:space="preserve">a </w:t>
      </w:r>
      <w:r w:rsidR="00FC01F1">
        <w:rPr>
          <w:rStyle w:val="eop"/>
          <w:rFonts w:ascii="Calibri" w:hAnsi="Calibri" w:cs="Calibri"/>
        </w:rPr>
        <w:t xml:space="preserve">decreasing </w:t>
      </w:r>
      <w:r w:rsidR="00E614F0">
        <w:rPr>
          <w:rStyle w:val="eop"/>
          <w:rFonts w:ascii="Calibri" w:hAnsi="Calibri" w:cs="Calibri"/>
        </w:rPr>
        <w:t xml:space="preserve">number of </w:t>
      </w:r>
      <w:r w:rsidR="00FC01F1">
        <w:rPr>
          <w:rStyle w:val="eop"/>
          <w:rFonts w:ascii="Calibri" w:hAnsi="Calibri" w:cs="Calibri"/>
        </w:rPr>
        <w:t xml:space="preserve">68%, </w:t>
      </w:r>
      <w:r w:rsidR="00E614F0">
        <w:rPr>
          <w:rStyle w:val="eop"/>
          <w:rFonts w:ascii="Calibri" w:hAnsi="Calibri" w:cs="Calibri"/>
        </w:rPr>
        <w:t>That information</w:t>
      </w:r>
      <w:r w:rsidR="00FC01F1">
        <w:rPr>
          <w:rStyle w:val="eop"/>
          <w:rFonts w:ascii="Calibri" w:hAnsi="Calibri" w:cs="Calibri"/>
        </w:rPr>
        <w:t xml:space="preserve"> is missing for the other percentages.</w:t>
      </w:r>
      <w:r w:rsidR="00405E4C">
        <w:rPr>
          <w:rStyle w:val="eop"/>
          <w:rFonts w:ascii="Calibri" w:hAnsi="Calibri" w:cs="Calibri"/>
        </w:rPr>
        <w:t xml:space="preserve"> On the last figure</w:t>
      </w:r>
      <w:r w:rsidR="00B728C0">
        <w:rPr>
          <w:rStyle w:val="eop"/>
          <w:rFonts w:ascii="Calibri" w:hAnsi="Calibri" w:cs="Calibri"/>
        </w:rPr>
        <w:t>,</w:t>
      </w:r>
      <w:r w:rsidR="00405E4C">
        <w:rPr>
          <w:rStyle w:val="eop"/>
          <w:rFonts w:ascii="Calibri" w:hAnsi="Calibri" w:cs="Calibri"/>
        </w:rPr>
        <w:t xml:space="preserve"> </w:t>
      </w:r>
      <w:r w:rsidR="00405E4C">
        <w:t xml:space="preserve">it looks like </w:t>
      </w:r>
      <w:r w:rsidR="00B728C0">
        <w:t xml:space="preserve">the </w:t>
      </w:r>
      <w:r w:rsidR="00405E4C">
        <w:t xml:space="preserve">business </w:t>
      </w:r>
      <w:r w:rsidR="0077384A">
        <w:t xml:space="preserve">that will </w:t>
      </w:r>
      <w:r w:rsidR="00405E4C">
        <w:t>recover for 3 or 6 months</w:t>
      </w:r>
      <w:r w:rsidR="0077384A">
        <w:t xml:space="preserve">, </w:t>
      </w:r>
      <w:r w:rsidR="00405E4C">
        <w:t>can be counted into two different groups. For 3 months of recover</w:t>
      </w:r>
      <w:r w:rsidR="00B728C0">
        <w:t>y</w:t>
      </w:r>
      <w:r w:rsidR="0077384A">
        <w:t>,</w:t>
      </w:r>
      <w:r w:rsidR="00B728C0">
        <w:t xml:space="preserve"> </w:t>
      </w:r>
      <w:r w:rsidR="0077384A">
        <w:t>w</w:t>
      </w:r>
      <w:r w:rsidR="00B728C0">
        <w:t>e</w:t>
      </w:r>
      <w:r w:rsidR="00405E4C">
        <w:t xml:space="preserve"> can put in</w:t>
      </w:r>
      <w:r w:rsidR="00B728C0">
        <w:t xml:space="preserve">to </w:t>
      </w:r>
      <w:r w:rsidR="00405E4C">
        <w:t xml:space="preserve">group 1-3 months and then in 3-6 months. </w:t>
      </w:r>
      <w:r w:rsidR="00A53E58">
        <w:t>F</w:t>
      </w:r>
      <w:r w:rsidR="00405E4C">
        <w:t>or business</w:t>
      </w:r>
      <w:r w:rsidR="00B728C0">
        <w:t>,</w:t>
      </w:r>
      <w:r w:rsidR="00405E4C">
        <w:t xml:space="preserve"> that needs 6 months of recovery</w:t>
      </w:r>
      <w:r w:rsidR="00A53E58">
        <w:t xml:space="preserve"> </w:t>
      </w:r>
      <w:r w:rsidR="00405E4C">
        <w:t xml:space="preserve">groups </w:t>
      </w:r>
      <w:r w:rsidR="00A53E58">
        <w:t xml:space="preserve">that </w:t>
      </w:r>
      <w:r w:rsidR="00405E4C">
        <w:t xml:space="preserve">are </w:t>
      </w:r>
      <w:r w:rsidR="0077384A">
        <w:t>included into:</w:t>
      </w:r>
      <w:r w:rsidR="00A53E58">
        <w:t xml:space="preserve"> </w:t>
      </w:r>
      <w:r w:rsidR="00405E4C">
        <w:t xml:space="preserve">3-6 and 6 till 12 months. We need to change the </w:t>
      </w:r>
      <w:r w:rsidR="00A53E58">
        <w:t>group</w:t>
      </w:r>
      <w:r w:rsidR="0077384A">
        <w:t>s</w:t>
      </w:r>
      <w:r w:rsidR="00405E4C">
        <w:t>.</w:t>
      </w:r>
      <w:r w:rsidR="00164443">
        <w:t xml:space="preserve"> Please check Appendix 3</w:t>
      </w:r>
    </w:p>
    <w:p w14:paraId="37A46F37" w14:textId="5B9AB28D" w:rsidR="009D592E" w:rsidRDefault="00AD78DE" w:rsidP="009D592E">
      <w:r>
        <w:tab/>
      </w:r>
      <w:r w:rsidR="00F819BE">
        <w:t>The whole design of the poster is good. Every graph is separated with the others by sections</w:t>
      </w:r>
      <w:r w:rsidR="0074778A">
        <w:t xml:space="preserve"> with lines</w:t>
      </w:r>
      <w:r w:rsidR="00F819BE">
        <w:t xml:space="preserve">. </w:t>
      </w:r>
      <w:r w:rsidR="0074778A">
        <w:t xml:space="preserve">The design is simple, clean and understandable. There is enough space between each picture. </w:t>
      </w:r>
      <w:r>
        <w:t>The good ethic of using graphs requires full information of the given data. That’s not the case for figure 4</w:t>
      </w:r>
      <w:r w:rsidR="006E2F23">
        <w:t xml:space="preserve"> [3]</w:t>
      </w:r>
      <w:r>
        <w:t xml:space="preserve">. Some information is missing for the decrease and increase section. We have only some percentages, but with no explanation what they are linked with. This is causing a lot of harm to understand the </w:t>
      </w:r>
      <w:r w:rsidR="00E36857">
        <w:t xml:space="preserve">varies of the </w:t>
      </w:r>
      <w:r>
        <w:t>graph</w:t>
      </w:r>
      <w:r w:rsidR="00F819BE">
        <w:t>.</w:t>
      </w:r>
    </w:p>
    <w:p w14:paraId="3F9527AD" w14:textId="7B09ECD4" w:rsidR="0074778A" w:rsidRDefault="0074778A" w:rsidP="009D592E">
      <w:r>
        <w:tab/>
        <w:t xml:space="preserve">The whole cognition of the poster is good. </w:t>
      </w:r>
      <w:r w:rsidR="00405E4C">
        <w:t xml:space="preserve">Everything is </w:t>
      </w:r>
      <w:r w:rsidR="00F03435">
        <w:t>well</w:t>
      </w:r>
      <w:r w:rsidR="00405E4C">
        <w:t xml:space="preserve"> organised</w:t>
      </w:r>
      <w:r w:rsidR="002B52D4">
        <w:t xml:space="preserve"> [4]</w:t>
      </w:r>
      <w:r w:rsidR="00405E4C">
        <w:t xml:space="preserve">, but </w:t>
      </w:r>
      <w:r w:rsidR="00513EA6">
        <w:t xml:space="preserve">“Market disruption will </w:t>
      </w:r>
      <w:r w:rsidR="008F51D2">
        <w:t>drive innovations</w:t>
      </w:r>
      <w:r w:rsidR="00513EA6">
        <w:t xml:space="preserve">”, “Collaboration, cloud and digitisation opportunities” </w:t>
      </w:r>
      <w:r w:rsidR="000E6462">
        <w:t>and “</w:t>
      </w:r>
      <w:r w:rsidR="003029FE">
        <w:t xml:space="preserve">Chanell partners expect more support from their suppliers” </w:t>
      </w:r>
      <w:r w:rsidR="00513EA6">
        <w:t xml:space="preserve">are </w:t>
      </w:r>
      <w:r w:rsidR="003029FE">
        <w:t>the only section</w:t>
      </w:r>
      <w:r w:rsidR="00F03435">
        <w:t xml:space="preserve">s </w:t>
      </w:r>
      <w:r w:rsidR="00FA30A4">
        <w:t>without any mistakes. They</w:t>
      </w:r>
      <w:r w:rsidR="003029FE">
        <w:t xml:space="preserve"> look </w:t>
      </w:r>
      <w:r w:rsidR="00FA30A4">
        <w:t xml:space="preserve">fine </w:t>
      </w:r>
      <w:r w:rsidR="003029FE">
        <w:t xml:space="preserve">and </w:t>
      </w:r>
      <w:r w:rsidR="00FA30A4">
        <w:t xml:space="preserve">are easy </w:t>
      </w:r>
      <w:r w:rsidR="003029FE">
        <w:t>to understand the data given</w:t>
      </w:r>
      <w:r w:rsidR="00CA6034">
        <w:t>.</w:t>
      </w:r>
      <w:r w:rsidR="003029FE">
        <w:t xml:space="preserve"> </w:t>
      </w:r>
      <w:r w:rsidR="00FB1A93">
        <w:t>With the rest information there are some difficulties, because of the mistakes mentioned previously in this paper</w:t>
      </w:r>
      <w:r w:rsidR="009E2A38">
        <w:t>.</w:t>
      </w:r>
    </w:p>
    <w:p w14:paraId="2E672B20" w14:textId="70FD4013" w:rsidR="00C40ADB" w:rsidRDefault="0078210F" w:rsidP="00C40ADB">
      <w:pPr>
        <w:ind w:firstLine="720"/>
      </w:pPr>
      <w:r>
        <w:t>Improvements of the graphic can be done</w:t>
      </w:r>
      <w:r w:rsidR="00ED0423">
        <w:t xml:space="preserve">. First thing we need </w:t>
      </w:r>
      <w:r w:rsidR="00B728C0">
        <w:t xml:space="preserve">is </w:t>
      </w:r>
      <w:r w:rsidR="00ED0423">
        <w:t xml:space="preserve">a good </w:t>
      </w:r>
      <w:r w:rsidR="000633AA">
        <w:t>title</w:t>
      </w:r>
      <w:r w:rsidR="00ED0423">
        <w:t xml:space="preserve"> to describe what this poster</w:t>
      </w:r>
      <w:r w:rsidR="00B728C0">
        <w:t>’s</w:t>
      </w:r>
      <w:r w:rsidR="00ED0423">
        <w:t xml:space="preserve"> main message is. Here is an idea: “Changes in Print industry after COVIID-19”</w:t>
      </w:r>
      <w:r w:rsidR="000633AA">
        <w:t xml:space="preserve">. Next improvement </w:t>
      </w:r>
      <w:r w:rsidR="00551407">
        <w:t xml:space="preserve">could </w:t>
      </w:r>
      <w:r w:rsidR="000633AA">
        <w:t>be the topic of picture 4. For example, “Demand changes by industry sectors” to express the decrease</w:t>
      </w:r>
      <w:r w:rsidR="000B7870">
        <w:t xml:space="preserve"> and to remove the increasing part when we have no idea what is about.</w:t>
      </w:r>
      <w:r w:rsidR="0031457D">
        <w:t xml:space="preserve"> Please check Appendix 4.</w:t>
      </w:r>
      <w:r w:rsidR="000633AA">
        <w:t xml:space="preserve"> The grey colouring must be replaced with nice red and yellow shadows.</w:t>
      </w:r>
      <w:r w:rsidR="00C242A6">
        <w:t xml:space="preserve"> One font and size for the same level of importance of the messages and text. Choosing the right type of graphic and following the </w:t>
      </w:r>
      <w:r w:rsidR="00C242A6">
        <w:lastRenderedPageBreak/>
        <w:t>good ethic of giving right and full information</w:t>
      </w:r>
      <w:r w:rsidR="003F543C">
        <w:t xml:space="preserve"> [5]</w:t>
      </w:r>
      <w:r w:rsidR="003029FE">
        <w:t xml:space="preserve">. </w:t>
      </w:r>
      <w:r w:rsidR="00B1394D">
        <w:t xml:space="preserve">Mistakes with </w:t>
      </w:r>
      <w:r w:rsidR="00F64FDB">
        <w:t xml:space="preserve">the sizing: </w:t>
      </w:r>
      <w:r w:rsidR="00B1394D">
        <w:t>The group of “No impact” is 2% only but looks 2 times bigger than the other group “Critical impact” which is 4% of the data</w:t>
      </w:r>
      <w:r w:rsidR="00F64FDB">
        <w:t>.</w:t>
      </w:r>
      <w:r w:rsidR="0021515E">
        <w:t xml:space="preserve"> </w:t>
      </w:r>
      <w:r w:rsidR="00C40ADB">
        <w:t>For the last picture the suggestion for improvement is:</w:t>
      </w:r>
      <w:r w:rsidR="00C40ADB" w:rsidRPr="00C40ADB">
        <w:t xml:space="preserve"> </w:t>
      </w:r>
    </w:p>
    <w:p w14:paraId="067CEB16" w14:textId="118B7729" w:rsidR="00C40ADB" w:rsidRDefault="00C40ADB" w:rsidP="00C46D4D">
      <w:pPr>
        <w:pStyle w:val="ListParagraph"/>
        <w:numPr>
          <w:ilvl w:val="0"/>
          <w:numId w:val="2"/>
        </w:numPr>
      </w:pPr>
      <w:r>
        <w:t>First group- starting from less than a month</w:t>
      </w:r>
    </w:p>
    <w:p w14:paraId="015371E1" w14:textId="77777777" w:rsidR="00C40ADB" w:rsidRDefault="00C40ADB" w:rsidP="00C46D4D">
      <w:pPr>
        <w:pStyle w:val="ListParagraph"/>
        <w:numPr>
          <w:ilvl w:val="0"/>
          <w:numId w:val="2"/>
        </w:numPr>
      </w:pPr>
      <w:r>
        <w:t>Second group is over 1 till exact 3 months</w:t>
      </w:r>
    </w:p>
    <w:p w14:paraId="794471C4" w14:textId="77777777" w:rsidR="00C40ADB" w:rsidRDefault="00C40ADB" w:rsidP="00C46D4D">
      <w:pPr>
        <w:pStyle w:val="ListParagraph"/>
        <w:numPr>
          <w:ilvl w:val="0"/>
          <w:numId w:val="2"/>
        </w:numPr>
      </w:pPr>
      <w:r>
        <w:t>Third group- starting from more than 3 till exact 6 months</w:t>
      </w:r>
    </w:p>
    <w:p w14:paraId="51CD72C6" w14:textId="77777777" w:rsidR="00C40ADB" w:rsidRDefault="00C40ADB" w:rsidP="00C46D4D">
      <w:pPr>
        <w:pStyle w:val="ListParagraph"/>
        <w:numPr>
          <w:ilvl w:val="0"/>
          <w:numId w:val="2"/>
        </w:numPr>
      </w:pPr>
      <w:r>
        <w:t>Fourth group- starting from more than 6 till exact 12 months</w:t>
      </w:r>
    </w:p>
    <w:p w14:paraId="51B90400" w14:textId="77777777" w:rsidR="00C40ADB" w:rsidRDefault="00C40ADB" w:rsidP="00C46D4D">
      <w:pPr>
        <w:pStyle w:val="ListParagraph"/>
        <w:numPr>
          <w:ilvl w:val="0"/>
          <w:numId w:val="2"/>
        </w:numPr>
      </w:pPr>
      <w:r>
        <w:t>Fifth group- more than 12 months</w:t>
      </w:r>
    </w:p>
    <w:p w14:paraId="62F4F3A6" w14:textId="29F36FD4" w:rsidR="00E22919" w:rsidRDefault="00C40ADB" w:rsidP="00C46D4D">
      <w:pPr>
        <w:pStyle w:val="ListParagraph"/>
        <w:numPr>
          <w:ilvl w:val="0"/>
          <w:numId w:val="2"/>
        </w:numPr>
      </w:pPr>
      <w:r>
        <w:t>Sixth group- there won’t be business as usual</w:t>
      </w:r>
    </w:p>
    <w:p w14:paraId="7B15E0EB" w14:textId="77777777" w:rsidR="00C46D4D" w:rsidRDefault="00C46D4D" w:rsidP="00C46D4D">
      <w:pPr>
        <w:ind w:firstLine="720"/>
      </w:pPr>
    </w:p>
    <w:p w14:paraId="5B06F564" w14:textId="793CDB9B" w:rsidR="007A6371" w:rsidRDefault="007A6371" w:rsidP="007A6371">
      <w:pPr>
        <w:ind w:firstLine="720"/>
      </w:pPr>
      <w:r>
        <w:t xml:space="preserve">In a conclusion we need to be very careful when we work with data. Avoiding </w:t>
      </w:r>
      <w:r w:rsidR="00B728C0">
        <w:t xml:space="preserve">the </w:t>
      </w:r>
      <w:r>
        <w:t xml:space="preserve">same colours to show different statements. Separate the groups so it is easy to understand. Always give enough information on the title of the graphic. Make it as simple as possible, but in a way to </w:t>
      </w:r>
      <w:r w:rsidR="00A8756C">
        <w:t xml:space="preserve">look elegance and to </w:t>
      </w:r>
      <w:r>
        <w:t>be understandable</w:t>
      </w:r>
    </w:p>
    <w:p w14:paraId="6D5D96C8" w14:textId="3A6E5D75" w:rsidR="007A6371" w:rsidRDefault="007A6371" w:rsidP="00E22919"/>
    <w:p w14:paraId="37043370" w14:textId="40DE7D9A" w:rsidR="007A6371" w:rsidRDefault="007A6371" w:rsidP="00E22919"/>
    <w:p w14:paraId="32854D32" w14:textId="2EC1D068" w:rsidR="003A70F2" w:rsidRDefault="003A70F2" w:rsidP="00E22919"/>
    <w:p w14:paraId="5C64EC70" w14:textId="26CF698B" w:rsidR="00B728C0" w:rsidRDefault="00B728C0" w:rsidP="00E22919"/>
    <w:p w14:paraId="7E10BFB3" w14:textId="63973DCC" w:rsidR="00B728C0" w:rsidRDefault="00B728C0" w:rsidP="00E22919"/>
    <w:p w14:paraId="3C2A9A0B" w14:textId="49647728" w:rsidR="00B728C0" w:rsidRDefault="00B728C0" w:rsidP="00E22919"/>
    <w:p w14:paraId="2E3C073C" w14:textId="50FF3D3B" w:rsidR="00B728C0" w:rsidRDefault="00B728C0" w:rsidP="00E22919"/>
    <w:p w14:paraId="6ADCD3D4" w14:textId="77777777" w:rsidR="00D3506E" w:rsidRDefault="00D3506E" w:rsidP="00E22919"/>
    <w:p w14:paraId="039EE32E" w14:textId="017E139D" w:rsidR="00B728C0" w:rsidRDefault="00B728C0" w:rsidP="00E22919"/>
    <w:p w14:paraId="5CC30E7A" w14:textId="420F511D" w:rsidR="00B728C0" w:rsidRDefault="00B728C0" w:rsidP="00E22919"/>
    <w:p w14:paraId="60A78EF7" w14:textId="172473DF" w:rsidR="00B728C0" w:rsidRDefault="00B728C0" w:rsidP="00E22919"/>
    <w:p w14:paraId="6C7DF931" w14:textId="37CDBC12" w:rsidR="00B728C0" w:rsidRDefault="00B728C0" w:rsidP="00E22919"/>
    <w:p w14:paraId="6AB4CE56" w14:textId="355CA43E" w:rsidR="00B728C0" w:rsidRDefault="00B728C0" w:rsidP="00E22919"/>
    <w:p w14:paraId="3E15A0B0" w14:textId="5EC24253" w:rsidR="00B728C0" w:rsidRDefault="00B728C0" w:rsidP="00E22919"/>
    <w:p w14:paraId="5D774171" w14:textId="43167D58" w:rsidR="00B728C0" w:rsidRDefault="00B728C0" w:rsidP="00E22919"/>
    <w:p w14:paraId="50D36505" w14:textId="77777777" w:rsidR="00B728C0" w:rsidRDefault="00B728C0" w:rsidP="00E22919"/>
    <w:p w14:paraId="60A2111B" w14:textId="5F482A9F" w:rsidR="002C1ABC" w:rsidRDefault="002C1ABC" w:rsidP="0015145B">
      <w:pPr>
        <w:ind w:firstLine="720"/>
      </w:pPr>
    </w:p>
    <w:p w14:paraId="5B2EBB9A" w14:textId="77777777" w:rsidR="00465627" w:rsidRDefault="00465627" w:rsidP="00465627">
      <w:pPr>
        <w:ind w:firstLine="720"/>
      </w:pPr>
      <w:r w:rsidRPr="00F93B18">
        <w:rPr>
          <w:sz w:val="36"/>
          <w:szCs w:val="36"/>
        </w:rPr>
        <w:t>References</w:t>
      </w:r>
      <w:r>
        <w:t>:</w:t>
      </w:r>
    </w:p>
    <w:p w14:paraId="2ADFDF69" w14:textId="77777777" w:rsidR="00465627" w:rsidRDefault="00465627" w:rsidP="00465627">
      <w:pPr>
        <w:ind w:firstLine="720"/>
      </w:pPr>
    </w:p>
    <w:p w14:paraId="698A782A" w14:textId="5672BD77"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t>[1]</w:t>
      </w:r>
      <w:r w:rsidR="00AD20C7">
        <w:rPr>
          <w:rFonts w:ascii="Helvetica" w:hAnsi="Helvetica" w:cs="Helvetica"/>
        </w:rPr>
        <w:t xml:space="preserve"> </w:t>
      </w:r>
      <w:r>
        <w:rPr>
          <w:rFonts w:ascii="Helvetica" w:hAnsi="Helvetica" w:cs="Helvetica"/>
        </w:rPr>
        <w:t xml:space="preserve">D. </w:t>
      </w:r>
      <w:proofErr w:type="spellStart"/>
      <w:r>
        <w:rPr>
          <w:rFonts w:ascii="Helvetica" w:hAnsi="Helvetica" w:cs="Helvetica"/>
        </w:rPr>
        <w:t>Djurica</w:t>
      </w:r>
      <w:proofErr w:type="spellEnd"/>
      <w:r>
        <w:rPr>
          <w:rFonts w:ascii="Helvetica" w:hAnsi="Helvetica" w:cs="Helvetica"/>
        </w:rPr>
        <w:t xml:space="preserve">, J. </w:t>
      </w:r>
      <w:proofErr w:type="spellStart"/>
      <w:r>
        <w:rPr>
          <w:rFonts w:ascii="Helvetica" w:hAnsi="Helvetica" w:cs="Helvetica"/>
        </w:rPr>
        <w:t>Mendling</w:t>
      </w:r>
      <w:proofErr w:type="spellEnd"/>
      <w:r>
        <w:rPr>
          <w:rFonts w:ascii="Helvetica" w:hAnsi="Helvetica" w:cs="Helvetica"/>
        </w:rPr>
        <w:t xml:space="preserve">, and K. </w:t>
      </w:r>
      <w:proofErr w:type="spellStart"/>
      <w:r>
        <w:rPr>
          <w:rFonts w:ascii="Helvetica" w:hAnsi="Helvetica" w:cs="Helvetica"/>
        </w:rPr>
        <w:t>Figl</w:t>
      </w:r>
      <w:proofErr w:type="spellEnd"/>
      <w:r>
        <w:rPr>
          <w:rFonts w:ascii="Helvetica" w:hAnsi="Helvetica" w:cs="Helvetica"/>
        </w:rPr>
        <w:t xml:space="preserve">, “The Impact of Associative </w:t>
      </w:r>
      <w:proofErr w:type="spellStart"/>
      <w:r>
        <w:rPr>
          <w:rFonts w:ascii="Helvetica" w:hAnsi="Helvetica" w:cs="Helvetica"/>
        </w:rPr>
        <w:t>Coloring</w:t>
      </w:r>
      <w:proofErr w:type="spellEnd"/>
      <w:r>
        <w:rPr>
          <w:rFonts w:ascii="Helvetica" w:hAnsi="Helvetica" w:cs="Helvetica"/>
        </w:rPr>
        <w:t xml:space="preserve"> and Representational Formats on Decision-Making: An Eye-Tracking Study,” </w:t>
      </w:r>
      <w:r>
        <w:rPr>
          <w:rFonts w:ascii="Helvetica" w:hAnsi="Helvetica" w:cs="Helvetica"/>
          <w:i/>
          <w:iCs/>
        </w:rPr>
        <w:t>Information Systems and Neuroscience</w:t>
      </w:r>
      <w:r>
        <w:rPr>
          <w:rFonts w:ascii="Helvetica" w:hAnsi="Helvetica" w:cs="Helvetica"/>
        </w:rPr>
        <w:t xml:space="preserve">, pp. 305–313, Oct. 2019, </w:t>
      </w:r>
      <w:proofErr w:type="spellStart"/>
      <w:r>
        <w:rPr>
          <w:rFonts w:ascii="Helvetica" w:hAnsi="Helvetica" w:cs="Helvetica"/>
        </w:rPr>
        <w:t>doi</w:t>
      </w:r>
      <w:proofErr w:type="spellEnd"/>
      <w:r>
        <w:rPr>
          <w:rFonts w:ascii="Helvetica" w:hAnsi="Helvetica" w:cs="Helvetica"/>
        </w:rPr>
        <w:t>: 10.1007/978-3-030-28144-1_34.</w:t>
      </w:r>
    </w:p>
    <w:p w14:paraId="0030C5DE" w14:textId="17C407FA"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t>[2]</w:t>
      </w:r>
      <w:r w:rsidR="00AD20C7">
        <w:rPr>
          <w:rFonts w:ascii="Helvetica" w:hAnsi="Helvetica" w:cs="Helvetica"/>
        </w:rPr>
        <w:t xml:space="preserve"> </w:t>
      </w:r>
      <w:r>
        <w:rPr>
          <w:rFonts w:ascii="Helvetica" w:hAnsi="Helvetica" w:cs="Helvetica"/>
        </w:rPr>
        <w:t>A. Vázquez-</w:t>
      </w:r>
      <w:proofErr w:type="spellStart"/>
      <w:r>
        <w:rPr>
          <w:rFonts w:ascii="Helvetica" w:hAnsi="Helvetica" w:cs="Helvetica"/>
        </w:rPr>
        <w:t>Ingelmo</w:t>
      </w:r>
      <w:proofErr w:type="spellEnd"/>
      <w:r>
        <w:rPr>
          <w:rFonts w:ascii="Helvetica" w:hAnsi="Helvetica" w:cs="Helvetica"/>
        </w:rPr>
        <w:t>, F. J. García-</w:t>
      </w:r>
      <w:proofErr w:type="spellStart"/>
      <w:r>
        <w:rPr>
          <w:rFonts w:ascii="Helvetica" w:hAnsi="Helvetica" w:cs="Helvetica"/>
        </w:rPr>
        <w:t>Peñalvo</w:t>
      </w:r>
      <w:proofErr w:type="spellEnd"/>
      <w:r>
        <w:rPr>
          <w:rFonts w:ascii="Helvetica" w:hAnsi="Helvetica" w:cs="Helvetica"/>
        </w:rPr>
        <w:t xml:space="preserve">, R. </w:t>
      </w:r>
      <w:proofErr w:type="spellStart"/>
      <w:r>
        <w:rPr>
          <w:rFonts w:ascii="Helvetica" w:hAnsi="Helvetica" w:cs="Helvetica"/>
        </w:rPr>
        <w:t>Therón</w:t>
      </w:r>
      <w:proofErr w:type="spellEnd"/>
      <w:r>
        <w:rPr>
          <w:rFonts w:ascii="Helvetica" w:hAnsi="Helvetica" w:cs="Helvetica"/>
        </w:rPr>
        <w:t>, and M. Á. Conde, “Representing Data Visualization Goals and Tasks through Meta-</w:t>
      </w:r>
      <w:proofErr w:type="spellStart"/>
      <w:r>
        <w:rPr>
          <w:rFonts w:ascii="Helvetica" w:hAnsi="Helvetica" w:cs="Helvetica"/>
        </w:rPr>
        <w:t>Modeling</w:t>
      </w:r>
      <w:proofErr w:type="spellEnd"/>
      <w:r>
        <w:rPr>
          <w:rFonts w:ascii="Helvetica" w:hAnsi="Helvetica" w:cs="Helvetica"/>
        </w:rPr>
        <w:t xml:space="preserve"> to Tailor Information Dashboards,” </w:t>
      </w:r>
      <w:r>
        <w:rPr>
          <w:rFonts w:ascii="Helvetica" w:hAnsi="Helvetica" w:cs="Helvetica"/>
          <w:i/>
          <w:iCs/>
        </w:rPr>
        <w:t>Applied Sciences</w:t>
      </w:r>
      <w:r>
        <w:rPr>
          <w:rFonts w:ascii="Helvetica" w:hAnsi="Helvetica" w:cs="Helvetica"/>
        </w:rPr>
        <w:t xml:space="preserve">, vol. 10, no. 7, p. 2306, Mar. 2020, </w:t>
      </w:r>
      <w:proofErr w:type="spellStart"/>
      <w:r>
        <w:rPr>
          <w:rFonts w:ascii="Helvetica" w:hAnsi="Helvetica" w:cs="Helvetica"/>
        </w:rPr>
        <w:t>doi</w:t>
      </w:r>
      <w:proofErr w:type="spellEnd"/>
      <w:r>
        <w:rPr>
          <w:rFonts w:ascii="Helvetica" w:hAnsi="Helvetica" w:cs="Helvetica"/>
        </w:rPr>
        <w:t>: 10.3390/app10072306.</w:t>
      </w:r>
    </w:p>
    <w:p w14:paraId="6A238A9F" w14:textId="01BBAC0C"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lastRenderedPageBreak/>
        <w:t>[3]</w:t>
      </w:r>
      <w:r w:rsidR="00AD20C7">
        <w:rPr>
          <w:rFonts w:ascii="Helvetica" w:hAnsi="Helvetica" w:cs="Helvetica"/>
        </w:rPr>
        <w:t xml:space="preserve"> </w:t>
      </w:r>
      <w:r>
        <w:rPr>
          <w:rFonts w:ascii="Helvetica" w:hAnsi="Helvetica" w:cs="Helvetica"/>
        </w:rPr>
        <w:t xml:space="preserve">D. S. </w:t>
      </w:r>
      <w:proofErr w:type="spellStart"/>
      <w:r>
        <w:rPr>
          <w:rFonts w:ascii="Helvetica" w:hAnsi="Helvetica" w:cs="Helvetica"/>
        </w:rPr>
        <w:t>Maylawati</w:t>
      </w:r>
      <w:proofErr w:type="spellEnd"/>
      <w:r>
        <w:rPr>
          <w:rFonts w:ascii="Helvetica" w:hAnsi="Helvetica" w:cs="Helvetica"/>
        </w:rPr>
        <w:t xml:space="preserve">, M. A. </w:t>
      </w:r>
      <w:proofErr w:type="spellStart"/>
      <w:r>
        <w:rPr>
          <w:rFonts w:ascii="Helvetica" w:hAnsi="Helvetica" w:cs="Helvetica"/>
        </w:rPr>
        <w:t>Ramdhani</w:t>
      </w:r>
      <w:proofErr w:type="spellEnd"/>
      <w:r>
        <w:rPr>
          <w:rFonts w:ascii="Helvetica" w:hAnsi="Helvetica" w:cs="Helvetica"/>
        </w:rPr>
        <w:t xml:space="preserve">, and A. S. Amin, “Tracing the linkage of several unified modelling language diagrams in software modelling based on best practices,” </w:t>
      </w:r>
      <w:r>
        <w:rPr>
          <w:rFonts w:ascii="Helvetica" w:hAnsi="Helvetica" w:cs="Helvetica"/>
          <w:i/>
          <w:iCs/>
        </w:rPr>
        <w:t>International Journal of Engineering &amp; Technology (UEA)</w:t>
      </w:r>
      <w:r>
        <w:rPr>
          <w:rFonts w:ascii="Helvetica" w:hAnsi="Helvetica" w:cs="Helvetica"/>
        </w:rPr>
        <w:t>, vol. 7, no. 2.19, pp. 776–780, May 2018, Accessed: Aug. 02, 2021. [Online]. Available: http://digilib.uinsgd.ac.id/10581/.</w:t>
      </w:r>
    </w:p>
    <w:p w14:paraId="7089DFB6" w14:textId="05E01CC0" w:rsidR="00465627" w:rsidRDefault="00465627" w:rsidP="00465627">
      <w:pPr>
        <w:autoSpaceDE w:val="0"/>
        <w:autoSpaceDN w:val="0"/>
        <w:adjustRightInd w:val="0"/>
        <w:spacing w:line="360" w:lineRule="auto"/>
        <w:rPr>
          <w:rFonts w:ascii="Helvetica" w:hAnsi="Helvetica" w:cs="Helvetica"/>
        </w:rPr>
      </w:pPr>
      <w:r>
        <w:rPr>
          <w:rFonts w:ascii="Helvetica" w:hAnsi="Helvetica" w:cs="Helvetica"/>
        </w:rPr>
        <w:t>[4]</w:t>
      </w:r>
      <w:r w:rsidR="00AD20C7">
        <w:rPr>
          <w:rFonts w:ascii="Helvetica" w:hAnsi="Helvetica" w:cs="Helvetica"/>
        </w:rPr>
        <w:t xml:space="preserve"> </w:t>
      </w:r>
      <w:r>
        <w:rPr>
          <w:rFonts w:ascii="Helvetica" w:hAnsi="Helvetica" w:cs="Helvetica"/>
        </w:rPr>
        <w:t xml:space="preserve">L. von Kotzebue, M. </w:t>
      </w:r>
      <w:proofErr w:type="spellStart"/>
      <w:r>
        <w:rPr>
          <w:rFonts w:ascii="Helvetica" w:hAnsi="Helvetica" w:cs="Helvetica"/>
        </w:rPr>
        <w:t>Gerstl</w:t>
      </w:r>
      <w:proofErr w:type="spellEnd"/>
      <w:r>
        <w:rPr>
          <w:rFonts w:ascii="Helvetica" w:hAnsi="Helvetica" w:cs="Helvetica"/>
        </w:rPr>
        <w:t xml:space="preserve">, and C. </w:t>
      </w:r>
      <w:proofErr w:type="spellStart"/>
      <w:r>
        <w:rPr>
          <w:rFonts w:ascii="Helvetica" w:hAnsi="Helvetica" w:cs="Helvetica"/>
        </w:rPr>
        <w:t>Nerdel</w:t>
      </w:r>
      <w:proofErr w:type="spellEnd"/>
      <w:r>
        <w:rPr>
          <w:rFonts w:ascii="Helvetica" w:hAnsi="Helvetica" w:cs="Helvetica"/>
        </w:rPr>
        <w:t xml:space="preserve">, “Common Mistakes in the Construction of Diagrams in Biological Contexts,” </w:t>
      </w:r>
      <w:r>
        <w:rPr>
          <w:rFonts w:ascii="Helvetica" w:hAnsi="Helvetica" w:cs="Helvetica"/>
          <w:i/>
          <w:iCs/>
        </w:rPr>
        <w:t>Research in Science Education</w:t>
      </w:r>
      <w:r>
        <w:rPr>
          <w:rFonts w:ascii="Helvetica" w:hAnsi="Helvetica" w:cs="Helvetica"/>
        </w:rPr>
        <w:t xml:space="preserve">, vol. 45, no. 2, pp. 193–213, Jul. 2014, </w:t>
      </w:r>
      <w:proofErr w:type="spellStart"/>
      <w:r>
        <w:rPr>
          <w:rFonts w:ascii="Helvetica" w:hAnsi="Helvetica" w:cs="Helvetica"/>
        </w:rPr>
        <w:t>doi</w:t>
      </w:r>
      <w:proofErr w:type="spellEnd"/>
      <w:r>
        <w:rPr>
          <w:rFonts w:ascii="Helvetica" w:hAnsi="Helvetica" w:cs="Helvetica"/>
        </w:rPr>
        <w:t>: 10.1007/s11165-014-9419-9.</w:t>
      </w:r>
    </w:p>
    <w:p w14:paraId="74582B32" w14:textId="4C443BF4" w:rsidR="00465627" w:rsidRPr="009E517A" w:rsidRDefault="00465627" w:rsidP="002B52D4">
      <w:r>
        <w:rPr>
          <w:rFonts w:ascii="Helvetica" w:hAnsi="Helvetica" w:cs="Helvetica"/>
        </w:rPr>
        <w:t>[5]</w:t>
      </w:r>
      <w:r w:rsidR="00586F6F">
        <w:rPr>
          <w:rFonts w:ascii="Helvetica" w:hAnsi="Helvetica" w:cs="Helvetica"/>
        </w:rPr>
        <w:t xml:space="preserve"> </w:t>
      </w:r>
      <w:r>
        <w:rPr>
          <w:rFonts w:ascii="Helvetica" w:hAnsi="Helvetica" w:cs="Helvetica"/>
        </w:rPr>
        <w:t xml:space="preserve">C. Ding and P. </w:t>
      </w:r>
      <w:proofErr w:type="spellStart"/>
      <w:r>
        <w:rPr>
          <w:rFonts w:ascii="Helvetica" w:hAnsi="Helvetica" w:cs="Helvetica"/>
        </w:rPr>
        <w:t>Mateti</w:t>
      </w:r>
      <w:proofErr w:type="spellEnd"/>
      <w:r>
        <w:rPr>
          <w:rFonts w:ascii="Helvetica" w:hAnsi="Helvetica" w:cs="Helvetica"/>
        </w:rPr>
        <w:t xml:space="preserve">, “A framework for the automated drawing of data structure diagrams,” </w:t>
      </w:r>
      <w:r>
        <w:rPr>
          <w:rFonts w:ascii="Helvetica" w:hAnsi="Helvetica" w:cs="Helvetica"/>
          <w:i/>
          <w:iCs/>
        </w:rPr>
        <w:t>IEEE Transactions on Software Engineering</w:t>
      </w:r>
      <w:r>
        <w:rPr>
          <w:rFonts w:ascii="Helvetica" w:hAnsi="Helvetica" w:cs="Helvetica"/>
        </w:rPr>
        <w:t xml:space="preserve">, vol. 16, no. 5, pp. 543–557, May 1990, </w:t>
      </w:r>
      <w:proofErr w:type="spellStart"/>
      <w:r>
        <w:rPr>
          <w:rFonts w:ascii="Helvetica" w:hAnsi="Helvetica" w:cs="Helvetica"/>
        </w:rPr>
        <w:t>doi</w:t>
      </w:r>
      <w:proofErr w:type="spellEnd"/>
      <w:r>
        <w:rPr>
          <w:rFonts w:ascii="Helvetica" w:hAnsi="Helvetica" w:cs="Helvetica"/>
        </w:rPr>
        <w:t>: 10.1109/32.52777.</w:t>
      </w:r>
    </w:p>
    <w:p w14:paraId="6E97FB49" w14:textId="57902471" w:rsidR="00465627" w:rsidRDefault="00465627" w:rsidP="0015145B">
      <w:pPr>
        <w:ind w:firstLine="720"/>
      </w:pPr>
    </w:p>
    <w:p w14:paraId="4FD2E5E1" w14:textId="3156AFE0" w:rsidR="00465627" w:rsidRDefault="002B04B1" w:rsidP="002B04B1">
      <w:r>
        <w:rPr>
          <w:rFonts w:ascii="Helvetica" w:hAnsi="Helvetica" w:cs="Helvetica"/>
        </w:rPr>
        <w:t xml:space="preserve">[6] R. Chen, “Research on Public Welfare Poster Design Based on Cognitive Psychology — Taking the Poster Design for Wildlife Protection as an Example,” </w:t>
      </w:r>
      <w:r>
        <w:rPr>
          <w:rFonts w:ascii="Helvetica" w:hAnsi="Helvetica" w:cs="Helvetica"/>
          <w:i/>
          <w:iCs/>
        </w:rPr>
        <w:t>www.atlantis-press.com</w:t>
      </w:r>
      <w:r>
        <w:rPr>
          <w:rFonts w:ascii="Helvetica" w:hAnsi="Helvetica" w:cs="Helvetica"/>
        </w:rPr>
        <w:t>, Jan. 06, 2021. https://www.atlantis-press.com/proceedings/icadce-20/125950786 (accessed Aug. 05, 2021).</w:t>
      </w:r>
    </w:p>
    <w:p w14:paraId="2295F2C5" w14:textId="6D8F4462" w:rsidR="00465627" w:rsidRDefault="00465627" w:rsidP="0015145B">
      <w:pPr>
        <w:ind w:firstLine="720"/>
      </w:pPr>
    </w:p>
    <w:p w14:paraId="2C3F551F" w14:textId="308EA888" w:rsidR="00465627" w:rsidRDefault="00926602" w:rsidP="00926602">
      <w:r>
        <w:rPr>
          <w:rFonts w:ascii="Helvetica" w:hAnsi="Helvetica" w:cs="Helvetica"/>
        </w:rPr>
        <w:t xml:space="preserve">[7] J. Berg and R. Hicks, “Successful design and delivery of a professional poster,” </w:t>
      </w:r>
      <w:r>
        <w:rPr>
          <w:rFonts w:ascii="Helvetica" w:hAnsi="Helvetica" w:cs="Helvetica"/>
          <w:i/>
          <w:iCs/>
        </w:rPr>
        <w:t>Journal of the American Association of Nurse Practitioners</w:t>
      </w:r>
      <w:r>
        <w:rPr>
          <w:rFonts w:ascii="Helvetica" w:hAnsi="Helvetica" w:cs="Helvetica"/>
        </w:rPr>
        <w:t xml:space="preserve">, vol. 29, no. 8, pp. 461–469, Aug. 2017, </w:t>
      </w:r>
      <w:proofErr w:type="spellStart"/>
      <w:r>
        <w:rPr>
          <w:rFonts w:ascii="Helvetica" w:hAnsi="Helvetica" w:cs="Helvetica"/>
        </w:rPr>
        <w:t>doi</w:t>
      </w:r>
      <w:proofErr w:type="spellEnd"/>
      <w:r>
        <w:rPr>
          <w:rFonts w:ascii="Helvetica" w:hAnsi="Helvetica" w:cs="Helvetica"/>
        </w:rPr>
        <w:t>: 10.1002/2327-6924.12478.</w:t>
      </w:r>
    </w:p>
    <w:p w14:paraId="6F14CCEA" w14:textId="0C0620C7" w:rsidR="00465627" w:rsidRDefault="00465627" w:rsidP="0015145B">
      <w:pPr>
        <w:ind w:firstLine="720"/>
      </w:pPr>
    </w:p>
    <w:p w14:paraId="622417D5" w14:textId="06444223" w:rsidR="00465627" w:rsidRDefault="00465627" w:rsidP="0015145B">
      <w:pPr>
        <w:ind w:firstLine="720"/>
      </w:pPr>
    </w:p>
    <w:p w14:paraId="03A9F902" w14:textId="2AC26F5C" w:rsidR="00F854EC" w:rsidRDefault="00F854EC" w:rsidP="0015145B">
      <w:pPr>
        <w:ind w:firstLine="720"/>
      </w:pPr>
    </w:p>
    <w:p w14:paraId="0036E7A7" w14:textId="6C633529" w:rsidR="00F854EC" w:rsidRDefault="00F854EC" w:rsidP="0015145B">
      <w:pPr>
        <w:ind w:firstLine="720"/>
      </w:pPr>
    </w:p>
    <w:p w14:paraId="34FB573E" w14:textId="77777777" w:rsidR="00D84007" w:rsidRDefault="00D84007" w:rsidP="0015145B">
      <w:pPr>
        <w:ind w:firstLine="720"/>
      </w:pPr>
    </w:p>
    <w:p w14:paraId="2025B5CE" w14:textId="61BC59C1" w:rsidR="00F854EC" w:rsidRDefault="00F854EC" w:rsidP="0015145B">
      <w:pPr>
        <w:ind w:firstLine="720"/>
      </w:pPr>
    </w:p>
    <w:p w14:paraId="11CC2A9E" w14:textId="608B9948" w:rsidR="00F854EC" w:rsidRDefault="00F854EC" w:rsidP="0015145B">
      <w:pPr>
        <w:ind w:firstLine="720"/>
      </w:pPr>
    </w:p>
    <w:p w14:paraId="66844D99" w14:textId="7CA1DCBE" w:rsidR="00F854EC" w:rsidRDefault="00F854EC" w:rsidP="0015145B">
      <w:pPr>
        <w:ind w:firstLine="720"/>
      </w:pPr>
    </w:p>
    <w:p w14:paraId="4D3862A5" w14:textId="77777777" w:rsidR="00D84007" w:rsidRDefault="00D84007" w:rsidP="002307CC"/>
    <w:p w14:paraId="54BB9F33" w14:textId="294EC06A" w:rsidR="00F854EC" w:rsidRPr="002307CC" w:rsidRDefault="003A345B" w:rsidP="002307CC">
      <w:pPr>
        <w:rPr>
          <w:b/>
          <w:bCs/>
          <w:sz w:val="32"/>
          <w:szCs w:val="32"/>
        </w:rPr>
      </w:pPr>
      <w:r w:rsidRPr="002307CC">
        <w:rPr>
          <w:b/>
          <w:bCs/>
          <w:sz w:val="32"/>
          <w:szCs w:val="32"/>
        </w:rPr>
        <w:t>Appendices:</w:t>
      </w:r>
    </w:p>
    <w:p w14:paraId="047C193F" w14:textId="27E13A43" w:rsidR="003A345B" w:rsidRDefault="003A345B" w:rsidP="0015145B">
      <w:pPr>
        <w:ind w:firstLine="720"/>
      </w:pPr>
    </w:p>
    <w:p w14:paraId="7BEAB5E2" w14:textId="16C6E6B3" w:rsidR="00465627" w:rsidRDefault="002307CC" w:rsidP="002307CC">
      <w:pPr>
        <w:ind w:firstLine="720"/>
      </w:pPr>
      <w:r>
        <w:t>Appendix 1:</w:t>
      </w:r>
    </w:p>
    <w:p w14:paraId="0D4CED0D" w14:textId="77777777" w:rsidR="00465627" w:rsidRDefault="00465627" w:rsidP="0015145B">
      <w:pPr>
        <w:ind w:firstLine="720"/>
      </w:pPr>
    </w:p>
    <w:p w14:paraId="4EF15B47" w14:textId="7B7CD615" w:rsidR="005771E8" w:rsidRDefault="002307CC">
      <w:r>
        <w:t>“</w:t>
      </w:r>
      <w:r w:rsidR="002C1ABC">
        <w:t>Impact of COVID-19 on busines</w:t>
      </w:r>
      <w:r w:rsidR="00E22919">
        <w:t>s</w:t>
      </w:r>
      <w:r>
        <w:t>”</w:t>
      </w:r>
    </w:p>
    <w:p w14:paraId="13C0660D" w14:textId="7DE46578" w:rsidR="00E20F9C" w:rsidRDefault="005771E8">
      <w:pPr>
        <w:rPr>
          <w:color w:val="FFFFFF" w:themeColor="background1"/>
          <w14:textFill>
            <w14:gradFill>
              <w14:gsLst>
                <w14:gs w14:pos="49000">
                  <w14:schemeClr w14:val="accent1">
                    <w14:lumMod w14:val="5000"/>
                    <w14:lumOff w14:val="95000"/>
                  </w14:schemeClr>
                </w14:gs>
                <w14:gs w14:pos="100000">
                  <w14:schemeClr w14:val="accent1">
                    <w14:lumMod w14:val="45000"/>
                    <w14:lumOff w14:val="55000"/>
                  </w14:schemeClr>
                </w14:gs>
                <w14:gs w14:pos="100000">
                  <w14:schemeClr w14:val="accent1">
                    <w14:lumMod w14:val="45000"/>
                    <w14:lumOff w14:val="55000"/>
                  </w14:schemeClr>
                </w14:gs>
                <w14:gs w14:pos="63000">
                  <w14:schemeClr w14:val="accent6">
                    <w14:lumMod w14:val="20000"/>
                    <w14:lumOff w14:val="80000"/>
                  </w14:schemeClr>
                </w14:gs>
              </w14:gsLst>
              <w14:lin w14:ang="5400000" w14:scaled="0"/>
            </w14:gradFill>
          </w14:textFill>
        </w:rPr>
      </w:pPr>
      <w:r>
        <w:rPr>
          <w:noProof/>
        </w:rPr>
        <w:lastRenderedPageBreak/>
        <w:drawing>
          <wp:inline distT="0" distB="0" distL="0" distR="0" wp14:anchorId="6FDFE2AB" wp14:editId="7DCCC10B">
            <wp:extent cx="6053959" cy="3026979"/>
            <wp:effectExtent l="0" t="0" r="17145" b="889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CFF643C" w14:textId="678D2150" w:rsidR="00817E48" w:rsidRDefault="00817E48" w:rsidP="009E517A">
      <w:pPr>
        <w:ind w:firstLine="720"/>
      </w:pPr>
    </w:p>
    <w:p w14:paraId="2C43F46C" w14:textId="46049E76" w:rsidR="002307CC" w:rsidRDefault="002307CC" w:rsidP="009E517A">
      <w:pPr>
        <w:ind w:firstLine="720"/>
      </w:pPr>
    </w:p>
    <w:p w14:paraId="3A3FFCCB" w14:textId="4B6A539B" w:rsidR="002307CC" w:rsidRDefault="002307CC" w:rsidP="009E517A">
      <w:pPr>
        <w:ind w:firstLine="720"/>
      </w:pPr>
      <w:r>
        <w:t>Appendix 2:</w:t>
      </w:r>
    </w:p>
    <w:p w14:paraId="49164E41" w14:textId="77777777" w:rsidR="002307CC" w:rsidRDefault="002307CC" w:rsidP="009E517A">
      <w:pPr>
        <w:ind w:firstLine="720"/>
      </w:pPr>
    </w:p>
    <w:p w14:paraId="0974F339" w14:textId="47CFDBA5" w:rsidR="00DC38D8" w:rsidRDefault="00817E48" w:rsidP="002307CC">
      <w:r>
        <w:t>“Office print volumes are in free fall”</w:t>
      </w:r>
    </w:p>
    <w:p w14:paraId="245AE62E" w14:textId="7A51BD16" w:rsidR="0094415D" w:rsidRDefault="00D17315" w:rsidP="00206176">
      <w:pPr>
        <w:ind w:firstLine="720"/>
      </w:pPr>
      <w:r>
        <w:rPr>
          <w:noProof/>
        </w:rPr>
        <w:drawing>
          <wp:inline distT="0" distB="0" distL="0" distR="0" wp14:anchorId="4E96E3D1" wp14:editId="3C1FE7A0">
            <wp:extent cx="4272455" cy="3830955"/>
            <wp:effectExtent l="0" t="0" r="7620" b="171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CFEA55" w14:textId="77448119" w:rsidR="00172E75" w:rsidRDefault="00172E75" w:rsidP="00206176">
      <w:pPr>
        <w:ind w:firstLine="720"/>
      </w:pPr>
    </w:p>
    <w:p w14:paraId="1A1985B2" w14:textId="29FB0F44" w:rsidR="00172E75" w:rsidRDefault="00172E75" w:rsidP="00206176">
      <w:pPr>
        <w:ind w:firstLine="720"/>
      </w:pPr>
      <w:r>
        <w:t>Appendix 3:</w:t>
      </w:r>
    </w:p>
    <w:p w14:paraId="1F8567E4" w14:textId="77777777" w:rsidR="00172E75" w:rsidRDefault="00172E75" w:rsidP="00206176">
      <w:pPr>
        <w:ind w:firstLine="720"/>
      </w:pPr>
    </w:p>
    <w:p w14:paraId="0067D24A" w14:textId="43C51332" w:rsidR="00172E75" w:rsidRDefault="00172E75" w:rsidP="00652E68">
      <w:r>
        <w:t>“Most are cautious about business recovery time”</w:t>
      </w:r>
    </w:p>
    <w:p w14:paraId="0193C0BB" w14:textId="3EEF3F3F" w:rsidR="00172E75" w:rsidRDefault="00172E75" w:rsidP="00206176">
      <w:pPr>
        <w:ind w:firstLine="720"/>
      </w:pPr>
      <w:r>
        <w:rPr>
          <w:noProof/>
        </w:rPr>
        <w:lastRenderedPageBreak/>
        <w:drawing>
          <wp:inline distT="0" distB="0" distL="0" distR="0" wp14:anchorId="371727B9" wp14:editId="20BC8571">
            <wp:extent cx="5486400" cy="3200400"/>
            <wp:effectExtent l="88900" t="88900" r="88900" b="762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5A23AF" w14:textId="4C17DB92" w:rsidR="003A70F2" w:rsidRDefault="003A70F2" w:rsidP="00206176">
      <w:pPr>
        <w:ind w:firstLine="720"/>
      </w:pPr>
    </w:p>
    <w:p w14:paraId="4A4F5890" w14:textId="56CF021F" w:rsidR="003A70F2" w:rsidRDefault="003A70F2" w:rsidP="00206176">
      <w:pPr>
        <w:ind w:firstLine="720"/>
      </w:pPr>
      <w:r>
        <w:t>Appendix 4:</w:t>
      </w:r>
    </w:p>
    <w:p w14:paraId="5E9153B3" w14:textId="79A57AC4" w:rsidR="003A70F2" w:rsidRDefault="003A70F2" w:rsidP="00206176">
      <w:pPr>
        <w:ind w:firstLine="720"/>
      </w:pPr>
      <w:r>
        <w:t>“Demand changes by industries sectors”</w:t>
      </w:r>
    </w:p>
    <w:p w14:paraId="221B5D96" w14:textId="28B6449B" w:rsidR="003A70F2" w:rsidRPr="009E517A" w:rsidRDefault="00285A62" w:rsidP="00206176">
      <w:pPr>
        <w:ind w:firstLine="720"/>
      </w:pPr>
      <w:r>
        <w:rPr>
          <w:noProof/>
        </w:rPr>
        <w:drawing>
          <wp:inline distT="0" distB="0" distL="0" distR="0" wp14:anchorId="7372BCFB" wp14:editId="30830E51">
            <wp:extent cx="5486400" cy="320040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sectPr w:rsidR="003A70F2" w:rsidRPr="009E517A">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8FEA9" w14:textId="77777777" w:rsidR="00230BCE" w:rsidRDefault="00230BCE" w:rsidP="003A345B">
      <w:r>
        <w:separator/>
      </w:r>
    </w:p>
  </w:endnote>
  <w:endnote w:type="continuationSeparator" w:id="0">
    <w:p w14:paraId="723C066E" w14:textId="77777777" w:rsidR="00230BCE" w:rsidRDefault="00230BCE" w:rsidP="003A3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Droid Sans">
    <w:altName w:val="MS Mincho"/>
    <w:panose1 w:val="020B0604020202020204"/>
    <w:charset w:val="80"/>
    <w:family w:val="auto"/>
    <w:pitch w:val="variable"/>
  </w:font>
  <w:font w:name="DejaVu Sans">
    <w:altName w:val="Arial"/>
    <w:panose1 w:val="020B0604020202020204"/>
    <w:charset w:val="00"/>
    <w:family w:val="swiss"/>
    <w:pitch w:val="variable"/>
  </w:font>
  <w:font w:name="Times">
    <w:altName w:val="﷽﷽﷽﷽﷽﷽꺰ࠞ"/>
    <w:panose1 w:val="00000500000000020000"/>
    <w:charset w:val="00"/>
    <w:family w:val="auto"/>
    <w:pitch w:val="variable"/>
    <w:sig w:usb0="E00002FF" w:usb1="5000205A" w:usb2="00000000" w:usb3="00000000" w:csb0="0000019F" w:csb1="00000000"/>
  </w:font>
  <w:font w:name="Segoe UI">
    <w:panose1 w:val="020B0502040204020203"/>
    <w:charset w:val="00"/>
    <w:family w:val="swiss"/>
    <w:pitch w:val="variable"/>
    <w:sig w:usb0="E5002EFF" w:usb1="C000E47F" w:usb2="0000002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4664283"/>
      <w:docPartObj>
        <w:docPartGallery w:val="Page Numbers (Bottom of Page)"/>
        <w:docPartUnique/>
      </w:docPartObj>
    </w:sdtPr>
    <w:sdtEndPr>
      <w:rPr>
        <w:rStyle w:val="PageNumber"/>
      </w:rPr>
    </w:sdtEndPr>
    <w:sdtContent>
      <w:p w14:paraId="77714385" w14:textId="39EA326E" w:rsidR="003A345B" w:rsidRDefault="003A345B" w:rsidP="005A09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BAFC63" w14:textId="77777777" w:rsidR="003A345B" w:rsidRDefault="003A345B" w:rsidP="003A34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943677"/>
      <w:docPartObj>
        <w:docPartGallery w:val="Page Numbers (Bottom of Page)"/>
        <w:docPartUnique/>
      </w:docPartObj>
    </w:sdtPr>
    <w:sdtEndPr>
      <w:rPr>
        <w:rStyle w:val="PageNumber"/>
      </w:rPr>
    </w:sdtEndPr>
    <w:sdtContent>
      <w:p w14:paraId="78693D07" w14:textId="497B4AF9" w:rsidR="003A345B" w:rsidRDefault="003A345B" w:rsidP="005A09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7966CB" w14:textId="77777777" w:rsidR="003A345B" w:rsidRDefault="003A345B" w:rsidP="003A345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00146" w14:textId="77777777" w:rsidR="00230BCE" w:rsidRDefault="00230BCE" w:rsidP="003A345B">
      <w:r>
        <w:separator/>
      </w:r>
    </w:p>
  </w:footnote>
  <w:footnote w:type="continuationSeparator" w:id="0">
    <w:p w14:paraId="0C7124F1" w14:textId="77777777" w:rsidR="00230BCE" w:rsidRDefault="00230BCE" w:rsidP="003A34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20CD9"/>
    <w:multiLevelType w:val="hybridMultilevel"/>
    <w:tmpl w:val="6B4CB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CE9197D"/>
    <w:multiLevelType w:val="hybridMultilevel"/>
    <w:tmpl w:val="04BAC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CB5"/>
    <w:rsid w:val="00023B86"/>
    <w:rsid w:val="00054256"/>
    <w:rsid w:val="000633AA"/>
    <w:rsid w:val="00073042"/>
    <w:rsid w:val="00076825"/>
    <w:rsid w:val="00082A7E"/>
    <w:rsid w:val="000B4495"/>
    <w:rsid w:val="000B7870"/>
    <w:rsid w:val="000C7839"/>
    <w:rsid w:val="000E6462"/>
    <w:rsid w:val="000F65E5"/>
    <w:rsid w:val="000F77DA"/>
    <w:rsid w:val="0015145B"/>
    <w:rsid w:val="00164443"/>
    <w:rsid w:val="00172E75"/>
    <w:rsid w:val="001812D0"/>
    <w:rsid w:val="00192673"/>
    <w:rsid w:val="001F5F4D"/>
    <w:rsid w:val="00206176"/>
    <w:rsid w:val="00213F86"/>
    <w:rsid w:val="0021515E"/>
    <w:rsid w:val="00217B01"/>
    <w:rsid w:val="002307CC"/>
    <w:rsid w:val="00230BCE"/>
    <w:rsid w:val="00241F39"/>
    <w:rsid w:val="00251CE2"/>
    <w:rsid w:val="00272FD4"/>
    <w:rsid w:val="00285A62"/>
    <w:rsid w:val="002B04B1"/>
    <w:rsid w:val="002B52D4"/>
    <w:rsid w:val="002C1ABC"/>
    <w:rsid w:val="002C2D9E"/>
    <w:rsid w:val="002E1AAE"/>
    <w:rsid w:val="003029FE"/>
    <w:rsid w:val="0031457D"/>
    <w:rsid w:val="00372015"/>
    <w:rsid w:val="00372909"/>
    <w:rsid w:val="00395CB5"/>
    <w:rsid w:val="003A2C85"/>
    <w:rsid w:val="003A2CB2"/>
    <w:rsid w:val="003A345B"/>
    <w:rsid w:val="003A70F2"/>
    <w:rsid w:val="003E6673"/>
    <w:rsid w:val="003F543C"/>
    <w:rsid w:val="003F7DBB"/>
    <w:rsid w:val="0040235A"/>
    <w:rsid w:val="00405E4C"/>
    <w:rsid w:val="00441512"/>
    <w:rsid w:val="004544D3"/>
    <w:rsid w:val="00465627"/>
    <w:rsid w:val="004A0EEB"/>
    <w:rsid w:val="004B4354"/>
    <w:rsid w:val="004C1E38"/>
    <w:rsid w:val="004C3979"/>
    <w:rsid w:val="004D0B0F"/>
    <w:rsid w:val="004D1EF9"/>
    <w:rsid w:val="004D3AE9"/>
    <w:rsid w:val="00500AA1"/>
    <w:rsid w:val="00513EA6"/>
    <w:rsid w:val="00525C5C"/>
    <w:rsid w:val="0053784D"/>
    <w:rsid w:val="00551407"/>
    <w:rsid w:val="005611DB"/>
    <w:rsid w:val="00567A45"/>
    <w:rsid w:val="00576F90"/>
    <w:rsid w:val="005771E8"/>
    <w:rsid w:val="00583495"/>
    <w:rsid w:val="00583D39"/>
    <w:rsid w:val="00586F6F"/>
    <w:rsid w:val="0059278B"/>
    <w:rsid w:val="00593519"/>
    <w:rsid w:val="005B2005"/>
    <w:rsid w:val="005B3C7A"/>
    <w:rsid w:val="005C3EAF"/>
    <w:rsid w:val="005D1933"/>
    <w:rsid w:val="005E0483"/>
    <w:rsid w:val="005E2F34"/>
    <w:rsid w:val="005E5092"/>
    <w:rsid w:val="006075E6"/>
    <w:rsid w:val="00616F5C"/>
    <w:rsid w:val="00644A03"/>
    <w:rsid w:val="00651484"/>
    <w:rsid w:val="00652E68"/>
    <w:rsid w:val="00657CAB"/>
    <w:rsid w:val="006A0C21"/>
    <w:rsid w:val="006C4EA5"/>
    <w:rsid w:val="006E2F23"/>
    <w:rsid w:val="0070119C"/>
    <w:rsid w:val="00742715"/>
    <w:rsid w:val="0074778A"/>
    <w:rsid w:val="007544CF"/>
    <w:rsid w:val="0077384A"/>
    <w:rsid w:val="0078210F"/>
    <w:rsid w:val="00785D1A"/>
    <w:rsid w:val="00787B80"/>
    <w:rsid w:val="007A014F"/>
    <w:rsid w:val="007A6371"/>
    <w:rsid w:val="007C1ED8"/>
    <w:rsid w:val="0080107D"/>
    <w:rsid w:val="00805367"/>
    <w:rsid w:val="00817E48"/>
    <w:rsid w:val="008269DC"/>
    <w:rsid w:val="00831DAD"/>
    <w:rsid w:val="0083444C"/>
    <w:rsid w:val="00857916"/>
    <w:rsid w:val="008A2DC7"/>
    <w:rsid w:val="008D0EC8"/>
    <w:rsid w:val="008E5535"/>
    <w:rsid w:val="008F51D2"/>
    <w:rsid w:val="009005CC"/>
    <w:rsid w:val="0091626B"/>
    <w:rsid w:val="00926602"/>
    <w:rsid w:val="0094415D"/>
    <w:rsid w:val="00951CE6"/>
    <w:rsid w:val="00956BE4"/>
    <w:rsid w:val="0099100D"/>
    <w:rsid w:val="009B03A2"/>
    <w:rsid w:val="009B6C61"/>
    <w:rsid w:val="009D592E"/>
    <w:rsid w:val="009E2A38"/>
    <w:rsid w:val="009E517A"/>
    <w:rsid w:val="009F1BC6"/>
    <w:rsid w:val="009F3A25"/>
    <w:rsid w:val="00A12358"/>
    <w:rsid w:val="00A25E17"/>
    <w:rsid w:val="00A30D9E"/>
    <w:rsid w:val="00A53E58"/>
    <w:rsid w:val="00A64F7E"/>
    <w:rsid w:val="00A65488"/>
    <w:rsid w:val="00A761BB"/>
    <w:rsid w:val="00A82A99"/>
    <w:rsid w:val="00A8756C"/>
    <w:rsid w:val="00A91818"/>
    <w:rsid w:val="00AA19D0"/>
    <w:rsid w:val="00AD20C7"/>
    <w:rsid w:val="00AD78DE"/>
    <w:rsid w:val="00AE42AE"/>
    <w:rsid w:val="00AF7A9D"/>
    <w:rsid w:val="00B04D35"/>
    <w:rsid w:val="00B1394D"/>
    <w:rsid w:val="00B728C0"/>
    <w:rsid w:val="00BB0E03"/>
    <w:rsid w:val="00BC7817"/>
    <w:rsid w:val="00BE5370"/>
    <w:rsid w:val="00BF08D9"/>
    <w:rsid w:val="00BF31B0"/>
    <w:rsid w:val="00C010DD"/>
    <w:rsid w:val="00C20D9E"/>
    <w:rsid w:val="00C220A9"/>
    <w:rsid w:val="00C242A6"/>
    <w:rsid w:val="00C40ADB"/>
    <w:rsid w:val="00C416B5"/>
    <w:rsid w:val="00C426EF"/>
    <w:rsid w:val="00C46D4D"/>
    <w:rsid w:val="00C7024A"/>
    <w:rsid w:val="00C72659"/>
    <w:rsid w:val="00CA6034"/>
    <w:rsid w:val="00CC406C"/>
    <w:rsid w:val="00CE75A9"/>
    <w:rsid w:val="00D142FB"/>
    <w:rsid w:val="00D17315"/>
    <w:rsid w:val="00D177F2"/>
    <w:rsid w:val="00D3506E"/>
    <w:rsid w:val="00D3662B"/>
    <w:rsid w:val="00D452C9"/>
    <w:rsid w:val="00D66244"/>
    <w:rsid w:val="00D77DFF"/>
    <w:rsid w:val="00D84007"/>
    <w:rsid w:val="00DB0791"/>
    <w:rsid w:val="00DC38D8"/>
    <w:rsid w:val="00DD0587"/>
    <w:rsid w:val="00DE215C"/>
    <w:rsid w:val="00E20F9C"/>
    <w:rsid w:val="00E22919"/>
    <w:rsid w:val="00E36857"/>
    <w:rsid w:val="00E50DAA"/>
    <w:rsid w:val="00E554D8"/>
    <w:rsid w:val="00E614F0"/>
    <w:rsid w:val="00E63291"/>
    <w:rsid w:val="00E74164"/>
    <w:rsid w:val="00E965C8"/>
    <w:rsid w:val="00EA1B94"/>
    <w:rsid w:val="00EC3B95"/>
    <w:rsid w:val="00ED0423"/>
    <w:rsid w:val="00EE0AE9"/>
    <w:rsid w:val="00EE192D"/>
    <w:rsid w:val="00EE7DD1"/>
    <w:rsid w:val="00F03435"/>
    <w:rsid w:val="00F2341A"/>
    <w:rsid w:val="00F254DF"/>
    <w:rsid w:val="00F25735"/>
    <w:rsid w:val="00F525C9"/>
    <w:rsid w:val="00F64FDB"/>
    <w:rsid w:val="00F65D27"/>
    <w:rsid w:val="00F819BE"/>
    <w:rsid w:val="00F854EC"/>
    <w:rsid w:val="00F93B18"/>
    <w:rsid w:val="00FA30A4"/>
    <w:rsid w:val="00FB1A93"/>
    <w:rsid w:val="00FB3AEA"/>
    <w:rsid w:val="00FC01F1"/>
    <w:rsid w:val="00FC2FD8"/>
    <w:rsid w:val="00FC3187"/>
    <w:rsid w:val="00FF4BA0"/>
    <w:rsid w:val="00FF5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ED939"/>
  <w15:chartTrackingRefBased/>
  <w15:docId w15:val="{FEA633D9-73AB-724B-81FD-9854FA06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C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4151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41512"/>
  </w:style>
  <w:style w:type="character" w:customStyle="1" w:styleId="eop">
    <w:name w:val="eop"/>
    <w:basedOn w:val="DefaultParagraphFont"/>
    <w:rsid w:val="00441512"/>
  </w:style>
  <w:style w:type="paragraph" w:customStyle="1" w:styleId="ContentsHeading">
    <w:name w:val="Contents Heading"/>
    <w:basedOn w:val="Normal"/>
    <w:rsid w:val="00441512"/>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uiPriority w:val="39"/>
    <w:rsid w:val="00441512"/>
    <w:pPr>
      <w:suppressLineNumbers/>
      <w:tabs>
        <w:tab w:val="right" w:leader="dot" w:pos="9360"/>
      </w:tabs>
      <w:suppressAutoHyphens/>
      <w:spacing w:line="360" w:lineRule="auto"/>
      <w:jc w:val="both"/>
    </w:pPr>
    <w:rPr>
      <w:rFonts w:ascii="Times New Roman" w:eastAsia="Calibri" w:hAnsi="Times New Roman" w:cs="DejaVu Sans"/>
      <w:color w:val="000000"/>
      <w:szCs w:val="22"/>
      <w:lang w:eastAsia="ar-SA"/>
    </w:rPr>
  </w:style>
  <w:style w:type="paragraph" w:styleId="ListParagraph">
    <w:name w:val="List Paragraph"/>
    <w:basedOn w:val="Normal"/>
    <w:uiPriority w:val="34"/>
    <w:qFormat/>
    <w:rsid w:val="00E50DAA"/>
    <w:pPr>
      <w:ind w:left="720"/>
      <w:contextualSpacing/>
    </w:pPr>
  </w:style>
  <w:style w:type="paragraph" w:styleId="Footer">
    <w:name w:val="footer"/>
    <w:basedOn w:val="Normal"/>
    <w:link w:val="FooterChar"/>
    <w:uiPriority w:val="99"/>
    <w:unhideWhenUsed/>
    <w:rsid w:val="003A345B"/>
    <w:pPr>
      <w:tabs>
        <w:tab w:val="center" w:pos="4513"/>
        <w:tab w:val="right" w:pos="9026"/>
      </w:tabs>
    </w:pPr>
  </w:style>
  <w:style w:type="character" w:customStyle="1" w:styleId="FooterChar">
    <w:name w:val="Footer Char"/>
    <w:basedOn w:val="DefaultParagraphFont"/>
    <w:link w:val="Footer"/>
    <w:uiPriority w:val="99"/>
    <w:rsid w:val="003A345B"/>
  </w:style>
  <w:style w:type="character" w:styleId="PageNumber">
    <w:name w:val="page number"/>
    <w:basedOn w:val="DefaultParagraphFont"/>
    <w:uiPriority w:val="99"/>
    <w:semiHidden/>
    <w:unhideWhenUsed/>
    <w:rsid w:val="003A3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208307">
      <w:bodyDiv w:val="1"/>
      <w:marLeft w:val="0"/>
      <w:marRight w:val="0"/>
      <w:marTop w:val="0"/>
      <w:marBottom w:val="0"/>
      <w:divBdr>
        <w:top w:val="none" w:sz="0" w:space="0" w:color="auto"/>
        <w:left w:val="none" w:sz="0" w:space="0" w:color="auto"/>
        <w:bottom w:val="none" w:sz="0" w:space="0" w:color="auto"/>
        <w:right w:val="none" w:sz="0" w:space="0" w:color="auto"/>
      </w:divBdr>
      <w:divsChild>
        <w:div w:id="1688675969">
          <w:marLeft w:val="0"/>
          <w:marRight w:val="0"/>
          <w:marTop w:val="0"/>
          <w:marBottom w:val="0"/>
          <w:divBdr>
            <w:top w:val="none" w:sz="0" w:space="0" w:color="auto"/>
            <w:left w:val="none" w:sz="0" w:space="0" w:color="auto"/>
            <w:bottom w:val="none" w:sz="0" w:space="0" w:color="auto"/>
            <w:right w:val="none" w:sz="0" w:space="0" w:color="auto"/>
          </w:divBdr>
        </w:div>
        <w:div w:id="731780775">
          <w:marLeft w:val="0"/>
          <w:marRight w:val="0"/>
          <w:marTop w:val="0"/>
          <w:marBottom w:val="0"/>
          <w:divBdr>
            <w:top w:val="none" w:sz="0" w:space="0" w:color="auto"/>
            <w:left w:val="none" w:sz="0" w:space="0" w:color="auto"/>
            <w:bottom w:val="none" w:sz="0" w:space="0" w:color="auto"/>
            <w:right w:val="none" w:sz="0" w:space="0" w:color="auto"/>
          </w:divBdr>
        </w:div>
        <w:div w:id="162933992">
          <w:marLeft w:val="0"/>
          <w:marRight w:val="0"/>
          <w:marTop w:val="0"/>
          <w:marBottom w:val="0"/>
          <w:divBdr>
            <w:top w:val="none" w:sz="0" w:space="0" w:color="auto"/>
            <w:left w:val="none" w:sz="0" w:space="0" w:color="auto"/>
            <w:bottom w:val="none" w:sz="0" w:space="0" w:color="auto"/>
            <w:right w:val="none" w:sz="0" w:space="0" w:color="auto"/>
          </w:divBdr>
        </w:div>
        <w:div w:id="1334260083">
          <w:marLeft w:val="0"/>
          <w:marRight w:val="0"/>
          <w:marTop w:val="0"/>
          <w:marBottom w:val="0"/>
          <w:divBdr>
            <w:top w:val="none" w:sz="0" w:space="0" w:color="auto"/>
            <w:left w:val="none" w:sz="0" w:space="0" w:color="auto"/>
            <w:bottom w:val="none" w:sz="0" w:space="0" w:color="auto"/>
            <w:right w:val="none" w:sz="0" w:space="0" w:color="auto"/>
          </w:divBdr>
        </w:div>
        <w:div w:id="363024226">
          <w:marLeft w:val="0"/>
          <w:marRight w:val="0"/>
          <w:marTop w:val="0"/>
          <w:marBottom w:val="0"/>
          <w:divBdr>
            <w:top w:val="none" w:sz="0" w:space="0" w:color="auto"/>
            <w:left w:val="none" w:sz="0" w:space="0" w:color="auto"/>
            <w:bottom w:val="none" w:sz="0" w:space="0" w:color="auto"/>
            <w:right w:val="none" w:sz="0" w:space="0" w:color="auto"/>
          </w:divBdr>
        </w:div>
        <w:div w:id="1713788">
          <w:marLeft w:val="0"/>
          <w:marRight w:val="0"/>
          <w:marTop w:val="0"/>
          <w:marBottom w:val="0"/>
          <w:divBdr>
            <w:top w:val="none" w:sz="0" w:space="0" w:color="auto"/>
            <w:left w:val="none" w:sz="0" w:space="0" w:color="auto"/>
            <w:bottom w:val="none" w:sz="0" w:space="0" w:color="auto"/>
            <w:right w:val="none" w:sz="0" w:space="0" w:color="auto"/>
          </w:divBdr>
        </w:div>
        <w:div w:id="19360245">
          <w:marLeft w:val="0"/>
          <w:marRight w:val="0"/>
          <w:marTop w:val="0"/>
          <w:marBottom w:val="0"/>
          <w:divBdr>
            <w:top w:val="none" w:sz="0" w:space="0" w:color="auto"/>
            <w:left w:val="none" w:sz="0" w:space="0" w:color="auto"/>
            <w:bottom w:val="none" w:sz="0" w:space="0" w:color="auto"/>
            <w:right w:val="none" w:sz="0" w:space="0" w:color="auto"/>
          </w:divBdr>
        </w:div>
        <w:div w:id="1937980120">
          <w:marLeft w:val="0"/>
          <w:marRight w:val="0"/>
          <w:marTop w:val="0"/>
          <w:marBottom w:val="0"/>
          <w:divBdr>
            <w:top w:val="none" w:sz="0" w:space="0" w:color="auto"/>
            <w:left w:val="none" w:sz="0" w:space="0" w:color="auto"/>
            <w:bottom w:val="none" w:sz="0" w:space="0" w:color="auto"/>
            <w:right w:val="none" w:sz="0" w:space="0" w:color="auto"/>
          </w:divBdr>
        </w:div>
        <w:div w:id="2036153053">
          <w:marLeft w:val="0"/>
          <w:marRight w:val="0"/>
          <w:marTop w:val="0"/>
          <w:marBottom w:val="0"/>
          <w:divBdr>
            <w:top w:val="none" w:sz="0" w:space="0" w:color="auto"/>
            <w:left w:val="none" w:sz="0" w:space="0" w:color="auto"/>
            <w:bottom w:val="none" w:sz="0" w:space="0" w:color="auto"/>
            <w:right w:val="none" w:sz="0" w:space="0" w:color="auto"/>
          </w:divBdr>
        </w:div>
        <w:div w:id="1510634856">
          <w:marLeft w:val="0"/>
          <w:marRight w:val="0"/>
          <w:marTop w:val="0"/>
          <w:marBottom w:val="0"/>
          <w:divBdr>
            <w:top w:val="none" w:sz="0" w:space="0" w:color="auto"/>
            <w:left w:val="none" w:sz="0" w:space="0" w:color="auto"/>
            <w:bottom w:val="none" w:sz="0" w:space="0" w:color="auto"/>
            <w:right w:val="none" w:sz="0" w:space="0" w:color="auto"/>
          </w:divBdr>
        </w:div>
        <w:div w:id="1244220865">
          <w:marLeft w:val="0"/>
          <w:marRight w:val="0"/>
          <w:marTop w:val="0"/>
          <w:marBottom w:val="0"/>
          <w:divBdr>
            <w:top w:val="none" w:sz="0" w:space="0" w:color="auto"/>
            <w:left w:val="none" w:sz="0" w:space="0" w:color="auto"/>
            <w:bottom w:val="none" w:sz="0" w:space="0" w:color="auto"/>
            <w:right w:val="none" w:sz="0" w:space="0" w:color="auto"/>
          </w:divBdr>
        </w:div>
        <w:div w:id="255868443">
          <w:marLeft w:val="0"/>
          <w:marRight w:val="0"/>
          <w:marTop w:val="0"/>
          <w:marBottom w:val="0"/>
          <w:divBdr>
            <w:top w:val="none" w:sz="0" w:space="0" w:color="auto"/>
            <w:left w:val="none" w:sz="0" w:space="0" w:color="auto"/>
            <w:bottom w:val="none" w:sz="0" w:space="0" w:color="auto"/>
            <w:right w:val="none" w:sz="0" w:space="0" w:color="auto"/>
          </w:divBdr>
        </w:div>
        <w:div w:id="802772408">
          <w:marLeft w:val="0"/>
          <w:marRight w:val="0"/>
          <w:marTop w:val="0"/>
          <w:marBottom w:val="0"/>
          <w:divBdr>
            <w:top w:val="none" w:sz="0" w:space="0" w:color="auto"/>
            <w:left w:val="none" w:sz="0" w:space="0" w:color="auto"/>
            <w:bottom w:val="none" w:sz="0" w:space="0" w:color="auto"/>
            <w:right w:val="none" w:sz="0" w:space="0" w:color="auto"/>
          </w:divBdr>
        </w:div>
        <w:div w:id="110980896">
          <w:marLeft w:val="0"/>
          <w:marRight w:val="0"/>
          <w:marTop w:val="0"/>
          <w:marBottom w:val="0"/>
          <w:divBdr>
            <w:top w:val="none" w:sz="0" w:space="0" w:color="auto"/>
            <w:left w:val="none" w:sz="0" w:space="0" w:color="auto"/>
            <w:bottom w:val="none" w:sz="0" w:space="0" w:color="auto"/>
            <w:right w:val="none" w:sz="0" w:space="0" w:color="auto"/>
          </w:divBdr>
        </w:div>
        <w:div w:id="1097218789">
          <w:marLeft w:val="0"/>
          <w:marRight w:val="0"/>
          <w:marTop w:val="0"/>
          <w:marBottom w:val="0"/>
          <w:divBdr>
            <w:top w:val="none" w:sz="0" w:space="0" w:color="auto"/>
            <w:left w:val="none" w:sz="0" w:space="0" w:color="auto"/>
            <w:bottom w:val="none" w:sz="0" w:space="0" w:color="auto"/>
            <w:right w:val="none" w:sz="0" w:space="0" w:color="auto"/>
          </w:divBdr>
        </w:div>
        <w:div w:id="193033303">
          <w:marLeft w:val="0"/>
          <w:marRight w:val="0"/>
          <w:marTop w:val="0"/>
          <w:marBottom w:val="0"/>
          <w:divBdr>
            <w:top w:val="none" w:sz="0" w:space="0" w:color="auto"/>
            <w:left w:val="none" w:sz="0" w:space="0" w:color="auto"/>
            <w:bottom w:val="none" w:sz="0" w:space="0" w:color="auto"/>
            <w:right w:val="none" w:sz="0" w:space="0" w:color="auto"/>
          </w:divBdr>
        </w:div>
        <w:div w:id="1694916469">
          <w:marLeft w:val="0"/>
          <w:marRight w:val="0"/>
          <w:marTop w:val="0"/>
          <w:marBottom w:val="0"/>
          <w:divBdr>
            <w:top w:val="none" w:sz="0" w:space="0" w:color="auto"/>
            <w:left w:val="none" w:sz="0" w:space="0" w:color="auto"/>
            <w:bottom w:val="none" w:sz="0" w:space="0" w:color="auto"/>
            <w:right w:val="none" w:sz="0" w:space="0" w:color="auto"/>
          </w:divBdr>
        </w:div>
        <w:div w:id="823855491">
          <w:marLeft w:val="0"/>
          <w:marRight w:val="0"/>
          <w:marTop w:val="0"/>
          <w:marBottom w:val="0"/>
          <w:divBdr>
            <w:top w:val="none" w:sz="0" w:space="0" w:color="auto"/>
            <w:left w:val="none" w:sz="0" w:space="0" w:color="auto"/>
            <w:bottom w:val="none" w:sz="0" w:space="0" w:color="auto"/>
            <w:right w:val="none" w:sz="0" w:space="0" w:color="auto"/>
          </w:divBdr>
        </w:div>
        <w:div w:id="1756899189">
          <w:marLeft w:val="0"/>
          <w:marRight w:val="0"/>
          <w:marTop w:val="0"/>
          <w:marBottom w:val="0"/>
          <w:divBdr>
            <w:top w:val="none" w:sz="0" w:space="0" w:color="auto"/>
            <w:left w:val="none" w:sz="0" w:space="0" w:color="auto"/>
            <w:bottom w:val="none" w:sz="0" w:space="0" w:color="auto"/>
            <w:right w:val="none" w:sz="0" w:space="0" w:color="auto"/>
          </w:divBdr>
        </w:div>
        <w:div w:id="1065689232">
          <w:marLeft w:val="0"/>
          <w:marRight w:val="0"/>
          <w:marTop w:val="0"/>
          <w:marBottom w:val="0"/>
          <w:divBdr>
            <w:top w:val="none" w:sz="0" w:space="0" w:color="auto"/>
            <w:left w:val="none" w:sz="0" w:space="0" w:color="auto"/>
            <w:bottom w:val="none" w:sz="0" w:space="0" w:color="auto"/>
            <w:right w:val="none" w:sz="0" w:space="0" w:color="auto"/>
          </w:divBdr>
        </w:div>
        <w:div w:id="1167742258">
          <w:marLeft w:val="0"/>
          <w:marRight w:val="0"/>
          <w:marTop w:val="0"/>
          <w:marBottom w:val="0"/>
          <w:divBdr>
            <w:top w:val="none" w:sz="0" w:space="0" w:color="auto"/>
            <w:left w:val="none" w:sz="0" w:space="0" w:color="auto"/>
            <w:bottom w:val="none" w:sz="0" w:space="0" w:color="auto"/>
            <w:right w:val="none" w:sz="0" w:space="0" w:color="auto"/>
          </w:divBdr>
        </w:div>
        <w:div w:id="1919359580">
          <w:marLeft w:val="0"/>
          <w:marRight w:val="0"/>
          <w:marTop w:val="0"/>
          <w:marBottom w:val="0"/>
          <w:divBdr>
            <w:top w:val="none" w:sz="0" w:space="0" w:color="auto"/>
            <w:left w:val="none" w:sz="0" w:space="0" w:color="auto"/>
            <w:bottom w:val="none" w:sz="0" w:space="0" w:color="auto"/>
            <w:right w:val="none" w:sz="0" w:space="0" w:color="auto"/>
          </w:divBdr>
        </w:div>
        <w:div w:id="1144275321">
          <w:marLeft w:val="0"/>
          <w:marRight w:val="0"/>
          <w:marTop w:val="0"/>
          <w:marBottom w:val="0"/>
          <w:divBdr>
            <w:top w:val="none" w:sz="0" w:space="0" w:color="auto"/>
            <w:left w:val="none" w:sz="0" w:space="0" w:color="auto"/>
            <w:bottom w:val="none" w:sz="0" w:space="0" w:color="auto"/>
            <w:right w:val="none" w:sz="0" w:space="0" w:color="auto"/>
          </w:divBdr>
        </w:div>
        <w:div w:id="1229729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Sheet1!$B$1</c:f>
              <c:strCache>
                <c:ptCount val="1"/>
                <c:pt idx="0">
                  <c:v>Column2</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46D-6D4F-82EA-5A5036D1E23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46D-6D4F-82EA-5A5036D1E23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46D-6D4F-82EA-5A5036D1E23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46D-6D4F-82EA-5A5036D1E23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46D-6D4F-82EA-5A5036D1E23D}"/>
              </c:ext>
            </c:extLst>
          </c:dPt>
          <c:dLbls>
            <c:dLbl>
              <c:idx val="0"/>
              <c:layout>
                <c:manualLayout>
                  <c:x val="2.1256244021681759E-3"/>
                  <c:y val="-5.7544757033248094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46D-6D4F-82EA-5A5036D1E23D}"/>
                </c:ext>
              </c:extLst>
            </c:dLbl>
            <c:dLbl>
              <c:idx val="1"/>
              <c:layout>
                <c:manualLayout>
                  <c:x val="1.6203703703703703E-2"/>
                  <c:y val="1.5873015873015872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46D-6D4F-82EA-5A5036D1E23D}"/>
                </c:ext>
              </c:extLst>
            </c:dLbl>
            <c:dLbl>
              <c:idx val="2"/>
              <c:layout>
                <c:manualLayout>
                  <c:x val="-2.0833333333333332E-2"/>
                  <c:y val="0"/>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46D-6D4F-82EA-5A5036D1E23D}"/>
                </c:ext>
              </c:extLst>
            </c:dLbl>
            <c:dLbl>
              <c:idx val="3"/>
              <c:layout>
                <c:manualLayout>
                  <c:x val="-2.0833333333333332E-2"/>
                  <c:y val="-3.1746031746031779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46D-6D4F-82EA-5A5036D1E23D}"/>
                </c:ext>
              </c:extLst>
            </c:dLbl>
            <c:dLbl>
              <c:idx val="4"/>
              <c:layout>
                <c:manualLayout>
                  <c:x val="-6.9444444444444441E-3"/>
                  <c:y val="-4.7619047619047616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20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46D-6D4F-82EA-5A5036D1E23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50" b="1" i="0" u="none" strike="noStrike" kern="1200" baseline="0">
                    <a:gradFill>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0"/>
                    </a:gradFill>
                    <a:effectLst>
                      <a:outerShdw blurRad="397676" dist="246098" dir="5400000" sx="107000" sy="107000" algn="ctr" rotWithShape="0">
                        <a:schemeClr val="bg1"/>
                      </a:outerShdw>
                    </a:effectLst>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Critical impact business may have to close permanently</c:v>
                </c:pt>
                <c:pt idx="1">
                  <c:v>Significant impact critical threat to business that can be mitigated</c:v>
                </c:pt>
                <c:pt idx="2">
                  <c:v>Limited impact minimal threat to business</c:v>
                </c:pt>
                <c:pt idx="3">
                  <c:v>No impact no threat to business</c:v>
                </c:pt>
                <c:pt idx="4">
                  <c:v>Positive impact can be seen as an opportunity for business</c:v>
                </c:pt>
              </c:strCache>
            </c:strRef>
          </c:cat>
          <c:val>
            <c:numRef>
              <c:f>Sheet1!$B$2:$B$6</c:f>
              <c:numCache>
                <c:formatCode>0%</c:formatCode>
                <c:ptCount val="5"/>
                <c:pt idx="0">
                  <c:v>0.04</c:v>
                </c:pt>
                <c:pt idx="1">
                  <c:v>0.66</c:v>
                </c:pt>
                <c:pt idx="2">
                  <c:v>0.13</c:v>
                </c:pt>
                <c:pt idx="3">
                  <c:v>0.02</c:v>
                </c:pt>
                <c:pt idx="4">
                  <c:v>0.15</c:v>
                </c:pt>
              </c:numCache>
            </c:numRef>
          </c:val>
          <c:extLst>
            <c:ext xmlns:c16="http://schemas.microsoft.com/office/drawing/2014/chart" uri="{C3380CC4-5D6E-409C-BE32-E72D297353CC}">
              <c16:uniqueId val="{00000000-A564-EC4B-87A3-B7FC79D628D8}"/>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1575288528406802"/>
          <c:y val="6.7151408663431125E-2"/>
          <c:w val="0.34485059119974765"/>
          <c:h val="0.87606933564250755"/>
        </c:manualLayout>
      </c:layout>
      <c:overlay val="0"/>
      <c:spPr>
        <a:solidFill>
          <a:schemeClr val="lt1">
            <a:lumMod val="95000"/>
            <a:alpha val="39000"/>
          </a:schemeClr>
        </a:solidFill>
        <a:ln>
          <a:noFill/>
        </a:ln>
        <a:effectLst/>
      </c:spPr>
      <c:txPr>
        <a:bodyPr rot="0" spcFirstLastPara="1" vertOverflow="ellipsis" vert="horz" wrap="square" anchor="t" anchorCtr="0"/>
        <a:lstStyle/>
        <a:p>
          <a:pPr>
            <a:defRPr sz="1400" b="0" i="0" u="none" strike="noStrike" kern="1200" baseline="0">
              <a:solidFill>
                <a:schemeClr val="tx1"/>
              </a:solidFill>
              <a:effectLst>
                <a:outerShdw blurRad="397676" dist="246098" dir="5400000" sx="107000" sy="107000" algn="ctr" rotWithShape="0">
                  <a:schemeClr val="bg1"/>
                </a:outerShdw>
              </a:effectLst>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49000">
          <a:schemeClr val="accent1">
            <a:lumMod val="5000"/>
            <a:lumOff val="95000"/>
          </a:schemeClr>
        </a:gs>
        <a:gs pos="100000">
          <a:schemeClr val="accent1">
            <a:lumMod val="45000"/>
            <a:lumOff val="55000"/>
          </a:schemeClr>
        </a:gs>
        <a:gs pos="100000">
          <a:schemeClr val="accent1">
            <a:lumMod val="45000"/>
            <a:lumOff val="55000"/>
          </a:schemeClr>
        </a:gs>
        <a:gs pos="63000">
          <a:schemeClr val="accent6">
            <a:lumMod val="20000"/>
            <a:lumOff val="80000"/>
          </a:schemeClr>
        </a:gs>
      </a:gsLst>
      <a:lin ang="5400000" scaled="1"/>
      <a:tileRect/>
    </a:gradFill>
    <a:ln w="9525" cap="flat" cmpd="sng" algn="ctr">
      <a:solidFill>
        <a:schemeClr val="dk1">
          <a:lumMod val="25000"/>
          <a:lumOff val="75000"/>
        </a:schemeClr>
      </a:solidFill>
      <a:round/>
    </a:ln>
    <a:effectLst/>
  </c:spPr>
  <c:txPr>
    <a:bodyPr/>
    <a:lstStyle/>
    <a:p>
      <a:pPr>
        <a:defRPr>
          <a:solidFill>
            <a:schemeClr val="tx1"/>
          </a:solidFill>
          <a:effectLst>
            <a:outerShdw blurRad="397676" dist="246098" dir="5400000" sx="107000" sy="107000" algn="ctr" rotWithShape="0">
              <a:schemeClr val="bg1"/>
            </a:outerShdw>
          </a:effectLs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col"/>
        <c:grouping val="stacked"/>
        <c:varyColors val="0"/>
        <c:ser>
          <c:idx val="0"/>
          <c:order val="0"/>
          <c:tx>
            <c:strRef>
              <c:f>Sheet1!$B$1</c:f>
              <c:strCache>
                <c:ptCount val="1"/>
                <c:pt idx="0">
                  <c:v>Significant decline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dLbl>
              <c:idx val="0"/>
              <c:layout>
                <c:manualLayout>
                  <c:x val="0"/>
                  <c:y val="-0.14640198511166252"/>
                </c:manualLayout>
              </c:layout>
              <c:spPr>
                <a:solidFill>
                  <a:schemeClr val="accent1">
                    <a:lumMod val="40000"/>
                    <a:lumOff val="60000"/>
                  </a:schemeClr>
                </a:solidFill>
                <a:ln>
                  <a:solidFill>
                    <a:schemeClr val="bg1">
                      <a:lumMod val="95000"/>
                    </a:schemeClr>
                  </a:solid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3D1-5947-83C6-CD67C4C3C20B}"/>
                </c:ext>
              </c:extLst>
            </c:dLbl>
            <c:spPr>
              <a:noFill/>
              <a:ln>
                <a:solidFill>
                  <a:schemeClr val="bg1">
                    <a:lumMod val="95000"/>
                  </a:schemeClr>
                </a:solid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Sheet1!$B$2</c:f>
              <c:numCache>
                <c:formatCode>0%</c:formatCode>
                <c:ptCount val="1"/>
                <c:pt idx="0">
                  <c:v>0.68</c:v>
                </c:pt>
              </c:numCache>
            </c:numRef>
          </c:val>
          <c:extLst>
            <c:ext xmlns:c16="http://schemas.microsoft.com/office/drawing/2014/chart" uri="{C3380CC4-5D6E-409C-BE32-E72D297353CC}">
              <c16:uniqueId val="{00000000-31D3-2749-8D89-71DD3004AB6D}"/>
            </c:ext>
          </c:extLst>
        </c:ser>
        <c:ser>
          <c:idx val="1"/>
          <c:order val="1"/>
          <c:tx>
            <c:strRef>
              <c:f>Sheet1!$C$1</c:f>
              <c:strCache>
                <c:ptCount val="1"/>
                <c:pt idx="0">
                  <c:v>Marginal decline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dLbls>
            <c:spPr>
              <a:solidFill>
                <a:schemeClr val="accent2">
                  <a:lumMod val="20000"/>
                  <a:lumOff val="80000"/>
                </a:schemeClr>
              </a:solid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Sheet1!$C$2</c:f>
              <c:numCache>
                <c:formatCode>0%</c:formatCode>
                <c:ptCount val="1"/>
                <c:pt idx="0">
                  <c:v>0.27</c:v>
                </c:pt>
              </c:numCache>
            </c:numRef>
          </c:val>
          <c:extLst>
            <c:ext xmlns:c16="http://schemas.microsoft.com/office/drawing/2014/chart" uri="{C3380CC4-5D6E-409C-BE32-E72D297353CC}">
              <c16:uniqueId val="{00000004-31D3-2749-8D89-71DD3004AB6D}"/>
            </c:ext>
          </c:extLst>
        </c:ser>
        <c:ser>
          <c:idx val="2"/>
          <c:order val="2"/>
          <c:tx>
            <c:strRef>
              <c:f>Sheet1!$D$1</c:f>
              <c:strCache>
                <c:ptCount val="1"/>
                <c:pt idx="0">
                  <c:v>No change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invertIfNegative val="0"/>
          <c:dLbls>
            <c:dLbl>
              <c:idx val="0"/>
              <c:layout>
                <c:manualLayout>
                  <c:x val="-6.9444444444444441E-3"/>
                  <c:y val="1.4888337468982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3D1-5947-83C6-CD67C4C3C20B}"/>
                </c:ext>
              </c:extLst>
            </c:dLbl>
            <c:spPr>
              <a:solidFill>
                <a:schemeClr val="bg2">
                  <a:lumMod val="90000"/>
                </a:schemeClr>
              </a:solid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Sheet1!$D$2</c:f>
              <c:numCache>
                <c:formatCode>0%</c:formatCode>
                <c:ptCount val="1"/>
                <c:pt idx="0">
                  <c:v>0.03</c:v>
                </c:pt>
              </c:numCache>
            </c:numRef>
          </c:val>
          <c:extLst>
            <c:ext xmlns:c16="http://schemas.microsoft.com/office/drawing/2014/chart" uri="{C3380CC4-5D6E-409C-BE32-E72D297353CC}">
              <c16:uniqueId val="{00000005-31D3-2749-8D89-71DD3004AB6D}"/>
            </c:ext>
          </c:extLst>
        </c:ser>
        <c:ser>
          <c:idx val="3"/>
          <c:order val="3"/>
          <c:tx>
            <c:strRef>
              <c:f>Sheet1!$E$1</c:f>
              <c:strCache>
                <c:ptCount val="1"/>
                <c:pt idx="0">
                  <c:v>Marginal increase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invertIfNegative val="0"/>
          <c:dLbls>
            <c:dLbl>
              <c:idx val="0"/>
              <c:layout>
                <c:manualLayout>
                  <c:x val="-6.9444444444444441E-3"/>
                  <c:y val="-2.48138957816377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3D1-5947-83C6-CD67C4C3C20B}"/>
                </c:ext>
              </c:extLst>
            </c:dLbl>
            <c:spPr>
              <a:solidFill>
                <a:schemeClr val="accent4">
                  <a:lumMod val="20000"/>
                  <a:lumOff val="80000"/>
                </a:schemeClr>
              </a:solid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Sheet1!$A$2</c:f>
              <c:numCache>
                <c:formatCode>General</c:formatCode>
                <c:ptCount val="1"/>
              </c:numCache>
            </c:numRef>
          </c:cat>
          <c:val>
            <c:numRef>
              <c:f>Sheet1!$E$2</c:f>
              <c:numCache>
                <c:formatCode>0%</c:formatCode>
                <c:ptCount val="1"/>
                <c:pt idx="0">
                  <c:v>0.02</c:v>
                </c:pt>
              </c:numCache>
            </c:numRef>
          </c:val>
          <c:extLst>
            <c:ext xmlns:c16="http://schemas.microsoft.com/office/drawing/2014/chart" uri="{C3380CC4-5D6E-409C-BE32-E72D297353CC}">
              <c16:uniqueId val="{00000006-31D3-2749-8D89-71DD3004AB6D}"/>
            </c:ext>
          </c:extLst>
        </c:ser>
        <c:dLbls>
          <c:showLegendKey val="0"/>
          <c:showVal val="1"/>
          <c:showCatName val="0"/>
          <c:showSerName val="0"/>
          <c:showPercent val="0"/>
          <c:showBubbleSize val="0"/>
        </c:dLbls>
        <c:gapWidth val="150"/>
        <c:shape val="box"/>
        <c:axId val="1834270863"/>
        <c:axId val="1834272511"/>
        <c:axId val="0"/>
      </c:bar3DChart>
      <c:catAx>
        <c:axId val="1834270863"/>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834272511"/>
        <c:crosses val="autoZero"/>
        <c:auto val="1"/>
        <c:lblAlgn val="ctr"/>
        <c:lblOffset val="100"/>
        <c:noMultiLvlLbl val="0"/>
      </c:catAx>
      <c:valAx>
        <c:axId val="1834272511"/>
        <c:scaling>
          <c:orientation val="minMax"/>
        </c:scaling>
        <c:delete val="1"/>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crossAx val="18342708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535-AD4E-9BC2-76BD3902110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A535-AD4E-9BC2-76BD3902110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535-AD4E-9BC2-76BD3902110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535-AD4E-9BC2-76BD3902110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A535-AD4E-9BC2-76BD39021103}"/>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A535-AD4E-9BC2-76BD39021103}"/>
              </c:ext>
            </c:extLst>
          </c:dPt>
          <c:dLbls>
            <c:dLbl>
              <c:idx val="0"/>
              <c:layout>
                <c:manualLayout>
                  <c:x val="-2.2290755322251384E-2"/>
                  <c:y val="0.11264841894763154"/>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535-AD4E-9BC2-76BD39021103}"/>
                </c:ext>
              </c:extLst>
            </c:dLbl>
            <c:dLbl>
              <c:idx val="1"/>
              <c:layout>
                <c:manualLayout>
                  <c:x val="-8.1167432195975497E-2"/>
                  <c:y val="8.4283214598175157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A535-AD4E-9BC2-76BD39021103}"/>
                </c:ext>
              </c:extLst>
            </c:dLbl>
            <c:dLbl>
              <c:idx val="2"/>
              <c:layout>
                <c:manualLayout>
                  <c:x val="-9.3853164187809854E-2"/>
                  <c:y val="-2.9593175853018374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535-AD4E-9BC2-76BD39021103}"/>
                </c:ext>
              </c:extLst>
            </c:dLbl>
            <c:dLbl>
              <c:idx val="3"/>
              <c:layout>
                <c:manualLayout>
                  <c:x val="4.5238954505686768E-2"/>
                  <c:y val="-0.1470747406574178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535-AD4E-9BC2-76BD39021103}"/>
                </c:ext>
              </c:extLst>
            </c:dLbl>
            <c:dLbl>
              <c:idx val="4"/>
              <c:layout>
                <c:manualLayout>
                  <c:x val="7.4495115193934064E-2"/>
                  <c:y val="6.9613173353330837E-2"/>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A535-AD4E-9BC2-76BD39021103}"/>
                </c:ext>
              </c:extLst>
            </c:dLbl>
            <c:dLbl>
              <c:idx val="5"/>
              <c:layout>
                <c:manualLayout>
                  <c:x val="2.228911490230388E-2"/>
                  <c:y val="0.10471191101112361"/>
                </c:manualLayout>
              </c:layout>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A535-AD4E-9BC2-76BD39021103}"/>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Sheet1!$A$2:$A$7</c:f>
              <c:strCache>
                <c:ptCount val="6"/>
                <c:pt idx="0">
                  <c:v>Less than, or a month</c:v>
                </c:pt>
                <c:pt idx="1">
                  <c:v>Over 1 till 3 months </c:v>
                </c:pt>
                <c:pt idx="2">
                  <c:v>Over 3 till 6 months</c:v>
                </c:pt>
                <c:pt idx="3">
                  <c:v>Over 6 till 12 months</c:v>
                </c:pt>
                <c:pt idx="4">
                  <c:v>More than 12 months</c:v>
                </c:pt>
                <c:pt idx="5">
                  <c:v>There won’t be business as usual</c:v>
                </c:pt>
              </c:strCache>
            </c:strRef>
          </c:cat>
          <c:val>
            <c:numRef>
              <c:f>Sheet1!$B$2:$B$7</c:f>
              <c:numCache>
                <c:formatCode>General</c:formatCode>
                <c:ptCount val="6"/>
                <c:pt idx="0">
                  <c:v>6</c:v>
                </c:pt>
                <c:pt idx="1">
                  <c:v>15</c:v>
                </c:pt>
                <c:pt idx="2">
                  <c:v>22</c:v>
                </c:pt>
                <c:pt idx="3">
                  <c:v>35</c:v>
                </c:pt>
                <c:pt idx="4">
                  <c:v>16</c:v>
                </c:pt>
                <c:pt idx="5">
                  <c:v>6</c:v>
                </c:pt>
              </c:numCache>
            </c:numRef>
          </c:val>
          <c:extLst>
            <c:ext xmlns:c16="http://schemas.microsoft.com/office/drawing/2014/chart" uri="{C3380CC4-5D6E-409C-BE32-E72D297353CC}">
              <c16:uniqueId val="{00000000-A535-AD4E-9BC2-76BD39021103}"/>
            </c:ext>
          </c:extLst>
        </c:ser>
        <c:dLbls>
          <c:dLblPos val="ctr"/>
          <c:showLegendKey val="0"/>
          <c:showVal val="0"/>
          <c:showCatName val="0"/>
          <c:showSerName val="0"/>
          <c:showPercent val="1"/>
          <c:showBubbleSize val="0"/>
          <c:showLeaderLines val="1"/>
        </c:dLbls>
        <c:firstSliceAng val="0"/>
      </c:pieChart>
      <c:spPr>
        <a:noFill/>
        <a:ln>
          <a:noFill/>
        </a:ln>
        <a:effectLst>
          <a:outerShdw blurRad="50800" dist="38100" dir="2700000" sx="65558" sy="65558" algn="tl" rotWithShape="0">
            <a:srgbClr val="7030A0">
              <a:alpha val="77253"/>
            </a:srgbClr>
          </a:outerShdw>
        </a:effectLst>
      </c:spPr>
    </c:plotArea>
    <c:legend>
      <c:legendPos val="r"/>
      <c:layout>
        <c:manualLayout>
          <c:xMode val="edge"/>
          <c:yMode val="edge"/>
          <c:x val="0.64857283464566928"/>
          <c:y val="6.3065866766654169E-2"/>
          <c:w val="0.33753827646544182"/>
          <c:h val="0.89361017372828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4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6">
        <a:lumMod val="20000"/>
        <a:lumOff val="80000"/>
        <a:alpha val="39904"/>
      </a:schemeClr>
    </a:solidFill>
    <a:ln w="9525" cap="flat" cmpd="sng" algn="ctr">
      <a:solidFill>
        <a:schemeClr val="dk1">
          <a:lumMod val="25000"/>
          <a:lumOff val="75000"/>
        </a:schemeClr>
      </a:solidFill>
      <a:round/>
    </a:ln>
    <a:effectLst>
      <a:glow rad="82862">
        <a:srgbClr val="F5D1F9">
          <a:alpha val="40000"/>
        </a:srgbClr>
      </a:glow>
      <a:outerShdw blurRad="99826" dir="6360000" sx="90000" sy="90000" algn="tl" rotWithShape="0">
        <a:schemeClr val="accent6">
          <a:lumMod val="20000"/>
          <a:lumOff val="80000"/>
          <a:alpha val="6000"/>
        </a:schemeClr>
      </a:outerShdw>
      <a:softEdge rad="91975"/>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dLbl>
              <c:idx val="0"/>
              <c:layout>
                <c:manualLayout>
                  <c:x val="3.3555701370666243E-4"/>
                  <c:y val="3.9682539682538232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E0C-E34F-B17B-70E0240A6A80}"/>
                </c:ext>
              </c:extLst>
            </c:dLbl>
            <c:dLbl>
              <c:idx val="1"/>
              <c:layout>
                <c:manualLayout>
                  <c:x val="3.3555701370661999E-4"/>
                  <c:y val="3.9682539682538232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E0C-E34F-B17B-70E0240A6A80}"/>
                </c:ext>
              </c:extLst>
            </c:dLbl>
            <c:dLbl>
              <c:idx val="2"/>
              <c:layout>
                <c:manualLayout>
                  <c:x val="-4.2940726159229883E-3"/>
                  <c:y val="7.9365079365079361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E0C-E34F-B17B-70E0240A6A80}"/>
                </c:ext>
              </c:extLst>
            </c:dLbl>
            <c:dLbl>
              <c:idx val="3"/>
              <c:layout>
                <c:manualLayout>
                  <c:x val="-4.2940726159229675E-3"/>
                  <c:y val="0"/>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E0C-E34F-B17B-70E0240A6A80}"/>
                </c:ext>
              </c:extLst>
            </c:dLbl>
            <c:dLbl>
              <c:idx val="4"/>
              <c:layout>
                <c:manualLayout>
                  <c:x val="3.3555701370661999E-4"/>
                  <c:y val="3.9682539682539316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E0C-E34F-B17B-70E0240A6A80}"/>
                </c:ext>
              </c:extLst>
            </c:dLbl>
            <c:dLbl>
              <c:idx val="5"/>
              <c:layout>
                <c:manualLayout>
                  <c:x val="-4.29407261592301E-3"/>
                  <c:y val="3.9682539682539498E-3"/>
                </c:manualLayout>
              </c:layout>
              <c:spPr>
                <a:noFill/>
                <a:ln>
                  <a:noFill/>
                </a:ln>
                <a:effectLst/>
              </c:spPr>
              <c:txPr>
                <a:bodyPr rot="0" spcFirstLastPara="1" vertOverflow="ellipsis" vert="horz" wrap="square" anchor="ctr" anchorCtr="1"/>
                <a:lstStyle/>
                <a:p>
                  <a:pPr>
                    <a:defRPr sz="1050" b="1" i="0" u="none" strike="noStrike" kern="1200" baseline="0">
                      <a:solidFill>
                        <a:schemeClr val="accent1">
                          <a:lumMod val="7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E0C-E34F-B17B-70E0240A6A80}"/>
                </c:ext>
              </c:extLst>
            </c:dLbl>
            <c:spPr>
              <a:noFill/>
              <a:ln>
                <a:noFill/>
              </a:ln>
              <a:effectLst/>
            </c:spPr>
            <c:txPr>
              <a:bodyPr rot="0" spcFirstLastPara="1" vertOverflow="ellipsis" vert="horz" wrap="square" anchor="ctr" anchorCtr="1"/>
              <a:lstStyle/>
              <a:p>
                <a:pPr>
                  <a:defRPr sz="105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Education</c:v>
                </c:pt>
                <c:pt idx="1">
                  <c:v>Rertail</c:v>
                </c:pt>
                <c:pt idx="2">
                  <c:v>Business &amp; Professional Services</c:v>
                </c:pt>
                <c:pt idx="3">
                  <c:v>Financial Services</c:v>
                </c:pt>
                <c:pt idx="4">
                  <c:v>Government</c:v>
                </c:pt>
                <c:pt idx="5">
                  <c:v>Healthcare</c:v>
                </c:pt>
              </c:strCache>
            </c:strRef>
          </c:cat>
          <c:val>
            <c:numRef>
              <c:f>Sheet1!$B$2:$B$7</c:f>
              <c:numCache>
                <c:formatCode>General</c:formatCode>
                <c:ptCount val="6"/>
                <c:pt idx="0">
                  <c:v>-60</c:v>
                </c:pt>
                <c:pt idx="1">
                  <c:v>-71</c:v>
                </c:pt>
                <c:pt idx="2">
                  <c:v>-63</c:v>
                </c:pt>
                <c:pt idx="3">
                  <c:v>-49</c:v>
                </c:pt>
                <c:pt idx="4">
                  <c:v>-29</c:v>
                </c:pt>
                <c:pt idx="5">
                  <c:v>-15</c:v>
                </c:pt>
              </c:numCache>
            </c:numRef>
          </c:val>
          <c:extLst>
            <c:ext xmlns:c16="http://schemas.microsoft.com/office/drawing/2014/chart" uri="{C3380CC4-5D6E-409C-BE32-E72D297353CC}">
              <c16:uniqueId val="{00000000-2E0C-E34F-B17B-70E0240A6A80}"/>
            </c:ext>
          </c:extLst>
        </c:ser>
        <c:dLbls>
          <c:dLblPos val="inEnd"/>
          <c:showLegendKey val="0"/>
          <c:showVal val="1"/>
          <c:showCatName val="0"/>
          <c:showSerName val="0"/>
          <c:showPercent val="0"/>
          <c:showBubbleSize val="0"/>
        </c:dLbls>
        <c:gapWidth val="65"/>
        <c:axId val="1059114480"/>
        <c:axId val="1059218624"/>
      </c:barChart>
      <c:catAx>
        <c:axId val="105911448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50" b="1" i="0" u="none" strike="noStrike" kern="1200" cap="all" baseline="0">
                <a:solidFill>
                  <a:schemeClr val="bg1"/>
                </a:solidFill>
                <a:latin typeface="+mn-lt"/>
                <a:ea typeface="+mn-ea"/>
                <a:cs typeface="+mn-cs"/>
              </a:defRPr>
            </a:pPr>
            <a:endParaRPr lang="en-US"/>
          </a:p>
        </c:txPr>
        <c:crossAx val="1059218624"/>
        <c:crosses val="autoZero"/>
        <c:auto val="1"/>
        <c:lblAlgn val="ctr"/>
        <c:lblOffset val="100"/>
        <c:noMultiLvlLbl val="0"/>
      </c:catAx>
      <c:valAx>
        <c:axId val="105921862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crossAx val="1059114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050" b="1"/>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7</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Gratsiela Dimitrova (2029951)</dc:creator>
  <cp:keywords/>
  <dc:description/>
  <cp:lastModifiedBy>Gratsiela Dimitrova (2029951)</cp:lastModifiedBy>
  <cp:revision>190</cp:revision>
  <dcterms:created xsi:type="dcterms:W3CDTF">2021-07-18T15:39:00Z</dcterms:created>
  <dcterms:modified xsi:type="dcterms:W3CDTF">2021-08-05T22:34:00Z</dcterms:modified>
</cp:coreProperties>
</file>