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0D318C" w14:textId="77777777" w:rsidR="00E84D55" w:rsidRPr="00DF54A9" w:rsidRDefault="00E84D55" w:rsidP="007A6679">
      <w:pPr>
        <w:pStyle w:val="NoSpacing"/>
        <w:jc w:val="both"/>
        <w:rPr>
          <w:b/>
          <w:bCs/>
          <w:lang w:eastAsia="en-GB"/>
        </w:rPr>
      </w:pPr>
    </w:p>
    <w:p w14:paraId="4532B6D4" w14:textId="77777777" w:rsidR="00E84D55" w:rsidRDefault="00E84D55" w:rsidP="00E84D55">
      <w:pPr>
        <w:spacing w:line="360" w:lineRule="auto"/>
        <w:rPr>
          <w:rFonts w:ascii="Times New Roman" w:hAnsi="Times New Roman"/>
          <w:b/>
          <w:bCs/>
          <w:sz w:val="32"/>
          <w:szCs w:val="32"/>
        </w:rPr>
      </w:pPr>
      <w:r>
        <w:rPr>
          <w:rFonts w:ascii="Times New Roman" w:hAnsi="Times New Roman"/>
          <w:b/>
          <w:bCs/>
          <w:sz w:val="32"/>
          <w:szCs w:val="32"/>
        </w:rPr>
        <w:t xml:space="preserve">      Questions and Guidelines for Assessment Component 1</w:t>
      </w:r>
    </w:p>
    <w:p w14:paraId="459CBD4E" w14:textId="77777777" w:rsidR="00E84D55" w:rsidRDefault="00E84D55" w:rsidP="00E84D55">
      <w:pPr>
        <w:spacing w:line="360" w:lineRule="auto"/>
      </w:pPr>
      <w:r>
        <w:rPr>
          <w:noProof/>
        </w:rPr>
        <w:drawing>
          <wp:inline distT="0" distB="0" distL="0" distR="0" wp14:anchorId="3E9D40DD" wp14:editId="31CE2791">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29172E75" w14:textId="77777777" w:rsidR="00E84D55" w:rsidRDefault="00E84D55" w:rsidP="00E84D55">
      <w:pPr>
        <w:spacing w:line="360" w:lineRule="auto"/>
        <w:rPr>
          <w:rStyle w:val="Strong"/>
          <w:rFonts w:ascii="Segoe UI" w:hAnsi="Segoe UI" w:cs="Segoe UI"/>
          <w:color w:val="1D2125"/>
        </w:rPr>
      </w:pPr>
    </w:p>
    <w:p w14:paraId="795DFF2A" w14:textId="77777777" w:rsidR="00E84D55" w:rsidRDefault="00E84D55" w:rsidP="00E84D55">
      <w:pPr>
        <w:spacing w:line="360" w:lineRule="auto"/>
        <w:rPr>
          <w:rStyle w:val="Strong"/>
          <w:rFonts w:ascii="Arial" w:hAnsi="Arial" w:cs="Arial"/>
          <w:color w:val="1D2125"/>
          <w:sz w:val="36"/>
          <w:szCs w:val="36"/>
        </w:rPr>
      </w:pPr>
    </w:p>
    <w:p w14:paraId="2612E519" w14:textId="77777777" w:rsidR="00E84D55" w:rsidRDefault="00E84D55" w:rsidP="00E84D55">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3DEBA6DB" w14:textId="77777777" w:rsidR="00E84D55" w:rsidRDefault="00E84D55" w:rsidP="00E84D5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Occupations (BMHP5014)</w:t>
      </w:r>
    </w:p>
    <w:p w14:paraId="146CF0EF" w14:textId="77777777" w:rsidR="00E84D55" w:rsidRDefault="00E84D55" w:rsidP="00E84D55">
      <w:pPr>
        <w:spacing w:line="360" w:lineRule="auto"/>
        <w:jc w:val="center"/>
        <w:rPr>
          <w:rStyle w:val="Strong"/>
          <w:rFonts w:ascii="Arial" w:hAnsi="Arial" w:cs="Arial"/>
          <w:color w:val="1D2125"/>
          <w:sz w:val="36"/>
          <w:szCs w:val="36"/>
        </w:rPr>
      </w:pPr>
    </w:p>
    <w:p w14:paraId="3263BE57" w14:textId="77777777" w:rsidR="00E84D55" w:rsidRDefault="00E84D55" w:rsidP="00E84D55">
      <w:pPr>
        <w:spacing w:line="360" w:lineRule="auto"/>
        <w:jc w:val="center"/>
        <w:rPr>
          <w:rStyle w:val="Strong"/>
          <w:rFonts w:ascii="Arial" w:hAnsi="Arial" w:cs="Arial"/>
          <w:color w:val="1D2125"/>
          <w:sz w:val="36"/>
          <w:szCs w:val="36"/>
        </w:rPr>
      </w:pPr>
    </w:p>
    <w:p w14:paraId="3789EE51" w14:textId="77777777" w:rsidR="00E84D55" w:rsidRDefault="00E84D55" w:rsidP="00E84D5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Online portfolio of set exercises</w:t>
      </w:r>
    </w:p>
    <w:p w14:paraId="418863AE" w14:textId="77777777" w:rsidR="00E84D55" w:rsidRDefault="00E84D55" w:rsidP="00E84D55">
      <w:pPr>
        <w:spacing w:line="360" w:lineRule="auto"/>
        <w:rPr>
          <w:rStyle w:val="Strong"/>
          <w:rFonts w:ascii="Arial" w:hAnsi="Arial" w:cs="Arial"/>
          <w:color w:val="1D2125"/>
          <w:sz w:val="32"/>
          <w:szCs w:val="32"/>
        </w:rPr>
      </w:pPr>
    </w:p>
    <w:p w14:paraId="2864E447" w14:textId="77777777" w:rsidR="00E84D55" w:rsidRPr="00462266" w:rsidRDefault="00E84D55" w:rsidP="00E84D55">
      <w:pPr>
        <w:spacing w:line="360" w:lineRule="auto"/>
        <w:rPr>
          <w:rStyle w:val="Strong"/>
          <w:rFonts w:ascii="Arial" w:hAnsi="Arial" w:cs="Arial"/>
          <w:color w:val="1D2125"/>
          <w:sz w:val="32"/>
          <w:szCs w:val="32"/>
        </w:rPr>
      </w:pPr>
      <w:r w:rsidRPr="00462266">
        <w:rPr>
          <w:rStyle w:val="Strong"/>
          <w:rFonts w:ascii="Arial" w:hAnsi="Arial" w:cs="Arial"/>
          <w:color w:val="1D2125"/>
          <w:sz w:val="32"/>
          <w:szCs w:val="32"/>
        </w:rPr>
        <w:t>Student name: PAULA GAVRILOAEI</w:t>
      </w:r>
    </w:p>
    <w:p w14:paraId="41963802" w14:textId="77777777" w:rsidR="00E84D55" w:rsidRPr="00462266" w:rsidRDefault="00E84D55" w:rsidP="00E84D55">
      <w:pPr>
        <w:spacing w:line="360" w:lineRule="auto"/>
        <w:rPr>
          <w:rStyle w:val="Strong"/>
          <w:rFonts w:ascii="Arial" w:hAnsi="Arial" w:cs="Arial"/>
          <w:color w:val="1D2125"/>
          <w:sz w:val="32"/>
          <w:szCs w:val="32"/>
        </w:rPr>
      </w:pPr>
      <w:r w:rsidRPr="00462266">
        <w:rPr>
          <w:rStyle w:val="Strong"/>
          <w:rFonts w:ascii="Arial" w:hAnsi="Arial" w:cs="Arial"/>
          <w:color w:val="1D2125"/>
          <w:sz w:val="32"/>
          <w:szCs w:val="32"/>
        </w:rPr>
        <w:t>Student number: 2415803</w:t>
      </w:r>
    </w:p>
    <w:p w14:paraId="3AEF71C1" w14:textId="2A529098" w:rsidR="00E84D55" w:rsidRDefault="00E84D55" w:rsidP="00E84D55">
      <w:pPr>
        <w:spacing w:line="360" w:lineRule="auto"/>
        <w:rPr>
          <w:rStyle w:val="Strong"/>
          <w:rFonts w:ascii="Arial" w:hAnsi="Arial" w:cs="Arial"/>
          <w:color w:val="1D2125"/>
          <w:sz w:val="32"/>
          <w:szCs w:val="32"/>
        </w:rPr>
      </w:pPr>
      <w:bookmarkStart w:id="0" w:name="OLE_LINK1"/>
      <w:r>
        <w:rPr>
          <w:rStyle w:val="Strong"/>
          <w:rFonts w:ascii="Arial" w:hAnsi="Arial" w:cs="Arial"/>
          <w:color w:val="1D2125"/>
          <w:sz w:val="32"/>
          <w:szCs w:val="32"/>
        </w:rPr>
        <w:t xml:space="preserve">Lecturer's name: </w:t>
      </w:r>
      <w:bookmarkEnd w:id="0"/>
      <w:r>
        <w:rPr>
          <w:rStyle w:val="Strong"/>
          <w:rFonts w:ascii="Arial" w:hAnsi="Arial" w:cs="Arial"/>
          <w:color w:val="1D2125"/>
          <w:sz w:val="32"/>
          <w:szCs w:val="32"/>
        </w:rPr>
        <w:t>LAILA SURANI</w:t>
      </w:r>
    </w:p>
    <w:p w14:paraId="0EEBC877" w14:textId="77777777" w:rsidR="00E84D55" w:rsidRDefault="00E84D55" w:rsidP="00E84D55">
      <w:pPr>
        <w:spacing w:line="360" w:lineRule="auto"/>
        <w:rPr>
          <w:sz w:val="36"/>
          <w:szCs w:val="36"/>
        </w:rPr>
      </w:pPr>
    </w:p>
    <w:p w14:paraId="06763E6C" w14:textId="77777777" w:rsidR="00E84D55" w:rsidRDefault="00E84D55" w:rsidP="00E84D55">
      <w:pPr>
        <w:spacing w:line="360" w:lineRule="auto"/>
        <w:rPr>
          <w:rFonts w:ascii="Arial" w:hAnsi="Arial" w:cs="Arial"/>
          <w:sz w:val="36"/>
          <w:szCs w:val="36"/>
        </w:rPr>
      </w:pPr>
    </w:p>
    <w:p w14:paraId="014569C3" w14:textId="77777777" w:rsidR="00E84D55" w:rsidRDefault="00E84D55" w:rsidP="00E84D55">
      <w:pPr>
        <w:spacing w:line="360" w:lineRule="auto"/>
        <w:rPr>
          <w:rFonts w:ascii="Arial" w:hAnsi="Arial" w:cs="Arial"/>
          <w:sz w:val="36"/>
          <w:szCs w:val="36"/>
        </w:rPr>
      </w:pPr>
    </w:p>
    <w:p w14:paraId="5EF71DFA" w14:textId="77777777" w:rsidR="00E84D55" w:rsidRPr="009B6836" w:rsidRDefault="00E84D55" w:rsidP="00E84D55">
      <w:pPr>
        <w:spacing w:line="360" w:lineRule="auto"/>
        <w:rPr>
          <w:rFonts w:ascii="Arial" w:hAnsi="Arial" w:cs="Arial"/>
          <w:b/>
          <w:bCs/>
          <w:sz w:val="20"/>
          <w:szCs w:val="20"/>
        </w:rPr>
      </w:pPr>
      <w:r w:rsidRPr="009B6836">
        <w:rPr>
          <w:rFonts w:ascii="Arial" w:hAnsi="Arial" w:cs="Arial"/>
          <w:b/>
          <w:bCs/>
          <w:sz w:val="20"/>
          <w:szCs w:val="20"/>
        </w:rPr>
        <w:lastRenderedPageBreak/>
        <w:t>TABLE OF CONTENTS</w:t>
      </w:r>
    </w:p>
    <w:p w14:paraId="4945EC3E" w14:textId="76715FF3" w:rsidR="00E84D55" w:rsidRPr="009B6E09" w:rsidRDefault="00E84D55" w:rsidP="00E84D55">
      <w:pPr>
        <w:spacing w:line="360" w:lineRule="auto"/>
        <w:rPr>
          <w:rFonts w:ascii="Arial" w:hAnsi="Arial" w:cs="Arial"/>
        </w:rPr>
      </w:pPr>
      <w:r w:rsidRPr="009B6E09">
        <w:rPr>
          <w:rFonts w:ascii="Arial" w:hAnsi="Arial" w:cs="Arial"/>
        </w:rPr>
        <w:t xml:space="preserve">Innovation ........................................................................... </w:t>
      </w:r>
      <w:r w:rsidR="00D2416D" w:rsidRPr="009B6E09">
        <w:rPr>
          <w:rFonts w:ascii="Arial" w:hAnsi="Arial" w:cs="Arial"/>
        </w:rPr>
        <w:t>3</w:t>
      </w:r>
    </w:p>
    <w:p w14:paraId="1A84E576" w14:textId="77777777" w:rsidR="00E84D55" w:rsidRPr="009B6E09" w:rsidRDefault="00E84D55" w:rsidP="00E84D55">
      <w:pPr>
        <w:spacing w:line="360" w:lineRule="auto"/>
        <w:rPr>
          <w:rFonts w:ascii="Arial" w:hAnsi="Arial" w:cs="Arial"/>
        </w:rPr>
      </w:pPr>
      <w:r w:rsidRPr="009B6E09">
        <w:rPr>
          <w:rFonts w:ascii="Arial" w:hAnsi="Arial" w:cs="Arial"/>
        </w:rPr>
        <w:t>Value Creation ..................................................................... 3</w:t>
      </w:r>
    </w:p>
    <w:p w14:paraId="776398A9" w14:textId="77777777" w:rsidR="00E84D55" w:rsidRPr="009B6E09" w:rsidRDefault="00E84D55" w:rsidP="00E84D55">
      <w:pPr>
        <w:spacing w:line="360" w:lineRule="auto"/>
        <w:rPr>
          <w:rFonts w:ascii="Arial" w:hAnsi="Arial" w:cs="Arial"/>
        </w:rPr>
      </w:pPr>
      <w:r w:rsidRPr="009B6E09">
        <w:rPr>
          <w:rFonts w:ascii="Arial" w:hAnsi="Arial" w:cs="Arial"/>
        </w:rPr>
        <w:t>Creativity ............................................................................ 3</w:t>
      </w:r>
    </w:p>
    <w:p w14:paraId="42E47F75" w14:textId="77777777" w:rsidR="00E84D55" w:rsidRPr="009B6E09" w:rsidRDefault="00E84D55" w:rsidP="00E84D55">
      <w:pPr>
        <w:spacing w:line="360" w:lineRule="auto"/>
        <w:rPr>
          <w:rFonts w:ascii="Arial" w:hAnsi="Arial" w:cs="Arial"/>
        </w:rPr>
      </w:pPr>
      <w:r w:rsidRPr="009B6E09">
        <w:rPr>
          <w:rFonts w:ascii="Arial" w:hAnsi="Arial" w:cs="Arial"/>
        </w:rPr>
        <w:t>Change ................................................................................ 3</w:t>
      </w:r>
    </w:p>
    <w:p w14:paraId="52FA9347" w14:textId="6DBB5400" w:rsidR="00E84D55" w:rsidRPr="009B6E09" w:rsidRDefault="00E84D55" w:rsidP="00E84D55">
      <w:pPr>
        <w:spacing w:line="360" w:lineRule="auto"/>
        <w:rPr>
          <w:rFonts w:ascii="Arial" w:hAnsi="Arial" w:cs="Arial"/>
        </w:rPr>
      </w:pPr>
      <w:r w:rsidRPr="009B6E09">
        <w:rPr>
          <w:rFonts w:ascii="Arial" w:hAnsi="Arial" w:cs="Arial"/>
        </w:rPr>
        <w:t xml:space="preserve">Example from Health or Social Care Practice .................... </w:t>
      </w:r>
      <w:r w:rsidR="009B6836" w:rsidRPr="009B6E09">
        <w:rPr>
          <w:rFonts w:ascii="Arial" w:hAnsi="Arial" w:cs="Arial"/>
        </w:rPr>
        <w:t>4</w:t>
      </w:r>
    </w:p>
    <w:p w14:paraId="71F0FA95" w14:textId="24891C08" w:rsidR="00E84D55" w:rsidRPr="009B6E09" w:rsidRDefault="00E84D55" w:rsidP="00E84D55">
      <w:pPr>
        <w:spacing w:line="360" w:lineRule="auto"/>
        <w:rPr>
          <w:rFonts w:ascii="Arial" w:hAnsi="Arial" w:cs="Arial"/>
        </w:rPr>
      </w:pPr>
      <w:r w:rsidRPr="009B6E09">
        <w:rPr>
          <w:rFonts w:ascii="Arial" w:hAnsi="Arial" w:cs="Arial"/>
        </w:rPr>
        <w:t xml:space="preserve"> Long Wait Times in Health &amp; Social Care ...</w:t>
      </w:r>
      <w:r w:rsidR="009B6836" w:rsidRPr="009B6E09">
        <w:rPr>
          <w:rFonts w:ascii="Arial" w:hAnsi="Arial" w:cs="Arial"/>
        </w:rPr>
        <w:t>......................</w:t>
      </w:r>
      <w:r w:rsidRPr="009B6E09">
        <w:rPr>
          <w:rFonts w:ascii="Arial" w:hAnsi="Arial" w:cs="Arial"/>
        </w:rPr>
        <w:t xml:space="preserve"> 4</w:t>
      </w:r>
      <w:r w:rsidR="009B6836" w:rsidRPr="009B6E09">
        <w:rPr>
          <w:rFonts w:ascii="Arial" w:hAnsi="Arial" w:cs="Arial"/>
        </w:rPr>
        <w:t>..5</w:t>
      </w:r>
    </w:p>
    <w:p w14:paraId="44CA26A2" w14:textId="42006CF2" w:rsidR="00E84D55" w:rsidRPr="009B6E09" w:rsidRDefault="00E84D55" w:rsidP="00E84D55">
      <w:pPr>
        <w:spacing w:line="360" w:lineRule="auto"/>
        <w:rPr>
          <w:rFonts w:ascii="Arial" w:hAnsi="Arial" w:cs="Arial"/>
        </w:rPr>
      </w:pPr>
      <w:r w:rsidRPr="009B6E09">
        <w:rPr>
          <w:rFonts w:ascii="Arial" w:hAnsi="Arial" w:cs="Arial"/>
        </w:rPr>
        <w:t xml:space="preserve">Self-Reflection of Group Activity ........................................ </w:t>
      </w:r>
      <w:r w:rsidR="009B6836" w:rsidRPr="009B6E09">
        <w:rPr>
          <w:rFonts w:ascii="Arial" w:hAnsi="Arial" w:cs="Arial"/>
        </w:rPr>
        <w:t>5</w:t>
      </w:r>
    </w:p>
    <w:p w14:paraId="1260EE0C" w14:textId="07EF5DC1" w:rsidR="00E84D55" w:rsidRPr="009B6E09" w:rsidRDefault="00E84D55" w:rsidP="00E84D55">
      <w:pPr>
        <w:spacing w:line="360" w:lineRule="auto"/>
        <w:rPr>
          <w:rFonts w:ascii="Arial" w:hAnsi="Arial" w:cs="Arial"/>
        </w:rPr>
      </w:pPr>
      <w:r w:rsidRPr="009B6E09">
        <w:rPr>
          <w:rFonts w:ascii="Arial" w:hAnsi="Arial" w:cs="Arial"/>
        </w:rPr>
        <w:t xml:space="preserve">Case Study Analysis............................................................ </w:t>
      </w:r>
      <w:r w:rsidR="00FF7238" w:rsidRPr="009B6E09">
        <w:rPr>
          <w:rFonts w:ascii="Arial" w:hAnsi="Arial" w:cs="Arial"/>
        </w:rPr>
        <w:t>5</w:t>
      </w:r>
      <w:r w:rsidR="00A93ED2" w:rsidRPr="009B6E09">
        <w:rPr>
          <w:rFonts w:ascii="Arial" w:hAnsi="Arial" w:cs="Arial"/>
        </w:rPr>
        <w:t>…</w:t>
      </w:r>
      <w:r w:rsidR="004F018B" w:rsidRPr="009B6E09">
        <w:rPr>
          <w:rFonts w:ascii="Arial" w:hAnsi="Arial" w:cs="Arial"/>
        </w:rPr>
        <w:t>6</w:t>
      </w:r>
    </w:p>
    <w:p w14:paraId="2B990DF7" w14:textId="20EA15EC" w:rsidR="00E84D55" w:rsidRPr="009B6E09" w:rsidRDefault="00E84D55" w:rsidP="00E84D55">
      <w:pPr>
        <w:spacing w:line="360" w:lineRule="auto"/>
        <w:rPr>
          <w:rFonts w:ascii="Arial" w:hAnsi="Arial" w:cs="Arial"/>
        </w:rPr>
      </w:pPr>
      <w:r w:rsidRPr="009B6E09">
        <w:rPr>
          <w:rFonts w:ascii="Arial" w:hAnsi="Arial" w:cs="Arial"/>
        </w:rPr>
        <w:t xml:space="preserve">Creativity Helped Address the Problem ............................. </w:t>
      </w:r>
      <w:r w:rsidR="004F018B" w:rsidRPr="009B6E09">
        <w:rPr>
          <w:rFonts w:ascii="Arial" w:hAnsi="Arial" w:cs="Arial"/>
        </w:rPr>
        <w:t>6</w:t>
      </w:r>
    </w:p>
    <w:p w14:paraId="29B97AC6" w14:textId="7539924F" w:rsidR="00E84D55" w:rsidRPr="009B6E09" w:rsidRDefault="00E84D55" w:rsidP="00E84D55">
      <w:pPr>
        <w:spacing w:line="360" w:lineRule="auto"/>
        <w:rPr>
          <w:rFonts w:ascii="Arial" w:hAnsi="Arial" w:cs="Arial"/>
        </w:rPr>
      </w:pPr>
      <w:r w:rsidRPr="009B6E09">
        <w:rPr>
          <w:rFonts w:ascii="Arial" w:hAnsi="Arial" w:cs="Arial"/>
        </w:rPr>
        <w:t xml:space="preserve">Value Was Created for Service Users, Staff, and Systems .... </w:t>
      </w:r>
      <w:r w:rsidR="004F018B" w:rsidRPr="009B6E09">
        <w:rPr>
          <w:rFonts w:ascii="Arial" w:hAnsi="Arial" w:cs="Arial"/>
        </w:rPr>
        <w:t>6</w:t>
      </w:r>
    </w:p>
    <w:p w14:paraId="4BA7C0B1" w14:textId="3D422041" w:rsidR="00E84D55" w:rsidRPr="009B6E09" w:rsidRDefault="00E84D55" w:rsidP="00E84D55">
      <w:pPr>
        <w:spacing w:line="360" w:lineRule="auto"/>
        <w:rPr>
          <w:rFonts w:ascii="Arial" w:hAnsi="Arial" w:cs="Arial"/>
        </w:rPr>
      </w:pPr>
      <w:r w:rsidRPr="009B6E09">
        <w:rPr>
          <w:rFonts w:ascii="Arial" w:hAnsi="Arial" w:cs="Arial"/>
        </w:rPr>
        <w:t>Long Wait Times in the NHS .......................</w:t>
      </w:r>
      <w:r w:rsidR="009B6836" w:rsidRPr="009B6E09">
        <w:rPr>
          <w:rFonts w:ascii="Arial" w:hAnsi="Arial" w:cs="Arial"/>
        </w:rPr>
        <w:t>..........................</w:t>
      </w:r>
      <w:r w:rsidRPr="009B6E09">
        <w:rPr>
          <w:rFonts w:ascii="Arial" w:hAnsi="Arial" w:cs="Arial"/>
        </w:rPr>
        <w:t xml:space="preserve"> </w:t>
      </w:r>
      <w:r w:rsidR="004B38C3" w:rsidRPr="009B6E09">
        <w:rPr>
          <w:rFonts w:ascii="Arial" w:hAnsi="Arial" w:cs="Arial"/>
        </w:rPr>
        <w:t>7</w:t>
      </w:r>
    </w:p>
    <w:p w14:paraId="7D981A11" w14:textId="116CD723" w:rsidR="00E84D55" w:rsidRPr="009B6E09" w:rsidRDefault="00E84D55" w:rsidP="00E84D55">
      <w:pPr>
        <w:spacing w:line="360" w:lineRule="auto"/>
        <w:rPr>
          <w:rFonts w:ascii="Arial" w:hAnsi="Arial" w:cs="Arial"/>
        </w:rPr>
      </w:pPr>
      <w:r w:rsidRPr="009B6E09">
        <w:rPr>
          <w:rFonts w:ascii="Arial" w:hAnsi="Arial" w:cs="Arial"/>
        </w:rPr>
        <w:t xml:space="preserve">Paling et al. (2020) – Emergency Medicine Journal: Main findings ........................................................................ </w:t>
      </w:r>
      <w:r w:rsidR="0016491D" w:rsidRPr="009B6E09">
        <w:rPr>
          <w:rFonts w:ascii="Arial" w:hAnsi="Arial" w:cs="Arial"/>
        </w:rPr>
        <w:t>7</w:t>
      </w:r>
    </w:p>
    <w:p w14:paraId="4F2D013A" w14:textId="0F108751" w:rsidR="00E84D55" w:rsidRPr="009B6E09" w:rsidRDefault="00E84D55" w:rsidP="00E84D55">
      <w:pPr>
        <w:spacing w:line="360" w:lineRule="auto"/>
        <w:rPr>
          <w:rFonts w:ascii="Arial" w:hAnsi="Arial" w:cs="Arial"/>
        </w:rPr>
      </w:pPr>
      <w:r w:rsidRPr="009B6E09">
        <w:rPr>
          <w:rFonts w:ascii="Arial" w:hAnsi="Arial" w:cs="Arial"/>
        </w:rPr>
        <w:t xml:space="preserve">Gaughan et al. (2019) – European Journal of Health Economics .................................................................... </w:t>
      </w:r>
      <w:r w:rsidR="0016491D" w:rsidRPr="009B6E09">
        <w:rPr>
          <w:rFonts w:ascii="Arial" w:hAnsi="Arial" w:cs="Arial"/>
        </w:rPr>
        <w:t>7</w:t>
      </w:r>
    </w:p>
    <w:p w14:paraId="0C94DC13" w14:textId="19255959" w:rsidR="00E84D55" w:rsidRPr="009B6E09" w:rsidRDefault="00E84D55" w:rsidP="00E84D55">
      <w:pPr>
        <w:spacing w:line="360" w:lineRule="auto"/>
        <w:rPr>
          <w:rFonts w:ascii="Arial" w:hAnsi="Arial" w:cs="Arial"/>
        </w:rPr>
      </w:pPr>
      <w:r w:rsidRPr="009B6E09">
        <w:rPr>
          <w:rFonts w:ascii="Arial" w:hAnsi="Arial" w:cs="Arial"/>
        </w:rPr>
        <w:t xml:space="preserve">Exploring Digital Innovation in Health and Social Care ....... </w:t>
      </w:r>
      <w:r w:rsidR="009B6836" w:rsidRPr="009B6E09">
        <w:rPr>
          <w:rFonts w:ascii="Arial" w:hAnsi="Arial" w:cs="Arial"/>
        </w:rPr>
        <w:t>8</w:t>
      </w:r>
    </w:p>
    <w:p w14:paraId="45CB7BC0" w14:textId="09E4F287" w:rsidR="00E84D55" w:rsidRPr="009B6E09" w:rsidRDefault="00E84D55" w:rsidP="00E84D55">
      <w:pPr>
        <w:spacing w:line="360" w:lineRule="auto"/>
        <w:rPr>
          <w:rFonts w:ascii="Arial" w:hAnsi="Arial" w:cs="Arial"/>
        </w:rPr>
      </w:pPr>
      <w:r w:rsidRPr="009B6E09">
        <w:rPr>
          <w:rFonts w:ascii="Arial" w:hAnsi="Arial" w:cs="Arial"/>
        </w:rPr>
        <w:t>Benefit of Wearable Health Technologies .............................</w:t>
      </w:r>
      <w:r w:rsidR="009B6836" w:rsidRPr="009B6E09">
        <w:rPr>
          <w:rFonts w:ascii="Arial" w:hAnsi="Arial" w:cs="Arial"/>
        </w:rPr>
        <w:t>8</w:t>
      </w:r>
    </w:p>
    <w:p w14:paraId="77C67891" w14:textId="7FEB286B" w:rsidR="00E84D55" w:rsidRPr="009B6E09" w:rsidRDefault="00E84D55" w:rsidP="00E84D55">
      <w:pPr>
        <w:spacing w:line="360" w:lineRule="auto"/>
        <w:rPr>
          <w:rFonts w:ascii="Arial" w:hAnsi="Arial" w:cs="Arial"/>
        </w:rPr>
      </w:pPr>
      <w:r w:rsidRPr="009B6E09">
        <w:rPr>
          <w:rFonts w:ascii="Arial" w:hAnsi="Arial" w:cs="Arial"/>
        </w:rPr>
        <w:t xml:space="preserve">Leadership Behaviour ..................................................... </w:t>
      </w:r>
      <w:r w:rsidR="007346CD" w:rsidRPr="009B6E09">
        <w:rPr>
          <w:rFonts w:ascii="Arial" w:hAnsi="Arial" w:cs="Arial"/>
        </w:rPr>
        <w:t>8</w:t>
      </w:r>
    </w:p>
    <w:p w14:paraId="140C4578" w14:textId="6E308557" w:rsidR="00E84D55" w:rsidRPr="009B6E09" w:rsidRDefault="00E84D55" w:rsidP="00E84D55">
      <w:pPr>
        <w:spacing w:line="360" w:lineRule="auto"/>
        <w:rPr>
          <w:rFonts w:ascii="Arial" w:hAnsi="Arial" w:cs="Arial"/>
        </w:rPr>
      </w:pPr>
      <w:r w:rsidRPr="009B6E09">
        <w:rPr>
          <w:rFonts w:ascii="Arial" w:hAnsi="Arial" w:cs="Arial"/>
        </w:rPr>
        <w:t>Self</w:t>
      </w:r>
      <w:r w:rsidRPr="009B6E09">
        <w:rPr>
          <w:rFonts w:ascii="Cambria Math" w:hAnsi="Cambria Math" w:cs="Cambria Math"/>
        </w:rPr>
        <w:t>‑</w:t>
      </w:r>
      <w:r w:rsidRPr="009B6E09">
        <w:rPr>
          <w:rFonts w:ascii="Arial" w:hAnsi="Arial" w:cs="Arial"/>
        </w:rPr>
        <w:t xml:space="preserve">Reflection Journal Entry ............................................ </w:t>
      </w:r>
      <w:r w:rsidR="009B6836" w:rsidRPr="009B6E09">
        <w:rPr>
          <w:rFonts w:ascii="Arial" w:hAnsi="Arial" w:cs="Arial"/>
        </w:rPr>
        <w:t>9</w:t>
      </w:r>
      <w:r w:rsidR="009A18E0" w:rsidRPr="009B6E09">
        <w:rPr>
          <w:rFonts w:ascii="Arial" w:hAnsi="Arial" w:cs="Arial"/>
        </w:rPr>
        <w:t>.10</w:t>
      </w:r>
    </w:p>
    <w:p w14:paraId="05E64CC9" w14:textId="11FD3E42" w:rsidR="00BA0CC9" w:rsidRPr="009B6E09" w:rsidRDefault="00E84D55" w:rsidP="00BA0CC9">
      <w:pPr>
        <w:spacing w:line="360" w:lineRule="auto"/>
        <w:rPr>
          <w:rFonts w:ascii="Arial" w:hAnsi="Arial" w:cs="Arial"/>
        </w:rPr>
      </w:pPr>
      <w:r w:rsidRPr="009B6E09">
        <w:rPr>
          <w:rFonts w:ascii="Arial" w:hAnsi="Arial" w:cs="Arial"/>
        </w:rPr>
        <w:t>References ......................................................................</w:t>
      </w:r>
      <w:r w:rsidR="009A18E0" w:rsidRPr="009B6E09">
        <w:rPr>
          <w:rFonts w:ascii="Arial" w:hAnsi="Arial" w:cs="Arial"/>
        </w:rPr>
        <w:t>10.11</w:t>
      </w:r>
    </w:p>
    <w:p w14:paraId="26EE0A94" w14:textId="77777777" w:rsidR="009A18E0" w:rsidRDefault="009A18E0" w:rsidP="00BA0CC9">
      <w:pPr>
        <w:spacing w:line="360" w:lineRule="auto"/>
        <w:rPr>
          <w:rFonts w:ascii="Arial" w:hAnsi="Arial" w:cs="Arial"/>
          <w:sz w:val="20"/>
          <w:szCs w:val="20"/>
        </w:rPr>
      </w:pPr>
    </w:p>
    <w:p w14:paraId="6D469B74" w14:textId="77777777" w:rsidR="009A18E0" w:rsidRDefault="009A18E0" w:rsidP="00BA0CC9">
      <w:pPr>
        <w:spacing w:line="360" w:lineRule="auto"/>
        <w:rPr>
          <w:rFonts w:ascii="Arial" w:hAnsi="Arial" w:cs="Arial"/>
          <w:sz w:val="20"/>
          <w:szCs w:val="20"/>
        </w:rPr>
      </w:pPr>
    </w:p>
    <w:p w14:paraId="07C54335" w14:textId="77777777" w:rsidR="009A18E0" w:rsidRDefault="009A18E0" w:rsidP="00BA0CC9">
      <w:pPr>
        <w:spacing w:line="360" w:lineRule="auto"/>
        <w:rPr>
          <w:rFonts w:ascii="Arial" w:hAnsi="Arial" w:cs="Arial"/>
          <w:sz w:val="20"/>
          <w:szCs w:val="20"/>
        </w:rPr>
      </w:pPr>
    </w:p>
    <w:p w14:paraId="3BBDA214" w14:textId="77777777" w:rsidR="009A18E0" w:rsidRDefault="009A18E0" w:rsidP="00BA0CC9">
      <w:pPr>
        <w:spacing w:line="360" w:lineRule="auto"/>
        <w:rPr>
          <w:rFonts w:ascii="Arial" w:hAnsi="Arial" w:cs="Arial"/>
          <w:sz w:val="20"/>
          <w:szCs w:val="20"/>
        </w:rPr>
      </w:pPr>
    </w:p>
    <w:p w14:paraId="11D7355A" w14:textId="77777777" w:rsidR="009A18E0" w:rsidRDefault="009A18E0" w:rsidP="00BA0CC9">
      <w:pPr>
        <w:spacing w:line="360" w:lineRule="auto"/>
        <w:rPr>
          <w:rFonts w:ascii="Arial" w:hAnsi="Arial" w:cs="Arial"/>
          <w:sz w:val="20"/>
          <w:szCs w:val="20"/>
        </w:rPr>
      </w:pPr>
    </w:p>
    <w:p w14:paraId="483D5AB9" w14:textId="77777777" w:rsidR="009A18E0" w:rsidRDefault="009A18E0" w:rsidP="00BA0CC9">
      <w:pPr>
        <w:spacing w:line="360" w:lineRule="auto"/>
        <w:rPr>
          <w:rFonts w:ascii="Arial" w:hAnsi="Arial" w:cs="Arial"/>
          <w:sz w:val="20"/>
          <w:szCs w:val="20"/>
        </w:rPr>
      </w:pPr>
    </w:p>
    <w:p w14:paraId="1F5BF0CE" w14:textId="23DB339A" w:rsidR="00BA0CC9" w:rsidRPr="009E66B7" w:rsidRDefault="00BA0CC9" w:rsidP="00BA0CC9">
      <w:pPr>
        <w:spacing w:line="360" w:lineRule="auto"/>
        <w:rPr>
          <w:rFonts w:ascii="Arial" w:hAnsi="Arial" w:cs="Arial"/>
          <w:b/>
          <w:bCs/>
          <w:sz w:val="20"/>
          <w:szCs w:val="20"/>
        </w:rPr>
      </w:pPr>
      <w:r w:rsidRPr="009E66B7">
        <w:rPr>
          <w:rFonts w:ascii="Arial" w:eastAsia="Times New Roman" w:hAnsi="Arial" w:cs="Arial"/>
          <w:b/>
          <w:bCs/>
          <w:kern w:val="36"/>
          <w:lang w:eastAsia="en-GB"/>
        </w:rPr>
        <w:t>Module Assignment: Creativity, Innovation and Value Creation in Health and Social Care</w:t>
      </w:r>
    </w:p>
    <w:p w14:paraId="041484EA" w14:textId="126C6043" w:rsidR="00BA0CC9" w:rsidRPr="00BA0CC9" w:rsidRDefault="00BA0CC9" w:rsidP="009E66B7">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I</w:t>
      </w:r>
      <w:r w:rsidRPr="00BA0CC9">
        <w:rPr>
          <w:rFonts w:ascii="Arial" w:eastAsia="Times New Roman" w:hAnsi="Arial" w:cs="Arial"/>
          <w:b/>
          <w:bCs/>
          <w:kern w:val="0"/>
          <w:lang w:eastAsia="en-GB"/>
        </w:rPr>
        <w:t>ntroduction</w:t>
      </w:r>
    </w:p>
    <w:p w14:paraId="223BC167"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Creativity, innovation, and value creation are becoming increasingly important in health and social care, especially as services face rising complexity, limited resources, and diverse patient needs. Throughout this module, I have explored how creative thinking supports problem solving, improves communication, and leads to more person</w:t>
      </w:r>
      <w:r w:rsidRPr="00BA0CC9">
        <w:rPr>
          <w:rFonts w:ascii="Arial" w:eastAsia="Times New Roman" w:hAnsi="Arial" w:cs="Arial"/>
          <w:kern w:val="0"/>
          <w:lang w:eastAsia="en-GB"/>
        </w:rPr>
        <w:noBreakHyphen/>
        <w:t>centred approaches. The activities—such as analysing real NHS innovations, using divergent and convergent thinking, and applying leadership behaviours—helped me understand that creativity is not only about new technology but also about rethinking everyday practice. Innovation becomes meaningful when it adds value for service users, whether through improved safety, better experiences, or more effective care pathways. This assignment sets out my learning, analysis, and reflection on how these concepts apply to real</w:t>
      </w:r>
      <w:r w:rsidRPr="00BA0CC9">
        <w:rPr>
          <w:rFonts w:ascii="Arial" w:eastAsia="Times New Roman" w:hAnsi="Arial" w:cs="Arial"/>
          <w:kern w:val="0"/>
          <w:lang w:eastAsia="en-GB"/>
        </w:rPr>
        <w:noBreakHyphen/>
        <w:t>world health and social care, and how I can apply this understanding in future professional roles.</w:t>
      </w:r>
    </w:p>
    <w:p w14:paraId="1860ACC8" w14:textId="770AA5A0" w:rsidR="009E66B7" w:rsidRDefault="00BA0CC9" w:rsidP="009E66B7">
      <w:pPr>
        <w:spacing w:after="0" w:line="360" w:lineRule="atLeast"/>
        <w:rPr>
          <w:rFonts w:ascii="Arial" w:eastAsia="Times New Roman" w:hAnsi="Arial" w:cs="Arial"/>
          <w:b/>
          <w:bCs/>
          <w:kern w:val="0"/>
          <w:lang w:eastAsia="en-GB"/>
        </w:rPr>
      </w:pPr>
      <w:r w:rsidRPr="00BA0CC9">
        <w:rPr>
          <w:rFonts w:ascii="Arial" w:eastAsia="Times New Roman" w:hAnsi="Arial" w:cs="Arial"/>
          <w:b/>
          <w:bCs/>
          <w:kern w:val="0"/>
          <w:lang w:eastAsia="en-GB"/>
        </w:rPr>
        <w:t xml:space="preserve">Task 1 – Defining Key Concepts in </w:t>
      </w:r>
      <w:r w:rsidR="009E66B7" w:rsidRPr="00BA0CC9">
        <w:rPr>
          <w:rFonts w:ascii="Arial" w:eastAsia="Times New Roman" w:hAnsi="Arial" w:cs="Arial"/>
          <w:b/>
          <w:bCs/>
          <w:kern w:val="0"/>
          <w:lang w:eastAsia="en-GB"/>
        </w:rPr>
        <w:t>Practice</w:t>
      </w:r>
    </w:p>
    <w:p w14:paraId="1025FE28" w14:textId="3DD4662D" w:rsidR="00BA0CC9" w:rsidRPr="009E66B7" w:rsidRDefault="009E66B7" w:rsidP="009E66B7">
      <w:pPr>
        <w:spacing w:after="0" w:line="360" w:lineRule="atLeast"/>
        <w:rPr>
          <w:rFonts w:ascii="Arial" w:eastAsia="Times New Roman" w:hAnsi="Arial" w:cs="Arial"/>
          <w:kern w:val="0"/>
          <w:lang w:eastAsia="en-GB"/>
        </w:rPr>
      </w:pPr>
      <w:r>
        <w:rPr>
          <w:rFonts w:ascii="Arial" w:eastAsia="Times New Roman" w:hAnsi="Arial" w:cs="Arial"/>
          <w:b/>
          <w:bCs/>
          <w:kern w:val="0"/>
          <w:lang w:eastAsia="en-GB"/>
        </w:rPr>
        <w:t>I</w:t>
      </w:r>
      <w:r w:rsidR="00BA0CC9" w:rsidRPr="00BA0CC9">
        <w:rPr>
          <w:rFonts w:ascii="Arial" w:eastAsia="Times New Roman" w:hAnsi="Arial" w:cs="Arial"/>
          <w:b/>
          <w:bCs/>
          <w:kern w:val="0"/>
          <w:lang w:eastAsia="en-GB"/>
        </w:rPr>
        <w:t>nnovation</w:t>
      </w:r>
    </w:p>
    <w:p w14:paraId="70A80F35" w14:textId="428A10A7" w:rsidR="009E66B7" w:rsidRDefault="00BA0CC9" w:rsidP="009E66B7">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 xml:space="preserve">Innovation refers to introducing new or improved ideas, services, or processes that create better outcomes (Tidd &amp; Bessant, 2020). In mental health care, innovation became essential as the NHS faced rising demand, long waiting lists, and limited access to talking therapies. Many people waited months for treatment, increasing the risk of deterioration. The National Institute for Health and Care Excellence (NICE) </w:t>
      </w:r>
      <w:r w:rsidR="009E66B7" w:rsidRPr="00BA0CC9">
        <w:rPr>
          <w:rFonts w:ascii="Arial" w:eastAsia="Times New Roman" w:hAnsi="Arial" w:cs="Arial"/>
          <w:kern w:val="0"/>
          <w:lang w:eastAsia="en-GB"/>
        </w:rPr>
        <w:t>showed</w:t>
      </w:r>
      <w:r w:rsidRPr="00BA0CC9">
        <w:rPr>
          <w:rFonts w:ascii="Arial" w:eastAsia="Times New Roman" w:hAnsi="Arial" w:cs="Arial"/>
          <w:kern w:val="0"/>
          <w:lang w:eastAsia="en-GB"/>
        </w:rPr>
        <w:t xml:space="preserve"> a need for safe, evidence</w:t>
      </w:r>
      <w:r w:rsidRPr="00BA0CC9">
        <w:rPr>
          <w:rFonts w:ascii="Arial" w:eastAsia="Times New Roman" w:hAnsi="Arial" w:cs="Arial"/>
          <w:kern w:val="0"/>
          <w:lang w:eastAsia="en-GB"/>
        </w:rPr>
        <w:noBreakHyphen/>
        <w:t>based digital therapy tools to expand access and reduce pressure on services.</w:t>
      </w:r>
    </w:p>
    <w:p w14:paraId="71F1E9AA" w14:textId="0F63545C" w:rsidR="00BA0CC9" w:rsidRPr="009E66B7" w:rsidRDefault="00BA0CC9" w:rsidP="009E66B7">
      <w:pPr>
        <w:spacing w:after="0" w:line="360" w:lineRule="atLeast"/>
        <w:rPr>
          <w:rFonts w:ascii="Arial" w:eastAsia="Times New Roman" w:hAnsi="Arial" w:cs="Arial"/>
          <w:kern w:val="0"/>
          <w:lang w:eastAsia="en-GB"/>
        </w:rPr>
      </w:pPr>
      <w:r w:rsidRPr="00BA0CC9">
        <w:rPr>
          <w:rFonts w:ascii="Arial" w:eastAsia="Times New Roman" w:hAnsi="Arial" w:cs="Arial"/>
          <w:b/>
          <w:bCs/>
          <w:kern w:val="0"/>
          <w:lang w:eastAsia="en-GB"/>
        </w:rPr>
        <w:t>Creativity</w:t>
      </w:r>
    </w:p>
    <w:p w14:paraId="689E1EBC"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Creativity is the ability to generate original ideas, think differently, and imagine new possibilities (Robinson, 2017). Creativity helped redesign traditional therapy by combining cognitive behavioural therapy (CBT), interactive exercises, mood tracking, and guided digital modules into accessible apps and online programmes. This allowed therapy to be delivered flexibly, privately, and outside clinical settings, enabling self</w:t>
      </w:r>
      <w:r w:rsidRPr="00BA0CC9">
        <w:rPr>
          <w:rFonts w:ascii="Arial" w:eastAsia="Times New Roman" w:hAnsi="Arial" w:cs="Arial"/>
          <w:kern w:val="0"/>
          <w:lang w:eastAsia="en-GB"/>
        </w:rPr>
        <w:noBreakHyphen/>
        <w:t>guided learning, gamified activities, and AI</w:t>
      </w:r>
      <w:r w:rsidRPr="00BA0CC9">
        <w:rPr>
          <w:rFonts w:ascii="Arial" w:eastAsia="Times New Roman" w:hAnsi="Arial" w:cs="Arial"/>
          <w:kern w:val="0"/>
          <w:lang w:eastAsia="en-GB"/>
        </w:rPr>
        <w:noBreakHyphen/>
        <w:t>supported prompts that improve engagement.</w:t>
      </w:r>
    </w:p>
    <w:p w14:paraId="150DF56E" w14:textId="77777777" w:rsidR="00BA0CC9" w:rsidRPr="009A18E0" w:rsidRDefault="00BA0CC9" w:rsidP="00BA0CC9">
      <w:pPr>
        <w:spacing w:after="0" w:line="360" w:lineRule="atLeast"/>
        <w:outlineLvl w:val="2"/>
        <w:rPr>
          <w:rFonts w:ascii="Arial" w:eastAsia="Times New Roman" w:hAnsi="Arial" w:cs="Arial"/>
          <w:b/>
          <w:bCs/>
          <w:kern w:val="0"/>
          <w:lang w:eastAsia="en-GB"/>
        </w:rPr>
      </w:pPr>
      <w:r w:rsidRPr="009A18E0">
        <w:rPr>
          <w:rFonts w:ascii="Arial" w:eastAsia="Times New Roman" w:hAnsi="Arial" w:cs="Arial"/>
          <w:b/>
          <w:bCs/>
          <w:kern w:val="0"/>
          <w:lang w:eastAsia="en-GB"/>
        </w:rPr>
        <w:t>Value Creation</w:t>
      </w:r>
    </w:p>
    <w:p w14:paraId="538D3C59"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 xml:space="preserve">Value creation refers to producing meaningful benefits for service users, staff, or systems (Porter &amp; Teisberg, 2006). In health and social care, value includes dignity, safety, wellbeing, independence, and efficiency. Digital therapy tools created value </w:t>
      </w:r>
      <w:r w:rsidRPr="00BA0CC9">
        <w:rPr>
          <w:rFonts w:ascii="Arial" w:eastAsia="Times New Roman" w:hAnsi="Arial" w:cs="Arial"/>
          <w:kern w:val="0"/>
          <w:lang w:eastAsia="en-GB"/>
        </w:rPr>
        <w:lastRenderedPageBreak/>
        <w:t>by improving access, reducing waiting times, supporting staff decision</w:t>
      </w:r>
      <w:r w:rsidRPr="00BA0CC9">
        <w:rPr>
          <w:rFonts w:ascii="Arial" w:eastAsia="Times New Roman" w:hAnsi="Arial" w:cs="Arial"/>
          <w:kern w:val="0"/>
          <w:lang w:eastAsia="en-GB"/>
        </w:rPr>
        <w:noBreakHyphen/>
        <w:t>making, and lowering system costs.</w:t>
      </w:r>
    </w:p>
    <w:p w14:paraId="6C5115CB" w14:textId="77777777" w:rsidR="00BA0CC9" w:rsidRPr="00BA0CC9" w:rsidRDefault="00BA0CC9" w:rsidP="00BA0CC9">
      <w:pPr>
        <w:spacing w:after="0" w:line="360" w:lineRule="atLeast"/>
        <w:outlineLvl w:val="2"/>
        <w:rPr>
          <w:rFonts w:ascii="Arial" w:eastAsia="Times New Roman" w:hAnsi="Arial" w:cs="Arial"/>
          <w:b/>
          <w:bCs/>
          <w:kern w:val="0"/>
          <w:lang w:eastAsia="en-GB"/>
        </w:rPr>
      </w:pPr>
      <w:r w:rsidRPr="00BA0CC9">
        <w:rPr>
          <w:rFonts w:ascii="Arial" w:eastAsia="Times New Roman" w:hAnsi="Arial" w:cs="Arial"/>
          <w:b/>
          <w:bCs/>
          <w:kern w:val="0"/>
          <w:lang w:eastAsia="en-GB"/>
        </w:rPr>
        <w:t>Change</w:t>
      </w:r>
    </w:p>
    <w:p w14:paraId="7DBE096C"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Change involves adapting services, behaviours, or systems to improve outcomes. In this case, change meant shifting from traditional face</w:t>
      </w:r>
      <w:r w:rsidRPr="00BA0CC9">
        <w:rPr>
          <w:rFonts w:ascii="Arial" w:eastAsia="Times New Roman" w:hAnsi="Arial" w:cs="Arial"/>
          <w:kern w:val="0"/>
          <w:lang w:eastAsia="en-GB"/>
        </w:rPr>
        <w:noBreakHyphen/>
        <w:t>to</w:t>
      </w:r>
      <w:r w:rsidRPr="00BA0CC9">
        <w:rPr>
          <w:rFonts w:ascii="Arial" w:eastAsia="Times New Roman" w:hAnsi="Arial" w:cs="Arial"/>
          <w:kern w:val="0"/>
          <w:lang w:eastAsia="en-GB"/>
        </w:rPr>
        <w:noBreakHyphen/>
        <w:t>face therapy to blended or fully digital models. This required new skills, new workflows, and new ways of engaging service users. Creative digital change helped the NHS respond to rising demand while supporting quality and safety.</w:t>
      </w:r>
    </w:p>
    <w:p w14:paraId="7E7C7E06" w14:textId="77777777" w:rsidR="00BA0CC9" w:rsidRPr="00BA0CC9" w:rsidRDefault="00BA0CC9" w:rsidP="00BA0CC9">
      <w:pPr>
        <w:spacing w:after="0" w:line="360" w:lineRule="atLeast"/>
        <w:outlineLvl w:val="2"/>
        <w:rPr>
          <w:rFonts w:ascii="Arial" w:eastAsia="Times New Roman" w:hAnsi="Arial" w:cs="Arial"/>
          <w:b/>
          <w:bCs/>
          <w:kern w:val="0"/>
          <w:lang w:eastAsia="en-GB"/>
        </w:rPr>
      </w:pPr>
      <w:r w:rsidRPr="00BA0CC9">
        <w:rPr>
          <w:rFonts w:ascii="Arial" w:eastAsia="Times New Roman" w:hAnsi="Arial" w:cs="Arial"/>
          <w:b/>
          <w:bCs/>
          <w:kern w:val="0"/>
          <w:lang w:eastAsia="en-GB"/>
        </w:rPr>
        <w:t>Example from Health or Social Care Practice</w:t>
      </w:r>
    </w:p>
    <w:p w14:paraId="08FBADE2" w14:textId="4BA55808" w:rsid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 xml:space="preserve">A strong example from health and social care practice is the introduction of digital safeguarding systems within children’s services. Previously, safeguarding information was stored on paper or across disconnected databases, which often caused delays in </w:t>
      </w:r>
      <w:r w:rsidR="009A18E0" w:rsidRPr="00BA0CC9">
        <w:rPr>
          <w:rFonts w:ascii="Arial" w:eastAsia="Times New Roman" w:hAnsi="Arial" w:cs="Arial"/>
          <w:kern w:val="0"/>
          <w:lang w:eastAsia="en-GB"/>
        </w:rPr>
        <w:t>naming</w:t>
      </w:r>
      <w:r w:rsidRPr="00BA0CC9">
        <w:rPr>
          <w:rFonts w:ascii="Arial" w:eastAsia="Times New Roman" w:hAnsi="Arial" w:cs="Arial"/>
          <w:kern w:val="0"/>
          <w:lang w:eastAsia="en-GB"/>
        </w:rPr>
        <w:t xml:space="preserve"> risk. By implementing an integrated digital system, practitioners from health, education, police and social care can now share information in real time, allowing earlier identification of concerns such as physical abuse, neglect or escalating vulnerability. For instance, repeated missed appointments, unexplained injuries or sudden changes in school behaviour can be flagged automatically, prompting a quicker multi</w:t>
      </w:r>
      <w:r w:rsidRPr="00BA0CC9">
        <w:rPr>
          <w:rFonts w:ascii="Arial" w:eastAsia="Times New Roman" w:hAnsi="Arial" w:cs="Arial"/>
          <w:kern w:val="0"/>
          <w:lang w:eastAsia="en-GB"/>
        </w:rPr>
        <w:noBreakHyphen/>
        <w:t>agency response. This innovation improves communication, reduces human error and strengthens safeguarding by ensuring that no single agency holds incomplete information. It also creates value by improving safety, speeding up intervention and supporting better long</w:t>
      </w:r>
      <w:r w:rsidRPr="00BA0CC9">
        <w:rPr>
          <w:rFonts w:ascii="Arial" w:eastAsia="Times New Roman" w:hAnsi="Arial" w:cs="Arial"/>
          <w:kern w:val="0"/>
          <w:lang w:eastAsia="en-GB"/>
        </w:rPr>
        <w:noBreakHyphen/>
        <w:t>term outcomes for children and families. Innovation strengthens safeguarding by introducing new tools and processes that support earlier risk identification, improve multi</w:t>
      </w:r>
      <w:r w:rsidRPr="00BA0CC9">
        <w:rPr>
          <w:rFonts w:ascii="Arial" w:eastAsia="Times New Roman" w:hAnsi="Arial" w:cs="Arial"/>
          <w:kern w:val="0"/>
          <w:lang w:eastAsia="en-GB"/>
        </w:rPr>
        <w:noBreakHyphen/>
        <w:t>agency communication and enhance outcomes for children and families, reflecting the view that innovation is a structured process of developing and implementing improved practices (Tidd &amp; Bessant, 2020).</w:t>
      </w:r>
    </w:p>
    <w:p w14:paraId="248DDCC9" w14:textId="77777777" w:rsidR="009A18E0" w:rsidRDefault="009A18E0" w:rsidP="00BA0CC9">
      <w:pPr>
        <w:spacing w:after="0" w:line="360" w:lineRule="atLeast"/>
        <w:rPr>
          <w:rFonts w:ascii="Arial" w:eastAsia="Times New Roman" w:hAnsi="Arial" w:cs="Arial"/>
          <w:kern w:val="0"/>
          <w:lang w:eastAsia="en-GB"/>
        </w:rPr>
      </w:pPr>
    </w:p>
    <w:p w14:paraId="5D36EAAE" w14:textId="6A943C28" w:rsidR="00BA0CC9" w:rsidRDefault="00BA0CC9" w:rsidP="00BA0CC9">
      <w:pPr>
        <w:spacing w:after="0" w:line="360" w:lineRule="atLeast"/>
        <w:rPr>
          <w:rFonts w:ascii="Arial" w:eastAsia="Times New Roman" w:hAnsi="Arial" w:cs="Arial"/>
          <w:kern w:val="0"/>
          <w:lang w:eastAsia="en-GB"/>
        </w:rPr>
      </w:pPr>
      <w:r>
        <w:rPr>
          <w:rFonts w:ascii="Arial" w:eastAsia="Times New Roman" w:hAnsi="Arial" w:cs="Arial"/>
          <w:noProof/>
          <w:kern w:val="0"/>
          <w:lang w:eastAsia="en-GB"/>
        </w:rPr>
        <w:drawing>
          <wp:inline distT="0" distB="0" distL="0" distR="0" wp14:anchorId="53D4CBDB" wp14:editId="259D7E08">
            <wp:extent cx="5730875" cy="2597150"/>
            <wp:effectExtent l="0" t="0" r="3175" b="0"/>
            <wp:docPr id="77915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597150"/>
                    </a:xfrm>
                    <a:prstGeom prst="rect">
                      <a:avLst/>
                    </a:prstGeom>
                    <a:noFill/>
                  </pic:spPr>
                </pic:pic>
              </a:graphicData>
            </a:graphic>
          </wp:inline>
        </w:drawing>
      </w:r>
    </w:p>
    <w:p w14:paraId="48CF6131" w14:textId="77777777" w:rsidR="00BA0CC9" w:rsidRPr="00BA0CC9" w:rsidRDefault="00BA0CC9" w:rsidP="00BA0CC9">
      <w:pPr>
        <w:spacing w:after="0" w:line="360" w:lineRule="atLeast"/>
        <w:rPr>
          <w:rFonts w:ascii="Arial" w:eastAsia="Times New Roman" w:hAnsi="Arial" w:cs="Arial"/>
          <w:kern w:val="0"/>
          <w:lang w:eastAsia="en-GB"/>
        </w:rPr>
      </w:pPr>
    </w:p>
    <w:p w14:paraId="56546581" w14:textId="0618DF46" w:rsidR="00BA0CC9" w:rsidRPr="009E66B7" w:rsidRDefault="00BA0CC9" w:rsidP="009E66B7">
      <w:pPr>
        <w:spacing w:after="0" w:line="360" w:lineRule="atLeast"/>
        <w:rPr>
          <w:rFonts w:ascii="Arial" w:eastAsia="Times New Roman" w:hAnsi="Arial" w:cs="Arial"/>
          <w:kern w:val="0"/>
          <w:lang w:eastAsia="en-GB"/>
        </w:rPr>
      </w:pPr>
      <w:r w:rsidRPr="00BA0CC9">
        <w:rPr>
          <w:rFonts w:ascii="Arial" w:eastAsia="Times New Roman" w:hAnsi="Arial" w:cs="Arial"/>
          <w:b/>
          <w:bCs/>
          <w:kern w:val="0"/>
          <w:lang w:eastAsia="en-GB"/>
        </w:rPr>
        <w:t>Task 2 – Mind Map Summary: Central Problem – Long Wait Times in Health &amp; Social Care</w:t>
      </w:r>
    </w:p>
    <w:p w14:paraId="7EC6D775" w14:textId="77777777" w:rsid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Long wait times are a major problem in health and social care because they delay access to assessment, treatment and safeguarding support. This matters as children, young people and families may remain at risk of neglect, physical abuse or escalating vulnerability while waiting for services. The mind map shows that long waits are caused by workforce shortages, fragmented communication, outdated systems and digital exclusion. These delays increase stress, reduce early intervention opportunities and worsen health or social needs. The map also highlights solutions such as digital triage tools, improved multi</w:t>
      </w:r>
      <w:r w:rsidRPr="00BA0CC9">
        <w:rPr>
          <w:rFonts w:ascii="Arial" w:eastAsia="Times New Roman" w:hAnsi="Arial" w:cs="Arial"/>
          <w:kern w:val="0"/>
          <w:lang w:eastAsia="en-GB"/>
        </w:rPr>
        <w:noBreakHyphen/>
        <w:t>agency information sharing and more person</w:t>
      </w:r>
      <w:r w:rsidRPr="00BA0CC9">
        <w:rPr>
          <w:rFonts w:ascii="Arial" w:eastAsia="Times New Roman" w:hAnsi="Arial" w:cs="Arial"/>
          <w:kern w:val="0"/>
          <w:lang w:eastAsia="en-GB"/>
        </w:rPr>
        <w:noBreakHyphen/>
        <w:t>centred, trauma</w:t>
      </w:r>
      <w:r w:rsidRPr="00BA0CC9">
        <w:rPr>
          <w:rFonts w:ascii="Arial" w:eastAsia="Times New Roman" w:hAnsi="Arial" w:cs="Arial"/>
          <w:kern w:val="0"/>
          <w:lang w:eastAsia="en-GB"/>
        </w:rPr>
        <w:noBreakHyphen/>
        <w:t>informed approaches. These ideas show how innovation, creativity, value creation and change can work together to reduce delays, strengthen safeguarding and improve outcomes for children, young people and families.</w:t>
      </w:r>
    </w:p>
    <w:p w14:paraId="75DF57EC" w14:textId="6B8E8CEE" w:rsidR="00BA0CC9" w:rsidRDefault="00ED7857" w:rsidP="00BA0CC9">
      <w:pPr>
        <w:spacing w:after="0" w:line="360" w:lineRule="atLeast"/>
        <w:rPr>
          <w:rFonts w:ascii="Arial" w:eastAsia="Times New Roman" w:hAnsi="Arial" w:cs="Arial"/>
          <w:kern w:val="0"/>
          <w:lang w:eastAsia="en-GB"/>
        </w:rPr>
      </w:pPr>
      <w:r>
        <w:rPr>
          <w:rFonts w:ascii="Arial" w:eastAsia="Times New Roman" w:hAnsi="Arial" w:cs="Arial"/>
          <w:noProof/>
          <w:kern w:val="0"/>
          <w:lang w:eastAsia="en-GB"/>
        </w:rPr>
        <w:drawing>
          <wp:inline distT="0" distB="0" distL="0" distR="0" wp14:anchorId="44052E86" wp14:editId="2746CE0D">
            <wp:extent cx="6438900" cy="3511550"/>
            <wp:effectExtent l="0" t="0" r="0" b="0"/>
            <wp:docPr id="2123731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flipV="1">
                      <a:off x="0" y="0"/>
                      <a:ext cx="6449146" cy="3517138"/>
                    </a:xfrm>
                    <a:prstGeom prst="rect">
                      <a:avLst/>
                    </a:prstGeom>
                    <a:noFill/>
                  </pic:spPr>
                </pic:pic>
              </a:graphicData>
            </a:graphic>
          </wp:inline>
        </w:drawing>
      </w:r>
    </w:p>
    <w:p w14:paraId="02D07962" w14:textId="71291F37" w:rsidR="00BA0CC9" w:rsidRDefault="00BA0CC9" w:rsidP="00BA0CC9">
      <w:pPr>
        <w:spacing w:after="0" w:line="360" w:lineRule="atLeast"/>
        <w:rPr>
          <w:rFonts w:ascii="Arial" w:eastAsia="Times New Roman" w:hAnsi="Arial" w:cs="Arial"/>
          <w:kern w:val="0"/>
          <w:lang w:eastAsia="en-GB"/>
        </w:rPr>
      </w:pPr>
    </w:p>
    <w:p w14:paraId="3C2C953B" w14:textId="2FD0372A" w:rsidR="00BA0CC9" w:rsidRPr="009E66B7" w:rsidRDefault="00BA0CC9" w:rsidP="009E66B7">
      <w:pPr>
        <w:spacing w:after="0" w:line="360" w:lineRule="atLeast"/>
        <w:rPr>
          <w:rFonts w:ascii="Arial" w:eastAsia="Times New Roman" w:hAnsi="Arial" w:cs="Arial"/>
          <w:kern w:val="0"/>
          <w:lang w:eastAsia="en-GB"/>
        </w:rPr>
      </w:pPr>
      <w:r w:rsidRPr="00BA0CC9">
        <w:rPr>
          <w:rFonts w:ascii="Arial" w:eastAsia="Times New Roman" w:hAnsi="Arial" w:cs="Arial"/>
          <w:b/>
          <w:bCs/>
          <w:kern w:val="0"/>
          <w:lang w:eastAsia="en-GB"/>
        </w:rPr>
        <w:t>Task 3 – Self</w:t>
      </w:r>
      <w:r w:rsidRPr="00BA0CC9">
        <w:rPr>
          <w:rFonts w:ascii="Arial" w:eastAsia="Times New Roman" w:hAnsi="Arial" w:cs="Arial"/>
          <w:b/>
          <w:bCs/>
          <w:kern w:val="0"/>
          <w:lang w:eastAsia="en-GB"/>
        </w:rPr>
        <w:noBreakHyphen/>
        <w:t>Reflection of Group Activity</w:t>
      </w:r>
    </w:p>
    <w:p w14:paraId="1565C3D0"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 xml:space="preserve">Using Gibbs’ Reflective Cycle, I reflected on how convergent and divergent thinking shaped my experience during the class activity. Divergent thinking involves generating multiple ideas without judgement, while convergent thinking focuses on narrowing these ideas into clear, practical solutions (Robinson, 2017). During the group task, we began with divergent thinking by brainstorming as many causes and solutions as possible for the problem we were given. This stage felt creative and </w:t>
      </w:r>
      <w:r w:rsidRPr="00BA0CC9">
        <w:rPr>
          <w:rFonts w:ascii="Arial" w:eastAsia="Times New Roman" w:hAnsi="Arial" w:cs="Arial"/>
          <w:kern w:val="0"/>
          <w:lang w:eastAsia="en-GB"/>
        </w:rPr>
        <w:lastRenderedPageBreak/>
        <w:t>open, and I contributed freely without worrying about whether ideas were realistic. When the group shifted to convergent thinking, we evaluated our ideas, organised them into themes and selected the most workable solutions.</w:t>
      </w:r>
    </w:p>
    <w:p w14:paraId="7C15D20F"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Reflecting on the activity, I learned that I naturally prefer convergent thinking because I like structure and clarity. However, working with others helped me appreciate the value of divergent thinking, especially when tackling complex problems like safeguarding or service delays. I also realised that teamwork improves idea generation, as different perspectives strengthened our final solution. In future tasks, I want to balance both thinking styles more confidently and allow more space for creativity before narrowing ideas down. This reflection has helped me recognise how flexible thinking supports better problem solving in health and social care.</w:t>
      </w:r>
    </w:p>
    <w:p w14:paraId="689A8FD5" w14:textId="6D58B8E3" w:rsidR="00BA0CC9" w:rsidRPr="00BA0CC9" w:rsidRDefault="00BA0CC9" w:rsidP="009E66B7">
      <w:pPr>
        <w:spacing w:after="0" w:line="360" w:lineRule="atLeast"/>
        <w:rPr>
          <w:rFonts w:ascii="Arial" w:eastAsia="Times New Roman" w:hAnsi="Arial" w:cs="Arial"/>
          <w:kern w:val="0"/>
          <w:lang w:eastAsia="en-GB"/>
        </w:rPr>
      </w:pPr>
      <w:r w:rsidRPr="00BA0CC9">
        <w:rPr>
          <w:rFonts w:ascii="Arial" w:eastAsia="Times New Roman" w:hAnsi="Arial" w:cs="Arial"/>
          <w:b/>
          <w:bCs/>
          <w:kern w:val="0"/>
          <w:lang w:eastAsia="en-GB"/>
        </w:rPr>
        <w:t>Task 4 – Case Study Analysis: NHS</w:t>
      </w:r>
      <w:r w:rsidRPr="00BA0CC9">
        <w:rPr>
          <w:rFonts w:ascii="Arial" w:eastAsia="Times New Roman" w:hAnsi="Arial" w:cs="Arial"/>
          <w:b/>
          <w:bCs/>
          <w:kern w:val="0"/>
          <w:lang w:eastAsia="en-GB"/>
        </w:rPr>
        <w:noBreakHyphen/>
        <w:t>Approved Digital Therapy Tools for Anxiety &amp; Depression</w:t>
      </w:r>
      <w:r w:rsidRPr="00BA0CC9">
        <w:rPr>
          <w:rFonts w:ascii="Arial" w:eastAsia="Times New Roman" w:hAnsi="Arial" w:cs="Arial"/>
          <w:kern w:val="0"/>
          <w:lang w:eastAsia="en-GB"/>
        </w:rPr>
        <w:t xml:space="preserve"> </w:t>
      </w:r>
    </w:p>
    <w:p w14:paraId="0C8CC5B5"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 xml:space="preserve">The NHS has faced rising demand for mental health support, long waiting lists, and limited access to talking therapies. Many people with anxiety and depression waited months for treatment, increasing the risk of deterioration and crisis. NICE </w:t>
      </w:r>
      <w:proofErr w:type="gramStart"/>
      <w:r w:rsidRPr="00BA0CC9">
        <w:rPr>
          <w:rFonts w:ascii="Arial" w:eastAsia="Times New Roman" w:hAnsi="Arial" w:cs="Arial"/>
          <w:kern w:val="0"/>
          <w:lang w:eastAsia="en-GB"/>
        </w:rPr>
        <w:t>identified</w:t>
      </w:r>
      <w:proofErr w:type="gramEnd"/>
      <w:r w:rsidRPr="00BA0CC9">
        <w:rPr>
          <w:rFonts w:ascii="Arial" w:eastAsia="Times New Roman" w:hAnsi="Arial" w:cs="Arial"/>
          <w:kern w:val="0"/>
          <w:lang w:eastAsia="en-GB"/>
        </w:rPr>
        <w:t xml:space="preserve"> a need for safe, evidence</w:t>
      </w:r>
      <w:r w:rsidRPr="00BA0CC9">
        <w:rPr>
          <w:rFonts w:ascii="Arial" w:eastAsia="Times New Roman" w:hAnsi="Arial" w:cs="Arial"/>
          <w:kern w:val="0"/>
          <w:lang w:eastAsia="en-GB"/>
        </w:rPr>
        <w:noBreakHyphen/>
        <w:t>based digital therapy tools that could expand access and reduce pressure on services.</w:t>
      </w:r>
    </w:p>
    <w:p w14:paraId="0F8976BD"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Creativity helped address this problem by re</w:t>
      </w:r>
      <w:r w:rsidRPr="00BA0CC9">
        <w:rPr>
          <w:rFonts w:ascii="Arial" w:eastAsia="Times New Roman" w:hAnsi="Arial" w:cs="Arial"/>
          <w:kern w:val="0"/>
          <w:lang w:eastAsia="en-GB"/>
        </w:rPr>
        <w:noBreakHyphen/>
        <w:t>imagining how therapy could be delivered. Developers blended cognitive behavioural therapy (CBT), interactive exercises, mood tracking, and guided digital modules into accessible apps and online programmes. This creative redesign allowed therapy to be delivered flexibly, privately, and outside clinical settings. Features such as self</w:t>
      </w:r>
      <w:r w:rsidRPr="00BA0CC9">
        <w:rPr>
          <w:rFonts w:ascii="Arial" w:eastAsia="Times New Roman" w:hAnsi="Arial" w:cs="Arial"/>
          <w:kern w:val="0"/>
          <w:lang w:eastAsia="en-GB"/>
        </w:rPr>
        <w:noBreakHyphen/>
        <w:t>guided learning, gamified activities, and AI</w:t>
      </w:r>
      <w:r w:rsidRPr="00BA0CC9">
        <w:rPr>
          <w:rFonts w:ascii="Arial" w:eastAsia="Times New Roman" w:hAnsi="Arial" w:cs="Arial"/>
          <w:kern w:val="0"/>
          <w:lang w:eastAsia="en-GB"/>
        </w:rPr>
        <w:noBreakHyphen/>
        <w:t>supported prompts increased engagement and motivation.</w:t>
      </w:r>
    </w:p>
    <w:p w14:paraId="279CFD2A"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This innovation created value across the system. Service users gained faster access, reduced waiting times, greater privacy, and 24/7 availability. Staff received help from improved triage information, reduced caseload pressure, and more consistent monitoring data. For NHS systems, digital tools lowered delivery costs, improved efficiency, and reduced demand for face</w:t>
      </w:r>
      <w:r w:rsidRPr="00BA0CC9">
        <w:rPr>
          <w:rFonts w:ascii="Arial" w:eastAsia="Times New Roman" w:hAnsi="Arial" w:cs="Arial"/>
          <w:kern w:val="0"/>
          <w:lang w:eastAsia="en-GB"/>
        </w:rPr>
        <w:noBreakHyphen/>
        <w:t>to</w:t>
      </w:r>
      <w:r w:rsidRPr="00BA0CC9">
        <w:rPr>
          <w:rFonts w:ascii="Arial" w:eastAsia="Times New Roman" w:hAnsi="Arial" w:cs="Arial"/>
          <w:kern w:val="0"/>
          <w:lang w:eastAsia="en-GB"/>
        </w:rPr>
        <w:noBreakHyphen/>
        <w:t>face appointments. NICE evaluations show clinical improvement in anxiety and depression, reduced waiting times, high user satisfaction, and better engagement, including lower dropout rates (NICE, 2024).</w:t>
      </w:r>
    </w:p>
    <w:p w14:paraId="4CA8F931" w14:textId="77777777" w:rsidR="00BA0CC9" w:rsidRPr="00BA0CC9" w:rsidRDefault="00BA0CC9" w:rsidP="00BA0CC9">
      <w:pPr>
        <w:spacing w:after="0" w:line="360" w:lineRule="atLeast"/>
        <w:outlineLvl w:val="2"/>
        <w:rPr>
          <w:rFonts w:ascii="Arial" w:eastAsia="Times New Roman" w:hAnsi="Arial" w:cs="Arial"/>
          <w:b/>
          <w:bCs/>
          <w:kern w:val="0"/>
          <w:lang w:eastAsia="en-GB"/>
        </w:rPr>
      </w:pPr>
      <w:r w:rsidRPr="00BA0CC9">
        <w:rPr>
          <w:rFonts w:ascii="Arial" w:eastAsia="Times New Roman" w:hAnsi="Arial" w:cs="Arial"/>
          <w:b/>
          <w:bCs/>
          <w:kern w:val="0"/>
          <w:lang w:eastAsia="en-GB"/>
        </w:rPr>
        <w:t>Creativity Helped Address the Problem</w:t>
      </w:r>
    </w:p>
    <w:p w14:paraId="096CAAD7"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Creativity played a central role in redesigning traditional mental health support. Instead of relying solely on face</w:t>
      </w:r>
      <w:r w:rsidRPr="00BA0CC9">
        <w:rPr>
          <w:rFonts w:ascii="Arial" w:eastAsia="Times New Roman" w:hAnsi="Arial" w:cs="Arial"/>
          <w:kern w:val="0"/>
          <w:lang w:eastAsia="en-GB"/>
        </w:rPr>
        <w:noBreakHyphen/>
        <w:t>to</w:t>
      </w:r>
      <w:r w:rsidRPr="00BA0CC9">
        <w:rPr>
          <w:rFonts w:ascii="Arial" w:eastAsia="Times New Roman" w:hAnsi="Arial" w:cs="Arial"/>
          <w:kern w:val="0"/>
          <w:lang w:eastAsia="en-GB"/>
        </w:rPr>
        <w:noBreakHyphen/>
        <w:t xml:space="preserve">face therapy, developers combined cognitive behavioural therapy (CBT), interactive exercises, mood tracking, and guided digital modules into accessible online tools. This creative shift allowed therapy to be delivered through apps, web platforms, and remote sessions, making support </w:t>
      </w:r>
      <w:r w:rsidRPr="00BA0CC9">
        <w:rPr>
          <w:rFonts w:ascii="Arial" w:eastAsia="Times New Roman" w:hAnsi="Arial" w:cs="Arial"/>
          <w:kern w:val="0"/>
          <w:lang w:eastAsia="en-GB"/>
        </w:rPr>
        <w:lastRenderedPageBreak/>
        <w:t>flexible, personalised and available outside clinical settings. Creative use of technology also enabled self</w:t>
      </w:r>
      <w:r w:rsidRPr="00BA0CC9">
        <w:rPr>
          <w:rFonts w:ascii="Arial" w:eastAsia="Times New Roman" w:hAnsi="Arial" w:cs="Arial"/>
          <w:kern w:val="0"/>
          <w:lang w:eastAsia="en-GB"/>
        </w:rPr>
        <w:noBreakHyphen/>
        <w:t>guided learning, gamified activities, and AI</w:t>
      </w:r>
      <w:r w:rsidRPr="00BA0CC9">
        <w:rPr>
          <w:rFonts w:ascii="Arial" w:eastAsia="Times New Roman" w:hAnsi="Arial" w:cs="Arial"/>
          <w:kern w:val="0"/>
          <w:lang w:eastAsia="en-GB"/>
        </w:rPr>
        <w:noBreakHyphen/>
        <w:t>supported prompts, helping people engage with therapy in new and more motivating ways.</w:t>
      </w:r>
    </w:p>
    <w:p w14:paraId="28E2AC02" w14:textId="77777777" w:rsidR="00BA0CC9" w:rsidRPr="00BA0CC9" w:rsidRDefault="00BA0CC9" w:rsidP="00BA0CC9">
      <w:pPr>
        <w:spacing w:after="0" w:line="360" w:lineRule="atLeast"/>
        <w:outlineLvl w:val="2"/>
        <w:rPr>
          <w:rFonts w:ascii="Arial" w:eastAsia="Times New Roman" w:hAnsi="Arial" w:cs="Arial"/>
          <w:kern w:val="0"/>
          <w:lang w:eastAsia="en-GB"/>
        </w:rPr>
      </w:pPr>
      <w:r w:rsidRPr="00BA0CC9">
        <w:rPr>
          <w:rFonts w:ascii="Arial" w:eastAsia="Times New Roman" w:hAnsi="Arial" w:cs="Arial"/>
          <w:kern w:val="0"/>
          <w:lang w:eastAsia="en-GB"/>
        </w:rPr>
        <w:t>Value Was Created for Service Users, Staff, and Systems</w:t>
      </w:r>
    </w:p>
    <w:p w14:paraId="1AEDA185"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b/>
          <w:bCs/>
          <w:kern w:val="0"/>
          <w:lang w:eastAsia="en-GB"/>
        </w:rPr>
        <w:t>Service users:</w:t>
      </w:r>
      <w:r w:rsidRPr="00BA0CC9">
        <w:rPr>
          <w:rFonts w:ascii="Arial" w:eastAsia="Times New Roman" w:hAnsi="Arial" w:cs="Arial"/>
          <w:kern w:val="0"/>
          <w:lang w:eastAsia="en-GB"/>
        </w:rPr>
        <w:t xml:space="preserve"> Faster access to therapy, reducing long waits; greater privacy and flexibility, supporting people who struggle with in</w:t>
      </w:r>
      <w:r w:rsidRPr="00BA0CC9">
        <w:rPr>
          <w:rFonts w:ascii="Arial" w:eastAsia="Times New Roman" w:hAnsi="Arial" w:cs="Arial"/>
          <w:kern w:val="0"/>
          <w:lang w:eastAsia="en-GB"/>
        </w:rPr>
        <w:noBreakHyphen/>
        <w:t>person appointments; 24/7 availability, allowing support when it is needed.</w:t>
      </w:r>
    </w:p>
    <w:p w14:paraId="295A2829"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b/>
          <w:bCs/>
          <w:kern w:val="0"/>
          <w:lang w:eastAsia="en-GB"/>
        </w:rPr>
        <w:t>Staff:</w:t>
      </w:r>
      <w:r w:rsidRPr="00BA0CC9">
        <w:rPr>
          <w:rFonts w:ascii="Arial" w:eastAsia="Times New Roman" w:hAnsi="Arial" w:cs="Arial"/>
          <w:kern w:val="0"/>
          <w:lang w:eastAsia="en-GB"/>
        </w:rPr>
        <w:t xml:space="preserve"> Better triage information from digital assessments; reduced caseload pressure, freeing time for complex cases; more consistent monitoring data to inform clinical decisions.</w:t>
      </w:r>
    </w:p>
    <w:p w14:paraId="02C37342"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b/>
          <w:bCs/>
          <w:kern w:val="0"/>
          <w:lang w:eastAsia="en-GB"/>
        </w:rPr>
        <w:t>Systems:</w:t>
      </w:r>
      <w:r w:rsidRPr="00BA0CC9">
        <w:rPr>
          <w:rFonts w:ascii="Arial" w:eastAsia="Times New Roman" w:hAnsi="Arial" w:cs="Arial"/>
          <w:kern w:val="0"/>
          <w:lang w:eastAsia="en-GB"/>
        </w:rPr>
        <w:t xml:space="preserve"> Lower delivery costs compared to traditional therapy; reduced demand for face</w:t>
      </w:r>
      <w:r w:rsidRPr="00BA0CC9">
        <w:rPr>
          <w:rFonts w:ascii="Arial" w:eastAsia="Times New Roman" w:hAnsi="Arial" w:cs="Arial"/>
          <w:kern w:val="0"/>
          <w:lang w:eastAsia="en-GB"/>
        </w:rPr>
        <w:noBreakHyphen/>
        <w:t>to</w:t>
      </w:r>
      <w:r w:rsidRPr="00BA0CC9">
        <w:rPr>
          <w:rFonts w:ascii="Arial" w:eastAsia="Times New Roman" w:hAnsi="Arial" w:cs="Arial"/>
          <w:kern w:val="0"/>
          <w:lang w:eastAsia="en-GB"/>
        </w:rPr>
        <w:noBreakHyphen/>
        <w:t>face appointments; improved flow through mental</w:t>
      </w:r>
      <w:r w:rsidRPr="00BA0CC9">
        <w:rPr>
          <w:rFonts w:ascii="Arial" w:eastAsia="Times New Roman" w:hAnsi="Arial" w:cs="Arial"/>
          <w:kern w:val="0"/>
          <w:lang w:eastAsia="en-GB"/>
        </w:rPr>
        <w:noBreakHyphen/>
        <w:t>health pathways.</w:t>
      </w:r>
    </w:p>
    <w:p w14:paraId="1F294D99" w14:textId="77777777" w:rsidR="00BA0CC9" w:rsidRPr="00BA0CC9" w:rsidRDefault="00BA0CC9" w:rsidP="00BA0CC9">
      <w:pPr>
        <w:spacing w:after="0" w:line="360" w:lineRule="atLeast"/>
        <w:outlineLvl w:val="2"/>
        <w:rPr>
          <w:rFonts w:ascii="Arial" w:eastAsia="Times New Roman" w:hAnsi="Arial" w:cs="Arial"/>
          <w:kern w:val="0"/>
          <w:lang w:eastAsia="en-GB"/>
        </w:rPr>
      </w:pPr>
      <w:r w:rsidRPr="00BA0CC9">
        <w:rPr>
          <w:rFonts w:ascii="Arial" w:eastAsia="Times New Roman" w:hAnsi="Arial" w:cs="Arial"/>
          <w:kern w:val="0"/>
          <w:lang w:eastAsia="en-GB"/>
        </w:rPr>
        <w:t>Outcomes Have Been Reported</w:t>
      </w:r>
    </w:p>
    <w:p w14:paraId="06A176B6" w14:textId="60F7CFE8" w:rsidR="00ED7857"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NICE evaluations show that several NHS</w:t>
      </w:r>
      <w:r w:rsidRPr="00BA0CC9">
        <w:rPr>
          <w:rFonts w:ascii="Arial" w:eastAsia="Times New Roman" w:hAnsi="Arial" w:cs="Arial"/>
          <w:kern w:val="0"/>
          <w:lang w:eastAsia="en-GB"/>
        </w:rPr>
        <w:noBreakHyphen/>
        <w:t>approved digital CBT tools lead to clinical improvement in symptoms of anxiety and depression, reduced waiting times for psychological therapies, high user satisfaction, better engagement, and lower dropout rates compared to some face</w:t>
      </w:r>
      <w:r w:rsidRPr="00BA0CC9">
        <w:rPr>
          <w:rFonts w:ascii="Arial" w:eastAsia="Times New Roman" w:hAnsi="Arial" w:cs="Arial"/>
          <w:kern w:val="0"/>
          <w:lang w:eastAsia="en-GB"/>
        </w:rPr>
        <w:noBreakHyphen/>
        <w:t>to</w:t>
      </w:r>
      <w:r w:rsidRPr="00BA0CC9">
        <w:rPr>
          <w:rFonts w:ascii="Arial" w:eastAsia="Times New Roman" w:hAnsi="Arial" w:cs="Arial"/>
          <w:kern w:val="0"/>
          <w:lang w:eastAsia="en-GB"/>
        </w:rPr>
        <w:noBreakHyphen/>
        <w:t>face programmes. These outcomes prove that digital therapy tools are effective, scalable, and beneficial across NHS mental health services.</w:t>
      </w:r>
    </w:p>
    <w:p w14:paraId="1C09D11A" w14:textId="48605CC4" w:rsidR="00ED7857" w:rsidRPr="00BA0CC9" w:rsidRDefault="00ED7857" w:rsidP="00BA0CC9">
      <w:pPr>
        <w:spacing w:after="0" w:line="360" w:lineRule="atLeast"/>
        <w:rPr>
          <w:rFonts w:ascii="Arial" w:eastAsia="Times New Roman" w:hAnsi="Arial" w:cs="Arial"/>
          <w:kern w:val="0"/>
          <w:lang w:eastAsia="en-GB"/>
        </w:rPr>
      </w:pPr>
    </w:p>
    <w:p w14:paraId="28B45F8F" w14:textId="44244437" w:rsidR="00BA0CC9" w:rsidRPr="00BA0CC9" w:rsidRDefault="009B6836" w:rsidP="00BA0CC9">
      <w:pPr>
        <w:spacing w:after="0" w:line="360" w:lineRule="atLeast"/>
        <w:rPr>
          <w:rFonts w:ascii="Arial" w:eastAsia="Times New Roman" w:hAnsi="Arial" w:cs="Arial"/>
          <w:kern w:val="0"/>
          <w:lang w:eastAsia="en-GB"/>
        </w:rPr>
      </w:pPr>
      <w:r>
        <w:rPr>
          <w:rFonts w:ascii="Arial" w:hAnsi="Arial" w:cs="Arial"/>
          <w:noProof/>
          <w:sz w:val="22"/>
          <w:szCs w:val="22"/>
        </w:rPr>
        <w:drawing>
          <wp:inline distT="0" distB="0" distL="0" distR="0" wp14:anchorId="3E59C3BA" wp14:editId="5953F81D">
            <wp:extent cx="4355139" cy="2898140"/>
            <wp:effectExtent l="0" t="0" r="7620" b="0"/>
            <wp:docPr id="1421706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1940" cy="2935938"/>
                    </a:xfrm>
                    <a:prstGeom prst="rect">
                      <a:avLst/>
                    </a:prstGeom>
                    <a:noFill/>
                  </pic:spPr>
                </pic:pic>
              </a:graphicData>
            </a:graphic>
          </wp:inline>
        </w:drawing>
      </w:r>
    </w:p>
    <w:p w14:paraId="2AC2AE8B" w14:textId="77777777" w:rsidR="00BA0CC9" w:rsidRPr="00BA0CC9" w:rsidRDefault="00BA0CC9" w:rsidP="00BA0CC9">
      <w:pPr>
        <w:spacing w:after="0" w:line="360" w:lineRule="atLeast"/>
        <w:outlineLvl w:val="1"/>
        <w:rPr>
          <w:rFonts w:ascii="Arial" w:eastAsia="Times New Roman" w:hAnsi="Arial" w:cs="Arial"/>
          <w:b/>
          <w:bCs/>
          <w:kern w:val="0"/>
          <w:lang w:eastAsia="en-GB"/>
        </w:rPr>
      </w:pPr>
      <w:r w:rsidRPr="00BA0CC9">
        <w:rPr>
          <w:rFonts w:ascii="Arial" w:eastAsia="Times New Roman" w:hAnsi="Arial" w:cs="Arial"/>
          <w:b/>
          <w:bCs/>
          <w:kern w:val="0"/>
          <w:lang w:eastAsia="en-GB"/>
        </w:rPr>
        <w:t>Task 5 – Research Task: Current Issue – Long Wait Times in the NHS</w:t>
      </w:r>
    </w:p>
    <w:p w14:paraId="09AEC9D0" w14:textId="77777777" w:rsidR="00BA0CC9" w:rsidRPr="00BA0CC9" w:rsidRDefault="00BA0CC9" w:rsidP="00BA0CC9">
      <w:pPr>
        <w:spacing w:after="0" w:line="360" w:lineRule="atLeast"/>
        <w:outlineLvl w:val="2"/>
        <w:rPr>
          <w:rFonts w:ascii="Arial" w:eastAsia="Times New Roman" w:hAnsi="Arial" w:cs="Arial"/>
          <w:b/>
          <w:bCs/>
          <w:kern w:val="0"/>
          <w:lang w:eastAsia="en-GB"/>
        </w:rPr>
      </w:pPr>
      <w:r w:rsidRPr="00BA0CC9">
        <w:rPr>
          <w:rFonts w:ascii="Arial" w:eastAsia="Times New Roman" w:hAnsi="Arial" w:cs="Arial"/>
          <w:b/>
          <w:bCs/>
          <w:kern w:val="0"/>
          <w:lang w:eastAsia="en-GB"/>
        </w:rPr>
        <w:t>Paling et al. (2020) – Emergency Medicine Journal</w:t>
      </w:r>
    </w:p>
    <w:p w14:paraId="1180F6B3"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b/>
          <w:bCs/>
          <w:kern w:val="0"/>
          <w:lang w:eastAsia="en-GB"/>
        </w:rPr>
        <w:t>Main findings:</w:t>
      </w:r>
      <w:r w:rsidRPr="00BA0CC9">
        <w:rPr>
          <w:rFonts w:ascii="Arial" w:eastAsia="Times New Roman" w:hAnsi="Arial" w:cs="Arial"/>
          <w:kern w:val="0"/>
          <w:lang w:eastAsia="en-GB"/>
        </w:rPr>
        <w:t xml:space="preserve"> Paling et al. found that long emergency</w:t>
      </w:r>
      <w:r w:rsidRPr="00BA0CC9">
        <w:rPr>
          <w:rFonts w:ascii="Arial" w:eastAsia="Times New Roman" w:hAnsi="Arial" w:cs="Arial"/>
          <w:kern w:val="0"/>
          <w:lang w:eastAsia="en-GB"/>
        </w:rPr>
        <w:noBreakHyphen/>
        <w:t xml:space="preserve">department waits are strongly linked to high hospital bed occupancy, slow discharge processes, and rising emergency admissions. When hospitals were close to full capacity, the number of </w:t>
      </w:r>
      <w:r w:rsidRPr="00BA0CC9">
        <w:rPr>
          <w:rFonts w:ascii="Arial" w:eastAsia="Times New Roman" w:hAnsi="Arial" w:cs="Arial"/>
          <w:kern w:val="0"/>
          <w:lang w:eastAsia="en-GB"/>
        </w:rPr>
        <w:lastRenderedPageBreak/>
        <w:t>patients waiting over four hours increased significantly. Long</w:t>
      </w:r>
      <w:r w:rsidRPr="00BA0CC9">
        <w:rPr>
          <w:rFonts w:ascii="Arial" w:eastAsia="Times New Roman" w:hAnsi="Arial" w:cs="Arial"/>
          <w:kern w:val="0"/>
          <w:lang w:eastAsia="en-GB"/>
        </w:rPr>
        <w:noBreakHyphen/>
        <w:t>stay inpatients (over 21 days) also contributed to bottlenecks, reducing flow through the system.</w:t>
      </w:r>
    </w:p>
    <w:p w14:paraId="1B84E51B"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b/>
          <w:bCs/>
          <w:kern w:val="0"/>
          <w:lang w:eastAsia="en-GB"/>
        </w:rPr>
        <w:t>How this helps me understand the problem:</w:t>
      </w:r>
      <w:r w:rsidRPr="00BA0CC9">
        <w:rPr>
          <w:rFonts w:ascii="Arial" w:eastAsia="Times New Roman" w:hAnsi="Arial" w:cs="Arial"/>
          <w:kern w:val="0"/>
          <w:lang w:eastAsia="en-GB"/>
        </w:rPr>
        <w:t xml:space="preserve"> This article shows that long waits are not just an emergency department issue—they reflect whole</w:t>
      </w:r>
      <w:r w:rsidRPr="00BA0CC9">
        <w:rPr>
          <w:rFonts w:ascii="Arial" w:eastAsia="Times New Roman" w:hAnsi="Arial" w:cs="Arial"/>
          <w:kern w:val="0"/>
          <w:lang w:eastAsia="en-GB"/>
        </w:rPr>
        <w:noBreakHyphen/>
        <w:t>system pressures. When beds are full, patients cannot move through the hospital, creating delays at every stage. This aligns with Systems Theory, which argues that problems arise when one part of a system becomes overloaded, affecting all other parts.</w:t>
      </w:r>
    </w:p>
    <w:p w14:paraId="5455F980" w14:textId="77777777" w:rsidR="00BA0CC9" w:rsidRPr="00BA0CC9" w:rsidRDefault="00BA0CC9" w:rsidP="00BA0CC9">
      <w:pPr>
        <w:spacing w:after="0" w:line="360" w:lineRule="atLeast"/>
        <w:outlineLvl w:val="2"/>
        <w:rPr>
          <w:rFonts w:ascii="Arial" w:eastAsia="Times New Roman" w:hAnsi="Arial" w:cs="Arial"/>
          <w:kern w:val="0"/>
          <w:lang w:eastAsia="en-GB"/>
        </w:rPr>
      </w:pPr>
      <w:r w:rsidRPr="00BA0CC9">
        <w:rPr>
          <w:rFonts w:ascii="Arial" w:eastAsia="Times New Roman" w:hAnsi="Arial" w:cs="Arial"/>
          <w:kern w:val="0"/>
          <w:lang w:eastAsia="en-GB"/>
        </w:rPr>
        <w:t>Gaughan et al. (2019) – European Journal of Health Economics</w:t>
      </w:r>
    </w:p>
    <w:p w14:paraId="0151824A" w14:textId="3D99B5A6"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b/>
          <w:bCs/>
          <w:kern w:val="0"/>
          <w:lang w:eastAsia="en-GB"/>
        </w:rPr>
        <w:t>Main findings:</w:t>
      </w:r>
      <w:r w:rsidRPr="00BA0CC9">
        <w:rPr>
          <w:rFonts w:ascii="Arial" w:eastAsia="Times New Roman" w:hAnsi="Arial" w:cs="Arial"/>
          <w:kern w:val="0"/>
          <w:lang w:eastAsia="en-GB"/>
        </w:rPr>
        <w:t xml:space="preserve"> Gaughan et al. found several drivers of long waits: hospitals serving older populations, high bed occupancy, delayed discharges, and staffing shortages. They also found large variation between emergency departments that could not be explained by demand alone, suggesting deeper organisational issues.</w:t>
      </w:r>
    </w:p>
    <w:p w14:paraId="2EFFFBBE"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b/>
          <w:bCs/>
          <w:kern w:val="0"/>
          <w:lang w:eastAsia="en-GB"/>
        </w:rPr>
        <w:t>How this helps me understand the problem:</w:t>
      </w:r>
      <w:r w:rsidRPr="00BA0CC9">
        <w:rPr>
          <w:rFonts w:ascii="Arial" w:eastAsia="Times New Roman" w:hAnsi="Arial" w:cs="Arial"/>
          <w:kern w:val="0"/>
          <w:lang w:eastAsia="en-GB"/>
        </w:rPr>
        <w:t xml:space="preserve"> This article highlights how population need, staffing levels, and local service design influence waiting times. It also connects to Maslach’s Burnout Theory, as staff shortages and high pressure increase burnout, which further reduces capacity and worsens delays.</w:t>
      </w:r>
    </w:p>
    <w:p w14:paraId="2D697DF8" w14:textId="77777777" w:rsidR="00BA0CC9" w:rsidRPr="00BA0CC9" w:rsidRDefault="00BA0CC9" w:rsidP="00BA0CC9">
      <w:pPr>
        <w:spacing w:after="0" w:line="360" w:lineRule="atLeast"/>
        <w:outlineLvl w:val="2"/>
        <w:rPr>
          <w:rFonts w:ascii="Arial" w:eastAsia="Times New Roman" w:hAnsi="Arial" w:cs="Arial"/>
          <w:kern w:val="0"/>
          <w:lang w:eastAsia="en-GB"/>
        </w:rPr>
      </w:pPr>
      <w:r w:rsidRPr="00BA0CC9">
        <w:rPr>
          <w:rFonts w:ascii="Arial" w:eastAsia="Times New Roman" w:hAnsi="Arial" w:cs="Arial"/>
          <w:kern w:val="0"/>
          <w:lang w:eastAsia="en-GB"/>
        </w:rPr>
        <w:t>Theory Helps Explain the Issue</w:t>
      </w:r>
    </w:p>
    <w:p w14:paraId="43125F2F"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b/>
          <w:bCs/>
          <w:kern w:val="0"/>
          <w:lang w:eastAsia="en-GB"/>
        </w:rPr>
        <w:t>Systems Theory:</w:t>
      </w:r>
      <w:r w:rsidRPr="00BA0CC9">
        <w:rPr>
          <w:rFonts w:ascii="Arial" w:eastAsia="Times New Roman" w:hAnsi="Arial" w:cs="Arial"/>
          <w:kern w:val="0"/>
          <w:lang w:eastAsia="en-GB"/>
        </w:rPr>
        <w:t xml:space="preserve"> Long waits emerge when one part of the system (e.g. bed capacity) becomes overwhelmed, creating delays across the whole pathway.</w:t>
      </w:r>
    </w:p>
    <w:p w14:paraId="32DA663A"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b/>
          <w:bCs/>
          <w:kern w:val="0"/>
          <w:lang w:eastAsia="en-GB"/>
        </w:rPr>
        <w:t>Maslach Burnout Theory:</w:t>
      </w:r>
      <w:r w:rsidRPr="00BA0CC9">
        <w:rPr>
          <w:rFonts w:ascii="Arial" w:eastAsia="Times New Roman" w:hAnsi="Arial" w:cs="Arial"/>
          <w:kern w:val="0"/>
          <w:lang w:eastAsia="en-GB"/>
        </w:rPr>
        <w:t xml:space="preserve"> Staff shortages and high pressure increase burnout, reducing productivity and worsening delays.</w:t>
      </w:r>
    </w:p>
    <w:p w14:paraId="7F90A0A0" w14:textId="5DF8BF13" w:rsidR="00BA0CC9" w:rsidRPr="00BA0CC9" w:rsidRDefault="00BA0CC9" w:rsidP="00BA0CC9">
      <w:pPr>
        <w:spacing w:after="0" w:line="360" w:lineRule="atLeast"/>
        <w:rPr>
          <w:rFonts w:ascii="Arial" w:eastAsia="Times New Roman" w:hAnsi="Arial" w:cs="Arial"/>
          <w:kern w:val="0"/>
          <w:lang w:eastAsia="en-GB"/>
        </w:rPr>
      </w:pPr>
      <w:r w:rsidRPr="009A18E0">
        <w:rPr>
          <w:rFonts w:ascii="Arial" w:eastAsia="Times New Roman" w:hAnsi="Arial" w:cs="Arial"/>
          <w:kern w:val="0"/>
          <w:lang w:eastAsia="en-GB"/>
        </w:rPr>
        <w:t xml:space="preserve">Note: Full access to the original articles was not available via the provided links, but the published abstracts and key findings cited here are </w:t>
      </w:r>
      <w:r w:rsidRPr="009A18E0">
        <w:rPr>
          <w:rFonts w:ascii="Arial" w:eastAsia="Times New Roman" w:hAnsi="Arial" w:cs="Arial"/>
          <w:kern w:val="0"/>
          <w:lang w:eastAsia="en-GB"/>
        </w:rPr>
        <w:t>correct</w:t>
      </w:r>
      <w:r w:rsidRPr="009A18E0">
        <w:rPr>
          <w:rFonts w:ascii="Arial" w:eastAsia="Times New Roman" w:hAnsi="Arial" w:cs="Arial"/>
          <w:kern w:val="0"/>
          <w:lang w:eastAsia="en-GB"/>
        </w:rPr>
        <w:t xml:space="preserve"> and sufficient for analysis</w:t>
      </w:r>
      <w:r w:rsidRPr="00BA0CC9">
        <w:rPr>
          <w:rFonts w:ascii="Arial" w:eastAsia="Times New Roman" w:hAnsi="Arial" w:cs="Arial"/>
          <w:i/>
          <w:iCs/>
          <w:kern w:val="0"/>
          <w:lang w:eastAsia="en-GB"/>
        </w:rPr>
        <w:t>.</w:t>
      </w:r>
    </w:p>
    <w:p w14:paraId="6A6F06FE" w14:textId="290AA341" w:rsidR="00BA0CC9" w:rsidRPr="00BA0CC9" w:rsidRDefault="00BA0CC9" w:rsidP="00BA0CC9">
      <w:pPr>
        <w:spacing w:after="0" w:line="360" w:lineRule="atLeast"/>
        <w:rPr>
          <w:rFonts w:ascii="Arial" w:eastAsia="Times New Roman" w:hAnsi="Arial" w:cs="Arial"/>
          <w:kern w:val="0"/>
          <w:lang w:eastAsia="en-GB"/>
        </w:rPr>
      </w:pPr>
    </w:p>
    <w:p w14:paraId="406C3BA1" w14:textId="77777777" w:rsidR="00BA0CC9" w:rsidRPr="00BA0CC9" w:rsidRDefault="00BA0CC9" w:rsidP="00BA0CC9">
      <w:pPr>
        <w:spacing w:after="0" w:line="360" w:lineRule="atLeast"/>
        <w:outlineLvl w:val="1"/>
        <w:rPr>
          <w:rFonts w:ascii="Arial" w:eastAsia="Times New Roman" w:hAnsi="Arial" w:cs="Arial"/>
          <w:b/>
          <w:bCs/>
          <w:kern w:val="0"/>
          <w:lang w:eastAsia="en-GB"/>
        </w:rPr>
      </w:pPr>
      <w:r w:rsidRPr="00BA0CC9">
        <w:rPr>
          <w:rFonts w:ascii="Arial" w:eastAsia="Times New Roman" w:hAnsi="Arial" w:cs="Arial"/>
          <w:b/>
          <w:bCs/>
          <w:kern w:val="0"/>
          <w:lang w:eastAsia="en-GB"/>
        </w:rPr>
        <w:t>Task 6 – Exploring Digital Innovation in Health and Social Care</w:t>
      </w:r>
    </w:p>
    <w:p w14:paraId="133864E9"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Digital innovation is reshaping service delivery and support across health and social care. Wearable technologies, such as smartwatches, enable individuals to check vital signs, activity, and sleep patterns, supporting self</w:t>
      </w:r>
      <w:r w:rsidRPr="00BA0CC9">
        <w:rPr>
          <w:rFonts w:ascii="Arial" w:eastAsia="Times New Roman" w:hAnsi="Arial" w:cs="Arial"/>
          <w:kern w:val="0"/>
          <w:lang w:eastAsia="en-GB"/>
        </w:rPr>
        <w:noBreakHyphen/>
        <w:t>management and early identification of health changes (Wang et al., 2020).</w:t>
      </w:r>
    </w:p>
    <w:p w14:paraId="7583F4D1" w14:textId="77777777" w:rsidR="00BA0CC9" w:rsidRPr="00BA0CC9" w:rsidRDefault="00BA0CC9" w:rsidP="00BA0CC9">
      <w:pPr>
        <w:spacing w:after="0" w:line="360" w:lineRule="atLeast"/>
        <w:outlineLvl w:val="2"/>
        <w:rPr>
          <w:rFonts w:ascii="Arial" w:eastAsia="Times New Roman" w:hAnsi="Arial" w:cs="Arial"/>
          <w:kern w:val="0"/>
          <w:lang w:eastAsia="en-GB"/>
        </w:rPr>
      </w:pPr>
      <w:r w:rsidRPr="00BA0CC9">
        <w:rPr>
          <w:rFonts w:ascii="Arial" w:eastAsia="Times New Roman" w:hAnsi="Arial" w:cs="Arial"/>
          <w:kern w:val="0"/>
          <w:lang w:eastAsia="en-GB"/>
        </w:rPr>
        <w:t>Benefits of Wearable Technology</w:t>
      </w:r>
    </w:p>
    <w:p w14:paraId="6253DC47"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Continuous monitoring allows early detection of deterioration, reducing the risk of acute events and hospital admissions. For example, a patient with heart disease can receive alerts for irregular rhythms, prompting prompt consultation with their GP and improving long</w:t>
      </w:r>
      <w:r w:rsidRPr="00BA0CC9">
        <w:rPr>
          <w:rFonts w:ascii="Arial" w:eastAsia="Times New Roman" w:hAnsi="Arial" w:cs="Arial"/>
          <w:kern w:val="0"/>
          <w:lang w:eastAsia="en-GB"/>
        </w:rPr>
        <w:noBreakHyphen/>
        <w:t>term outcomes (Wang et al., 2020).</w:t>
      </w:r>
    </w:p>
    <w:p w14:paraId="46366E6D" w14:textId="77777777" w:rsidR="00BA0CC9" w:rsidRPr="00BA0CC9" w:rsidRDefault="00BA0CC9" w:rsidP="00BA0CC9">
      <w:pPr>
        <w:spacing w:after="0" w:line="360" w:lineRule="atLeast"/>
        <w:outlineLvl w:val="2"/>
        <w:rPr>
          <w:rFonts w:ascii="Arial" w:eastAsia="Times New Roman" w:hAnsi="Arial" w:cs="Arial"/>
          <w:kern w:val="0"/>
          <w:lang w:eastAsia="en-GB"/>
        </w:rPr>
      </w:pPr>
      <w:r w:rsidRPr="00BA0CC9">
        <w:rPr>
          <w:rFonts w:ascii="Arial" w:eastAsia="Times New Roman" w:hAnsi="Arial" w:cs="Arial"/>
          <w:kern w:val="0"/>
          <w:lang w:eastAsia="en-GB"/>
        </w:rPr>
        <w:t>Communication and Collaboration: Electronic Health Records</w:t>
      </w:r>
    </w:p>
    <w:p w14:paraId="3137353F"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Electronic Health Records (EHRs) provide a unified, real</w:t>
      </w:r>
      <w:r w:rsidRPr="00BA0CC9">
        <w:rPr>
          <w:rFonts w:ascii="Arial" w:eastAsia="Times New Roman" w:hAnsi="Arial" w:cs="Arial"/>
          <w:kern w:val="0"/>
          <w:lang w:eastAsia="en-GB"/>
        </w:rPr>
        <w:noBreakHyphen/>
        <w:t xml:space="preserve">time source of patient information accessible to all professionals. This reduces duplication, prevents errors, </w:t>
      </w:r>
      <w:r w:rsidRPr="00BA0CC9">
        <w:rPr>
          <w:rFonts w:ascii="Arial" w:eastAsia="Times New Roman" w:hAnsi="Arial" w:cs="Arial"/>
          <w:kern w:val="0"/>
          <w:lang w:eastAsia="en-GB"/>
        </w:rPr>
        <w:lastRenderedPageBreak/>
        <w:t>and ensures seamless care coordination (Kruse et al., 2018). When a patient is discharged, updates are shared instantly with GPs and community teams, supporting continuity and safety.</w:t>
      </w:r>
    </w:p>
    <w:p w14:paraId="2E029013" w14:textId="77777777" w:rsidR="00BA0CC9" w:rsidRPr="00BA0CC9" w:rsidRDefault="00BA0CC9" w:rsidP="00BA0CC9">
      <w:pPr>
        <w:spacing w:after="0" w:line="360" w:lineRule="atLeast"/>
        <w:outlineLvl w:val="2"/>
        <w:rPr>
          <w:rFonts w:ascii="Arial" w:eastAsia="Times New Roman" w:hAnsi="Arial" w:cs="Arial"/>
          <w:kern w:val="0"/>
          <w:lang w:eastAsia="en-GB"/>
        </w:rPr>
      </w:pPr>
      <w:r w:rsidRPr="00BA0CC9">
        <w:rPr>
          <w:rFonts w:ascii="Arial" w:eastAsia="Times New Roman" w:hAnsi="Arial" w:cs="Arial"/>
          <w:kern w:val="0"/>
          <w:lang w:eastAsia="en-GB"/>
        </w:rPr>
        <w:t>Digital Tools for Prevention and Health Promotion</w:t>
      </w:r>
    </w:p>
    <w:p w14:paraId="335DE8BE" w14:textId="77777777" w:rsidR="00BA0CC9" w:rsidRP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Mobile health applications support preventive care by tracking lifestyle factors and delivering personalised guidance. For instance, apps can help those at risk of type 2 diabetes monitor activity and diet, encouraging positive changes that reduce disease risk (Elavsky et al., 2021).</w:t>
      </w:r>
    </w:p>
    <w:p w14:paraId="34B69193" w14:textId="11B128C2" w:rsidR="00BA0CC9" w:rsidRPr="00BA0CC9" w:rsidRDefault="00BA0CC9" w:rsidP="00BA0CC9">
      <w:pPr>
        <w:spacing w:after="0" w:line="360" w:lineRule="atLeast"/>
        <w:rPr>
          <w:rFonts w:ascii="Arial" w:eastAsia="Times New Roman" w:hAnsi="Arial" w:cs="Arial"/>
          <w:kern w:val="0"/>
          <w:lang w:eastAsia="en-GB"/>
        </w:rPr>
      </w:pPr>
    </w:p>
    <w:p w14:paraId="5AFB71FE" w14:textId="77777777" w:rsidR="00BA0CC9" w:rsidRPr="00BA0CC9" w:rsidRDefault="00BA0CC9" w:rsidP="00BA0CC9">
      <w:pPr>
        <w:spacing w:after="0" w:line="360" w:lineRule="atLeast"/>
        <w:outlineLvl w:val="1"/>
        <w:rPr>
          <w:rFonts w:ascii="Arial" w:eastAsia="Times New Roman" w:hAnsi="Arial" w:cs="Arial"/>
          <w:b/>
          <w:bCs/>
          <w:kern w:val="0"/>
          <w:lang w:eastAsia="en-GB"/>
        </w:rPr>
      </w:pPr>
      <w:r w:rsidRPr="00BA0CC9">
        <w:rPr>
          <w:rFonts w:ascii="Arial" w:eastAsia="Times New Roman" w:hAnsi="Arial" w:cs="Arial"/>
          <w:b/>
          <w:bCs/>
          <w:kern w:val="0"/>
          <w:lang w:eastAsia="en-GB"/>
        </w:rPr>
        <w:t>Task 7 – Understanding the NHS Leadership Framework</w:t>
      </w:r>
    </w:p>
    <w:p w14:paraId="7B5102F3" w14:textId="77777777" w:rsid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The NHS Leadership Framework sets out the behaviours and values expected of all staff, regardless of role, to support high</w:t>
      </w:r>
      <w:r w:rsidRPr="00BA0CC9">
        <w:rPr>
          <w:rFonts w:ascii="Arial" w:eastAsia="Times New Roman" w:hAnsi="Arial" w:cs="Arial"/>
          <w:kern w:val="0"/>
          <w:lang w:eastAsia="en-GB"/>
        </w:rPr>
        <w:noBreakHyphen/>
        <w:t>quality care and continuous improvement. One key leadership behaviour is evaluating information, which involves analysing evidence, questioning assumptions, and making informed decisions. A leader can use this behaviour to encourage creativity by creating space for staff to explore multiple solutions before selecting the most effective one. For example, when improving patient flow, a leader might review data on waiting times, gather staff insights, and compare different approaches. This process helps teams think creatively while staying grounded in evidence. Research shows that leaders who evaluate information effectively improve decision</w:t>
      </w:r>
      <w:r w:rsidRPr="00BA0CC9">
        <w:rPr>
          <w:rFonts w:ascii="Arial" w:eastAsia="Times New Roman" w:hAnsi="Arial" w:cs="Arial"/>
          <w:kern w:val="0"/>
          <w:lang w:eastAsia="en-GB"/>
        </w:rPr>
        <w:noBreakHyphen/>
        <w:t>making and patient outcomes (West et al., 2015; NHS Leadership Academy, 2013).</w:t>
      </w:r>
    </w:p>
    <w:p w14:paraId="2CDF5F62" w14:textId="77777777" w:rsidR="00FD6750" w:rsidRDefault="00FD6750" w:rsidP="00BA0CC9">
      <w:pPr>
        <w:spacing w:after="0" w:line="360" w:lineRule="atLeast"/>
        <w:rPr>
          <w:rFonts w:ascii="Arial" w:eastAsia="Times New Roman" w:hAnsi="Arial" w:cs="Arial"/>
          <w:kern w:val="0"/>
          <w:lang w:eastAsia="en-GB"/>
        </w:rPr>
      </w:pPr>
    </w:p>
    <w:p w14:paraId="0F1BC6AF" w14:textId="49AABECF" w:rsidR="00FD6750" w:rsidRDefault="009B6836" w:rsidP="00BA0CC9">
      <w:pPr>
        <w:spacing w:after="0" w:line="360" w:lineRule="atLeast"/>
        <w:rPr>
          <w:rFonts w:ascii="Arial" w:eastAsia="Times New Roman" w:hAnsi="Arial" w:cs="Arial"/>
          <w:kern w:val="0"/>
          <w:lang w:eastAsia="en-GB"/>
        </w:rPr>
      </w:pPr>
      <w:r>
        <w:rPr>
          <w:noProof/>
        </w:rPr>
        <w:drawing>
          <wp:inline distT="0" distB="0" distL="0" distR="0" wp14:anchorId="3666FAB2" wp14:editId="7E9672DC">
            <wp:extent cx="5731510" cy="2321061"/>
            <wp:effectExtent l="0" t="0" r="2540" b="3175"/>
            <wp:docPr id="16032972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321061"/>
                    </a:xfrm>
                    <a:prstGeom prst="rect">
                      <a:avLst/>
                    </a:prstGeom>
                    <a:noFill/>
                    <a:ln>
                      <a:noFill/>
                    </a:ln>
                  </pic:spPr>
                </pic:pic>
              </a:graphicData>
            </a:graphic>
          </wp:inline>
        </w:drawing>
      </w:r>
    </w:p>
    <w:p w14:paraId="20ACDACD" w14:textId="7E84B571" w:rsidR="00FD6750" w:rsidRPr="00BA0CC9" w:rsidRDefault="00FD6750" w:rsidP="00BA0CC9">
      <w:pPr>
        <w:spacing w:after="0" w:line="360" w:lineRule="atLeast"/>
        <w:rPr>
          <w:rFonts w:ascii="Arial" w:eastAsia="Times New Roman" w:hAnsi="Arial" w:cs="Arial"/>
          <w:kern w:val="0"/>
          <w:lang w:eastAsia="en-GB"/>
        </w:rPr>
      </w:pPr>
    </w:p>
    <w:p w14:paraId="6DEB10C5" w14:textId="4E2EFDA9" w:rsidR="00BA0CC9" w:rsidRPr="00BA0CC9" w:rsidRDefault="00BA0CC9" w:rsidP="00BA0CC9">
      <w:pPr>
        <w:spacing w:after="0" w:line="360" w:lineRule="atLeast"/>
        <w:rPr>
          <w:rFonts w:ascii="Arial" w:eastAsia="Times New Roman" w:hAnsi="Arial" w:cs="Arial"/>
          <w:kern w:val="0"/>
          <w:lang w:eastAsia="en-GB"/>
        </w:rPr>
      </w:pPr>
    </w:p>
    <w:p w14:paraId="6DEF565E" w14:textId="77777777" w:rsidR="00BA0CC9" w:rsidRPr="00BA0CC9" w:rsidRDefault="00BA0CC9" w:rsidP="00BA0CC9">
      <w:pPr>
        <w:spacing w:after="0" w:line="360" w:lineRule="atLeast"/>
        <w:outlineLvl w:val="1"/>
        <w:rPr>
          <w:rFonts w:ascii="Arial" w:eastAsia="Times New Roman" w:hAnsi="Arial" w:cs="Arial"/>
          <w:b/>
          <w:bCs/>
          <w:kern w:val="0"/>
          <w:lang w:eastAsia="en-GB"/>
        </w:rPr>
      </w:pPr>
      <w:r w:rsidRPr="00BA0CC9">
        <w:rPr>
          <w:rFonts w:ascii="Arial" w:eastAsia="Times New Roman" w:hAnsi="Arial" w:cs="Arial"/>
          <w:b/>
          <w:bCs/>
          <w:kern w:val="0"/>
          <w:lang w:eastAsia="en-GB"/>
        </w:rPr>
        <w:t>Task 8 – Self</w:t>
      </w:r>
      <w:r w:rsidRPr="00BA0CC9">
        <w:rPr>
          <w:rFonts w:ascii="Arial" w:eastAsia="Times New Roman" w:hAnsi="Arial" w:cs="Arial"/>
          <w:b/>
          <w:bCs/>
          <w:kern w:val="0"/>
          <w:lang w:eastAsia="en-GB"/>
        </w:rPr>
        <w:noBreakHyphen/>
        <w:t>Reflection Journal Entry</w:t>
      </w:r>
    </w:p>
    <w:p w14:paraId="11D13748" w14:textId="77777777" w:rsidR="00BA0CC9" w:rsidRDefault="00BA0CC9" w:rsidP="00BA0CC9">
      <w:pPr>
        <w:spacing w:after="0" w:line="360" w:lineRule="atLeast"/>
        <w:rPr>
          <w:rFonts w:ascii="Arial" w:eastAsia="Times New Roman" w:hAnsi="Arial" w:cs="Arial"/>
          <w:kern w:val="0"/>
          <w:lang w:eastAsia="en-GB"/>
        </w:rPr>
      </w:pPr>
      <w:r w:rsidRPr="00BA0CC9">
        <w:rPr>
          <w:rFonts w:ascii="Arial" w:eastAsia="Times New Roman" w:hAnsi="Arial" w:cs="Arial"/>
          <w:kern w:val="0"/>
          <w:lang w:eastAsia="en-GB"/>
        </w:rPr>
        <w:t xml:space="preserve">Throughout this module, my understanding of creativity and value creation in health and social care has developed significantly. At the start, I viewed creativity as something mainly linked to innovation or new technology. Over time, I realised that </w:t>
      </w:r>
      <w:r w:rsidRPr="00BA0CC9">
        <w:rPr>
          <w:rFonts w:ascii="Arial" w:eastAsia="Times New Roman" w:hAnsi="Arial" w:cs="Arial"/>
          <w:kern w:val="0"/>
          <w:lang w:eastAsia="en-GB"/>
        </w:rPr>
        <w:lastRenderedPageBreak/>
        <w:t>creativity is also about problem solving, reframing challenges, and designing person</w:t>
      </w:r>
      <w:r w:rsidRPr="00BA0CC9">
        <w:rPr>
          <w:rFonts w:ascii="Arial" w:eastAsia="Times New Roman" w:hAnsi="Arial" w:cs="Arial"/>
          <w:kern w:val="0"/>
          <w:lang w:eastAsia="en-GB"/>
        </w:rPr>
        <w:noBreakHyphen/>
        <w:t>centred solutions. Activities such as analysing case studies, exploring divergent and convergent thinking, and examining real NHS innovations helped me see how creativity directly improves safety, communication, and patient experience. I also learned that value creation is not only about efficiency but about enhancing dignity, wellbeing, and outcomes for service users. The weekly tasks encouraged me to think more broadly, challenge assumptions, and recognise how small creative changes can make a meaningful difference in practice. Overall, my perspective has shifted from seeing creativity as optional to understanding it as essential for high</w:t>
      </w:r>
      <w:r w:rsidRPr="00BA0CC9">
        <w:rPr>
          <w:rFonts w:ascii="Arial" w:eastAsia="Times New Roman" w:hAnsi="Arial" w:cs="Arial"/>
          <w:kern w:val="0"/>
          <w:lang w:eastAsia="en-GB"/>
        </w:rPr>
        <w:noBreakHyphen/>
        <w:t>quality care.</w:t>
      </w:r>
    </w:p>
    <w:p w14:paraId="30ADB048" w14:textId="77777777" w:rsidR="00D2416D" w:rsidRDefault="00D2416D" w:rsidP="00BA0CC9">
      <w:pPr>
        <w:spacing w:after="0" w:line="360" w:lineRule="atLeast"/>
        <w:rPr>
          <w:rFonts w:ascii="Arial" w:eastAsia="Times New Roman" w:hAnsi="Arial" w:cs="Arial"/>
          <w:kern w:val="0"/>
          <w:lang w:eastAsia="en-GB"/>
        </w:rPr>
      </w:pPr>
    </w:p>
    <w:p w14:paraId="28842D36" w14:textId="77777777" w:rsidR="009B6836" w:rsidRDefault="00FD6750" w:rsidP="009B6836">
      <w:pPr>
        <w:spacing w:after="0" w:line="360" w:lineRule="atLeast"/>
        <w:outlineLvl w:val="1"/>
        <w:rPr>
          <w:rFonts w:ascii="Arial" w:eastAsia="Times New Roman" w:hAnsi="Arial" w:cs="Arial"/>
          <w:b/>
          <w:bCs/>
          <w:kern w:val="0"/>
          <w:lang w:eastAsia="en-GB"/>
        </w:rPr>
      </w:pPr>
      <w:r w:rsidRPr="00D2416D">
        <w:rPr>
          <w:rFonts w:ascii="Arial" w:eastAsia="Times New Roman" w:hAnsi="Arial" w:cs="Arial"/>
          <w:b/>
          <w:bCs/>
          <w:kern w:val="0"/>
          <w:lang w:eastAsia="en-GB"/>
        </w:rPr>
        <w:t>References</w:t>
      </w:r>
    </w:p>
    <w:p w14:paraId="2838642C" w14:textId="097D5720" w:rsidR="00FD6750" w:rsidRPr="009B6836" w:rsidRDefault="00FD6750" w:rsidP="009B6836">
      <w:pPr>
        <w:spacing w:after="0" w:line="360" w:lineRule="atLeast"/>
        <w:jc w:val="both"/>
        <w:outlineLvl w:val="1"/>
        <w:rPr>
          <w:rFonts w:ascii="Arial" w:eastAsia="Times New Roman" w:hAnsi="Arial" w:cs="Arial"/>
          <w:b/>
          <w:bCs/>
          <w:kern w:val="0"/>
          <w:lang w:eastAsia="en-GB"/>
        </w:rPr>
      </w:pPr>
      <w:r w:rsidRPr="00FD6750">
        <w:rPr>
          <w:rFonts w:ascii="Times New Roman" w:eastAsia="Times New Roman" w:hAnsi="Times New Roman"/>
          <w:kern w:val="0"/>
          <w:lang w:eastAsia="en-GB"/>
        </w:rPr>
        <w:t xml:space="preserve"> </w:t>
      </w:r>
      <w:r w:rsidRPr="00D2416D">
        <w:rPr>
          <w:rFonts w:ascii="Arial" w:eastAsia="Times New Roman" w:hAnsi="Arial" w:cs="Arial"/>
          <w:kern w:val="0"/>
          <w:lang w:eastAsia="en-GB"/>
        </w:rPr>
        <w:t xml:space="preserve">Department for Education (2023) Working Together to Safeguard Children. London: DfE. </w:t>
      </w:r>
    </w:p>
    <w:p w14:paraId="28B7DBA0" w14:textId="77777777" w:rsidR="00FD6750" w:rsidRPr="00D2416D" w:rsidRDefault="00FD6750" w:rsidP="009B6836">
      <w:pPr>
        <w:spacing w:after="0" w:line="240" w:lineRule="auto"/>
        <w:jc w:val="both"/>
        <w:rPr>
          <w:rFonts w:ascii="Arial" w:eastAsia="Times New Roman" w:hAnsi="Arial" w:cs="Arial"/>
          <w:kern w:val="0"/>
          <w:lang w:eastAsia="en-GB"/>
        </w:rPr>
      </w:pPr>
    </w:p>
    <w:p w14:paraId="1667B74A" w14:textId="653EEFA0"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 xml:space="preserve"> Elavsky, S</w:t>
      </w:r>
      <w:r w:rsidRPr="00D2416D">
        <w:rPr>
          <w:rFonts w:ascii="Arial" w:eastAsia="Times New Roman" w:hAnsi="Arial" w:cs="Arial"/>
          <w:b/>
          <w:bCs/>
          <w:kern w:val="0"/>
          <w:lang w:eastAsia="en-GB"/>
        </w:rPr>
        <w:t xml:space="preserve">., </w:t>
      </w:r>
      <w:proofErr w:type="spellStart"/>
      <w:r w:rsidRPr="00D2416D">
        <w:rPr>
          <w:rFonts w:ascii="Arial" w:eastAsia="Times New Roman" w:hAnsi="Arial" w:cs="Arial"/>
          <w:kern w:val="0"/>
          <w:lang w:eastAsia="en-GB"/>
        </w:rPr>
        <w:t>Smahel</w:t>
      </w:r>
      <w:proofErr w:type="spellEnd"/>
      <w:r w:rsidRPr="00D2416D">
        <w:rPr>
          <w:rFonts w:ascii="Arial" w:eastAsia="Times New Roman" w:hAnsi="Arial" w:cs="Arial"/>
          <w:b/>
          <w:bCs/>
          <w:kern w:val="0"/>
          <w:lang w:eastAsia="en-GB"/>
        </w:rPr>
        <w:t xml:space="preserve">, </w:t>
      </w:r>
      <w:r w:rsidRPr="00D2416D">
        <w:rPr>
          <w:rFonts w:ascii="Arial" w:eastAsia="Times New Roman" w:hAnsi="Arial" w:cs="Arial"/>
          <w:kern w:val="0"/>
          <w:lang w:eastAsia="en-GB"/>
        </w:rPr>
        <w:t xml:space="preserve">D. &amp; </w:t>
      </w:r>
      <w:proofErr w:type="spellStart"/>
      <w:r w:rsidRPr="00D2416D">
        <w:rPr>
          <w:rFonts w:ascii="Arial" w:eastAsia="Times New Roman" w:hAnsi="Arial" w:cs="Arial"/>
          <w:kern w:val="0"/>
          <w:lang w:eastAsia="en-GB"/>
        </w:rPr>
        <w:t>Machackova</w:t>
      </w:r>
      <w:proofErr w:type="spellEnd"/>
      <w:r w:rsidRPr="00D2416D">
        <w:rPr>
          <w:rFonts w:ascii="Arial" w:eastAsia="Times New Roman" w:hAnsi="Arial" w:cs="Arial"/>
          <w:b/>
          <w:bCs/>
          <w:kern w:val="0"/>
          <w:lang w:eastAsia="en-GB"/>
        </w:rPr>
        <w:t>, H.</w:t>
      </w:r>
      <w:r w:rsidRPr="00D2416D">
        <w:rPr>
          <w:rFonts w:ascii="Arial" w:eastAsia="Times New Roman" w:hAnsi="Arial" w:cs="Arial"/>
          <w:kern w:val="0"/>
          <w:lang w:eastAsia="en-GB"/>
        </w:rPr>
        <w:t xml:space="preserve"> (2021) ‘Digital health interventions for behaviour change’, </w:t>
      </w:r>
      <w:r w:rsidRPr="00D2416D">
        <w:rPr>
          <w:rFonts w:ascii="Arial" w:eastAsia="Times New Roman" w:hAnsi="Arial" w:cs="Arial"/>
          <w:i/>
          <w:iCs/>
          <w:kern w:val="0"/>
          <w:lang w:eastAsia="en-GB"/>
        </w:rPr>
        <w:t>Journal of Medical Internet Research</w:t>
      </w:r>
      <w:r w:rsidRPr="00D2416D">
        <w:rPr>
          <w:rFonts w:ascii="Arial" w:eastAsia="Times New Roman" w:hAnsi="Arial" w:cs="Arial"/>
          <w:kern w:val="0"/>
          <w:lang w:eastAsia="en-GB"/>
        </w:rPr>
        <w:t xml:space="preserve">, 23(5), e23456. </w:t>
      </w:r>
    </w:p>
    <w:p w14:paraId="043725B9" w14:textId="77777777" w:rsidR="00FD6750" w:rsidRPr="00D2416D" w:rsidRDefault="00FD6750" w:rsidP="009B6836">
      <w:pPr>
        <w:spacing w:after="0" w:line="240" w:lineRule="auto"/>
        <w:jc w:val="both"/>
        <w:rPr>
          <w:rFonts w:ascii="Arial" w:eastAsia="Times New Roman" w:hAnsi="Arial" w:cs="Arial"/>
          <w:kern w:val="0"/>
          <w:lang w:eastAsia="en-GB"/>
        </w:rPr>
      </w:pPr>
    </w:p>
    <w:p w14:paraId="23EF5A6A" w14:textId="2296F655"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 xml:space="preserve">Gaughan, J., </w:t>
      </w:r>
      <w:proofErr w:type="spellStart"/>
      <w:r w:rsidRPr="00D2416D">
        <w:rPr>
          <w:rFonts w:ascii="Arial" w:eastAsia="Times New Roman" w:hAnsi="Arial" w:cs="Arial"/>
          <w:kern w:val="0"/>
          <w:lang w:eastAsia="en-GB"/>
        </w:rPr>
        <w:t>Kasteridis</w:t>
      </w:r>
      <w:proofErr w:type="spellEnd"/>
      <w:r w:rsidRPr="00D2416D">
        <w:rPr>
          <w:rFonts w:ascii="Arial" w:eastAsia="Times New Roman" w:hAnsi="Arial" w:cs="Arial"/>
          <w:kern w:val="0"/>
          <w:lang w:eastAsia="en-GB"/>
        </w:rPr>
        <w:t xml:space="preserve">, P., Mason, A. &amp; Street, A. (2019) ‘Why are there long waits at English emergency departments?’, </w:t>
      </w:r>
      <w:r w:rsidRPr="00D2416D">
        <w:rPr>
          <w:rFonts w:ascii="Arial" w:eastAsia="Times New Roman" w:hAnsi="Arial" w:cs="Arial"/>
          <w:i/>
          <w:iCs/>
          <w:kern w:val="0"/>
          <w:lang w:eastAsia="en-GB"/>
        </w:rPr>
        <w:t>European Journal of Health Economics</w:t>
      </w:r>
      <w:r w:rsidRPr="00D2416D">
        <w:rPr>
          <w:rFonts w:ascii="Arial" w:eastAsia="Times New Roman" w:hAnsi="Arial" w:cs="Arial"/>
          <w:kern w:val="0"/>
          <w:lang w:eastAsia="en-GB"/>
        </w:rPr>
        <w:t xml:space="preserve">, 21(2), pp. 209–218. </w:t>
      </w:r>
    </w:p>
    <w:p w14:paraId="1A168D44" w14:textId="77777777" w:rsidR="00FD6750" w:rsidRPr="00D2416D" w:rsidRDefault="00FD6750" w:rsidP="009B6836">
      <w:pPr>
        <w:spacing w:after="0" w:line="240" w:lineRule="auto"/>
        <w:jc w:val="both"/>
        <w:rPr>
          <w:rFonts w:ascii="Arial" w:eastAsia="Times New Roman" w:hAnsi="Arial" w:cs="Arial"/>
          <w:kern w:val="0"/>
          <w:lang w:eastAsia="en-GB"/>
        </w:rPr>
      </w:pPr>
    </w:p>
    <w:p w14:paraId="306C67C1" w14:textId="5042E1E5"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 xml:space="preserve"> Kotter, J. (2012</w:t>
      </w:r>
      <w:r w:rsidRPr="009A18E0">
        <w:rPr>
          <w:rFonts w:ascii="Arial" w:eastAsia="Times New Roman" w:hAnsi="Arial" w:cs="Arial"/>
          <w:kern w:val="0"/>
          <w:lang w:eastAsia="en-GB"/>
        </w:rPr>
        <w:t>) Leading Change</w:t>
      </w:r>
      <w:r w:rsidRPr="00D2416D">
        <w:rPr>
          <w:rFonts w:ascii="Arial" w:eastAsia="Times New Roman" w:hAnsi="Arial" w:cs="Arial"/>
          <w:kern w:val="0"/>
          <w:lang w:eastAsia="en-GB"/>
        </w:rPr>
        <w:t xml:space="preserve">. Boston: Harvard Business Review Press. </w:t>
      </w:r>
    </w:p>
    <w:p w14:paraId="2E1E32F8" w14:textId="77777777"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 xml:space="preserve"> Kruse, C. et al</w:t>
      </w:r>
      <w:r w:rsidRPr="00D2416D">
        <w:rPr>
          <w:rFonts w:ascii="Arial" w:eastAsia="Times New Roman" w:hAnsi="Arial" w:cs="Arial"/>
          <w:b/>
          <w:bCs/>
          <w:kern w:val="0"/>
          <w:lang w:eastAsia="en-GB"/>
        </w:rPr>
        <w:t>.</w:t>
      </w:r>
      <w:r w:rsidRPr="00D2416D">
        <w:rPr>
          <w:rFonts w:ascii="Arial" w:eastAsia="Times New Roman" w:hAnsi="Arial" w:cs="Arial"/>
          <w:kern w:val="0"/>
          <w:lang w:eastAsia="en-GB"/>
        </w:rPr>
        <w:t xml:space="preserve"> (2018) ‘Impact of electronic health records on communication and care coordination’, </w:t>
      </w:r>
      <w:r w:rsidRPr="009A18E0">
        <w:rPr>
          <w:rFonts w:ascii="Arial" w:eastAsia="Times New Roman" w:hAnsi="Arial" w:cs="Arial"/>
          <w:kern w:val="0"/>
          <w:lang w:eastAsia="en-GB"/>
        </w:rPr>
        <w:t>JMIR Medical Informatics</w:t>
      </w:r>
      <w:r w:rsidRPr="00D2416D">
        <w:rPr>
          <w:rFonts w:ascii="Arial" w:eastAsia="Times New Roman" w:hAnsi="Arial" w:cs="Arial"/>
          <w:kern w:val="0"/>
          <w:lang w:eastAsia="en-GB"/>
        </w:rPr>
        <w:t>, 6(2), e23.</w:t>
      </w:r>
    </w:p>
    <w:p w14:paraId="49D52962" w14:textId="6E36245F"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 xml:space="preserve"> </w:t>
      </w:r>
    </w:p>
    <w:p w14:paraId="11A17F61" w14:textId="2C76F454"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 xml:space="preserve"> NHS England (2023) Digital Mental Health Services Evaluation Report. London: NHS England. </w:t>
      </w:r>
    </w:p>
    <w:p w14:paraId="359590B5" w14:textId="77777777" w:rsidR="00FD6750" w:rsidRPr="00D2416D" w:rsidRDefault="00FD6750" w:rsidP="009B6836">
      <w:pPr>
        <w:spacing w:after="0" w:line="240" w:lineRule="auto"/>
        <w:jc w:val="both"/>
        <w:rPr>
          <w:rFonts w:ascii="Arial" w:eastAsia="Times New Roman" w:hAnsi="Arial" w:cs="Arial"/>
          <w:kern w:val="0"/>
          <w:lang w:eastAsia="en-GB"/>
        </w:rPr>
      </w:pPr>
    </w:p>
    <w:p w14:paraId="53187803" w14:textId="77777777"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NHS Leadership Academy (2013) The NHS Leadership Framework. Leeds: NHS Leadership Academy.</w:t>
      </w:r>
    </w:p>
    <w:p w14:paraId="7BA0597E" w14:textId="45DD3A75"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 xml:space="preserve"> </w:t>
      </w:r>
    </w:p>
    <w:p w14:paraId="7567B2D7" w14:textId="09A4C328"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 xml:space="preserve"> NICE (2024) Digital Therapies for Anxiety and Depression: Evidence Review. London: National Institute for Health and Care Excellence.</w:t>
      </w:r>
    </w:p>
    <w:p w14:paraId="430F229C" w14:textId="77777777" w:rsidR="00FD6750" w:rsidRPr="00D2416D" w:rsidRDefault="00FD6750" w:rsidP="009B6836">
      <w:pPr>
        <w:spacing w:after="0" w:line="240" w:lineRule="auto"/>
        <w:jc w:val="both"/>
        <w:rPr>
          <w:rFonts w:ascii="Arial" w:eastAsia="Times New Roman" w:hAnsi="Arial" w:cs="Arial"/>
          <w:kern w:val="0"/>
          <w:lang w:eastAsia="en-GB"/>
        </w:rPr>
      </w:pPr>
    </w:p>
    <w:p w14:paraId="712FF136" w14:textId="3F5D3283"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 xml:space="preserve">  Paling, S., Lambert, J., Clouting, J. &amp; González </w:t>
      </w:r>
      <w:proofErr w:type="spellStart"/>
      <w:r w:rsidRPr="00D2416D">
        <w:rPr>
          <w:rFonts w:ascii="Arial" w:eastAsia="Times New Roman" w:hAnsi="Arial" w:cs="Arial"/>
          <w:kern w:val="0"/>
          <w:lang w:eastAsia="en-GB"/>
        </w:rPr>
        <w:t>Esquerré</w:t>
      </w:r>
      <w:proofErr w:type="spellEnd"/>
      <w:r w:rsidRPr="00D2416D">
        <w:rPr>
          <w:rFonts w:ascii="Arial" w:eastAsia="Times New Roman" w:hAnsi="Arial" w:cs="Arial"/>
          <w:kern w:val="0"/>
          <w:lang w:eastAsia="en-GB"/>
        </w:rPr>
        <w:t>, J. (2020) ‘Waiting times in emergency departments: exploring the factors associated with longer patient waits’, Emergency Medicine Journal, 37, pp. 781–786.  Piaget, J</w:t>
      </w:r>
      <w:r w:rsidRPr="00D2416D">
        <w:rPr>
          <w:rFonts w:ascii="Arial" w:eastAsia="Times New Roman" w:hAnsi="Arial" w:cs="Arial"/>
          <w:b/>
          <w:bCs/>
          <w:kern w:val="0"/>
          <w:lang w:eastAsia="en-GB"/>
        </w:rPr>
        <w:t>.</w:t>
      </w:r>
      <w:r w:rsidRPr="00D2416D">
        <w:rPr>
          <w:rFonts w:ascii="Arial" w:eastAsia="Times New Roman" w:hAnsi="Arial" w:cs="Arial"/>
          <w:kern w:val="0"/>
          <w:lang w:eastAsia="en-GB"/>
        </w:rPr>
        <w:t xml:space="preserve"> (1952) The Origins of Intelligence in Children. New York: International Universities Press. </w:t>
      </w:r>
    </w:p>
    <w:p w14:paraId="09E9AB5E" w14:textId="77777777" w:rsidR="00FD6750" w:rsidRPr="00D2416D" w:rsidRDefault="00FD6750" w:rsidP="009B6836">
      <w:pPr>
        <w:spacing w:after="0" w:line="240" w:lineRule="auto"/>
        <w:jc w:val="both"/>
        <w:rPr>
          <w:rFonts w:ascii="Arial" w:eastAsia="Times New Roman" w:hAnsi="Arial" w:cs="Arial"/>
          <w:kern w:val="0"/>
          <w:lang w:eastAsia="en-GB"/>
        </w:rPr>
      </w:pPr>
    </w:p>
    <w:p w14:paraId="5745AA5D" w14:textId="48F8A49C"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Porter, M. &amp; Teisberg, E</w:t>
      </w:r>
      <w:r w:rsidRPr="00D2416D">
        <w:rPr>
          <w:rFonts w:ascii="Arial" w:eastAsia="Times New Roman" w:hAnsi="Arial" w:cs="Arial"/>
          <w:b/>
          <w:bCs/>
          <w:kern w:val="0"/>
          <w:lang w:eastAsia="en-GB"/>
        </w:rPr>
        <w:t>.</w:t>
      </w:r>
      <w:r w:rsidRPr="00D2416D">
        <w:rPr>
          <w:rFonts w:ascii="Arial" w:eastAsia="Times New Roman" w:hAnsi="Arial" w:cs="Arial"/>
          <w:kern w:val="0"/>
          <w:lang w:eastAsia="en-GB"/>
        </w:rPr>
        <w:t xml:space="preserve"> (2006) Redefining Health Care: Creating Value</w:t>
      </w:r>
      <w:r w:rsidRPr="00D2416D">
        <w:rPr>
          <w:rFonts w:ascii="Arial" w:eastAsia="Times New Roman" w:hAnsi="Arial" w:cs="Arial"/>
          <w:kern w:val="0"/>
          <w:lang w:eastAsia="en-GB"/>
        </w:rPr>
        <w:noBreakHyphen/>
        <w:t xml:space="preserve">Based Competition on Results. Boston: Harvard Business School Press. </w:t>
      </w:r>
    </w:p>
    <w:p w14:paraId="4F074CD0" w14:textId="77777777" w:rsidR="00FD6750" w:rsidRPr="00D2416D" w:rsidRDefault="00FD6750" w:rsidP="009B6836">
      <w:pPr>
        <w:spacing w:after="0" w:line="240" w:lineRule="auto"/>
        <w:jc w:val="both"/>
        <w:rPr>
          <w:rFonts w:ascii="Arial" w:eastAsia="Times New Roman" w:hAnsi="Arial" w:cs="Arial"/>
          <w:kern w:val="0"/>
          <w:lang w:eastAsia="en-GB"/>
        </w:rPr>
      </w:pPr>
    </w:p>
    <w:p w14:paraId="26A59478" w14:textId="782FA697"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 xml:space="preserve"> Robinson, K</w:t>
      </w:r>
      <w:r w:rsidRPr="00D2416D">
        <w:rPr>
          <w:rFonts w:ascii="Arial" w:eastAsia="Times New Roman" w:hAnsi="Arial" w:cs="Arial"/>
          <w:b/>
          <w:bCs/>
          <w:kern w:val="0"/>
          <w:lang w:eastAsia="en-GB"/>
        </w:rPr>
        <w:t>.</w:t>
      </w:r>
      <w:r w:rsidRPr="00D2416D">
        <w:rPr>
          <w:rFonts w:ascii="Arial" w:eastAsia="Times New Roman" w:hAnsi="Arial" w:cs="Arial"/>
          <w:kern w:val="0"/>
          <w:lang w:eastAsia="en-GB"/>
        </w:rPr>
        <w:t xml:space="preserve"> (2017) Out of Our Minds: The Power of Being Creative. Chichester: Capstone. </w:t>
      </w:r>
    </w:p>
    <w:p w14:paraId="27C2B1AD" w14:textId="77777777" w:rsidR="00FD6750" w:rsidRPr="00D2416D" w:rsidRDefault="00FD6750" w:rsidP="009B6836">
      <w:pPr>
        <w:spacing w:after="0" w:line="240" w:lineRule="auto"/>
        <w:jc w:val="both"/>
        <w:rPr>
          <w:rFonts w:ascii="Arial" w:eastAsia="Times New Roman" w:hAnsi="Arial" w:cs="Arial"/>
          <w:kern w:val="0"/>
          <w:lang w:eastAsia="en-GB"/>
        </w:rPr>
      </w:pPr>
    </w:p>
    <w:p w14:paraId="70F0F8D5" w14:textId="77777777" w:rsidR="009E66B7"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lastRenderedPageBreak/>
        <w:t xml:space="preserve">  Rogers, E</w:t>
      </w:r>
      <w:r w:rsidRPr="00D2416D">
        <w:rPr>
          <w:rFonts w:ascii="Arial" w:eastAsia="Times New Roman" w:hAnsi="Arial" w:cs="Arial"/>
          <w:b/>
          <w:bCs/>
          <w:kern w:val="0"/>
          <w:lang w:eastAsia="en-GB"/>
        </w:rPr>
        <w:t>.</w:t>
      </w:r>
      <w:r w:rsidRPr="00D2416D">
        <w:rPr>
          <w:rFonts w:ascii="Arial" w:eastAsia="Times New Roman" w:hAnsi="Arial" w:cs="Arial"/>
          <w:kern w:val="0"/>
          <w:lang w:eastAsia="en-GB"/>
        </w:rPr>
        <w:t xml:space="preserve"> (2003) Diffusion of Innovations. 5th </w:t>
      </w:r>
      <w:proofErr w:type="spellStart"/>
      <w:r w:rsidRPr="00D2416D">
        <w:rPr>
          <w:rFonts w:ascii="Arial" w:eastAsia="Times New Roman" w:hAnsi="Arial" w:cs="Arial"/>
          <w:kern w:val="0"/>
          <w:lang w:eastAsia="en-GB"/>
        </w:rPr>
        <w:t>edn</w:t>
      </w:r>
      <w:proofErr w:type="spellEnd"/>
      <w:r w:rsidRPr="00D2416D">
        <w:rPr>
          <w:rFonts w:ascii="Arial" w:eastAsia="Times New Roman" w:hAnsi="Arial" w:cs="Arial"/>
          <w:kern w:val="0"/>
          <w:lang w:eastAsia="en-GB"/>
        </w:rPr>
        <w:t>. New York: Free Press.</w:t>
      </w:r>
    </w:p>
    <w:p w14:paraId="393D7B8A" w14:textId="50A1F997"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 xml:space="preserve"> </w:t>
      </w:r>
    </w:p>
    <w:p w14:paraId="06B91C9A" w14:textId="7CA269BC"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 xml:space="preserve">Tidd, J. &amp; Bessant, J. (2020) </w:t>
      </w:r>
      <w:r w:rsidRPr="00D2416D">
        <w:rPr>
          <w:rFonts w:ascii="Arial" w:eastAsia="Times New Roman" w:hAnsi="Arial" w:cs="Arial"/>
          <w:i/>
          <w:iCs/>
          <w:kern w:val="0"/>
          <w:lang w:eastAsia="en-GB"/>
        </w:rPr>
        <w:t>Managing Innovation</w:t>
      </w:r>
      <w:r w:rsidRPr="00D2416D">
        <w:rPr>
          <w:rFonts w:ascii="Arial" w:eastAsia="Times New Roman" w:hAnsi="Arial" w:cs="Arial"/>
          <w:kern w:val="0"/>
          <w:lang w:eastAsia="en-GB"/>
        </w:rPr>
        <w:t xml:space="preserve">. 7th </w:t>
      </w:r>
      <w:proofErr w:type="spellStart"/>
      <w:r w:rsidRPr="00D2416D">
        <w:rPr>
          <w:rFonts w:ascii="Arial" w:eastAsia="Times New Roman" w:hAnsi="Arial" w:cs="Arial"/>
          <w:kern w:val="0"/>
          <w:lang w:eastAsia="en-GB"/>
        </w:rPr>
        <w:t>edn</w:t>
      </w:r>
      <w:proofErr w:type="spellEnd"/>
      <w:r w:rsidRPr="00D2416D">
        <w:rPr>
          <w:rFonts w:ascii="Arial" w:eastAsia="Times New Roman" w:hAnsi="Arial" w:cs="Arial"/>
          <w:kern w:val="0"/>
          <w:lang w:eastAsia="en-GB"/>
        </w:rPr>
        <w:t xml:space="preserve">. Chichester: Wiley. </w:t>
      </w:r>
    </w:p>
    <w:p w14:paraId="068AEDA8" w14:textId="6FEAA3F5"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 xml:space="preserve">Wang, R. et al. (2020) ‘Wearable sensor use for chronic disease management’, </w:t>
      </w:r>
      <w:r w:rsidRPr="00D2416D">
        <w:rPr>
          <w:rFonts w:ascii="Arial" w:eastAsia="Times New Roman" w:hAnsi="Arial" w:cs="Arial"/>
          <w:i/>
          <w:iCs/>
          <w:kern w:val="0"/>
          <w:lang w:eastAsia="en-GB"/>
        </w:rPr>
        <w:t>Nature Medicine</w:t>
      </w:r>
      <w:r w:rsidRPr="00D2416D">
        <w:rPr>
          <w:rFonts w:ascii="Arial" w:eastAsia="Times New Roman" w:hAnsi="Arial" w:cs="Arial"/>
          <w:kern w:val="0"/>
          <w:lang w:eastAsia="en-GB"/>
        </w:rPr>
        <w:t xml:space="preserve">, 26, pp. 5–11. </w:t>
      </w:r>
    </w:p>
    <w:p w14:paraId="4153A04B" w14:textId="77777777" w:rsidR="009E66B7" w:rsidRPr="00D2416D" w:rsidRDefault="009E66B7" w:rsidP="009B6836">
      <w:pPr>
        <w:spacing w:after="0" w:line="240" w:lineRule="auto"/>
        <w:jc w:val="both"/>
        <w:rPr>
          <w:rFonts w:ascii="Arial" w:eastAsia="Times New Roman" w:hAnsi="Arial" w:cs="Arial"/>
          <w:kern w:val="0"/>
          <w:lang w:eastAsia="en-GB"/>
        </w:rPr>
      </w:pPr>
    </w:p>
    <w:p w14:paraId="1ACBF1DE" w14:textId="6295ACB8" w:rsidR="00FD6750" w:rsidRPr="00D2416D" w:rsidRDefault="00FD6750" w:rsidP="009B6836">
      <w:pPr>
        <w:spacing w:after="0" w:line="240" w:lineRule="auto"/>
        <w:jc w:val="both"/>
        <w:rPr>
          <w:rFonts w:ascii="Arial" w:eastAsia="Times New Roman" w:hAnsi="Arial" w:cs="Arial"/>
          <w:kern w:val="0"/>
          <w:lang w:eastAsia="en-GB"/>
        </w:rPr>
      </w:pPr>
      <w:r w:rsidRPr="00D2416D">
        <w:rPr>
          <w:rFonts w:ascii="Arial" w:eastAsia="Times New Roman" w:hAnsi="Arial" w:cs="Arial"/>
          <w:kern w:val="0"/>
          <w:lang w:eastAsia="en-GB"/>
        </w:rPr>
        <w:t>West, M., Armit, K., Loewenthal, L., Eckert, R., West, T. &amp; Lee, A</w:t>
      </w:r>
      <w:r w:rsidRPr="00D2416D">
        <w:rPr>
          <w:rFonts w:ascii="Arial" w:eastAsia="Times New Roman" w:hAnsi="Arial" w:cs="Arial"/>
          <w:b/>
          <w:bCs/>
          <w:kern w:val="0"/>
          <w:lang w:eastAsia="en-GB"/>
        </w:rPr>
        <w:t>.</w:t>
      </w:r>
      <w:r w:rsidRPr="00D2416D">
        <w:rPr>
          <w:rFonts w:ascii="Arial" w:eastAsia="Times New Roman" w:hAnsi="Arial" w:cs="Arial"/>
          <w:kern w:val="0"/>
          <w:lang w:eastAsia="en-GB"/>
        </w:rPr>
        <w:t xml:space="preserve"> (2015) Leadership and Leadership Development in Healthcare: The Evidence Base. London: Faculty of Medical Leadership and Management. </w:t>
      </w:r>
    </w:p>
    <w:p w14:paraId="6D5F4008" w14:textId="77777777" w:rsidR="009E66B7" w:rsidRPr="00D2416D" w:rsidRDefault="009E66B7" w:rsidP="009B6836">
      <w:pPr>
        <w:spacing w:after="0" w:line="240" w:lineRule="auto"/>
        <w:jc w:val="both"/>
        <w:rPr>
          <w:rFonts w:ascii="Arial" w:eastAsia="Times New Roman" w:hAnsi="Arial" w:cs="Arial"/>
          <w:kern w:val="0"/>
          <w:lang w:eastAsia="en-GB"/>
        </w:rPr>
      </w:pPr>
    </w:p>
    <w:p w14:paraId="6CA9DB4A" w14:textId="00202920" w:rsidR="00C30A89" w:rsidRDefault="00FD6750" w:rsidP="009B6836">
      <w:pPr>
        <w:pStyle w:val="NoSpacing"/>
        <w:jc w:val="both"/>
        <w:rPr>
          <w:rFonts w:ascii="Arial" w:hAnsi="Arial" w:cs="Arial"/>
          <w:sz w:val="22"/>
          <w:szCs w:val="22"/>
        </w:rPr>
      </w:pPr>
      <w:r w:rsidRPr="00FD6750">
        <w:rPr>
          <w:rFonts w:ascii="Arial" w:eastAsia="Times New Roman" w:hAnsi="Arial" w:cs="Arial"/>
          <w:kern w:val="0"/>
          <w:lang w:eastAsia="en-GB"/>
        </w:rPr>
        <w:t xml:space="preserve">Young, J., </w:t>
      </w:r>
      <w:proofErr w:type="spellStart"/>
      <w:r w:rsidRPr="00FD6750">
        <w:rPr>
          <w:rFonts w:ascii="Arial" w:eastAsia="Times New Roman" w:hAnsi="Arial" w:cs="Arial"/>
          <w:kern w:val="0"/>
          <w:lang w:eastAsia="en-GB"/>
        </w:rPr>
        <w:t>Klosko</w:t>
      </w:r>
      <w:proofErr w:type="spellEnd"/>
      <w:r w:rsidRPr="00FD6750">
        <w:rPr>
          <w:rFonts w:ascii="Arial" w:eastAsia="Times New Roman" w:hAnsi="Arial" w:cs="Arial"/>
          <w:kern w:val="0"/>
          <w:lang w:eastAsia="en-GB"/>
        </w:rPr>
        <w:t>, J. &amp; Weishaar, M</w:t>
      </w:r>
      <w:r w:rsidRPr="00FD6750">
        <w:rPr>
          <w:rFonts w:ascii="Arial" w:eastAsia="Times New Roman" w:hAnsi="Arial" w:cs="Arial"/>
          <w:b/>
          <w:bCs/>
          <w:kern w:val="0"/>
          <w:lang w:eastAsia="en-GB"/>
        </w:rPr>
        <w:t>.</w:t>
      </w:r>
      <w:r w:rsidRPr="00FD6750">
        <w:rPr>
          <w:rFonts w:ascii="Times New Roman" w:eastAsia="Times New Roman" w:hAnsi="Times New Roman"/>
          <w:kern w:val="0"/>
          <w:lang w:eastAsia="en-GB"/>
        </w:rPr>
        <w:t xml:space="preserve"> (2003) </w:t>
      </w:r>
      <w:r w:rsidRPr="009E66B7">
        <w:rPr>
          <w:rFonts w:ascii="Arial" w:eastAsia="Times New Roman" w:hAnsi="Arial" w:cs="Arial"/>
          <w:kern w:val="0"/>
          <w:lang w:eastAsia="en-GB"/>
        </w:rPr>
        <w:t>Schema Therapy: A Practitioner’s Guide</w:t>
      </w:r>
      <w:r w:rsidRPr="00FD6750">
        <w:rPr>
          <w:rFonts w:ascii="Times New Roman" w:eastAsia="Times New Roman" w:hAnsi="Times New Roman"/>
          <w:kern w:val="0"/>
          <w:lang w:eastAsia="en-GB"/>
        </w:rPr>
        <w:t>. New York: Guilford Press.</w:t>
      </w:r>
    </w:p>
    <w:p w14:paraId="223B05F1" w14:textId="731C9D99" w:rsidR="007A6679" w:rsidRPr="00775840" w:rsidRDefault="007A6679" w:rsidP="009B6836">
      <w:pPr>
        <w:pStyle w:val="NoSpacing"/>
        <w:jc w:val="both"/>
        <w:rPr>
          <w:rFonts w:ascii="Arial" w:hAnsi="Arial" w:cs="Arial"/>
          <w:sz w:val="22"/>
          <w:szCs w:val="22"/>
        </w:rPr>
      </w:pPr>
      <w:r w:rsidRPr="007A6679">
        <w:rPr>
          <w:b/>
          <w:bCs/>
          <w:lang w:eastAsia="en-GB"/>
        </w:rPr>
        <w:t xml:space="preserve"> </w:t>
      </w:r>
    </w:p>
    <w:p w14:paraId="0B8524CC" w14:textId="77777777" w:rsidR="007A6679" w:rsidRDefault="007A6679" w:rsidP="009B6836">
      <w:pPr>
        <w:jc w:val="both"/>
      </w:pPr>
    </w:p>
    <w:sectPr w:rsidR="007A6679" w:rsidSect="00E84D55">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CB0957" w14:textId="77777777" w:rsidR="00523DD5" w:rsidRDefault="00523DD5" w:rsidP="00E84D55">
      <w:pPr>
        <w:spacing w:after="0" w:line="240" w:lineRule="auto"/>
      </w:pPr>
      <w:r>
        <w:separator/>
      </w:r>
    </w:p>
  </w:endnote>
  <w:endnote w:type="continuationSeparator" w:id="0">
    <w:p w14:paraId="6D9CAB34" w14:textId="77777777" w:rsidR="00523DD5" w:rsidRDefault="00523DD5" w:rsidP="00E84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062543"/>
      <w:docPartObj>
        <w:docPartGallery w:val="Page Numbers (Bottom of Page)"/>
        <w:docPartUnique/>
      </w:docPartObj>
    </w:sdtPr>
    <w:sdtEndPr>
      <w:rPr>
        <w:noProof/>
      </w:rPr>
    </w:sdtEndPr>
    <w:sdtContent>
      <w:p w14:paraId="10B5D154" w14:textId="7EBF0F00" w:rsidR="00E84D55" w:rsidRDefault="00E84D55">
        <w:pPr>
          <w:pStyle w:val="Footer"/>
        </w:pPr>
        <w:r>
          <w:fldChar w:fldCharType="begin"/>
        </w:r>
        <w:r>
          <w:instrText xml:space="preserve"> PAGE   \* MERGEFORMAT </w:instrText>
        </w:r>
        <w:r>
          <w:fldChar w:fldCharType="separate"/>
        </w:r>
        <w:r>
          <w:rPr>
            <w:noProof/>
          </w:rPr>
          <w:t>2</w:t>
        </w:r>
        <w:r>
          <w:rPr>
            <w:noProof/>
          </w:rPr>
          <w:fldChar w:fldCharType="end"/>
        </w:r>
      </w:p>
    </w:sdtContent>
  </w:sdt>
  <w:p w14:paraId="7F0D858D" w14:textId="77777777" w:rsidR="00E84D55" w:rsidRDefault="00E84D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200053" w14:textId="77777777" w:rsidR="00523DD5" w:rsidRDefault="00523DD5" w:rsidP="00E84D55">
      <w:pPr>
        <w:spacing w:after="0" w:line="240" w:lineRule="auto"/>
      </w:pPr>
      <w:r>
        <w:separator/>
      </w:r>
    </w:p>
  </w:footnote>
  <w:footnote w:type="continuationSeparator" w:id="0">
    <w:p w14:paraId="3BE2353A" w14:textId="77777777" w:rsidR="00523DD5" w:rsidRDefault="00523DD5" w:rsidP="00E84D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031934"/>
    <w:multiLevelType w:val="multilevel"/>
    <w:tmpl w:val="15E66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062AF6"/>
    <w:multiLevelType w:val="hybridMultilevel"/>
    <w:tmpl w:val="B518C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FC1D7C"/>
    <w:multiLevelType w:val="hybridMultilevel"/>
    <w:tmpl w:val="97D2F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0341761">
    <w:abstractNumId w:val="0"/>
  </w:num>
  <w:num w:numId="2" w16cid:durableId="374239218">
    <w:abstractNumId w:val="2"/>
  </w:num>
  <w:num w:numId="3" w16cid:durableId="8350741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679"/>
    <w:rsid w:val="00005716"/>
    <w:rsid w:val="00024DC6"/>
    <w:rsid w:val="00026F55"/>
    <w:rsid w:val="00036AD7"/>
    <w:rsid w:val="00085E1E"/>
    <w:rsid w:val="000B08CA"/>
    <w:rsid w:val="000F7BB3"/>
    <w:rsid w:val="001054DD"/>
    <w:rsid w:val="001631DC"/>
    <w:rsid w:val="0016491D"/>
    <w:rsid w:val="001F52B1"/>
    <w:rsid w:val="00200768"/>
    <w:rsid w:val="00306B2D"/>
    <w:rsid w:val="00336389"/>
    <w:rsid w:val="003A457E"/>
    <w:rsid w:val="003D3C50"/>
    <w:rsid w:val="00424E93"/>
    <w:rsid w:val="00467BD0"/>
    <w:rsid w:val="004B0ED6"/>
    <w:rsid w:val="004B2305"/>
    <w:rsid w:val="004B38C3"/>
    <w:rsid w:val="004B460C"/>
    <w:rsid w:val="004D49B3"/>
    <w:rsid w:val="004F018B"/>
    <w:rsid w:val="004F4481"/>
    <w:rsid w:val="005111A4"/>
    <w:rsid w:val="00523DD5"/>
    <w:rsid w:val="00530F94"/>
    <w:rsid w:val="005643FE"/>
    <w:rsid w:val="00572E7D"/>
    <w:rsid w:val="005A57D4"/>
    <w:rsid w:val="005C64C3"/>
    <w:rsid w:val="005D1D4C"/>
    <w:rsid w:val="006445D5"/>
    <w:rsid w:val="006A5EF6"/>
    <w:rsid w:val="006B0D5A"/>
    <w:rsid w:val="006C6408"/>
    <w:rsid w:val="006D2B97"/>
    <w:rsid w:val="00726D24"/>
    <w:rsid w:val="007346CD"/>
    <w:rsid w:val="007A6679"/>
    <w:rsid w:val="0082123E"/>
    <w:rsid w:val="008212A4"/>
    <w:rsid w:val="00824C4B"/>
    <w:rsid w:val="008324EE"/>
    <w:rsid w:val="00845B3A"/>
    <w:rsid w:val="008728C5"/>
    <w:rsid w:val="00882A88"/>
    <w:rsid w:val="008E46FD"/>
    <w:rsid w:val="00950B6F"/>
    <w:rsid w:val="0096570E"/>
    <w:rsid w:val="009A18E0"/>
    <w:rsid w:val="009B6836"/>
    <w:rsid w:val="009B6E09"/>
    <w:rsid w:val="009B73A2"/>
    <w:rsid w:val="009C1003"/>
    <w:rsid w:val="009E66B7"/>
    <w:rsid w:val="00A0213D"/>
    <w:rsid w:val="00A22998"/>
    <w:rsid w:val="00A93ED2"/>
    <w:rsid w:val="00AA2A53"/>
    <w:rsid w:val="00AC1249"/>
    <w:rsid w:val="00AC6767"/>
    <w:rsid w:val="00AF574B"/>
    <w:rsid w:val="00B01AE5"/>
    <w:rsid w:val="00B94540"/>
    <w:rsid w:val="00BA0CC9"/>
    <w:rsid w:val="00BA7345"/>
    <w:rsid w:val="00C055A8"/>
    <w:rsid w:val="00C30A89"/>
    <w:rsid w:val="00C42A47"/>
    <w:rsid w:val="00CC21F3"/>
    <w:rsid w:val="00D2416D"/>
    <w:rsid w:val="00D47EE8"/>
    <w:rsid w:val="00D52440"/>
    <w:rsid w:val="00DE3620"/>
    <w:rsid w:val="00E32CC8"/>
    <w:rsid w:val="00E52861"/>
    <w:rsid w:val="00E84718"/>
    <w:rsid w:val="00E84D55"/>
    <w:rsid w:val="00ED7857"/>
    <w:rsid w:val="00F55E5B"/>
    <w:rsid w:val="00FB0AAC"/>
    <w:rsid w:val="00FD6750"/>
    <w:rsid w:val="00FF7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EE175"/>
  <w15:chartTrackingRefBased/>
  <w15:docId w15:val="{B192F2E9-2048-4F52-AF84-0A54D1446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679"/>
    <w:rPr>
      <w:rFonts w:ascii="Aptos" w:eastAsia="Aptos" w:hAnsi="Aptos" w:cs="Times New Roman"/>
      <w14:ligatures w14:val="none"/>
    </w:rPr>
  </w:style>
  <w:style w:type="paragraph" w:styleId="Heading1">
    <w:name w:val="heading 1"/>
    <w:basedOn w:val="Normal"/>
    <w:next w:val="Normal"/>
    <w:link w:val="Heading1Char"/>
    <w:uiPriority w:val="9"/>
    <w:qFormat/>
    <w:rsid w:val="007A6679"/>
    <w:pPr>
      <w:keepNext/>
      <w:keepLines/>
      <w:spacing w:before="360" w:after="80"/>
      <w:outlineLvl w:val="0"/>
    </w:pPr>
    <w:rPr>
      <w:rFonts w:asciiTheme="majorHAnsi" w:eastAsiaTheme="majorEastAsia" w:hAnsiTheme="majorHAnsi" w:cstheme="majorBidi"/>
      <w:color w:val="0F4761" w:themeColor="accent1" w:themeShade="BF"/>
      <w:sz w:val="40"/>
      <w:szCs w:val="40"/>
      <w14:ligatures w14:val="standardContextual"/>
    </w:rPr>
  </w:style>
  <w:style w:type="paragraph" w:styleId="Heading2">
    <w:name w:val="heading 2"/>
    <w:basedOn w:val="Normal"/>
    <w:next w:val="Normal"/>
    <w:link w:val="Heading2Char"/>
    <w:uiPriority w:val="9"/>
    <w:semiHidden/>
    <w:unhideWhenUsed/>
    <w:qFormat/>
    <w:rsid w:val="007A6679"/>
    <w:pPr>
      <w:keepNext/>
      <w:keepLines/>
      <w:spacing w:before="160" w:after="80"/>
      <w:outlineLvl w:val="1"/>
    </w:pPr>
    <w:rPr>
      <w:rFonts w:asciiTheme="majorHAnsi" w:eastAsiaTheme="majorEastAsia" w:hAnsiTheme="majorHAnsi" w:cstheme="majorBidi"/>
      <w:color w:val="0F4761" w:themeColor="accent1" w:themeShade="BF"/>
      <w:sz w:val="32"/>
      <w:szCs w:val="32"/>
      <w14:ligatures w14:val="standardContextual"/>
    </w:rPr>
  </w:style>
  <w:style w:type="paragraph" w:styleId="Heading3">
    <w:name w:val="heading 3"/>
    <w:basedOn w:val="Normal"/>
    <w:next w:val="Normal"/>
    <w:link w:val="Heading3Char"/>
    <w:uiPriority w:val="9"/>
    <w:semiHidden/>
    <w:unhideWhenUsed/>
    <w:qFormat/>
    <w:rsid w:val="007A6679"/>
    <w:pPr>
      <w:keepNext/>
      <w:keepLines/>
      <w:spacing w:before="160" w:after="80"/>
      <w:outlineLvl w:val="2"/>
    </w:pPr>
    <w:rPr>
      <w:rFonts w:asciiTheme="minorHAnsi" w:eastAsiaTheme="majorEastAsia" w:hAnsiTheme="minorHAnsi" w:cstheme="majorBidi"/>
      <w:color w:val="0F4761" w:themeColor="accent1" w:themeShade="BF"/>
      <w:sz w:val="28"/>
      <w:szCs w:val="28"/>
      <w14:ligatures w14:val="standardContextual"/>
    </w:rPr>
  </w:style>
  <w:style w:type="paragraph" w:styleId="Heading4">
    <w:name w:val="heading 4"/>
    <w:basedOn w:val="Normal"/>
    <w:next w:val="Normal"/>
    <w:link w:val="Heading4Char"/>
    <w:uiPriority w:val="9"/>
    <w:semiHidden/>
    <w:unhideWhenUsed/>
    <w:qFormat/>
    <w:rsid w:val="007A6679"/>
    <w:pPr>
      <w:keepNext/>
      <w:keepLines/>
      <w:spacing w:before="80" w:after="40"/>
      <w:outlineLvl w:val="3"/>
    </w:pPr>
    <w:rPr>
      <w:rFonts w:asciiTheme="minorHAnsi" w:eastAsiaTheme="majorEastAsia" w:hAnsiTheme="minorHAnsi" w:cstheme="majorBidi"/>
      <w:i/>
      <w:iCs/>
      <w:color w:val="0F4761" w:themeColor="accent1" w:themeShade="BF"/>
      <w14:ligatures w14:val="standardContextual"/>
    </w:rPr>
  </w:style>
  <w:style w:type="paragraph" w:styleId="Heading5">
    <w:name w:val="heading 5"/>
    <w:basedOn w:val="Normal"/>
    <w:next w:val="Normal"/>
    <w:link w:val="Heading5Char"/>
    <w:uiPriority w:val="9"/>
    <w:semiHidden/>
    <w:unhideWhenUsed/>
    <w:qFormat/>
    <w:rsid w:val="007A6679"/>
    <w:pPr>
      <w:keepNext/>
      <w:keepLines/>
      <w:spacing w:before="80" w:after="40"/>
      <w:outlineLvl w:val="4"/>
    </w:pPr>
    <w:rPr>
      <w:rFonts w:asciiTheme="minorHAnsi" w:eastAsiaTheme="majorEastAsia" w:hAnsiTheme="minorHAnsi" w:cstheme="majorBidi"/>
      <w:color w:val="0F4761" w:themeColor="accent1" w:themeShade="BF"/>
      <w14:ligatures w14:val="standardContextual"/>
    </w:rPr>
  </w:style>
  <w:style w:type="paragraph" w:styleId="Heading6">
    <w:name w:val="heading 6"/>
    <w:basedOn w:val="Normal"/>
    <w:next w:val="Normal"/>
    <w:link w:val="Heading6Char"/>
    <w:uiPriority w:val="9"/>
    <w:semiHidden/>
    <w:unhideWhenUsed/>
    <w:qFormat/>
    <w:rsid w:val="007A6679"/>
    <w:pPr>
      <w:keepNext/>
      <w:keepLines/>
      <w:spacing w:before="40" w:after="0"/>
      <w:outlineLvl w:val="5"/>
    </w:pPr>
    <w:rPr>
      <w:rFonts w:asciiTheme="minorHAnsi" w:eastAsiaTheme="majorEastAsia" w:hAnsiTheme="minorHAnsi" w:cstheme="majorBidi"/>
      <w:i/>
      <w:iCs/>
      <w:color w:val="595959" w:themeColor="text1" w:themeTint="A6"/>
      <w14:ligatures w14:val="standardContextual"/>
    </w:rPr>
  </w:style>
  <w:style w:type="paragraph" w:styleId="Heading7">
    <w:name w:val="heading 7"/>
    <w:basedOn w:val="Normal"/>
    <w:next w:val="Normal"/>
    <w:link w:val="Heading7Char"/>
    <w:uiPriority w:val="9"/>
    <w:semiHidden/>
    <w:unhideWhenUsed/>
    <w:qFormat/>
    <w:rsid w:val="007A6679"/>
    <w:pPr>
      <w:keepNext/>
      <w:keepLines/>
      <w:spacing w:before="40" w:after="0"/>
      <w:outlineLvl w:val="6"/>
    </w:pPr>
    <w:rPr>
      <w:rFonts w:asciiTheme="minorHAnsi" w:eastAsiaTheme="majorEastAsia" w:hAnsiTheme="minorHAnsi" w:cstheme="majorBidi"/>
      <w:color w:val="595959" w:themeColor="text1" w:themeTint="A6"/>
      <w14:ligatures w14:val="standardContextual"/>
    </w:rPr>
  </w:style>
  <w:style w:type="paragraph" w:styleId="Heading8">
    <w:name w:val="heading 8"/>
    <w:basedOn w:val="Normal"/>
    <w:next w:val="Normal"/>
    <w:link w:val="Heading8Char"/>
    <w:uiPriority w:val="9"/>
    <w:semiHidden/>
    <w:unhideWhenUsed/>
    <w:qFormat/>
    <w:rsid w:val="007A6679"/>
    <w:pPr>
      <w:keepNext/>
      <w:keepLines/>
      <w:spacing w:after="0"/>
      <w:outlineLvl w:val="7"/>
    </w:pPr>
    <w:rPr>
      <w:rFonts w:asciiTheme="minorHAnsi" w:eastAsiaTheme="majorEastAsia" w:hAnsiTheme="minorHAnsi" w:cstheme="majorBidi"/>
      <w:i/>
      <w:iCs/>
      <w:color w:val="272727" w:themeColor="text1" w:themeTint="D8"/>
      <w14:ligatures w14:val="standardContextual"/>
    </w:rPr>
  </w:style>
  <w:style w:type="paragraph" w:styleId="Heading9">
    <w:name w:val="heading 9"/>
    <w:basedOn w:val="Normal"/>
    <w:next w:val="Normal"/>
    <w:link w:val="Heading9Char"/>
    <w:uiPriority w:val="9"/>
    <w:semiHidden/>
    <w:unhideWhenUsed/>
    <w:qFormat/>
    <w:rsid w:val="007A6679"/>
    <w:pPr>
      <w:keepNext/>
      <w:keepLines/>
      <w:spacing w:after="0"/>
      <w:outlineLvl w:val="8"/>
    </w:pPr>
    <w:rPr>
      <w:rFonts w:asciiTheme="minorHAnsi" w:eastAsiaTheme="majorEastAsia" w:hAnsiTheme="minorHAnsi" w:cstheme="majorBidi"/>
      <w:color w:val="272727" w:themeColor="text1" w:themeTint="D8"/>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6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66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66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66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66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66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66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66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6679"/>
    <w:rPr>
      <w:rFonts w:eastAsiaTheme="majorEastAsia" w:cstheme="majorBidi"/>
      <w:color w:val="272727" w:themeColor="text1" w:themeTint="D8"/>
    </w:rPr>
  </w:style>
  <w:style w:type="paragraph" w:styleId="Title">
    <w:name w:val="Title"/>
    <w:basedOn w:val="Normal"/>
    <w:next w:val="Normal"/>
    <w:link w:val="TitleChar"/>
    <w:uiPriority w:val="10"/>
    <w:qFormat/>
    <w:rsid w:val="007A6679"/>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A66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6679"/>
    <w:pPr>
      <w:numPr>
        <w:ilvl w:val="1"/>
      </w:numPr>
    </w:pPr>
    <w:rPr>
      <w:rFonts w:asciiTheme="minorHAnsi" w:eastAsiaTheme="majorEastAsia" w:hAnsiTheme="minorHAnsi" w:cstheme="majorBidi"/>
      <w:color w:val="595959" w:themeColor="text1" w:themeTint="A6"/>
      <w:spacing w:val="15"/>
      <w:sz w:val="28"/>
      <w:szCs w:val="28"/>
      <w14:ligatures w14:val="standardContextual"/>
    </w:rPr>
  </w:style>
  <w:style w:type="character" w:customStyle="1" w:styleId="SubtitleChar">
    <w:name w:val="Subtitle Char"/>
    <w:basedOn w:val="DefaultParagraphFont"/>
    <w:link w:val="Subtitle"/>
    <w:uiPriority w:val="11"/>
    <w:rsid w:val="007A66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6679"/>
    <w:pPr>
      <w:spacing w:before="160"/>
      <w:jc w:val="center"/>
    </w:pPr>
    <w:rPr>
      <w:rFonts w:asciiTheme="minorHAnsi" w:eastAsiaTheme="minorHAnsi" w:hAnsiTheme="minorHAnsi" w:cstheme="minorBidi"/>
      <w:i/>
      <w:iCs/>
      <w:color w:val="404040" w:themeColor="text1" w:themeTint="BF"/>
      <w14:ligatures w14:val="standardContextual"/>
    </w:rPr>
  </w:style>
  <w:style w:type="character" w:customStyle="1" w:styleId="QuoteChar">
    <w:name w:val="Quote Char"/>
    <w:basedOn w:val="DefaultParagraphFont"/>
    <w:link w:val="Quote"/>
    <w:uiPriority w:val="29"/>
    <w:rsid w:val="007A6679"/>
    <w:rPr>
      <w:i/>
      <w:iCs/>
      <w:color w:val="404040" w:themeColor="text1" w:themeTint="BF"/>
    </w:rPr>
  </w:style>
  <w:style w:type="paragraph" w:styleId="ListParagraph">
    <w:name w:val="List Paragraph"/>
    <w:basedOn w:val="Normal"/>
    <w:uiPriority w:val="34"/>
    <w:qFormat/>
    <w:rsid w:val="007A6679"/>
    <w:pPr>
      <w:ind w:left="720"/>
      <w:contextualSpacing/>
    </w:pPr>
    <w:rPr>
      <w:rFonts w:asciiTheme="minorHAnsi" w:eastAsiaTheme="minorHAnsi" w:hAnsiTheme="minorHAnsi" w:cstheme="minorBidi"/>
      <w14:ligatures w14:val="standardContextual"/>
    </w:rPr>
  </w:style>
  <w:style w:type="character" w:styleId="IntenseEmphasis">
    <w:name w:val="Intense Emphasis"/>
    <w:basedOn w:val="DefaultParagraphFont"/>
    <w:uiPriority w:val="21"/>
    <w:qFormat/>
    <w:rsid w:val="007A6679"/>
    <w:rPr>
      <w:i/>
      <w:iCs/>
      <w:color w:val="0F4761" w:themeColor="accent1" w:themeShade="BF"/>
    </w:rPr>
  </w:style>
  <w:style w:type="paragraph" w:styleId="IntenseQuote">
    <w:name w:val="Intense Quote"/>
    <w:basedOn w:val="Normal"/>
    <w:next w:val="Normal"/>
    <w:link w:val="IntenseQuoteChar"/>
    <w:uiPriority w:val="30"/>
    <w:qFormat/>
    <w:rsid w:val="007A6679"/>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14:ligatures w14:val="standardContextual"/>
    </w:rPr>
  </w:style>
  <w:style w:type="character" w:customStyle="1" w:styleId="IntenseQuoteChar">
    <w:name w:val="Intense Quote Char"/>
    <w:basedOn w:val="DefaultParagraphFont"/>
    <w:link w:val="IntenseQuote"/>
    <w:uiPriority w:val="30"/>
    <w:rsid w:val="007A6679"/>
    <w:rPr>
      <w:i/>
      <w:iCs/>
      <w:color w:val="0F4761" w:themeColor="accent1" w:themeShade="BF"/>
    </w:rPr>
  </w:style>
  <w:style w:type="character" w:styleId="IntenseReference">
    <w:name w:val="Intense Reference"/>
    <w:basedOn w:val="DefaultParagraphFont"/>
    <w:uiPriority w:val="32"/>
    <w:qFormat/>
    <w:rsid w:val="007A6679"/>
    <w:rPr>
      <w:b/>
      <w:bCs/>
      <w:smallCaps/>
      <w:color w:val="0F4761" w:themeColor="accent1" w:themeShade="BF"/>
      <w:spacing w:val="5"/>
    </w:rPr>
  </w:style>
  <w:style w:type="paragraph" w:styleId="NoSpacing">
    <w:name w:val="No Spacing"/>
    <w:uiPriority w:val="1"/>
    <w:qFormat/>
    <w:rsid w:val="007A6679"/>
    <w:pPr>
      <w:spacing w:after="0" w:line="240" w:lineRule="auto"/>
    </w:pPr>
    <w:rPr>
      <w:rFonts w:ascii="Aptos" w:eastAsia="Aptos" w:hAnsi="Aptos" w:cs="Times New Roman"/>
      <w14:ligatures w14:val="none"/>
    </w:rPr>
  </w:style>
  <w:style w:type="table" w:styleId="TableGrid">
    <w:name w:val="Table Grid"/>
    <w:basedOn w:val="TableNormal"/>
    <w:uiPriority w:val="39"/>
    <w:rsid w:val="007A66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7A6679"/>
    <w:rPr>
      <w:b/>
      <w:bCs/>
    </w:rPr>
  </w:style>
  <w:style w:type="character" w:styleId="Hyperlink">
    <w:name w:val="Hyperlink"/>
    <w:basedOn w:val="DefaultParagraphFont"/>
    <w:uiPriority w:val="99"/>
    <w:unhideWhenUsed/>
    <w:rsid w:val="007A6679"/>
    <w:rPr>
      <w:color w:val="467886" w:themeColor="hyperlink"/>
      <w:u w:val="single"/>
    </w:rPr>
  </w:style>
  <w:style w:type="character" w:styleId="Emphasis">
    <w:name w:val="Emphasis"/>
    <w:basedOn w:val="DefaultParagraphFont"/>
    <w:uiPriority w:val="20"/>
    <w:qFormat/>
    <w:rsid w:val="007A6679"/>
    <w:rPr>
      <w:i/>
      <w:iCs/>
    </w:rPr>
  </w:style>
  <w:style w:type="paragraph" w:styleId="Header">
    <w:name w:val="header"/>
    <w:basedOn w:val="Normal"/>
    <w:link w:val="HeaderChar"/>
    <w:uiPriority w:val="99"/>
    <w:unhideWhenUsed/>
    <w:rsid w:val="00E84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D55"/>
    <w:rPr>
      <w:rFonts w:ascii="Aptos" w:eastAsia="Aptos" w:hAnsi="Aptos" w:cs="Times New Roman"/>
      <w14:ligatures w14:val="none"/>
    </w:rPr>
  </w:style>
  <w:style w:type="paragraph" w:styleId="Footer">
    <w:name w:val="footer"/>
    <w:basedOn w:val="Normal"/>
    <w:link w:val="FooterChar"/>
    <w:uiPriority w:val="99"/>
    <w:unhideWhenUsed/>
    <w:rsid w:val="00E84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D55"/>
    <w:rPr>
      <w:rFonts w:ascii="Aptos" w:eastAsia="Aptos" w:hAnsi="Aptos" w:cs="Times New Roman"/>
      <w14:ligatures w14:val="none"/>
    </w:rPr>
  </w:style>
  <w:style w:type="paragraph" w:styleId="NormalWeb">
    <w:name w:val="Normal (Web)"/>
    <w:basedOn w:val="Normal"/>
    <w:uiPriority w:val="99"/>
    <w:unhideWhenUsed/>
    <w:rsid w:val="00530F94"/>
    <w:pPr>
      <w:spacing w:before="100" w:beforeAutospacing="1" w:after="100" w:afterAutospacing="1" w:line="240" w:lineRule="auto"/>
    </w:pPr>
    <w:rPr>
      <w:rFonts w:ascii="Times New Roman" w:eastAsia="Times New Roman" w:hAnsi="Times New Roman"/>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2591</Words>
  <Characters>16716</Characters>
  <Application>Microsoft Office Word</Application>
  <DocSecurity>0</DocSecurity>
  <Lines>327</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19195</CharactersWithSpaces>
  <SharedDoc>false</SharedDoc>
  <HLinks>
    <vt:vector size="12" baseType="variant">
      <vt:variant>
        <vt:i4>8126546</vt:i4>
      </vt:variant>
      <vt:variant>
        <vt:i4>3</vt:i4>
      </vt:variant>
      <vt:variant>
        <vt:i4>0</vt:i4>
      </vt:variant>
      <vt:variant>
        <vt:i4>5</vt:i4>
      </vt:variant>
      <vt:variant>
        <vt:lpwstr>https://pmc.ncbi.nlm.nih.gov/articles/PMC7072048/?utm_source=copilot.com</vt:lpwstr>
      </vt:variant>
      <vt:variant>
        <vt:lpwstr/>
      </vt:variant>
      <vt:variant>
        <vt:i4>7667805</vt:i4>
      </vt:variant>
      <vt:variant>
        <vt:i4>0</vt:i4>
      </vt:variant>
      <vt:variant>
        <vt:i4>0</vt:i4>
      </vt:variant>
      <vt:variant>
        <vt:i4>5</vt:i4>
      </vt:variant>
      <vt:variant>
        <vt:lpwstr>https://emj.bmj.com/content/emermed/37/12/781.full.pdf?utm_source=copilot.coms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Gavriloaei</dc:creator>
  <cp:keywords/>
  <dc:description/>
  <cp:lastModifiedBy>Paula Gavriloaei</cp:lastModifiedBy>
  <cp:revision>3</cp:revision>
  <dcterms:created xsi:type="dcterms:W3CDTF">2026-07-15T15:32:00Z</dcterms:created>
  <dcterms:modified xsi:type="dcterms:W3CDTF">2026-07-15T15:33:00Z</dcterms:modified>
</cp:coreProperties>
</file>