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         Student name: PETAR ARTYUHOV    </w:t>
      </w:r>
    </w:p>
    <w:p w:rsidR="00000000" w:rsidDel="00000000" w:rsidP="00000000" w:rsidRDefault="00000000" w:rsidRPr="00000000" w14:paraId="00000002">
      <w:pPr>
        <w:rPr/>
      </w:pPr>
      <w:r w:rsidDel="00000000" w:rsidR="00000000" w:rsidRPr="00000000">
        <w:rPr>
          <w:rtl w:val="0"/>
        </w:rPr>
        <w:t xml:space="preserve">               Student number: 2123090    </w:t>
      </w:r>
    </w:p>
    <w:p w:rsidR="00000000" w:rsidDel="00000000" w:rsidP="00000000" w:rsidRDefault="00000000" w:rsidRPr="00000000" w14:paraId="00000003">
      <w:pPr>
        <w:rPr/>
      </w:pPr>
      <w:r w:rsidDel="00000000" w:rsidR="00000000" w:rsidRPr="00000000">
        <w:rPr>
          <w:rtl w:val="0"/>
        </w:rPr>
        <w:t xml:space="preserve">            Module: Data Handling and</w:t>
      </w:r>
    </w:p>
    <w:p w:rsidR="00000000" w:rsidDel="00000000" w:rsidP="00000000" w:rsidRDefault="00000000" w:rsidRPr="00000000" w14:paraId="00000004">
      <w:pPr>
        <w:rPr/>
      </w:pPr>
      <w:r w:rsidDel="00000000" w:rsidR="00000000" w:rsidRPr="00000000">
        <w:rPr>
          <w:rtl w:val="0"/>
        </w:rPr>
        <w:t xml:space="preserve">                  Business Intelligence     </w:t>
      </w:r>
    </w:p>
    <w:p w:rsidR="00000000" w:rsidDel="00000000" w:rsidP="00000000" w:rsidRDefault="00000000" w:rsidRPr="00000000" w14:paraId="00000005">
      <w:pPr>
        <w:rPr/>
      </w:pPr>
      <w:r w:rsidDel="00000000" w:rsidR="00000000" w:rsidRPr="00000000">
        <w:rPr>
          <w:rtl w:val="0"/>
        </w:rPr>
        <w:t xml:space="preserve">              Module code LCBB5000     </w:t>
      </w:r>
    </w:p>
    <w:p w:rsidR="00000000" w:rsidDel="00000000" w:rsidP="00000000" w:rsidRDefault="00000000" w:rsidRPr="00000000" w14:paraId="00000006">
      <w:pPr>
        <w:rPr/>
      </w:pPr>
      <w:r w:rsidDel="00000000" w:rsidR="00000000" w:rsidRPr="00000000">
        <w:rPr>
          <w:rtl w:val="0"/>
        </w:rPr>
        <w:t xml:space="preserve">        Lecturer: Zahra Mohammadnazari</w:t>
      </w:r>
    </w:p>
    <w:p w:rsidR="00000000" w:rsidDel="00000000" w:rsidP="00000000" w:rsidRDefault="00000000" w:rsidRPr="00000000" w14:paraId="00000007">
      <w:pPr>
        <w:rPr/>
      </w:pPr>
      <w:r w:rsidDel="00000000" w:rsidR="00000000" w:rsidRPr="00000000">
        <w:rPr>
          <w:rtl w:val="0"/>
        </w:rPr>
        <w:t xml:space="preserve">           Assignment Title: Coursework    </w:t>
      </w:r>
    </w:p>
    <w:p w:rsidR="00000000" w:rsidDel="00000000" w:rsidP="00000000" w:rsidRDefault="00000000" w:rsidRPr="00000000" w14:paraId="00000008">
      <w:pPr>
        <w:rPr/>
      </w:pPr>
      <w:r w:rsidDel="00000000" w:rsidR="00000000" w:rsidRPr="00000000">
        <w:rPr>
          <w:rtl w:val="0"/>
        </w:rPr>
        <w:t xml:space="preserve">               Written Report 1250 words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DATA HANDLING </w:t>
      </w:r>
    </w:p>
    <w:p w:rsidR="00000000" w:rsidDel="00000000" w:rsidP="00000000" w:rsidRDefault="00000000" w:rsidRPr="00000000" w14:paraId="0000000B">
      <w:pPr>
        <w:rPr>
          <w:rFonts w:ascii="Arial" w:cs="Arial" w:eastAsia="Arial" w:hAnsi="Arial"/>
          <w:sz w:val="22"/>
          <w:szCs w:val="22"/>
        </w:rPr>
      </w:pPr>
      <w:r w:rsidDel="00000000" w:rsidR="00000000" w:rsidRPr="00000000">
        <w:rPr>
          <w:rFonts w:ascii="Arial" w:cs="Arial" w:eastAsia="Arial" w:hAnsi="Arial"/>
          <w:sz w:val="22"/>
          <w:szCs w:val="22"/>
          <w:rtl w:val="0"/>
        </w:rPr>
        <w:t xml:space="preserve">        AND BUSINESS  INTELLIGENCE </w:t>
      </w:r>
    </w:p>
    <w:p w:rsidR="00000000" w:rsidDel="00000000" w:rsidP="00000000" w:rsidRDefault="00000000" w:rsidRPr="00000000" w14:paraId="0000000C">
      <w:pPr>
        <w:rPr/>
      </w:pP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t xml:space="preserve">             </w:t>
      </w:r>
    </w:p>
    <w:p w:rsidR="00000000" w:rsidDel="00000000" w:rsidP="00000000" w:rsidRDefault="00000000" w:rsidRPr="00000000" w14:paraId="0000000E">
      <w:pPr>
        <w:pStyle w:val="Title"/>
        <w:jc w:val="left"/>
        <w:rPr>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Influence That Big Data Will Have On Business Intelligence</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Surging Popularity of Data Science and Real-Time Analytics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Components That Comprise Business Intelligence</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Intelligence Delivery and Agile Methodologies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Prospects for the Future and Available Research Opportunities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276" w:lineRule="auto"/>
        <w:jc w:val="left"/>
        <w:rPr>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C">
      <w:pPr>
        <w:rPr/>
      </w:pPr>
      <w:r w:rsidDel="00000000" w:rsidR="00000000" w:rsidRPr="00000000">
        <w:rPr>
          <w:rtl w:val="0"/>
        </w:rPr>
        <w:t xml:space="preserve">The value of business intelligence (BI) has substantially expanded as we move towards an age characterized by large amounts of data. This paper examines a research article with the title "A review and future direction of agile, business intelligence, analytics, as well as data science." It then presents an in-depth examination of the most recent developments in BI. This article investigates the influence that big data has had on business intelligence (BI), investigates the development of rapid data analytics and data science, then assesses the most important aspects that have contributed to the success of BI.</w:t>
      </w:r>
    </w:p>
    <w:p w:rsidR="00000000" w:rsidDel="00000000" w:rsidP="00000000" w:rsidRDefault="00000000" w:rsidRPr="00000000" w14:paraId="0000001D">
      <w:pPr>
        <w:spacing w:line="276" w:lineRule="auto"/>
        <w:jc w:val="left"/>
        <w:rPr>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Discussion</w:t>
      </w:r>
    </w:p>
    <w:p w:rsidR="00000000" w:rsidDel="00000000" w:rsidP="00000000" w:rsidRDefault="00000000" w:rsidRPr="00000000" w14:paraId="0000001F">
      <w:pPr>
        <w:pStyle w:val="Heading2"/>
        <w:rPr/>
      </w:pPr>
      <w:bookmarkStart w:colFirst="0" w:colLast="0" w:name="_1fob9te" w:id="2"/>
      <w:bookmarkEnd w:id="2"/>
      <w:r w:rsidDel="00000000" w:rsidR="00000000" w:rsidRPr="00000000">
        <w:rPr>
          <w:rtl w:val="0"/>
        </w:rPr>
        <w:t xml:space="preserve">The Influence That Big Data Will Have on Business Intelligence</w:t>
      </w:r>
    </w:p>
    <w:p w:rsidR="00000000" w:rsidDel="00000000" w:rsidP="00000000" w:rsidRDefault="00000000" w:rsidRPr="00000000" w14:paraId="00000020">
      <w:pPr>
        <w:rPr/>
      </w:pPr>
      <w:r w:rsidDel="00000000" w:rsidR="00000000" w:rsidRPr="00000000">
        <w:rPr>
          <w:rtl w:val="0"/>
        </w:rPr>
        <w:t xml:space="preserve">The availability of substantial data, sometimes referred to as "big data," has had a significant influence on the business intelligence (BI) industry. In popular parlance, this phenomenon is known as "big data." These days, modern businesses have access to an enormous number of data that is created from a variety of sources, including social media platforms, detectors, including digital transactions (A. Rabaa'i &amp; Zhu, 2021). This newly discovered plethora of data has created doors for organizations, providing them with new opportunity to gather insights and make choices based on the data they collect (Turulja &amp; Bajgoric, 2020). The sheer amount, variety, and velocity of data, on the other hand, provide issues in terms of the management, integration, and evaluation of data. As a direct result of this, the business intelligence sector has been forced to undergo significant transformation in order to successfully manage massive datasets and get actionable insights from them.</w:t>
      </w:r>
    </w:p>
    <w:tbl>
      <w:tblPr>
        <w:tblStyle w:val="Table1"/>
        <w:tblW w:w="9795.0" w:type="dxa"/>
        <w:jc w:val="center"/>
        <w:tblBorders>
          <w:top w:color="c0504d" w:space="0" w:sz="24" w:val="single"/>
          <w:left w:color="4f81bd" w:space="0" w:sz="4" w:val="single"/>
          <w:bottom w:color="4f81bd" w:space="0" w:sz="4" w:val="single"/>
          <w:right w:color="4f81bd" w:space="0" w:sz="4" w:val="single"/>
          <w:insideH w:color="ffffff" w:space="0" w:sz="4" w:val="single"/>
          <w:insideV w:color="ffffff" w:space="0" w:sz="4" w:val="single"/>
        </w:tblBorders>
        <w:tblLayout w:type="fixed"/>
        <w:tblLook w:val="04A0"/>
      </w:tblPr>
      <w:tblGrid>
        <w:gridCol w:w="2857"/>
        <w:gridCol w:w="6938"/>
        <w:tblGridChange w:id="0">
          <w:tblGrid>
            <w:gridCol w:w="2857"/>
            <w:gridCol w:w="6938"/>
          </w:tblGrid>
        </w:tblGridChange>
      </w:tblGrid>
      <w:tr>
        <w:trPr>
          <w:cantSplit w:val="0"/>
          <w:tblHeader w:val="0"/>
        </w:trPr>
        <w:tc>
          <w:tcPr>
            <w:vAlign w:val="center"/>
          </w:tcPr>
          <w:p w:rsidR="00000000" w:rsidDel="00000000" w:rsidP="00000000" w:rsidRDefault="00000000" w:rsidRPr="00000000" w14:paraId="00000021">
            <w:pPr>
              <w:spacing w:after="200" w:lineRule="auto"/>
              <w:jc w:val="center"/>
              <w:rPr/>
            </w:pPr>
            <w:r w:rsidDel="00000000" w:rsidR="00000000" w:rsidRPr="00000000">
              <w:rPr>
                <w:rtl w:val="0"/>
              </w:rPr>
              <w:t xml:space="preserve">Topic</w:t>
            </w:r>
          </w:p>
        </w:tc>
        <w:tc>
          <w:tcPr>
            <w:vAlign w:val="center"/>
          </w:tcPr>
          <w:p w:rsidR="00000000" w:rsidDel="00000000" w:rsidP="00000000" w:rsidRDefault="00000000" w:rsidRPr="00000000" w14:paraId="00000022">
            <w:pPr>
              <w:spacing w:after="200" w:lineRule="auto"/>
              <w:jc w:val="center"/>
              <w:rPr/>
            </w:pPr>
            <w:r w:rsidDel="00000000" w:rsidR="00000000" w:rsidRPr="00000000">
              <w:rPr>
                <w:rtl w:val="0"/>
              </w:rPr>
              <w:t xml:space="preserve">Data/Statistic</w:t>
            </w:r>
          </w:p>
        </w:tc>
      </w:tr>
      <w:tr>
        <w:trPr>
          <w:cantSplit w:val="0"/>
          <w:tblHeader w:val="0"/>
        </w:trPr>
        <w:tc>
          <w:tcPr>
            <w:vAlign w:val="center"/>
          </w:tcPr>
          <w:p w:rsidR="00000000" w:rsidDel="00000000" w:rsidP="00000000" w:rsidRDefault="00000000" w:rsidRPr="00000000" w14:paraId="00000023">
            <w:pPr>
              <w:spacing w:after="200" w:lineRule="auto"/>
              <w:jc w:val="center"/>
              <w:rPr/>
            </w:pPr>
            <w:r w:rsidDel="00000000" w:rsidR="00000000" w:rsidRPr="00000000">
              <w:rPr>
                <w:rtl w:val="0"/>
              </w:rPr>
              <w:t xml:space="preserve">Adoption of Agile Methodologies</w:t>
            </w:r>
          </w:p>
        </w:tc>
        <w:tc>
          <w:tcPr>
            <w:vAlign w:val="center"/>
          </w:tcPr>
          <w:p w:rsidR="00000000" w:rsidDel="00000000" w:rsidP="00000000" w:rsidRDefault="00000000" w:rsidRPr="00000000" w14:paraId="00000024">
            <w:pPr>
              <w:spacing w:after="200" w:lineRule="auto"/>
              <w:jc w:val="center"/>
              <w:rPr/>
            </w:pPr>
            <w:r w:rsidDel="00000000" w:rsidR="00000000" w:rsidRPr="00000000">
              <w:rPr>
                <w:rtl w:val="0"/>
              </w:rPr>
              <w:t xml:space="preserve">95% of organizations reported using Agile development methods (State of Agile Report 2020)</w:t>
            </w:r>
          </w:p>
        </w:tc>
      </w:tr>
      <w:tr>
        <w:trPr>
          <w:cantSplit w:val="0"/>
          <w:tblHeader w:val="0"/>
        </w:trPr>
        <w:tc>
          <w:tcPr>
            <w:vAlign w:val="center"/>
          </w:tcPr>
          <w:p w:rsidR="00000000" w:rsidDel="00000000" w:rsidP="00000000" w:rsidRDefault="00000000" w:rsidRPr="00000000" w14:paraId="00000025">
            <w:pPr>
              <w:spacing w:after="200" w:lineRule="auto"/>
              <w:jc w:val="center"/>
              <w:rPr/>
            </w:pPr>
            <w:r w:rsidDel="00000000" w:rsidR="00000000" w:rsidRPr="00000000">
              <w:rPr>
                <w:rtl w:val="0"/>
              </w:rPr>
              <w:t xml:space="preserve">Business Intelligence Market Size</w:t>
            </w:r>
          </w:p>
        </w:tc>
        <w:tc>
          <w:tcPr>
            <w:vAlign w:val="center"/>
          </w:tcPr>
          <w:p w:rsidR="00000000" w:rsidDel="00000000" w:rsidP="00000000" w:rsidRDefault="00000000" w:rsidRPr="00000000" w14:paraId="00000026">
            <w:pPr>
              <w:spacing w:after="200" w:lineRule="auto"/>
              <w:jc w:val="center"/>
              <w:rPr/>
            </w:pPr>
            <w:r w:rsidDel="00000000" w:rsidR="00000000" w:rsidRPr="00000000">
              <w:rPr>
                <w:rtl w:val="0"/>
              </w:rPr>
              <w:t xml:space="preserve">Estimated to be $23.1 billion in 2020; projected to reach $55.48 billion by 2026 with a CAGR of 13.7% (Barilenko, 2022)</w:t>
            </w:r>
          </w:p>
        </w:tc>
      </w:tr>
      <w:tr>
        <w:trPr>
          <w:cantSplit w:val="0"/>
          <w:tblHeader w:val="0"/>
        </w:trPr>
        <w:tc>
          <w:tcPr>
            <w:vAlign w:val="center"/>
          </w:tcPr>
          <w:p w:rsidR="00000000" w:rsidDel="00000000" w:rsidP="00000000" w:rsidRDefault="00000000" w:rsidRPr="00000000" w14:paraId="00000027">
            <w:pPr>
              <w:spacing w:after="200" w:lineRule="auto"/>
              <w:jc w:val="center"/>
              <w:rPr/>
            </w:pPr>
            <w:r w:rsidDel="00000000" w:rsidR="00000000" w:rsidRPr="00000000">
              <w:rPr>
                <w:rtl w:val="0"/>
              </w:rPr>
              <w:t xml:space="preserve">Demand for Data Scientists</w:t>
            </w:r>
          </w:p>
        </w:tc>
        <w:tc>
          <w:tcPr>
            <w:vAlign w:val="center"/>
          </w:tcPr>
          <w:p w:rsidR="00000000" w:rsidDel="00000000" w:rsidP="00000000" w:rsidRDefault="00000000" w:rsidRPr="00000000" w14:paraId="00000028">
            <w:pPr>
              <w:spacing w:after="200" w:lineRule="auto"/>
              <w:jc w:val="center"/>
              <w:rPr/>
            </w:pPr>
            <w:r w:rsidDel="00000000" w:rsidR="00000000" w:rsidRPr="00000000">
              <w:rPr>
                <w:rtl w:val="0"/>
              </w:rPr>
              <w:t xml:space="preserve">Data scientists and analytics specialists among the top emerging roles in the job market (Eidizadeh et al., 2017)</w:t>
            </w:r>
          </w:p>
        </w:tc>
      </w:tr>
      <w:tr>
        <w:trPr>
          <w:cantSplit w:val="0"/>
          <w:tblHeader w:val="0"/>
        </w:trPr>
        <w:tc>
          <w:tcPr>
            <w:vAlign w:val="center"/>
          </w:tcPr>
          <w:p w:rsidR="00000000" w:rsidDel="00000000" w:rsidP="00000000" w:rsidRDefault="00000000" w:rsidRPr="00000000" w14:paraId="00000029">
            <w:pPr>
              <w:spacing w:after="200" w:lineRule="auto"/>
              <w:jc w:val="center"/>
              <w:rPr/>
            </w:pPr>
            <w:r w:rsidDel="00000000" w:rsidR="00000000" w:rsidRPr="00000000">
              <w:rPr>
                <w:rtl w:val="0"/>
              </w:rPr>
              <w:t xml:space="preserve">Artificial Intelligence (AI) Market Size</w:t>
            </w:r>
          </w:p>
        </w:tc>
        <w:tc>
          <w:tcPr>
            <w:vAlign w:val="center"/>
          </w:tcPr>
          <w:p w:rsidR="00000000" w:rsidDel="00000000" w:rsidP="00000000" w:rsidRDefault="00000000" w:rsidRPr="00000000" w14:paraId="0000002A">
            <w:pPr>
              <w:spacing w:after="200" w:lineRule="auto"/>
              <w:jc w:val="center"/>
              <w:rPr/>
            </w:pPr>
            <w:r w:rsidDel="00000000" w:rsidR="00000000" w:rsidRPr="00000000">
              <w:rPr>
                <w:rtl w:val="0"/>
              </w:rPr>
              <w:t xml:space="preserve">Projected to reach $190.61 billion by 2025 with a CAGR of 37.2% (Barilenko, 2022)</w:t>
            </w:r>
          </w:p>
        </w:tc>
      </w:tr>
      <w:tr>
        <w:trPr>
          <w:cantSplit w:val="0"/>
          <w:tblHeader w:val="0"/>
        </w:trPr>
        <w:tc>
          <w:tcPr>
            <w:vAlign w:val="center"/>
          </w:tcPr>
          <w:p w:rsidR="00000000" w:rsidDel="00000000" w:rsidP="00000000" w:rsidRDefault="00000000" w:rsidRPr="00000000" w14:paraId="0000002B">
            <w:pPr>
              <w:spacing w:after="200" w:lineRule="auto"/>
              <w:jc w:val="center"/>
              <w:rPr/>
            </w:pPr>
            <w:r w:rsidDel="00000000" w:rsidR="00000000" w:rsidRPr="00000000">
              <w:rPr>
                <w:rtl w:val="0"/>
              </w:rPr>
              <w:t xml:space="preserve">Cloud-Based BI Solutions</w:t>
            </w:r>
          </w:p>
        </w:tc>
        <w:tc>
          <w:tcPr>
            <w:vAlign w:val="center"/>
          </w:tcPr>
          <w:p w:rsidR="00000000" w:rsidDel="00000000" w:rsidP="00000000" w:rsidRDefault="00000000" w:rsidRPr="00000000" w14:paraId="0000002C">
            <w:pPr>
              <w:spacing w:after="200" w:lineRule="auto"/>
              <w:jc w:val="center"/>
              <w:rPr/>
            </w:pPr>
            <w:r w:rsidDel="00000000" w:rsidR="00000000" w:rsidRPr="00000000">
              <w:rPr>
                <w:rtl w:val="0"/>
              </w:rPr>
              <w:t xml:space="preserve">Global public cloud services market projected to grow by 18.4% in 2021 (Li, 2022)</w:t>
            </w:r>
          </w:p>
        </w:tc>
      </w:tr>
    </w:tbl>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rPr/>
      </w:pPr>
      <w:bookmarkStart w:colFirst="0" w:colLast="0" w:name="_3znysh7" w:id="3"/>
      <w:bookmarkEnd w:id="3"/>
      <w:r w:rsidDel="00000000" w:rsidR="00000000" w:rsidRPr="00000000">
        <w:rPr>
          <w:rtl w:val="0"/>
        </w:rPr>
        <w:t xml:space="preserve">The Surging Popularity of Data Science and Real-Time Analytics</w:t>
      </w:r>
    </w:p>
    <w:p w:rsidR="00000000" w:rsidDel="00000000" w:rsidP="00000000" w:rsidRDefault="00000000" w:rsidRPr="00000000" w14:paraId="0000002F">
      <w:pPr>
        <w:rPr/>
      </w:pPr>
      <w:r w:rsidDel="00000000" w:rsidR="00000000" w:rsidRPr="00000000">
        <w:rPr>
          <w:rtl w:val="0"/>
        </w:rPr>
        <w:t xml:space="preserve">The focus of the research study is on two key developments that have taken place within the field of business intelligence (BI), and these developments are rapid data science and analytics. The demand for real-time or almost real-time data analysis is meant to be conveyed by the term "fast analytics." Because of developments in technology and the proliferation of the Internet of Things (IoT), businesses now demand more recent data in order to arrive at choices in a timely manner (Singh et al., 2019). With the help of fast analytics, businesses are able to keep track of and swiftly react to changing circumstances (Larson &amp; Chang, 2016). On the other side, data science is the process of extracting patterns, trends, and predictions from huge datasets via the use of sophisticated analytics methods that include machine learning as well as predictive modeling. Data science has evolved into an essential part of business intelligence (BI), making it possible for companies to get more in-depth insights and more reliable forecasts.</w:t>
      </w:r>
    </w:p>
    <w:p w:rsidR="00000000" w:rsidDel="00000000" w:rsidP="00000000" w:rsidRDefault="00000000" w:rsidRPr="00000000" w14:paraId="00000030">
      <w:pPr>
        <w:pStyle w:val="Heading2"/>
        <w:rPr/>
      </w:pPr>
      <w:bookmarkStart w:colFirst="0" w:colLast="0" w:name="_2et92p0" w:id="4"/>
      <w:bookmarkEnd w:id="4"/>
      <w:r w:rsidDel="00000000" w:rsidR="00000000" w:rsidRPr="00000000">
        <w:rPr>
          <w:rtl w:val="0"/>
        </w:rPr>
        <w:t xml:space="preserve">The Components That Comprise Business Intelligence</w:t>
      </w:r>
    </w:p>
    <w:p w:rsidR="00000000" w:rsidDel="00000000" w:rsidP="00000000" w:rsidRDefault="00000000" w:rsidRPr="00000000" w14:paraId="00000031">
      <w:pPr>
        <w:rPr/>
      </w:pPr>
      <w:r w:rsidDel="00000000" w:rsidR="00000000" w:rsidRPr="00000000">
        <w:rPr>
          <w:rtl w:val="0"/>
        </w:rPr>
        <w:t xml:space="preserve">The study paper discusses a few different factors that influence the success of business intelligence (BI) efforts. These aspects include the integration of data, capacities for conducting analyses, the quality of information used in business operations, and the culture around decision-making. In order to achieve successful data integration, it is necessary to combine and harmonize data coming from a variety of sources in order to provide a consolidated perspective. The ability to analyze and display data requires a set of specialized tools and methods, which are collectively referred to as analytical skills. According to Loshin (2019), the idea of "content quality" refers to the correctness, relevance, and comprehensiveness of the information that is used in business intelligence (BI) operations. In conclusion, the culture of decision-making that exists inside an organization plays a significant part in deciding the degree of acknowledgment and acceptance that is extended to data-driven decisions by the business. It is essential for companies to address these factors in order to get the most value out of their business intelligence projects.</w:t>
      </w:r>
    </w:p>
    <w:p w:rsidR="00000000" w:rsidDel="00000000" w:rsidP="00000000" w:rsidRDefault="00000000" w:rsidRPr="00000000" w14:paraId="00000032">
      <w:pPr>
        <w:pStyle w:val="Heading2"/>
        <w:rPr/>
      </w:pPr>
      <w:bookmarkStart w:colFirst="0" w:colLast="0" w:name="_tyjcwt" w:id="5"/>
      <w:bookmarkEnd w:id="5"/>
      <w:r w:rsidDel="00000000" w:rsidR="00000000" w:rsidRPr="00000000">
        <w:rPr>
          <w:rtl w:val="0"/>
        </w:rPr>
        <w:t xml:space="preserve">Business Intelligence Delivery and Agile Methodologies</w:t>
      </w:r>
    </w:p>
    <w:p w:rsidR="00000000" w:rsidDel="00000000" w:rsidP="00000000" w:rsidRDefault="00000000" w:rsidRPr="00000000" w14:paraId="00000033">
      <w:pPr>
        <w:rPr/>
      </w:pPr>
      <w:r w:rsidDel="00000000" w:rsidR="00000000" w:rsidRPr="00000000">
        <w:rPr>
          <w:rtl w:val="0"/>
        </w:rPr>
        <w:t xml:space="preserve">In recent years, there has been a rise in popularity for using Agile approaches to the supply of business intelligence. Agile techniques were first designed for the purpose of developing software; they place an emphasis on collaboration, quick delivery, and development via iterative processes. The study piece draws attention to the fact that the iterative as well as incremental nature of business intelligence development is a good match for Agile concepts (Mendoza, 2021). Agile encourages client participation, makes it easier to supply business intelligence solutions more quickly, and helps businesses to more easily adjust to shifting needs. Businesses are able to handle typical issues that are present in BI projects by implementing Agile approaches. These challenges include changing business demands, growing data sources, and complicated data integration.</w:t>
      </w:r>
    </w:p>
    <w:p w:rsidR="00000000" w:rsidDel="00000000" w:rsidP="00000000" w:rsidRDefault="00000000" w:rsidRPr="00000000" w14:paraId="00000034">
      <w:pPr>
        <w:pStyle w:val="Heading2"/>
        <w:rPr/>
      </w:pPr>
      <w:bookmarkStart w:colFirst="0" w:colLast="0" w:name="_3dy6vkm" w:id="6"/>
      <w:bookmarkEnd w:id="6"/>
      <w:r w:rsidDel="00000000" w:rsidR="00000000" w:rsidRPr="00000000">
        <w:rPr>
          <w:rtl w:val="0"/>
        </w:rPr>
        <w:t xml:space="preserve">Prospects for the Future and Available Research Opportunities</w:t>
      </w:r>
    </w:p>
    <w:p w:rsidR="00000000" w:rsidDel="00000000" w:rsidP="00000000" w:rsidRDefault="00000000" w:rsidRPr="00000000" w14:paraId="00000035">
      <w:pPr>
        <w:rPr/>
      </w:pPr>
      <w:r w:rsidDel="00000000" w:rsidR="00000000" w:rsidRPr="00000000">
        <w:rPr>
          <w:rtl w:val="0"/>
        </w:rPr>
        <w:t xml:space="preserve">The field of business intelligence (BI) and data analysis is dynamic and constantly evolving, presenting numerous opportunities for future research. There are several areas that warrant further investigation, including the effective integration of data science into BI processes, the development of comprehensive frameworks for Agile BI delivery, and advancements in rapid analytics technology to keep up with the increasing adoption of BI platforms, applications, and services by enterprises (Puklavec et al., 2018). Moreover, both practitioners and academics can greatly benefit from gaining insights into the cultural and organizational factors that influence the successful implementation and acceptance of BI. Expanding our understanding of these aspects will contribute to more effective utilization of BI practices and tools in various contexts. By exploring these research avenues, we can enhance our knowledge and contribute to the ongoing development of the BI and data analysis field.</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spacing w:line="276" w:lineRule="auto"/>
        <w:jc w:val="left"/>
        <w:rPr>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39">
      <w:pPr>
        <w:rPr/>
        <w:sectPr>
          <w:headerReference r:id="rId6" w:type="default"/>
          <w:headerReference r:id="rId7" w:type="first"/>
          <w:headerReference r:id="rId8" w:type="even"/>
          <w:footerReference r:id="rId9" w:type="default"/>
          <w:footerReference r:id="rId10" w:type="first"/>
          <w:footerReference r:id="rId11" w:type="even"/>
          <w:pgSz w:h="15840" w:w="12240" w:orient="portrait"/>
          <w:pgMar w:bottom="1440" w:top="1440" w:left="1440" w:right="1440" w:header="720" w:footer="720"/>
          <w:pgNumType w:start="1"/>
        </w:sectPr>
      </w:pPr>
      <w:r w:rsidDel="00000000" w:rsidR="00000000" w:rsidRPr="00000000">
        <w:rPr>
          <w:rtl w:val="0"/>
        </w:rPr>
        <w:t xml:space="preserve">Based on the findings presented in the research paper on agile techniques, BI, analytics, and data science, this study presents a comprehensive analysis of the most recent developments in business intelligence (BI). The influence of big data, the advent of rapid analytics and data science, including the dimensions of business intelligence have transformed the industry. As a result, businesses now have access to new possibilities to use data in order to obtain a competitive edge. Businesses may unlock the full potential of business intelligence (BI) and maintain their position at the vanguard of data-driven decision-making if they adopt the principles of agile development and actively pursue research possibilities.</w:t>
      </w:r>
    </w:p>
    <w:p w:rsidR="00000000" w:rsidDel="00000000" w:rsidP="00000000" w:rsidRDefault="00000000" w:rsidRPr="00000000" w14:paraId="0000003A">
      <w:pPr>
        <w:pStyle w:val="Heading1"/>
        <w:rPr/>
      </w:pPr>
      <w:bookmarkStart w:colFirst="0" w:colLast="0" w:name="_4d34og8" w:id="8"/>
      <w:bookmarkEnd w:id="8"/>
      <w:r w:rsidDel="00000000" w:rsidR="00000000" w:rsidRPr="00000000">
        <w:rPr>
          <w:rtl w:val="0"/>
        </w:rPr>
        <w:t xml:space="preserve">References</w:t>
      </w:r>
    </w:p>
    <w:p w:rsidR="00000000" w:rsidDel="00000000" w:rsidP="00000000" w:rsidRDefault="00000000" w:rsidRPr="00000000" w14:paraId="0000003B">
      <w:pPr>
        <w:jc w:val="left"/>
        <w:rPr/>
      </w:pPr>
      <w:r w:rsidDel="00000000" w:rsidR="00000000" w:rsidRPr="00000000">
        <w:rPr>
          <w:rtl w:val="0"/>
        </w:rPr>
        <w:t xml:space="preserve">Eidizadeh, R., Salehzadeh, R. and Chitsaz Esfahani, A. (2017) ‘Analysing the role of Business Intelligence, knowledge sharing and organisational innovation on gaining competitive advantage’, </w:t>
      </w:r>
      <w:r w:rsidDel="00000000" w:rsidR="00000000" w:rsidRPr="00000000">
        <w:rPr>
          <w:i w:val="1"/>
          <w:rtl w:val="0"/>
        </w:rPr>
        <w:t xml:space="preserve">Journal of Workplace Learning</w:t>
      </w:r>
      <w:r w:rsidDel="00000000" w:rsidR="00000000" w:rsidRPr="00000000">
        <w:rPr>
          <w:rtl w:val="0"/>
        </w:rPr>
        <w:t xml:space="preserve">, 29(4), pp. 250–267. doi:10.1108/jwl-07-2016-0070. </w:t>
      </w:r>
    </w:p>
    <w:p w:rsidR="00000000" w:rsidDel="00000000" w:rsidP="00000000" w:rsidRDefault="00000000" w:rsidRPr="00000000" w14:paraId="0000003C">
      <w:pPr>
        <w:jc w:val="left"/>
        <w:rPr/>
      </w:pPr>
      <w:r w:rsidDel="00000000" w:rsidR="00000000" w:rsidRPr="00000000">
        <w:rPr>
          <w:rtl w:val="0"/>
        </w:rPr>
        <w:t xml:space="preserve">Larson, D. and Chang, V. (2016) ‘A review and future direction of Agile, business intelligence, analytics and data science’, </w:t>
      </w:r>
      <w:r w:rsidDel="00000000" w:rsidR="00000000" w:rsidRPr="00000000">
        <w:rPr>
          <w:i w:val="1"/>
          <w:rtl w:val="0"/>
        </w:rPr>
        <w:t xml:space="preserve">International Journal of Information Management</w:t>
      </w:r>
      <w:r w:rsidDel="00000000" w:rsidR="00000000" w:rsidRPr="00000000">
        <w:rPr>
          <w:rtl w:val="0"/>
        </w:rPr>
        <w:t xml:space="preserve">, 36(5), pp. 700–710. doi:10.1016/j.ijinfomgt.2016.04.013. </w:t>
      </w:r>
    </w:p>
    <w:p w:rsidR="00000000" w:rsidDel="00000000" w:rsidP="00000000" w:rsidRDefault="00000000" w:rsidRPr="00000000" w14:paraId="0000003D">
      <w:pPr>
        <w:jc w:val="left"/>
        <w:rPr/>
      </w:pPr>
      <w:r w:rsidDel="00000000" w:rsidR="00000000" w:rsidRPr="00000000">
        <w:rPr>
          <w:rtl w:val="0"/>
        </w:rPr>
        <w:t xml:space="preserve">Mendoza, R.A. (2021) ‘Business intelligence 2.0’, </w:t>
      </w:r>
      <w:r w:rsidDel="00000000" w:rsidR="00000000" w:rsidRPr="00000000">
        <w:rPr>
          <w:i w:val="1"/>
          <w:rtl w:val="0"/>
        </w:rPr>
        <w:t xml:space="preserve">Organizational Applications of Business Intelligence Management</w:t>
      </w:r>
      <w:r w:rsidDel="00000000" w:rsidR="00000000" w:rsidRPr="00000000">
        <w:rPr>
          <w:rtl w:val="0"/>
        </w:rPr>
        <w:t xml:space="preserve">, pp. 272–285. doi:10.4018/978-1-4666-0279-3.ch019. </w:t>
      </w:r>
    </w:p>
    <w:p w:rsidR="00000000" w:rsidDel="00000000" w:rsidP="00000000" w:rsidRDefault="00000000" w:rsidRPr="00000000" w14:paraId="0000003E">
      <w:pPr>
        <w:jc w:val="left"/>
        <w:rPr/>
      </w:pPr>
      <w:r w:rsidDel="00000000" w:rsidR="00000000" w:rsidRPr="00000000">
        <w:rPr>
          <w:rtl w:val="0"/>
        </w:rPr>
        <w:t xml:space="preserve">Puklavec, B., Oliveira, T. and Popovič, A. (2018) ‘Understanding the determinants of Business Intelligence System Adoption stages’, </w:t>
      </w:r>
      <w:r w:rsidDel="00000000" w:rsidR="00000000" w:rsidRPr="00000000">
        <w:rPr>
          <w:i w:val="1"/>
          <w:rtl w:val="0"/>
        </w:rPr>
        <w:t xml:space="preserve">Industrial Management &amp;amp; Data Systems</w:t>
      </w:r>
      <w:r w:rsidDel="00000000" w:rsidR="00000000" w:rsidRPr="00000000">
        <w:rPr>
          <w:rtl w:val="0"/>
        </w:rPr>
        <w:t xml:space="preserve">, 118(1), pp. 236–261. doi:10.1108/imds-05-2017-0170. </w:t>
      </w:r>
    </w:p>
    <w:p w:rsidR="00000000" w:rsidDel="00000000" w:rsidP="00000000" w:rsidRDefault="00000000" w:rsidRPr="00000000" w14:paraId="0000003F">
      <w:pPr>
        <w:rPr/>
      </w:pP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mbr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366091"/>
      <w:sz w:val="32"/>
      <w:szCs w:val="32"/>
    </w:rPr>
  </w:style>
  <w:style w:type="paragraph" w:styleId="Heading2">
    <w:name w:val="heading 2"/>
    <w:basedOn w:val="Normal"/>
    <w:next w:val="Normal"/>
    <w:pPr>
      <w:keepNext w:val="1"/>
      <w:keepLines w:val="1"/>
      <w:spacing w:after="0" w:before="200" w:lineRule="auto"/>
    </w:pPr>
    <w:rPr>
      <w:b w:val="1"/>
      <w:color w:val="0070c0"/>
      <w:sz w:val="28"/>
      <w:szCs w:val="28"/>
    </w:rPr>
  </w:style>
  <w:style w:type="paragraph" w:styleId="Heading3">
    <w:name w:val="heading 3"/>
    <w:basedOn w:val="Normal"/>
    <w:next w:val="Normal"/>
    <w:pPr>
      <w:keepNext w:val="1"/>
      <w:keepLines w:val="1"/>
      <w:spacing w:after="0" w:before="200" w:lineRule="auto"/>
    </w:pPr>
    <w:rPr>
      <w:b w:val="1"/>
      <w:color w:val="4f81bd"/>
    </w:rPr>
  </w:style>
  <w:style w:type="paragraph" w:styleId="Heading4">
    <w:name w:val="heading 4"/>
    <w:basedOn w:val="Normal"/>
    <w:next w:val="Normal"/>
    <w:pPr>
      <w:keepNext w:val="1"/>
      <w:keepLines w:val="1"/>
      <w:spacing w:after="0" w:before="200" w:lineRule="auto"/>
    </w:pPr>
    <w:rPr>
      <w:i w:val="1"/>
      <w:color w:val="0070c0"/>
    </w:rPr>
  </w:style>
  <w:style w:type="paragraph" w:styleId="Heading5">
    <w:name w:val="heading 5"/>
    <w:basedOn w:val="Normal"/>
    <w:next w:val="Normal"/>
    <w:pPr>
      <w:keepNext w:val="1"/>
      <w:keepLines w:val="1"/>
      <w:spacing w:after="0" w:before="200" w:lineRule="auto"/>
    </w:pPr>
    <w:rPr>
      <w:color w:val="243f61"/>
      <w:u w:val="single"/>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jc w:val="center"/>
    </w:pPr>
    <w:rPr>
      <w:color w:val="17365d"/>
      <w:sz w:val="52"/>
      <w:szCs w:val="5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color w:val="000000"/>
    </w:rPr>
    <w:tblPr>
      <w:tblStyleRowBandSize w:val="1"/>
      <w:tblStyleColBandSize w:val="1"/>
      <w:tblCellMar>
        <w:top w:w="0.0" w:type="dxa"/>
        <w:left w:w="115.0" w:type="dxa"/>
        <w:bottom w:w="0.0" w:type="dxa"/>
        <w:right w:w="115.0" w:type="dxa"/>
      </w:tblCellMar>
    </w:tblPr>
    <w:tcPr>
      <w:shd w:fill="edf2f8" w:val="clear"/>
    </w:tcPr>
    <w:tblStylePr w:type="band1Horz">
      <w:tcPr>
        <w:shd w:fill="a7c0de" w:val="clear"/>
      </w:tcPr>
    </w:tblStylePr>
    <w:tblStylePr w:type="band1Vert">
      <w:tcPr>
        <w:shd w:fill="b8cce4" w:val="clear"/>
      </w:tcPr>
    </w:tblStylePr>
    <w:tblStylePr w:type="firstCol">
      <w:rPr>
        <w:color w:val="ffffff"/>
      </w:rPr>
      <w:tcPr>
        <w:tcBorders>
          <w:top w:color="000000" w:space="0" w:sz="0" w:val="nil"/>
          <w:left w:color="000000" w:space="0" w:sz="0" w:val="nil"/>
          <w:bottom w:color="000000" w:space="0" w:sz="0" w:val="nil"/>
          <w:right w:color="000000" w:space="0" w:sz="0" w:val="nil"/>
          <w:insideH w:color="2b4d74" w:space="0" w:sz="4" w:val="single"/>
          <w:insideV w:color="000000" w:space="0" w:sz="0" w:val="nil"/>
        </w:tcBorders>
        <w:shd w:fill="2b4d74" w:val="clear"/>
      </w:tcPr>
    </w:tblStylePr>
    <w:tblStylePr w:type="firstRow">
      <w:rPr>
        <w:b w:val="1"/>
      </w:rPr>
      <w:tcPr>
        <w:tcBorders>
          <w:top w:color="000000" w:space="0" w:sz="0" w:val="nil"/>
          <w:left w:color="000000" w:space="0" w:sz="0" w:val="nil"/>
          <w:bottom w:color="c0504d" w:space="0" w:sz="24" w:val="single"/>
          <w:right w:color="000000" w:space="0" w:sz="0" w:val="nil"/>
          <w:insideH w:color="000000" w:space="0" w:sz="0" w:val="nil"/>
          <w:insideV w:color="000000" w:space="0" w:sz="0" w:val="nil"/>
        </w:tcBorders>
        <w:shd w:fill="ffffff" w:val="clear"/>
      </w:tcPr>
    </w:tblStylePr>
    <w:tblStylePr w:type="lastCol">
      <w:rPr>
        <w:color w:val="ffffff"/>
      </w:rPr>
      <w:tcPr>
        <w:tcBorders>
          <w:top w:color="000000" w:space="0" w:sz="0" w:val="nil"/>
          <w:left w:color="000000" w:space="0" w:sz="0" w:val="nil"/>
          <w:bottom w:color="000000" w:space="0" w:sz="0" w:val="nil"/>
          <w:right w:color="000000" w:space="0" w:sz="0" w:val="nil"/>
          <w:insideH w:color="000000" w:space="0" w:sz="0" w:val="nil"/>
          <w:insideV w:color="000000" w:space="0" w:sz="0" w:val="nil"/>
        </w:tcBorders>
        <w:shd w:fill="2b4d74" w:val="clear"/>
      </w:tcPr>
    </w:tblStylePr>
    <w:tblStylePr w:type="lastRow">
      <w:rPr>
        <w:b w:val="1"/>
        <w:color w:val="ffffff"/>
      </w:rPr>
      <w:tcPr>
        <w:tcBorders>
          <w:top w:color="ffffff" w:space="0" w:sz="6" w:val="single"/>
        </w:tcBorders>
        <w:shd w:fill="2b4d74" w:val="clear"/>
      </w:tcPr>
    </w:tblStylePr>
    <w:tblStylePr w:type="neCell">
      <w:rPr>
        <w:color w:val="000000"/>
      </w:rPr>
    </w:tblStylePr>
    <w:tblStylePr w:type="nwCell">
      <w:rPr>
        <w:color w:val="000000"/>
      </w:r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