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5E7F6F" w14:textId="77777777" w:rsidR="00072F3E" w:rsidRDefault="00072F3E" w:rsidP="00072F3E">
      <w:pPr>
        <w:spacing w:line="360" w:lineRule="auto"/>
        <w:jc w:val="center"/>
        <w:rPr>
          <w:rFonts w:asciiTheme="minorBidi" w:hAnsiTheme="minorBidi"/>
          <w:b/>
          <w:bCs/>
          <w:sz w:val="48"/>
          <w:szCs w:val="48"/>
          <w:lang w:val="en-GB"/>
        </w:rPr>
      </w:pPr>
    </w:p>
    <w:p w14:paraId="63283D45" w14:textId="77777777" w:rsidR="00072F3E" w:rsidRDefault="00072F3E" w:rsidP="00072F3E">
      <w:pPr>
        <w:spacing w:line="360" w:lineRule="auto"/>
        <w:jc w:val="center"/>
        <w:rPr>
          <w:rFonts w:asciiTheme="minorBidi" w:hAnsiTheme="minorBidi"/>
          <w:b/>
          <w:bCs/>
          <w:sz w:val="48"/>
          <w:szCs w:val="48"/>
          <w:lang w:val="en-GB"/>
        </w:rPr>
      </w:pPr>
    </w:p>
    <w:p w14:paraId="760DF903" w14:textId="304BB33F" w:rsidR="00072F3E" w:rsidRDefault="00072F3E" w:rsidP="00072F3E">
      <w:pPr>
        <w:spacing w:line="360" w:lineRule="auto"/>
        <w:jc w:val="center"/>
        <w:rPr>
          <w:rFonts w:asciiTheme="minorBidi" w:hAnsiTheme="minorBidi"/>
          <w:b/>
          <w:bCs/>
          <w:sz w:val="48"/>
          <w:szCs w:val="48"/>
          <w:lang w:val="en-GB"/>
        </w:rPr>
      </w:pPr>
      <w:r w:rsidRPr="00072F3E">
        <w:rPr>
          <w:rFonts w:asciiTheme="minorBidi" w:hAnsiTheme="minorBidi"/>
          <w:b/>
          <w:bCs/>
          <w:sz w:val="48"/>
          <w:szCs w:val="48"/>
          <w:lang w:val="en-GB"/>
        </w:rPr>
        <w:t>BMHP5016_BIRM</w:t>
      </w:r>
    </w:p>
    <w:p w14:paraId="145358C0" w14:textId="77777777" w:rsidR="00072F3E" w:rsidRDefault="00072F3E" w:rsidP="00072F3E">
      <w:pPr>
        <w:spacing w:line="360" w:lineRule="auto"/>
        <w:jc w:val="center"/>
        <w:rPr>
          <w:rFonts w:asciiTheme="minorBidi" w:hAnsiTheme="minorBidi"/>
          <w:b/>
          <w:bCs/>
          <w:sz w:val="48"/>
          <w:szCs w:val="48"/>
          <w:lang w:val="en-GB"/>
        </w:rPr>
      </w:pPr>
      <w:r>
        <w:rPr>
          <w:rFonts w:asciiTheme="minorBidi" w:hAnsiTheme="minorBidi"/>
          <w:b/>
          <w:bCs/>
          <w:sz w:val="48"/>
          <w:szCs w:val="48"/>
          <w:lang w:val="en-GB"/>
        </w:rPr>
        <w:t>COMPONENT 2, WRITTEN ASSIGNMENT, REPORT</w:t>
      </w:r>
    </w:p>
    <w:p w14:paraId="1BF6BAF9" w14:textId="77777777" w:rsidR="00072F3E" w:rsidRDefault="00072F3E" w:rsidP="00072F3E">
      <w:pPr>
        <w:spacing w:line="360" w:lineRule="auto"/>
        <w:jc w:val="center"/>
        <w:rPr>
          <w:rFonts w:asciiTheme="minorBidi" w:hAnsiTheme="minorBidi"/>
          <w:b/>
          <w:bCs/>
          <w:sz w:val="48"/>
          <w:szCs w:val="48"/>
          <w:lang w:val="en-GB"/>
        </w:rPr>
      </w:pPr>
      <w:r>
        <w:rPr>
          <w:rFonts w:asciiTheme="minorBidi" w:hAnsiTheme="minorBidi"/>
          <w:b/>
          <w:bCs/>
          <w:sz w:val="48"/>
          <w:szCs w:val="48"/>
          <w:lang w:val="en-GB"/>
        </w:rPr>
        <w:t>STUDENT NAME: ZAMZAM ABDALLAH</w:t>
      </w:r>
    </w:p>
    <w:p w14:paraId="7A1CFEAB" w14:textId="4270AA7F" w:rsidR="00072F3E" w:rsidRPr="00072F3E" w:rsidRDefault="00072F3E" w:rsidP="00072F3E">
      <w:pPr>
        <w:spacing w:line="360" w:lineRule="auto"/>
        <w:jc w:val="center"/>
        <w:rPr>
          <w:rFonts w:asciiTheme="minorBidi" w:hAnsiTheme="minorBidi"/>
          <w:sz w:val="48"/>
          <w:szCs w:val="48"/>
        </w:rPr>
      </w:pPr>
      <w:r>
        <w:rPr>
          <w:rFonts w:asciiTheme="minorBidi" w:hAnsiTheme="minorBidi"/>
          <w:b/>
          <w:bCs/>
          <w:sz w:val="48"/>
          <w:szCs w:val="48"/>
          <w:lang w:val="en-GB"/>
        </w:rPr>
        <w:t xml:space="preserve">STUDENT NUMBER: 2408411 </w:t>
      </w:r>
    </w:p>
    <w:p w14:paraId="657ECF27" w14:textId="65EB12D9" w:rsidR="00072F3E" w:rsidRPr="00072F3E" w:rsidRDefault="00072F3E" w:rsidP="00072F3E">
      <w:pPr>
        <w:rPr>
          <w:rFonts w:asciiTheme="minorBidi" w:hAnsiTheme="minorBidi"/>
          <w:b/>
          <w:bCs/>
          <w:lang w:val="en-GB"/>
        </w:rPr>
      </w:pPr>
      <w:r>
        <w:rPr>
          <w:rFonts w:asciiTheme="minorBidi" w:hAnsiTheme="minorBidi"/>
        </w:rPr>
        <w:br w:type="page"/>
      </w:r>
    </w:p>
    <w:p w14:paraId="3575E708" w14:textId="4CDDE96D" w:rsidR="00072F3E" w:rsidRPr="00072F3E" w:rsidRDefault="00072F3E">
      <w:pPr>
        <w:rPr>
          <w:rFonts w:asciiTheme="minorBidi" w:hAnsiTheme="minorBidi"/>
          <w:b/>
          <w:bCs/>
          <w:sz w:val="44"/>
          <w:szCs w:val="44"/>
        </w:rPr>
      </w:pPr>
    </w:p>
    <w:p w14:paraId="569073E6" w14:textId="1116DF01" w:rsidR="00D13000" w:rsidRPr="00072F3E" w:rsidRDefault="004343F1" w:rsidP="00072F3E">
      <w:pPr>
        <w:spacing w:line="360" w:lineRule="auto"/>
        <w:rPr>
          <w:rFonts w:asciiTheme="minorBidi" w:hAnsiTheme="minorBidi"/>
          <w:b/>
          <w:bCs/>
        </w:rPr>
      </w:pPr>
      <w:r w:rsidRPr="00072F3E">
        <w:rPr>
          <w:rFonts w:asciiTheme="minorBidi" w:hAnsiTheme="minorBidi"/>
          <w:b/>
          <w:bCs/>
        </w:rPr>
        <w:t>Evaluation of Person-</w:t>
      </w:r>
      <w:proofErr w:type="spellStart"/>
      <w:r w:rsidRPr="00072F3E">
        <w:rPr>
          <w:rFonts w:asciiTheme="minorBidi" w:hAnsiTheme="minorBidi"/>
          <w:b/>
          <w:bCs/>
        </w:rPr>
        <w:t>Centred</w:t>
      </w:r>
      <w:proofErr w:type="spellEnd"/>
      <w:r w:rsidRPr="00072F3E">
        <w:rPr>
          <w:rFonts w:asciiTheme="minorBidi" w:hAnsiTheme="minorBidi"/>
          <w:b/>
          <w:bCs/>
        </w:rPr>
        <w:t xml:space="preserve"> Care and Partnership Working in UK Community Mental Health Services</w:t>
      </w:r>
    </w:p>
    <w:p w14:paraId="7EBB21E8"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Introduction</w:t>
      </w:r>
    </w:p>
    <w:p w14:paraId="6C10BBF0" w14:textId="77777777" w:rsidR="00D13000" w:rsidRPr="00072F3E" w:rsidRDefault="004343F1" w:rsidP="00072F3E">
      <w:pPr>
        <w:spacing w:line="360" w:lineRule="auto"/>
        <w:rPr>
          <w:rFonts w:asciiTheme="minorBidi" w:hAnsiTheme="minorBidi"/>
        </w:rPr>
      </w:pPr>
      <w:r w:rsidRPr="00072F3E">
        <w:rPr>
          <w:rFonts w:asciiTheme="minorBidi" w:hAnsiTheme="minorBidi"/>
        </w:rPr>
        <w:t>Person-centred care (PCC) and partnership working (PW) are central principles in contemporary UK health and social care policy and practice. PCC emphasises seeing the service user as a whole person with unique values, preferences and capabilities, rather than as a diagnosis or set of problems, while PW focuses on collaboration between professionals, service users, families and organisations to plan and deliver care. The purpose of this report is to evaluate PCC and PW, and to examine how these components in</w:t>
      </w:r>
      <w:r w:rsidRPr="00072F3E">
        <w:rPr>
          <w:rFonts w:asciiTheme="minorBidi" w:hAnsiTheme="minorBidi"/>
        </w:rPr>
        <w:t>teract within professional health and social care policy and practice. The chosen practice setting is NHS community mental health services, which provide multidisciplinary, largely community-based support to adults with mental health difficulties.</w:t>
      </w:r>
      <w:r w:rsidRPr="00072F3E">
        <w:rPr>
          <w:rFonts w:asciiTheme="minorBidi" w:hAnsiTheme="minorBidi"/>
        </w:rPr>
        <w:br/>
      </w:r>
      <w:r w:rsidRPr="00072F3E">
        <w:rPr>
          <w:rFonts w:asciiTheme="minorBidi" w:hAnsiTheme="minorBidi"/>
        </w:rPr>
        <w:br/>
        <w:t>The report will first define PCC and explore its main benefits and limitations, with reference to community mental health services. It will then critically examine the Person-centred Nursing Framework developed by McCormack and McCance as a key theory underpinnin</w:t>
      </w:r>
      <w:r w:rsidRPr="00072F3E">
        <w:rPr>
          <w:rFonts w:asciiTheme="minorBidi" w:hAnsiTheme="minorBidi"/>
        </w:rPr>
        <w:t>g PCC. The ethical fundamentals of health and social care and their relationship to PCC and PW will be analysed, followed by an evaluation of PW, including integrated care systems (ICSs). The application of PW in community mental health services will be explored, before discussing relevant UK policy and legislation. The report concludes with evidence-based recommendations for future development of PCC and PW in the UK and a brief summary of key points.</w:t>
      </w:r>
    </w:p>
    <w:p w14:paraId="5906CD5D"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Person-Centred Care: Definition, Benefits and Limitations</w:t>
      </w:r>
    </w:p>
    <w:p w14:paraId="6D3E61BF"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There is no single definition of PCC, but most emphasise personalisation, respect, collaboration and holistic care. The Health Foundation describes PCC as treating people as “active partners in their own care,” with services shaped around their needs and preferences (Health Foundation, 2014). Similarly, NHS Education for Scotland states that PCC places individuals at the centre of all decisions, providing personalised, co-ordinated and enabling care that supports independence (NES, 2025). In community </w:t>
      </w:r>
      <w:r w:rsidRPr="000815CA">
        <w:rPr>
          <w:rFonts w:asciiTheme="minorBidi" w:hAnsiTheme="minorBidi"/>
          <w:lang w:val="en-GB"/>
        </w:rPr>
        <w:lastRenderedPageBreak/>
        <w:t>mental health services, this involves recognising service users as experts in their own experiences and supporting recovery goals such as relationships, employment and participation—not just symptom control.</w:t>
      </w:r>
    </w:p>
    <w:p w14:paraId="0D38C1EB"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PCC has several well-evidenced benefits. Studies link it to greater patient satisfaction, improved self-management, better quality of life and, at times, reduced pressure on acute services. In mental health settings, shared decision-making and collaborative care planning can strengthen therapeutic relationships, boost engagement and promote hope, empowerment and social inclusion. PCC also aligns with wider policy aims to improve outcomes, reduce inequalities and create more responsive, cost-effective services.</w:t>
      </w:r>
    </w:p>
    <w:p w14:paraId="55740CA4"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However, PCC also faces limitations. It is sometimes criticised as a “buzzword” that does not always lead to real changes in power or practice. High caseloads and limited resources can restrict meaningful conversations about what matters to service users. Risk-focused organisational cultures may encourage paternalism and limit choice. Conflicts may also arise between personal preferences and professional duties, such as when someone declines support despite significant risks. Finally, PCC is not always implemented equitably; people with communication difficulties, cognitive impairments or low health literacy may require additional support to participate fully, otherwise inequalities may widen.</w:t>
      </w:r>
    </w:p>
    <w:p w14:paraId="36EF83A8" w14:textId="77777777" w:rsidR="000815CA" w:rsidRPr="00072F3E" w:rsidRDefault="000815CA" w:rsidP="00072F3E">
      <w:pPr>
        <w:spacing w:line="360" w:lineRule="auto"/>
        <w:rPr>
          <w:rFonts w:asciiTheme="minorBidi" w:hAnsiTheme="minorBidi"/>
          <w:lang w:val="en-GB"/>
        </w:rPr>
      </w:pPr>
    </w:p>
    <w:p w14:paraId="4D17FDC7"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Theoretical Underpinnings of Person-</w:t>
      </w:r>
      <w:proofErr w:type="spellStart"/>
      <w:r w:rsidRPr="004343F1">
        <w:rPr>
          <w:rFonts w:asciiTheme="minorBidi" w:hAnsiTheme="minorBidi"/>
          <w:b/>
          <w:bCs/>
        </w:rPr>
        <w:t>Centred</w:t>
      </w:r>
      <w:proofErr w:type="spellEnd"/>
      <w:r w:rsidRPr="004343F1">
        <w:rPr>
          <w:rFonts w:asciiTheme="minorBidi" w:hAnsiTheme="minorBidi"/>
          <w:b/>
          <w:bCs/>
        </w:rPr>
        <w:t xml:space="preserve"> Care</w:t>
      </w:r>
    </w:p>
    <w:p w14:paraId="2C6FA1B9" w14:textId="77777777" w:rsidR="00D13000" w:rsidRPr="00072F3E" w:rsidRDefault="004343F1" w:rsidP="00072F3E">
      <w:pPr>
        <w:spacing w:line="360" w:lineRule="auto"/>
        <w:rPr>
          <w:rFonts w:asciiTheme="minorBidi" w:hAnsiTheme="minorBidi"/>
        </w:rPr>
      </w:pPr>
      <w:r w:rsidRPr="00072F3E">
        <w:rPr>
          <w:rFonts w:asciiTheme="minorBidi" w:hAnsiTheme="minorBidi"/>
        </w:rPr>
        <w:t xml:space="preserve">A range of theories underpin PCC, including humanistic psychology and recovery models in mental health. This report focuses on the Person-centred Nursing Framework (PCNF) developed by McCormack and McCance (2010, 2017, 2021), which has been influential across UK nursing and allied health professions. The PCNF conceptualises person-centred practice as arising from the interaction of four main domains: prerequisites (attributes of the staff), the care environment, person-centred processes, and person-centred </w:t>
      </w:r>
      <w:r w:rsidRPr="00072F3E">
        <w:rPr>
          <w:rFonts w:asciiTheme="minorBidi" w:hAnsiTheme="minorBidi"/>
        </w:rPr>
        <w:t xml:space="preserve">outcomes (McCormack and McCance, 2017). Prerequisites include professionals’ professional competence, interpersonal skills, commitment to the job and clarity of beliefs and values. The care environment encompasses factors such as appropriate skill mix, systems that support shared decision-making, power-sharing, and </w:t>
      </w:r>
      <w:r w:rsidRPr="00072F3E">
        <w:rPr>
          <w:rFonts w:asciiTheme="minorBidi" w:hAnsiTheme="minorBidi"/>
        </w:rPr>
        <w:lastRenderedPageBreak/>
        <w:t>organisational culture. Person-centred processes include working with the person’s beliefs and values, engaging authentically, being sympathetically present, and sharing decision-making. When the</w:t>
      </w:r>
      <w:r w:rsidRPr="00072F3E">
        <w:rPr>
          <w:rFonts w:asciiTheme="minorBidi" w:hAnsiTheme="minorBidi"/>
        </w:rPr>
        <w:t>se domains are aligned, the framework suggests that outcomes such as satisfaction, involvement in care, well-being and a feeling of being cared for are more likely.</w:t>
      </w:r>
      <w:r w:rsidRPr="00072F3E">
        <w:rPr>
          <w:rFonts w:asciiTheme="minorBidi" w:hAnsiTheme="minorBidi"/>
        </w:rPr>
        <w:br/>
      </w:r>
      <w:r w:rsidRPr="00072F3E">
        <w:rPr>
          <w:rFonts w:asciiTheme="minorBidi" w:hAnsiTheme="minorBidi"/>
        </w:rPr>
        <w:br/>
        <w:t>The PCNF supports the principles of PCC by making explicit that person-centred practice is not simply an individual professional attitude but depends on wider organisational and relational conditions. In community mental health services, for example, the framework highlights how staff values need to be supported by a culture that allows time fo</w:t>
      </w:r>
      <w:r w:rsidRPr="00072F3E">
        <w:rPr>
          <w:rFonts w:asciiTheme="minorBidi" w:hAnsiTheme="minorBidi"/>
        </w:rPr>
        <w:t>r relationship-building, supervision that encourages reflective practice, and systems that enable flexible, individualised care. It also emphasises power-sharing, which is particularly relevant in mental health, where compulsory powers under the Mental Health Act and risk-averse cultures can create significant power asymmetries.</w:t>
      </w:r>
      <w:r w:rsidRPr="00072F3E">
        <w:rPr>
          <w:rFonts w:asciiTheme="minorBidi" w:hAnsiTheme="minorBidi"/>
        </w:rPr>
        <w:br/>
      </w:r>
      <w:r w:rsidRPr="00072F3E">
        <w:rPr>
          <w:rFonts w:asciiTheme="minorBidi" w:hAnsiTheme="minorBidi"/>
        </w:rPr>
        <w:br/>
        <w:t>Critically, while the PCNF is widely cited and provides a useful heuristic, some commentators note that its application can be challenging in under-resourced or highly regulated en</w:t>
      </w:r>
      <w:r w:rsidRPr="00072F3E">
        <w:rPr>
          <w:rFonts w:asciiTheme="minorBidi" w:hAnsiTheme="minorBidi"/>
        </w:rPr>
        <w:t>vironments. The framework presupposes a degree of organisational flexibility and staff autonomy that may not always exist in community mental health teams facing workforce shortages and high demand. Additionally, although the PCNF acknowledges structural and cultural factors, critics argue that it still focuses primarily on micro-level practice and less on wider social determinants of health and structural inequalities. Nevertheless, it remains a valuable guide for practice development projects aimed at emb</w:t>
      </w:r>
      <w:r w:rsidRPr="00072F3E">
        <w:rPr>
          <w:rFonts w:asciiTheme="minorBidi" w:hAnsiTheme="minorBidi"/>
        </w:rPr>
        <w:t>edding PCC in mental health settings, providing a language and structure for assessing current practice and planning change.</w:t>
      </w:r>
    </w:p>
    <w:p w14:paraId="519BF54C"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Ethical Fundamentals of Health and Social Care</w:t>
      </w:r>
    </w:p>
    <w:p w14:paraId="74EC5D94"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Ethical practice in health and social care is often guided by four principles: autonomy</w:t>
      </w:r>
      <w:r w:rsidRPr="000815CA">
        <w:rPr>
          <w:rFonts w:asciiTheme="minorBidi" w:hAnsiTheme="minorBidi"/>
          <w:b/>
          <w:bCs/>
          <w:lang w:val="en-GB"/>
        </w:rPr>
        <w:t xml:space="preserve">, </w:t>
      </w:r>
      <w:r w:rsidRPr="000815CA">
        <w:rPr>
          <w:rFonts w:asciiTheme="minorBidi" w:hAnsiTheme="minorBidi"/>
          <w:lang w:val="en-GB"/>
        </w:rPr>
        <w:t>beneficence</w:t>
      </w:r>
      <w:r w:rsidRPr="000815CA">
        <w:rPr>
          <w:rFonts w:asciiTheme="minorBidi" w:hAnsiTheme="minorBidi"/>
          <w:b/>
          <w:bCs/>
          <w:lang w:val="en-GB"/>
        </w:rPr>
        <w:t xml:space="preserve">, </w:t>
      </w:r>
      <w:r w:rsidRPr="000815CA">
        <w:rPr>
          <w:rFonts w:asciiTheme="minorBidi" w:hAnsiTheme="minorBidi"/>
          <w:lang w:val="en-GB"/>
        </w:rPr>
        <w:t>non-maleficence</w:t>
      </w:r>
      <w:r w:rsidRPr="000815CA">
        <w:rPr>
          <w:rFonts w:asciiTheme="minorBidi" w:hAnsiTheme="minorBidi"/>
          <w:b/>
          <w:bCs/>
          <w:lang w:val="en-GB"/>
        </w:rPr>
        <w:t xml:space="preserve"> </w:t>
      </w:r>
      <w:r w:rsidRPr="000815CA">
        <w:rPr>
          <w:rFonts w:asciiTheme="minorBidi" w:hAnsiTheme="minorBidi"/>
          <w:lang w:val="en-GB"/>
        </w:rPr>
        <w:t>and</w:t>
      </w:r>
      <w:r w:rsidRPr="000815CA">
        <w:rPr>
          <w:rFonts w:asciiTheme="minorBidi" w:hAnsiTheme="minorBidi"/>
          <w:b/>
          <w:bCs/>
          <w:lang w:val="en-GB"/>
        </w:rPr>
        <w:t xml:space="preserve"> </w:t>
      </w:r>
      <w:r w:rsidRPr="000815CA">
        <w:rPr>
          <w:rFonts w:asciiTheme="minorBidi" w:hAnsiTheme="minorBidi"/>
          <w:lang w:val="en-GB"/>
        </w:rPr>
        <w:t>justice (Beauchamp and Childress, 2019). Autonomy relates to respecting individuals’ choices; beneficence and non-maleficence involve promoting well-being and avoiding harm; and justice concerns fair access and treatment.</w:t>
      </w:r>
    </w:p>
    <w:p w14:paraId="2ACEEA62"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PCC strongly aligns with autonomy and beneficence by emphasising shared decision-making, informed consent and respect for personal goals. PW extends these principles </w:t>
      </w:r>
      <w:r w:rsidRPr="000815CA">
        <w:rPr>
          <w:rFonts w:asciiTheme="minorBidi" w:hAnsiTheme="minorBidi"/>
          <w:lang w:val="en-GB"/>
        </w:rPr>
        <w:lastRenderedPageBreak/>
        <w:t>by recognising that ethical decisions often require collaboration between professionals, service users, families and community organisations.</w:t>
      </w:r>
    </w:p>
    <w:p w14:paraId="5F026F91"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In community mental health services, ethical dilemmas commonly arise when principles conflict. For instance, a person’s wish to live independently (autonomy) may conflict with concerns about safety or self-neglect (non-maleficence). PW can help resolve such dilemmas by bringing together multiple perspectives, including carers and the service user themselves.</w:t>
      </w:r>
    </w:p>
    <w:p w14:paraId="7B7EEFD4"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There are also differing views on autonomy when severe mental illness affects decision-making capacity. Some favour a more protective approach, while others promote supported decision-making and tools like advance choice documents. PCC and PW encourage a balanced approach that maximises involvement while following legal frameworks such as the Mental Capacity Act 2005 and the Mental Health Act. Clear communication, careful documentation and advocacy support can help uphold ethical practice in challenging situations.</w:t>
      </w:r>
    </w:p>
    <w:p w14:paraId="38FA2CF9" w14:textId="77777777" w:rsidR="000815CA" w:rsidRPr="00072F3E" w:rsidRDefault="000815CA" w:rsidP="00072F3E">
      <w:pPr>
        <w:spacing w:line="360" w:lineRule="auto"/>
        <w:rPr>
          <w:rFonts w:asciiTheme="minorBidi" w:hAnsiTheme="minorBidi"/>
          <w:lang w:val="en-GB"/>
        </w:rPr>
      </w:pPr>
    </w:p>
    <w:p w14:paraId="0DF85755"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Evaluation of Partnership Working in Health and Social Care</w:t>
      </w:r>
    </w:p>
    <w:p w14:paraId="5CDAA5D4"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PW involves different individuals and organisations working together to plan, deliver and evaluate care. In the UK, this is now supported by Integrated Care Systems (ICSs), which bring together the NHS, local authorities and voluntary organisations to improve population health and reduce inequalities. According to NHS England, such collaboration enables more joined-up support, better self-management and care delivered closer to home.</w:t>
      </w:r>
    </w:p>
    <w:p w14:paraId="4B189B8B"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PW offers several benefits, including improved continuity, more holistic support and reduced duplication of services. In community mental health services, working with GPs, housing providers, employment services and the voluntary sector </w:t>
      </w:r>
      <w:proofErr w:type="gramStart"/>
      <w:r w:rsidRPr="000815CA">
        <w:rPr>
          <w:rFonts w:asciiTheme="minorBidi" w:hAnsiTheme="minorBidi"/>
          <w:lang w:val="en-GB"/>
        </w:rPr>
        <w:t>helps</w:t>
      </w:r>
      <w:proofErr w:type="gramEnd"/>
      <w:r w:rsidRPr="000815CA">
        <w:rPr>
          <w:rFonts w:asciiTheme="minorBidi" w:hAnsiTheme="minorBidi"/>
          <w:lang w:val="en-GB"/>
        </w:rPr>
        <w:t xml:space="preserve"> address wider social factors affecting mental health. Involving service users and carers in partnership structures also ensures services reflect lived experience.</w:t>
      </w:r>
    </w:p>
    <w:p w14:paraId="0A14020F"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However, PW can be challenging. Organisations often have different cultures, priorities and governance systems, making coordination difficult. Information-sharing barriers and role ambiguity may disrupt communication, leading to fragmented or delayed care. </w:t>
      </w:r>
      <w:r w:rsidRPr="000815CA">
        <w:rPr>
          <w:rFonts w:asciiTheme="minorBidi" w:hAnsiTheme="minorBidi"/>
          <w:lang w:val="en-GB"/>
        </w:rPr>
        <w:lastRenderedPageBreak/>
        <w:t>Power imbalances may also limit the influence of voluntary-sector partners and service users. Evidence from ICS evaluations shows inconsistent progress across England and highlights that structural integration alone does not guarantee better experiences for service users.</w:t>
      </w:r>
    </w:p>
    <w:p w14:paraId="3EFD557D" w14:textId="77777777" w:rsidR="000815CA" w:rsidRPr="00072F3E" w:rsidRDefault="000815CA" w:rsidP="00072F3E">
      <w:pPr>
        <w:spacing w:line="360" w:lineRule="auto"/>
        <w:rPr>
          <w:rFonts w:asciiTheme="minorBidi" w:hAnsiTheme="minorBidi"/>
          <w:lang w:val="en-GB"/>
        </w:rPr>
      </w:pPr>
    </w:p>
    <w:p w14:paraId="7465E5C3"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 xml:space="preserve">Application </w:t>
      </w:r>
      <w:proofErr w:type="gramStart"/>
      <w:r w:rsidRPr="004343F1">
        <w:rPr>
          <w:rFonts w:asciiTheme="minorBidi" w:hAnsiTheme="minorBidi"/>
          <w:b/>
          <w:bCs/>
        </w:rPr>
        <w:t>of</w:t>
      </w:r>
      <w:proofErr w:type="gramEnd"/>
      <w:r w:rsidRPr="004343F1">
        <w:rPr>
          <w:rFonts w:asciiTheme="minorBidi" w:hAnsiTheme="minorBidi"/>
          <w:b/>
          <w:bCs/>
        </w:rPr>
        <w:t xml:space="preserve"> Partnership Working in Community Mental Health Services</w:t>
      </w:r>
    </w:p>
    <w:p w14:paraId="5DFFAA7C"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In community mental health services, PW takes place at several levels. For individuals, care and support plans are ideally co-produced by the service user, their care co-ordinator, mental health professionals and, where appropriate, family or carers. This recognises the value of clinical expertise, lived experience and personal context. When PCC is fully applied, the person’s own goals—such as returning to work or education—guide the care plan, with each partner contributing to these aims.</w:t>
      </w:r>
    </w:p>
    <w:p w14:paraId="343C395B"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At a service level, community mental health teams work with primary care networks, local authorities and voluntary organisations. Examples include joint GP clinics, shared-care protocols for physical health, and integrated pathways involving therapy, social prescribing and peer support. Through ICSs, mental health providers also collaborate in wider place-based partnerships, improving continuity of care and reducing repeated assessments.</w:t>
      </w:r>
    </w:p>
    <w:p w14:paraId="05711787"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However, barriers remain. Fragmented IT systems and data-sharing constraints can disrupt communication. Workforce shortages may limit multidisciplinary collaboration, while differing eligibility criteria between agencies can leave service users without adequate support. These challenges show that effective PW depends on sustained investment in communication, infrastructure and leadership, rather than structural changes alone.</w:t>
      </w:r>
    </w:p>
    <w:p w14:paraId="6E4E9FF5" w14:textId="77777777" w:rsidR="000815CA" w:rsidRPr="00072F3E" w:rsidRDefault="000815CA" w:rsidP="00072F3E">
      <w:pPr>
        <w:spacing w:line="360" w:lineRule="auto"/>
        <w:rPr>
          <w:rFonts w:asciiTheme="minorBidi" w:hAnsiTheme="minorBidi"/>
          <w:lang w:val="en-GB"/>
        </w:rPr>
      </w:pPr>
    </w:p>
    <w:p w14:paraId="3366625A"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Policy and Legislation Supporting PCC and Partnership Working</w:t>
      </w:r>
    </w:p>
    <w:p w14:paraId="1E12C0FB"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UK policy and legislation provide an essential framework for PCC and PW. The Health</w:t>
      </w:r>
      <w:r w:rsidRPr="000815CA">
        <w:rPr>
          <w:rFonts w:asciiTheme="minorBidi" w:hAnsiTheme="minorBidi"/>
          <w:b/>
          <w:bCs/>
          <w:lang w:val="en-GB"/>
        </w:rPr>
        <w:t xml:space="preserve"> </w:t>
      </w:r>
      <w:r w:rsidRPr="000815CA">
        <w:rPr>
          <w:rFonts w:asciiTheme="minorBidi" w:hAnsiTheme="minorBidi"/>
          <w:lang w:val="en-GB"/>
        </w:rPr>
        <w:t>and</w:t>
      </w:r>
      <w:r w:rsidRPr="000815CA">
        <w:rPr>
          <w:rFonts w:asciiTheme="minorBidi" w:hAnsiTheme="minorBidi"/>
          <w:b/>
          <w:bCs/>
          <w:lang w:val="en-GB"/>
        </w:rPr>
        <w:t xml:space="preserve"> </w:t>
      </w:r>
      <w:r w:rsidRPr="000815CA">
        <w:rPr>
          <w:rFonts w:asciiTheme="minorBidi" w:hAnsiTheme="minorBidi"/>
          <w:lang w:val="en-GB"/>
        </w:rPr>
        <w:t>Social</w:t>
      </w:r>
      <w:r w:rsidRPr="000815CA">
        <w:rPr>
          <w:rFonts w:asciiTheme="minorBidi" w:hAnsiTheme="minorBidi"/>
          <w:b/>
          <w:bCs/>
          <w:lang w:val="en-GB"/>
        </w:rPr>
        <w:t xml:space="preserve"> </w:t>
      </w:r>
      <w:r w:rsidRPr="000815CA">
        <w:rPr>
          <w:rFonts w:asciiTheme="minorBidi" w:hAnsiTheme="minorBidi"/>
          <w:lang w:val="en-GB"/>
        </w:rPr>
        <w:t>Care</w:t>
      </w:r>
      <w:r w:rsidRPr="000815CA">
        <w:rPr>
          <w:rFonts w:asciiTheme="minorBidi" w:hAnsiTheme="minorBidi"/>
          <w:b/>
          <w:bCs/>
          <w:lang w:val="en-GB"/>
        </w:rPr>
        <w:t xml:space="preserve"> </w:t>
      </w:r>
      <w:r w:rsidRPr="000815CA">
        <w:rPr>
          <w:rFonts w:asciiTheme="minorBidi" w:hAnsiTheme="minorBidi"/>
          <w:lang w:val="en-GB"/>
        </w:rPr>
        <w:t>Act</w:t>
      </w:r>
      <w:r w:rsidRPr="000815CA">
        <w:rPr>
          <w:rFonts w:asciiTheme="minorBidi" w:hAnsiTheme="minorBidi"/>
          <w:b/>
          <w:bCs/>
          <w:lang w:val="en-GB"/>
        </w:rPr>
        <w:t xml:space="preserve"> </w:t>
      </w:r>
      <w:r w:rsidRPr="000815CA">
        <w:rPr>
          <w:rFonts w:asciiTheme="minorBidi" w:hAnsiTheme="minorBidi"/>
          <w:lang w:val="en-GB"/>
        </w:rPr>
        <w:t xml:space="preserve">2012 strengthened patient involvement and choice, while the Care Act 2014 embedded well-being and person-centred assessment into adult social care, requiring local authorities to work in partnership with other agencies. The Human Rights </w:t>
      </w:r>
      <w:r w:rsidRPr="000815CA">
        <w:rPr>
          <w:rFonts w:asciiTheme="minorBidi" w:hAnsiTheme="minorBidi"/>
          <w:lang w:val="en-GB"/>
        </w:rPr>
        <w:lastRenderedPageBreak/>
        <w:t>Act 1998 and Equality Act 2010 underpin core PCC principles such as dignity, privacy, equality and non-discrimination.</w:t>
      </w:r>
    </w:p>
    <w:p w14:paraId="50822F4E"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More recently, the Health and Care Act 2022 established Integrated Care Systems (ICSs) as statutory bodies, placing duties on NHS and local authority partners to collaborate and reduce health inequalities. National guidance emphasises involving people and communities in designing and delivering services—an approach directly relevant to community mental health services.</w:t>
      </w:r>
    </w:p>
    <w:p w14:paraId="2D5DA02C"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These policies can support PCC and PW by promoting involvement, integration and equality, giving service users and carers a basis to challenge poor practice. However, policies can also hinder implementation. Target-driven cultures, high administrative demands and risk-averse practice may limit personalised care. Additionally, mental health legislation allowing compulsory treatment can conflict with PCC principles, requiring careful ethical and legal balancing.</w:t>
      </w:r>
    </w:p>
    <w:p w14:paraId="3A2723D9" w14:textId="77777777" w:rsidR="000815CA" w:rsidRPr="00072F3E" w:rsidRDefault="000815CA" w:rsidP="00072F3E">
      <w:pPr>
        <w:spacing w:line="360" w:lineRule="auto"/>
        <w:rPr>
          <w:rFonts w:asciiTheme="minorBidi" w:hAnsiTheme="minorBidi"/>
          <w:lang w:val="en-GB"/>
        </w:rPr>
      </w:pPr>
    </w:p>
    <w:p w14:paraId="6BA0F009"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Recommendations for Future Development in the UK</w:t>
      </w:r>
    </w:p>
    <w:p w14:paraId="18257518" w14:textId="77777777" w:rsidR="00D13000" w:rsidRPr="00072F3E" w:rsidRDefault="004343F1" w:rsidP="00072F3E">
      <w:pPr>
        <w:spacing w:line="360" w:lineRule="auto"/>
        <w:rPr>
          <w:rFonts w:asciiTheme="minorBidi" w:hAnsiTheme="minorBidi"/>
        </w:rPr>
      </w:pPr>
      <w:r w:rsidRPr="00072F3E">
        <w:rPr>
          <w:rFonts w:asciiTheme="minorBidi" w:hAnsiTheme="minorBidi"/>
        </w:rPr>
        <w:t>Based on this analysis, several recommendations can be made for strengthening PCC and PW in UK community mental health services:</w:t>
      </w:r>
      <w:r w:rsidRPr="00072F3E">
        <w:rPr>
          <w:rFonts w:asciiTheme="minorBidi" w:hAnsiTheme="minorBidi"/>
        </w:rPr>
        <w:br/>
        <w:t>• Invest in staff training and reflective practice: Ongoing education on PCC, shared decision-making, trauma-informed care and cultural competence should be embedded across disciplines. Supervision and reflective spaces can help staff navigate ethical dilemmas and sustain person-centred values under pressure.</w:t>
      </w:r>
      <w:r w:rsidRPr="00072F3E">
        <w:rPr>
          <w:rFonts w:asciiTheme="minorBidi" w:hAnsiTheme="minorBidi"/>
        </w:rPr>
        <w:br/>
        <w:t>• Enhance use of technology to support, not replace, relationships: Electronic records and digital tools can improve information sharing and self-management when designed with users, but must be inter</w:t>
      </w:r>
      <w:r w:rsidRPr="00072F3E">
        <w:rPr>
          <w:rFonts w:asciiTheme="minorBidi" w:hAnsiTheme="minorBidi"/>
        </w:rPr>
        <w:t>operable and accompanied by adequate training. Technology should be used to free up time for face-to-face work, not to intensify administrative burdens.</w:t>
      </w:r>
      <w:r w:rsidRPr="00072F3E">
        <w:rPr>
          <w:rFonts w:asciiTheme="minorBidi" w:hAnsiTheme="minorBidi"/>
        </w:rPr>
        <w:br/>
        <w:t>• Strengthen co-production and lived experience leadership: Service users and carers should be involved in governance, service design and evaluation at team, organisational and ICS levels. Peer support roles and lived experience practitioners can embed PCC and challenge power imbalances.</w:t>
      </w:r>
      <w:r w:rsidRPr="00072F3E">
        <w:rPr>
          <w:rFonts w:asciiTheme="minorBidi" w:hAnsiTheme="minorBidi"/>
        </w:rPr>
        <w:br/>
        <w:t>• Develop clearer shared outcomes across partners: PW is more effectiv</w:t>
      </w:r>
      <w:r w:rsidRPr="00072F3E">
        <w:rPr>
          <w:rFonts w:asciiTheme="minorBidi" w:hAnsiTheme="minorBidi"/>
        </w:rPr>
        <w:t xml:space="preserve">e when </w:t>
      </w:r>
      <w:r w:rsidRPr="00072F3E">
        <w:rPr>
          <w:rFonts w:asciiTheme="minorBidi" w:hAnsiTheme="minorBidi"/>
        </w:rPr>
        <w:lastRenderedPageBreak/>
        <w:t>organisations agree on shared, person-centred outcomes (such as quality of life, recovery and social participation) rather than narrow activity targets. ICSs can play a role in aligning incentives and performance measures.</w:t>
      </w:r>
      <w:r w:rsidRPr="00072F3E">
        <w:rPr>
          <w:rFonts w:asciiTheme="minorBidi" w:hAnsiTheme="minorBidi"/>
        </w:rPr>
        <w:br/>
        <w:t>• Address structural inequalities: PCC and PW must explicitly tackle social determinants of mental health and barriers faced by marginalised groups. This includes targeted outreach, culturally appropriate services and partnership with community organisations.</w:t>
      </w:r>
      <w:r w:rsidRPr="00072F3E">
        <w:rPr>
          <w:rFonts w:asciiTheme="minorBidi" w:hAnsiTheme="minorBidi"/>
        </w:rPr>
        <w:br/>
      </w:r>
      <w:r w:rsidRPr="00072F3E">
        <w:rPr>
          <w:rFonts w:asciiTheme="minorBidi" w:hAnsiTheme="minorBidi"/>
        </w:rPr>
        <w:br/>
        <w:t>Potential barriers to</w:t>
      </w:r>
      <w:r w:rsidRPr="00072F3E">
        <w:rPr>
          <w:rFonts w:asciiTheme="minorBidi" w:hAnsiTheme="minorBidi"/>
        </w:rPr>
        <w:t xml:space="preserve"> these recommendations include financial constraints, workforce shortages, digital exclusion and entrenched organisational cultures. Addressing these requires national investment, local leadership and sustained research into what works in different contexts.</w:t>
      </w:r>
    </w:p>
    <w:p w14:paraId="7009DBE1" w14:textId="77777777" w:rsidR="00D13000" w:rsidRPr="004343F1" w:rsidRDefault="004343F1" w:rsidP="00072F3E">
      <w:pPr>
        <w:spacing w:line="360" w:lineRule="auto"/>
        <w:rPr>
          <w:rFonts w:asciiTheme="minorBidi" w:hAnsiTheme="minorBidi"/>
          <w:b/>
          <w:bCs/>
        </w:rPr>
      </w:pPr>
      <w:r w:rsidRPr="004343F1">
        <w:rPr>
          <w:rFonts w:asciiTheme="minorBidi" w:hAnsiTheme="minorBidi"/>
          <w:b/>
          <w:bCs/>
        </w:rPr>
        <w:t>Conclusion</w:t>
      </w:r>
    </w:p>
    <w:p w14:paraId="1206BFE4" w14:textId="77777777" w:rsidR="00C15756" w:rsidRPr="00C15756" w:rsidRDefault="00C15756" w:rsidP="00072F3E">
      <w:pPr>
        <w:spacing w:line="360" w:lineRule="auto"/>
        <w:rPr>
          <w:rFonts w:asciiTheme="minorBidi" w:hAnsiTheme="minorBidi"/>
          <w:lang w:val="en-GB"/>
        </w:rPr>
      </w:pPr>
      <w:r w:rsidRPr="00C15756">
        <w:rPr>
          <w:rFonts w:asciiTheme="minorBidi" w:hAnsiTheme="minorBidi"/>
          <w:lang w:val="en-GB"/>
        </w:rPr>
        <w:t>This report has examined PCC and PW within UK health and social care, focusing on community mental health services. PCC—care tailored to a person’s needs, values and preferences—offers clear benefits such as improved satisfaction, engagement and outcomes, but its delivery is often limited by resource pressures, organisational culture and power imbalances. The Person-centred Nursing Framework reinforces the need for supportive environments, staff skills and effective processes to achieve truly person-centred practice.</w:t>
      </w:r>
    </w:p>
    <w:p w14:paraId="27FC4EA5" w14:textId="77777777" w:rsidR="00C15756" w:rsidRPr="00C15756" w:rsidRDefault="00C15756" w:rsidP="00072F3E">
      <w:pPr>
        <w:spacing w:line="360" w:lineRule="auto"/>
        <w:rPr>
          <w:rFonts w:asciiTheme="minorBidi" w:hAnsiTheme="minorBidi"/>
          <w:lang w:val="en-GB"/>
        </w:rPr>
      </w:pPr>
      <w:r w:rsidRPr="00C15756">
        <w:rPr>
          <w:rFonts w:asciiTheme="minorBidi" w:hAnsiTheme="minorBidi"/>
          <w:lang w:val="en-GB"/>
        </w:rPr>
        <w:t>Ethical principles such as autonomy, beneficence, non-maleficence and justice underpin both PCC and PW, though tensions frequently arise in mental health, particularly around capacity and safeguarding. PW through multidisciplinary teams and ICSs can strengthen holistic, coordinated support, but communication issues, governance complexity and unequal power dynamics remain barriers. UK policy broadly promotes PCC and PW, although some regulatory demands may hinder their implementation.</w:t>
      </w:r>
    </w:p>
    <w:p w14:paraId="1561C7FE" w14:textId="77777777" w:rsidR="00C15756" w:rsidRPr="00C15756" w:rsidRDefault="00C15756" w:rsidP="00072F3E">
      <w:pPr>
        <w:spacing w:line="360" w:lineRule="auto"/>
        <w:rPr>
          <w:rFonts w:asciiTheme="minorBidi" w:hAnsiTheme="minorBidi"/>
          <w:lang w:val="en-GB"/>
        </w:rPr>
      </w:pPr>
      <w:r w:rsidRPr="00C15756">
        <w:rPr>
          <w:rFonts w:asciiTheme="minorBidi" w:hAnsiTheme="minorBidi"/>
          <w:lang w:val="en-GB"/>
        </w:rPr>
        <w:t>Overall, PCC and PW are vital for delivering compassionate and effective community mental health care. Continued investment in workforce development, digital infrastructure, co-production and integrated working—alongside efforts to reduce inequalities—is essential to ensure these approaches are embedded consistently in everyday practice.</w:t>
      </w:r>
    </w:p>
    <w:p w14:paraId="24948EAA" w14:textId="77777777" w:rsidR="000815CA" w:rsidRPr="00072F3E" w:rsidRDefault="000815CA" w:rsidP="00072F3E">
      <w:pPr>
        <w:spacing w:line="360" w:lineRule="auto"/>
        <w:rPr>
          <w:rFonts w:asciiTheme="minorBidi" w:hAnsiTheme="minorBidi"/>
        </w:rPr>
      </w:pPr>
      <w:r w:rsidRPr="00072F3E">
        <w:rPr>
          <w:rFonts w:asciiTheme="minorBidi" w:hAnsiTheme="minorBidi"/>
        </w:rPr>
        <w:br w:type="page"/>
      </w:r>
    </w:p>
    <w:p w14:paraId="79B9E2C4" w14:textId="77777777" w:rsidR="000815CA" w:rsidRPr="000815CA" w:rsidRDefault="000815CA" w:rsidP="00072F3E">
      <w:pPr>
        <w:spacing w:line="360" w:lineRule="auto"/>
        <w:rPr>
          <w:rFonts w:asciiTheme="minorBidi" w:hAnsiTheme="minorBidi"/>
          <w:b/>
          <w:bCs/>
          <w:lang w:val="en-GB"/>
        </w:rPr>
      </w:pPr>
      <w:r w:rsidRPr="000815CA">
        <w:rPr>
          <w:rFonts w:asciiTheme="minorBidi" w:hAnsiTheme="minorBidi"/>
          <w:b/>
          <w:bCs/>
          <w:lang w:val="en-GB"/>
        </w:rPr>
        <w:lastRenderedPageBreak/>
        <w:t>Reference List (Harvard style)</w:t>
      </w:r>
    </w:p>
    <w:p w14:paraId="6B3D71AF"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Beauchamp, T.L. and Childress, J.F. (2019) </w:t>
      </w:r>
      <w:r w:rsidRPr="000815CA">
        <w:rPr>
          <w:rFonts w:asciiTheme="minorBidi" w:hAnsiTheme="minorBidi"/>
          <w:i/>
          <w:iCs/>
          <w:lang w:val="en-GB"/>
        </w:rPr>
        <w:t>Principles of Biomedical Ethics</w:t>
      </w:r>
      <w:r w:rsidRPr="000815CA">
        <w:rPr>
          <w:rFonts w:asciiTheme="minorBidi" w:hAnsiTheme="minorBidi"/>
          <w:lang w:val="en-GB"/>
        </w:rPr>
        <w:t xml:space="preserve">. 8th </w:t>
      </w:r>
      <w:proofErr w:type="spellStart"/>
      <w:r w:rsidRPr="000815CA">
        <w:rPr>
          <w:rFonts w:asciiTheme="minorBidi" w:hAnsiTheme="minorBidi"/>
          <w:lang w:val="en-GB"/>
        </w:rPr>
        <w:t>edn</w:t>
      </w:r>
      <w:proofErr w:type="spellEnd"/>
      <w:r w:rsidRPr="000815CA">
        <w:rPr>
          <w:rFonts w:asciiTheme="minorBidi" w:hAnsiTheme="minorBidi"/>
          <w:lang w:val="en-GB"/>
        </w:rPr>
        <w:t>. New York: Oxford University Press.</w:t>
      </w:r>
    </w:p>
    <w:p w14:paraId="2F3F49C6" w14:textId="5D5683AF"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Care Quality Commission (2024) ‘Integrated care systems’, </w:t>
      </w:r>
      <w:r w:rsidRPr="000815CA">
        <w:rPr>
          <w:rFonts w:asciiTheme="minorBidi" w:hAnsiTheme="minorBidi"/>
          <w:i/>
          <w:iCs/>
          <w:lang w:val="en-GB"/>
        </w:rPr>
        <w:t>State of Care 2023/24</w:t>
      </w:r>
      <w:r w:rsidRPr="000815CA">
        <w:rPr>
          <w:rFonts w:asciiTheme="minorBidi" w:hAnsiTheme="minorBidi"/>
          <w:lang w:val="en-GB"/>
        </w:rPr>
        <w:t>.</w:t>
      </w:r>
    </w:p>
    <w:p w14:paraId="29FE0CDE"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Department of Health and Social Care (2022) </w:t>
      </w:r>
      <w:r w:rsidRPr="000815CA">
        <w:rPr>
          <w:rFonts w:asciiTheme="minorBidi" w:hAnsiTheme="minorBidi"/>
          <w:i/>
          <w:iCs/>
          <w:lang w:val="en-GB"/>
        </w:rPr>
        <w:t>Health and Care Act 2022: Summary and impact assessment</w:t>
      </w:r>
      <w:r w:rsidRPr="000815CA">
        <w:rPr>
          <w:rFonts w:asciiTheme="minorBidi" w:hAnsiTheme="minorBidi"/>
          <w:lang w:val="en-GB"/>
        </w:rPr>
        <w:t>. London: DHSC.</w:t>
      </w:r>
    </w:p>
    <w:p w14:paraId="1240759F"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Health Foundation (2014) </w:t>
      </w:r>
      <w:r w:rsidRPr="000815CA">
        <w:rPr>
          <w:rFonts w:asciiTheme="minorBidi" w:hAnsiTheme="minorBidi"/>
          <w:i/>
          <w:iCs/>
          <w:lang w:val="en-GB"/>
        </w:rPr>
        <w:t>Person-centred care made simple: What everyone should know about person-centred care</w:t>
      </w:r>
      <w:r w:rsidRPr="000815CA">
        <w:rPr>
          <w:rFonts w:asciiTheme="minorBidi" w:hAnsiTheme="minorBidi"/>
          <w:lang w:val="en-GB"/>
        </w:rPr>
        <w:t>. London: The Health Foundation.</w:t>
      </w:r>
    </w:p>
    <w:p w14:paraId="4DED077D"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Health Innovation Network South London (2016) </w:t>
      </w:r>
      <w:r w:rsidRPr="000815CA">
        <w:rPr>
          <w:rFonts w:asciiTheme="minorBidi" w:hAnsiTheme="minorBidi"/>
          <w:i/>
          <w:iCs/>
          <w:lang w:val="en-GB"/>
        </w:rPr>
        <w:t>What is person-centred care and why is it important?</w:t>
      </w:r>
      <w:r w:rsidRPr="000815CA">
        <w:rPr>
          <w:rFonts w:asciiTheme="minorBidi" w:hAnsiTheme="minorBidi"/>
          <w:lang w:val="en-GB"/>
        </w:rPr>
        <w:t xml:space="preserve"> London: HIN South London.</w:t>
      </w:r>
    </w:p>
    <w:p w14:paraId="19451F21"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McCormack, B. and McCance, T. (2017) </w:t>
      </w:r>
      <w:r w:rsidRPr="000815CA">
        <w:rPr>
          <w:rFonts w:asciiTheme="minorBidi" w:hAnsiTheme="minorBidi"/>
          <w:i/>
          <w:iCs/>
          <w:lang w:val="en-GB"/>
        </w:rPr>
        <w:t>Person-Centred Practice in Nursing and Health Care: Theory and Practice</w:t>
      </w:r>
      <w:r w:rsidRPr="000815CA">
        <w:rPr>
          <w:rFonts w:asciiTheme="minorBidi" w:hAnsiTheme="minorBidi"/>
          <w:lang w:val="en-GB"/>
        </w:rPr>
        <w:t xml:space="preserve">. 2nd </w:t>
      </w:r>
      <w:proofErr w:type="spellStart"/>
      <w:r w:rsidRPr="000815CA">
        <w:rPr>
          <w:rFonts w:asciiTheme="minorBidi" w:hAnsiTheme="minorBidi"/>
          <w:lang w:val="en-GB"/>
        </w:rPr>
        <w:t>edn</w:t>
      </w:r>
      <w:proofErr w:type="spellEnd"/>
      <w:r w:rsidRPr="000815CA">
        <w:rPr>
          <w:rFonts w:asciiTheme="minorBidi" w:hAnsiTheme="minorBidi"/>
          <w:lang w:val="en-GB"/>
        </w:rPr>
        <w:t>. Chichester: Wiley-Blackwell.</w:t>
      </w:r>
    </w:p>
    <w:p w14:paraId="0BC7EADE" w14:textId="33EA412A"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NHS Education for Scotland (NES) (2025) </w:t>
      </w:r>
      <w:r w:rsidRPr="000815CA">
        <w:rPr>
          <w:rFonts w:asciiTheme="minorBidi" w:hAnsiTheme="minorBidi"/>
          <w:i/>
          <w:iCs/>
          <w:lang w:val="en-GB"/>
        </w:rPr>
        <w:t>Person-centred care</w:t>
      </w:r>
      <w:r w:rsidRPr="000815CA">
        <w:rPr>
          <w:rFonts w:asciiTheme="minorBidi" w:hAnsiTheme="minorBidi"/>
          <w:lang w:val="en-GB"/>
        </w:rPr>
        <w:t xml:space="preserve">. Available at: </w:t>
      </w:r>
      <w:hyperlink r:id="rId8" w:tgtFrame="_blank" w:history="1">
        <w:r w:rsidRPr="000815CA">
          <w:rPr>
            <w:rStyle w:val="Hyperlink"/>
            <w:rFonts w:asciiTheme="minorBidi" w:hAnsiTheme="minorBidi"/>
            <w:lang w:val="en-GB"/>
          </w:rPr>
          <w:t>NHS Education for Scotland</w:t>
        </w:r>
      </w:hyperlink>
      <w:r w:rsidR="00C15756" w:rsidRPr="00072F3E">
        <w:rPr>
          <w:rFonts w:asciiTheme="minorBidi" w:hAnsiTheme="minorBidi"/>
        </w:rPr>
        <w:t xml:space="preserve"> </w:t>
      </w:r>
      <w:r w:rsidR="00C15756" w:rsidRPr="000815CA">
        <w:rPr>
          <w:rFonts w:asciiTheme="minorBidi" w:hAnsiTheme="minorBidi"/>
          <w:lang w:val="en-GB"/>
        </w:rPr>
        <w:t>accessed</w:t>
      </w:r>
      <w:r w:rsidR="00C15756" w:rsidRPr="00072F3E">
        <w:rPr>
          <w:rFonts w:asciiTheme="minorBidi" w:hAnsiTheme="minorBidi"/>
          <w:lang w:val="en-GB"/>
        </w:rPr>
        <w:t xml:space="preserve"> November 9, 2025</w:t>
      </w:r>
    </w:p>
    <w:p w14:paraId="0F89EAC4" w14:textId="1EBCC55A"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NHS England (2024) </w:t>
      </w:r>
      <w:r w:rsidRPr="000815CA">
        <w:rPr>
          <w:rFonts w:asciiTheme="minorBidi" w:hAnsiTheme="minorBidi"/>
          <w:i/>
          <w:iCs/>
          <w:lang w:val="en-GB"/>
        </w:rPr>
        <w:t>What are integrated care systems?</w:t>
      </w:r>
      <w:r w:rsidRPr="000815CA">
        <w:rPr>
          <w:rFonts w:asciiTheme="minorBidi" w:hAnsiTheme="minorBidi"/>
          <w:lang w:val="en-GB"/>
        </w:rPr>
        <w:t xml:space="preserve"> Available at:  </w:t>
      </w:r>
      <w:hyperlink r:id="rId9" w:tgtFrame="_blank" w:history="1">
        <w:r w:rsidRPr="000815CA">
          <w:rPr>
            <w:rStyle w:val="Hyperlink"/>
            <w:rFonts w:asciiTheme="minorBidi" w:hAnsiTheme="minorBidi"/>
            <w:lang w:val="en-GB"/>
          </w:rPr>
          <w:t>NHS England+1</w:t>
        </w:r>
      </w:hyperlink>
      <w:r w:rsidR="00C15756" w:rsidRPr="00072F3E">
        <w:rPr>
          <w:rFonts w:asciiTheme="minorBidi" w:hAnsiTheme="minorBidi"/>
        </w:rPr>
        <w:t xml:space="preserve"> accessed on November 9, 2025</w:t>
      </w:r>
    </w:p>
    <w:p w14:paraId="390029CF" w14:textId="77777777" w:rsidR="000815CA" w:rsidRPr="000815CA" w:rsidRDefault="000815CA" w:rsidP="00072F3E">
      <w:pPr>
        <w:spacing w:line="360" w:lineRule="auto"/>
        <w:rPr>
          <w:rFonts w:asciiTheme="minorBidi" w:hAnsiTheme="minorBidi"/>
          <w:lang w:val="en-GB"/>
        </w:rPr>
      </w:pPr>
      <w:r w:rsidRPr="000815CA">
        <w:rPr>
          <w:rFonts w:asciiTheme="minorBidi" w:hAnsiTheme="minorBidi"/>
          <w:lang w:val="en-GB"/>
        </w:rPr>
        <w:t xml:space="preserve">The King’s Fund (2022) </w:t>
      </w:r>
      <w:r w:rsidRPr="000815CA">
        <w:rPr>
          <w:rFonts w:asciiTheme="minorBidi" w:hAnsiTheme="minorBidi"/>
          <w:i/>
          <w:iCs/>
          <w:lang w:val="en-GB"/>
        </w:rPr>
        <w:t>Integrated care systems explained: Making sense of systems, places and neighbourhoods</w:t>
      </w:r>
      <w:r w:rsidRPr="000815CA">
        <w:rPr>
          <w:rFonts w:asciiTheme="minorBidi" w:hAnsiTheme="minorBidi"/>
          <w:lang w:val="en-GB"/>
        </w:rPr>
        <w:t xml:space="preserve">. London: The King’s Fund. </w:t>
      </w:r>
      <w:hyperlink r:id="rId10" w:tgtFrame="_blank" w:history="1">
        <w:r w:rsidRPr="000815CA">
          <w:rPr>
            <w:rStyle w:val="Hyperlink"/>
            <w:rFonts w:asciiTheme="minorBidi" w:hAnsiTheme="minorBidi"/>
            <w:lang w:val="en-GB"/>
          </w:rPr>
          <w:t>The King's Fund+1</w:t>
        </w:r>
      </w:hyperlink>
    </w:p>
    <w:p w14:paraId="50A3E106" w14:textId="4F4847F6" w:rsidR="00D13000" w:rsidRPr="00072F3E" w:rsidRDefault="000815CA" w:rsidP="00072F3E">
      <w:pPr>
        <w:spacing w:line="360" w:lineRule="auto"/>
        <w:rPr>
          <w:rFonts w:asciiTheme="minorBidi" w:hAnsiTheme="minorBidi"/>
          <w:lang w:val="en-GB"/>
        </w:rPr>
      </w:pPr>
      <w:r w:rsidRPr="000815CA">
        <w:rPr>
          <w:rFonts w:asciiTheme="minorBidi" w:hAnsiTheme="minorBidi"/>
          <w:lang w:val="en-GB"/>
        </w:rPr>
        <w:t xml:space="preserve">UK Government (2024) </w:t>
      </w:r>
      <w:r w:rsidRPr="000815CA">
        <w:rPr>
          <w:rFonts w:asciiTheme="minorBidi" w:hAnsiTheme="minorBidi"/>
          <w:i/>
          <w:iCs/>
          <w:lang w:val="en-GB"/>
        </w:rPr>
        <w:t>Guidance on the preparation of integrated care strategies</w:t>
      </w:r>
      <w:r w:rsidRPr="000815CA">
        <w:rPr>
          <w:rFonts w:asciiTheme="minorBidi" w:hAnsiTheme="minorBidi"/>
          <w:lang w:val="en-GB"/>
        </w:rPr>
        <w:t xml:space="preserve">. London: Department of Health and Social Care. </w:t>
      </w:r>
      <w:hyperlink r:id="rId11" w:tgtFrame="_blank" w:history="1">
        <w:r w:rsidRPr="000815CA">
          <w:rPr>
            <w:rStyle w:val="Hyperlink"/>
            <w:rFonts w:asciiTheme="minorBidi" w:hAnsiTheme="minorBidi"/>
            <w:lang w:val="en-GB"/>
          </w:rPr>
          <w:t>GOV.UK+1</w:t>
        </w:r>
      </w:hyperlink>
    </w:p>
    <w:sectPr w:rsidR="00D13000" w:rsidRPr="00072F3E" w:rsidSect="00034616">
      <w:headerReference w:type="default" r:id="rId12"/>
      <w:footerReference w:type="default" r:id="rId1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36BAB" w14:textId="77777777" w:rsidR="004343F1" w:rsidRDefault="004343F1" w:rsidP="004343F1">
      <w:pPr>
        <w:spacing w:after="0" w:line="240" w:lineRule="auto"/>
      </w:pPr>
      <w:r>
        <w:separator/>
      </w:r>
    </w:p>
  </w:endnote>
  <w:endnote w:type="continuationSeparator" w:id="0">
    <w:p w14:paraId="6286691D" w14:textId="77777777" w:rsidR="004343F1" w:rsidRDefault="004343F1" w:rsidP="00434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0757477"/>
      <w:docPartObj>
        <w:docPartGallery w:val="Page Numbers (Bottom of Page)"/>
        <w:docPartUnique/>
      </w:docPartObj>
    </w:sdtPr>
    <w:sdtEndPr>
      <w:rPr>
        <w:noProof/>
      </w:rPr>
    </w:sdtEndPr>
    <w:sdtContent>
      <w:p w14:paraId="021FA16E" w14:textId="635AFFC0" w:rsidR="004343F1" w:rsidRDefault="004343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35352" w14:textId="77777777" w:rsidR="004343F1" w:rsidRDefault="00434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61ECA" w14:textId="77777777" w:rsidR="004343F1" w:rsidRDefault="004343F1" w:rsidP="004343F1">
      <w:pPr>
        <w:spacing w:after="0" w:line="240" w:lineRule="auto"/>
      </w:pPr>
      <w:r>
        <w:separator/>
      </w:r>
    </w:p>
  </w:footnote>
  <w:footnote w:type="continuationSeparator" w:id="0">
    <w:p w14:paraId="13CEDCEB" w14:textId="77777777" w:rsidR="004343F1" w:rsidRDefault="004343F1" w:rsidP="004343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F06F99" w14:textId="276F593E" w:rsidR="004343F1" w:rsidRDefault="004343F1">
    <w:pPr>
      <w:pStyle w:val="Header"/>
    </w:pPr>
    <w:r>
      <w:t>ZAMZAM ABDALLAH 2408411</w:t>
    </w:r>
  </w:p>
  <w:p w14:paraId="4C244787" w14:textId="2B32EBD0" w:rsidR="004343F1" w:rsidRDefault="004343F1">
    <w:pPr>
      <w:pStyle w:val="Header"/>
    </w:pPr>
    <w:r>
      <w:t>COMPONENT 2</w:t>
    </w:r>
  </w:p>
  <w:p w14:paraId="0857294B" w14:textId="77777777" w:rsidR="004343F1" w:rsidRDefault="004343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30304586">
    <w:abstractNumId w:val="8"/>
  </w:num>
  <w:num w:numId="2" w16cid:durableId="1610118067">
    <w:abstractNumId w:val="6"/>
  </w:num>
  <w:num w:numId="3" w16cid:durableId="1492597386">
    <w:abstractNumId w:val="5"/>
  </w:num>
  <w:num w:numId="4" w16cid:durableId="446706325">
    <w:abstractNumId w:val="4"/>
  </w:num>
  <w:num w:numId="5" w16cid:durableId="1218278753">
    <w:abstractNumId w:val="7"/>
  </w:num>
  <w:num w:numId="6" w16cid:durableId="1495490525">
    <w:abstractNumId w:val="3"/>
  </w:num>
  <w:num w:numId="7" w16cid:durableId="1974365623">
    <w:abstractNumId w:val="2"/>
  </w:num>
  <w:num w:numId="8" w16cid:durableId="458259799">
    <w:abstractNumId w:val="1"/>
  </w:num>
  <w:num w:numId="9" w16cid:durableId="1961102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2F3E"/>
    <w:rsid w:val="000815CA"/>
    <w:rsid w:val="000E099A"/>
    <w:rsid w:val="0015074B"/>
    <w:rsid w:val="0029639D"/>
    <w:rsid w:val="00326F90"/>
    <w:rsid w:val="004343F1"/>
    <w:rsid w:val="00AA1D8D"/>
    <w:rsid w:val="00B47730"/>
    <w:rsid w:val="00C15756"/>
    <w:rsid w:val="00CB0664"/>
    <w:rsid w:val="00D1300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FF7E5C"/>
  <w14:defaultImageDpi w14:val="300"/>
  <w15:docId w15:val="{C39655BF-6642-4318-8522-5CF6CBD7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815CA"/>
    <w:rPr>
      <w:color w:val="0000FF" w:themeColor="hyperlink"/>
      <w:u w:val="single"/>
    </w:rPr>
  </w:style>
  <w:style w:type="character" w:styleId="UnresolvedMention">
    <w:name w:val="Unresolved Mention"/>
    <w:basedOn w:val="DefaultParagraphFont"/>
    <w:uiPriority w:val="99"/>
    <w:semiHidden/>
    <w:unhideWhenUsed/>
    <w:rsid w:val="00081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s.scot.nhs.uk/our-work/person-centred-care/?utm_source=chatgpt.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guidance-on-the-preparation-of-integrated-care-strategies/guidance-on-the-preparation-of-integrated-care-strategies?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kingsfund.org.uk/insight-and-analysis/long-reads/integrated-care-systems-explained?utm_source=chatgpt.com" TargetMode="External"/><Relationship Id="rId4" Type="http://schemas.openxmlformats.org/officeDocument/2006/relationships/settings" Target="settings.xml"/><Relationship Id="rId9" Type="http://schemas.openxmlformats.org/officeDocument/2006/relationships/hyperlink" Target="https://www.england.nhs.uk/integratedcare/what-is-integrated-care/?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2377</Words>
  <Characters>15076</Characters>
  <Application>Microsoft Office Word</Application>
  <DocSecurity>0</DocSecurity>
  <Lines>231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17433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Zamzam Wafiq Abdel Latif Abdallah (2408411)</cp:lastModifiedBy>
  <cp:revision>2</cp:revision>
  <dcterms:created xsi:type="dcterms:W3CDTF">2025-11-16T23:45:00Z</dcterms:created>
  <dcterms:modified xsi:type="dcterms:W3CDTF">2025-11-16T23:45:00Z</dcterms:modified>
  <cp:category/>
</cp:coreProperties>
</file>