
<file path=[Content_Types].xml><?xml version="1.0" encoding="utf-8"?>
<Types xmlns="http://schemas.openxmlformats.org/package/2006/content-types">
  <Default ContentType="image/png" Extension="png"/>
  <Default ContentType="image/jpeg" Extension="jpeg"/>
  <Default ContentType="image/jpeg" Extension="jpg"/>
  <Default ContentType="image/bmp" Extension="bmp"/>
  <Default ContentType="image/gif" Extension="gif"/>
  <Default ContentType="image/svg+xml" Extension="svg"/>
  <Default ContentType="application/vnd.openxmlformats-package.relationships+xml" Extension="rels"/>
  <Default ContentType="application/xml" Extension="xml"/>
  <Default ContentType="application/vnd.openxmlformats-officedocument.obfuscatedFont" Extension="odttf"/>
  <Override ContentType="application/vnd.openxmlformats-officedocument.wordprocessingml.document.main+xml" PartName="/word/document.xml"/>
  <Override ContentType="application/vnd.openxmlformats-officedocument.wordprocessingml.styles+xml" PartName="/word/styles.xml"/>
  <Override ContentType="application/vnd.openxmlformats-package.core-properties+xml" PartName="/docProps/core.xml"/>
  <Override ContentType="application/vnd.openxmlformats-officedocument.custom-properties+xml" PartName="/docProps/custom.xml"/>
  <Override ContentType="application/vnd.openxmlformats-officedocument.extended-properties+xml" PartName="/docProps/app.xml"/>
  <Override ContentType="application/vnd.openxmlformats-officedocument.wordprocessingml.numbering+xml" PartName="/word/numbering.xml"/>
  <Override ContentType="application/vnd.openxmlformats-officedocument.wordprocessingml.footnotes+xml" PartName="/word/footnotes.xml"/>
  <Override ContentType="application/vnd.openxmlformats-officedocument.wordprocessingml.endnotes+xml" PartName="/word/endnotes.xml"/>
  <Override ContentType="application/vnd.openxmlformats-officedocument.wordprocessingml.settings+xml" PartName="/word/settings.xml"/>
  <Override ContentType="application/vnd.openxmlformats-officedocument.wordprocessingml.comments+xml" PartName="/word/comments.xml"/>
  <Override ContentType="application/vnd.openxmlformats-officedocument.wordprocessingml.fontTable+xml" PartName="/word/fontTable.xml"/>
  <Override ContentType="application/vnd.openxmlformats-officedocument.wordprocessingml.footer+xml" PartName="/word/footer1.xml"/>
</Types>
</file>

<file path=_rels/.rels><?xml version="1.0" encoding="UTF-8"?><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p14">
  <w:body>
    <w:p>
      <w:pPr>
        <w:spacing w:after="40"/>
      </w:pPr>
      <w:r>
        <w:rPr>
          <w:rFonts w:ascii="Arial" w:cs="Arial" w:eastAsia="Arial" w:hAnsi="Arial"/>
          <w:b/>
          <w:bCs/>
          <w:color w:val="1F3864"/>
          <w:sz w:val="36"/>
          <w:szCs w:val="36"/>
        </w:rPr>
        <w:t xml:space="preserve">InterContinental Hotels Group PLC</w:t>
      </w:r>
    </w:p>
    <w:p>
      <w:pPr>
        <w:spacing w:after="40"/>
      </w:pPr>
      <w:r>
        <w:rPr>
          <w:rFonts w:ascii="Arial" w:cs="Arial" w:eastAsia="Arial" w:hAnsi="Arial"/>
          <w:color w:val="444444"/>
          <w:sz w:val="26"/>
          <w:szCs w:val="26"/>
        </w:rPr>
        <w:t xml:space="preserve">Key Financial Ratios — Investment &amp; Cash Flow Analysis</w:t>
      </w:r>
    </w:p>
    <w:p>
      <w:pPr>
        <w:spacing w:after="300"/>
      </w:pPr>
      <w:r>
        <w:rPr>
          <w:rFonts w:ascii="Arial" w:cs="Arial" w:eastAsia="Arial" w:hAnsi="Arial"/>
          <w:i/>
          <w:iCs/>
          <w:color w:val="595959"/>
          <w:sz w:val="19"/>
          <w:szCs w:val="19"/>
        </w:rPr>
        <w:t xml:space="preserve">5-Year Summary, FY2020–FY2024 ($ millions basis, except per-share and ratio figures)</w:t>
      </w:r>
    </w:p>
    <w:p>
      <w:pPr>
        <w:pStyle w:val="Heading1"/>
        <w:pBdr>
          <w:bottom w:val="single" w:color="1F3864" w:sz="6" w:space="4"/>
        </w:pBdr>
        <w:spacing w:after="150" w:before="300"/>
      </w:pPr>
      <w:r>
        <w:rPr>
          <w:rFonts w:ascii="Arial" w:cs="Arial" w:eastAsia="Arial" w:hAnsi="Arial"/>
          <w:b/>
          <w:bCs/>
          <w:color w:val="1F3864"/>
          <w:sz w:val="28"/>
          <w:szCs w:val="28"/>
        </w:rPr>
        <w:t xml:space="preserve">Investment Ratios</w:t>
      </w:r>
    </w:p>
    <w:tbl>
      <w:tblPr>
        <w:tblW w:type="dxa" w:w="10800"/>
        <w:tblBorders>
          <w:top w:val="single" w:color="auto" w:sz="4"/>
          <w:left w:val="single" w:color="auto" w:sz="4"/>
          <w:bottom w:val="single" w:color="auto" w:sz="4"/>
          <w:right w:val="single" w:color="auto" w:sz="4"/>
          <w:insideH w:val="single" w:color="auto" w:sz="4"/>
          <w:insideV w:val="single" w:color="auto" w:sz="4"/>
        </w:tblBorders>
      </w:tblPr>
      <w:tblGrid>
        <w:gridCol w:w="3200"/>
        <w:gridCol w:w="1520"/>
        <w:gridCol w:w="1520"/>
        <w:gridCol w:w="1520"/>
        <w:gridCol w:w="1520"/>
        <w:gridCol w:w="1520"/>
      </w:tblGrid>
      <w:tr>
        <w:trPr>
          <w:tblHeader/>
        </w:trPr>
        <w:tc>
          <w:tcPr>
            <w:tcW w:type="dxa" w:w="3200"/>
            <w:shd w:fill="1F3864" w:val="clear"/>
            <w:tcMar>
              <w:top w:type="dxa" w:w="80"/>
              <w:left w:type="dxa" w:w="100"/>
              <w:bottom w:type="dxa" w:w="80"/>
              <w:right w:type="dxa" w:w="100"/>
            </w:tcMar>
            <w:vAlign w:val="center"/>
          </w:tcPr>
          <w:p>
            <w:pPr>
              <w:jc w:val="center"/>
            </w:pPr>
            <w:r>
              <w:rPr>
                <w:rFonts w:ascii="Arial" w:cs="Arial" w:eastAsia="Arial" w:hAnsi="Arial"/>
                <w:b/>
                <w:bCs/>
                <w:color w:val="FFFFFF"/>
                <w:sz w:val="19"/>
                <w:szCs w:val="19"/>
              </w:rPr>
              <w:t xml:space="preserve">Ratio</w:t>
            </w:r>
          </w:p>
        </w:tc>
        <w:tc>
          <w:tcPr>
            <w:tcW w:type="dxa" w:w="1520"/>
            <w:shd w:fill="1F3864" w:val="clear"/>
            <w:tcMar>
              <w:top w:type="dxa" w:w="80"/>
              <w:left w:type="dxa" w:w="100"/>
              <w:bottom w:type="dxa" w:w="80"/>
              <w:right w:type="dxa" w:w="100"/>
            </w:tcMar>
            <w:vAlign w:val="center"/>
          </w:tcPr>
          <w:p>
            <w:pPr>
              <w:jc w:val="center"/>
            </w:pPr>
            <w:r>
              <w:rPr>
                <w:rFonts w:ascii="Arial" w:cs="Arial" w:eastAsia="Arial" w:hAnsi="Arial"/>
                <w:b/>
                <w:bCs/>
                <w:color w:val="FFFFFF"/>
                <w:sz w:val="19"/>
                <w:szCs w:val="19"/>
              </w:rPr>
              <w:t xml:space="preserve">2020</w:t>
            </w:r>
          </w:p>
        </w:tc>
        <w:tc>
          <w:tcPr>
            <w:tcW w:type="dxa" w:w="1520"/>
            <w:shd w:fill="1F3864" w:val="clear"/>
            <w:tcMar>
              <w:top w:type="dxa" w:w="80"/>
              <w:left w:type="dxa" w:w="100"/>
              <w:bottom w:type="dxa" w:w="80"/>
              <w:right w:type="dxa" w:w="100"/>
            </w:tcMar>
            <w:vAlign w:val="center"/>
          </w:tcPr>
          <w:p>
            <w:pPr>
              <w:jc w:val="center"/>
            </w:pPr>
            <w:r>
              <w:rPr>
                <w:rFonts w:ascii="Arial" w:cs="Arial" w:eastAsia="Arial" w:hAnsi="Arial"/>
                <w:b/>
                <w:bCs/>
                <w:color w:val="FFFFFF"/>
                <w:sz w:val="19"/>
                <w:szCs w:val="19"/>
              </w:rPr>
              <w:t xml:space="preserve">2021</w:t>
            </w:r>
          </w:p>
        </w:tc>
        <w:tc>
          <w:tcPr>
            <w:tcW w:type="dxa" w:w="1520"/>
            <w:shd w:fill="1F3864" w:val="clear"/>
            <w:tcMar>
              <w:top w:type="dxa" w:w="80"/>
              <w:left w:type="dxa" w:w="100"/>
              <w:bottom w:type="dxa" w:w="80"/>
              <w:right w:type="dxa" w:w="100"/>
            </w:tcMar>
            <w:vAlign w:val="center"/>
          </w:tcPr>
          <w:p>
            <w:pPr>
              <w:jc w:val="center"/>
            </w:pPr>
            <w:r>
              <w:rPr>
                <w:rFonts w:ascii="Arial" w:cs="Arial" w:eastAsia="Arial" w:hAnsi="Arial"/>
                <w:b/>
                <w:bCs/>
                <w:color w:val="FFFFFF"/>
                <w:sz w:val="19"/>
                <w:szCs w:val="19"/>
              </w:rPr>
              <w:t xml:space="preserve">2022</w:t>
            </w:r>
          </w:p>
        </w:tc>
        <w:tc>
          <w:tcPr>
            <w:tcW w:type="dxa" w:w="1520"/>
            <w:shd w:fill="1F3864" w:val="clear"/>
            <w:tcMar>
              <w:top w:type="dxa" w:w="80"/>
              <w:left w:type="dxa" w:w="100"/>
              <w:bottom w:type="dxa" w:w="80"/>
              <w:right w:type="dxa" w:w="100"/>
            </w:tcMar>
            <w:vAlign w:val="center"/>
          </w:tcPr>
          <w:p>
            <w:pPr>
              <w:jc w:val="center"/>
            </w:pPr>
            <w:r>
              <w:rPr>
                <w:rFonts w:ascii="Arial" w:cs="Arial" w:eastAsia="Arial" w:hAnsi="Arial"/>
                <w:b/>
                <w:bCs/>
                <w:color w:val="FFFFFF"/>
                <w:sz w:val="19"/>
                <w:szCs w:val="19"/>
              </w:rPr>
              <w:t xml:space="preserve">2023</w:t>
            </w:r>
          </w:p>
        </w:tc>
        <w:tc>
          <w:tcPr>
            <w:tcW w:type="dxa" w:w="1520"/>
            <w:shd w:fill="1F3864" w:val="clear"/>
            <w:tcMar>
              <w:top w:type="dxa" w:w="80"/>
              <w:left w:type="dxa" w:w="100"/>
              <w:bottom w:type="dxa" w:w="80"/>
              <w:right w:type="dxa" w:w="100"/>
            </w:tcMar>
            <w:vAlign w:val="center"/>
          </w:tcPr>
          <w:p>
            <w:pPr>
              <w:jc w:val="center"/>
            </w:pPr>
            <w:r>
              <w:rPr>
                <w:rFonts w:ascii="Arial" w:cs="Arial" w:eastAsia="Arial" w:hAnsi="Arial"/>
                <w:b/>
                <w:bCs/>
                <w:color w:val="FFFFFF"/>
                <w:sz w:val="19"/>
                <w:szCs w:val="19"/>
              </w:rPr>
              <w:t xml:space="preserve">2024</w:t>
            </w:r>
          </w:p>
        </w:tc>
      </w:tr>
      <w:tr>
        <w:tc>
          <w:tcPr>
            <w:tcW w:type="dxa" w:w="3200"/>
            <w:tcMar>
              <w:top w:type="dxa" w:w="70"/>
              <w:left w:type="dxa" w:w="100"/>
              <w:bottom w:type="dxa" w:w="70"/>
              <w:right w:type="dxa" w:w="100"/>
            </w:tcMar>
            <w:vAlign w:val="center"/>
          </w:tcPr>
          <w:p>
            <w:r>
              <w:rPr>
                <w:rFonts w:ascii="Arial" w:cs="Arial" w:eastAsia="Arial" w:hAnsi="Arial"/>
                <w:b/>
                <w:bCs/>
                <w:color w:val="111111"/>
                <w:sz w:val="19"/>
                <w:szCs w:val="19"/>
              </w:rPr>
              <w:t xml:space="preserve">Return on Equity (ROE)</w:t>
            </w:r>
          </w:p>
        </w:tc>
        <w:tc>
          <w:tcPr>
            <w:tcW w:type="dxa" w:w="1520"/>
            <w:tcMar>
              <w:top w:type="dxa" w:w="70"/>
              <w:left w:type="dxa" w:w="100"/>
              <w:bottom w:type="dxa" w:w="70"/>
              <w:right w:type="dxa" w:w="100"/>
            </w:tcMar>
            <w:vAlign w:val="center"/>
          </w:tcPr>
          <w:p>
            <w:pPr>
              <w:jc w:val="center"/>
            </w:pPr>
            <w:r>
              <w:rPr>
                <w:rFonts w:ascii="Arial" w:cs="Arial" w:eastAsia="Arial" w:hAnsi="Arial"/>
                <w:color w:val="217346"/>
                <w:sz w:val="19"/>
                <w:szCs w:val="19"/>
              </w:rPr>
              <w:t xml:space="preserve">14.1%*</w:t>
            </w:r>
          </w:p>
        </w:tc>
        <w:tc>
          <w:tcPr>
            <w:tcW w:type="dxa" w:w="1520"/>
            <w:tcMar>
              <w:top w:type="dxa" w:w="70"/>
              <w:left w:type="dxa" w:w="100"/>
              <w:bottom w:type="dxa" w:w="70"/>
              <w:right w:type="dxa" w:w="100"/>
            </w:tcMar>
            <w:vAlign w:val="center"/>
          </w:tcPr>
          <w:p>
            <w:pPr>
              <w:jc w:val="center"/>
            </w:pPr>
            <w:r>
              <w:rPr>
                <w:rFonts w:ascii="Arial" w:cs="Arial" w:eastAsia="Arial" w:hAnsi="Arial"/>
                <w:color w:val="217346"/>
                <w:sz w:val="19"/>
                <w:szCs w:val="19"/>
              </w:rPr>
              <w:t xml:space="preserve">-18.0%</w:t>
            </w:r>
          </w:p>
        </w:tc>
        <w:tc>
          <w:tcPr>
            <w:tcW w:type="dxa" w:w="1520"/>
            <w:tcMar>
              <w:top w:type="dxa" w:w="70"/>
              <w:left w:type="dxa" w:w="100"/>
              <w:bottom w:type="dxa" w:w="70"/>
              <w:right w:type="dxa" w:w="100"/>
            </w:tcMar>
            <w:vAlign w:val="center"/>
          </w:tcPr>
          <w:p>
            <w:pPr>
              <w:jc w:val="center"/>
            </w:pPr>
            <w:r>
              <w:rPr>
                <w:rFonts w:ascii="Arial" w:cs="Arial" w:eastAsia="Arial" w:hAnsi="Arial"/>
                <w:color w:val="217346"/>
                <w:sz w:val="19"/>
                <w:szCs w:val="19"/>
              </w:rPr>
              <w:t xml:space="preserve">-23.4%</w:t>
            </w:r>
          </w:p>
        </w:tc>
        <w:tc>
          <w:tcPr>
            <w:tcW w:type="dxa" w:w="1520"/>
            <w:tcMar>
              <w:top w:type="dxa" w:w="70"/>
              <w:left w:type="dxa" w:w="100"/>
              <w:bottom w:type="dxa" w:w="70"/>
              <w:right w:type="dxa" w:w="100"/>
            </w:tcMar>
            <w:vAlign w:val="center"/>
          </w:tcPr>
          <w:p>
            <w:pPr>
              <w:jc w:val="center"/>
            </w:pPr>
            <w:r>
              <w:rPr>
                <w:rFonts w:ascii="Arial" w:cs="Arial" w:eastAsia="Arial" w:hAnsi="Arial"/>
                <w:color w:val="217346"/>
                <w:sz w:val="19"/>
                <w:szCs w:val="19"/>
              </w:rPr>
              <w:t xml:space="preserve">-38.5%</w:t>
            </w:r>
          </w:p>
        </w:tc>
        <w:tc>
          <w:tcPr>
            <w:tcW w:type="dxa" w:w="1520"/>
            <w:tcMar>
              <w:top w:type="dxa" w:w="70"/>
              <w:left w:type="dxa" w:w="100"/>
              <w:bottom w:type="dxa" w:w="70"/>
              <w:right w:type="dxa" w:w="100"/>
            </w:tcMar>
            <w:vAlign w:val="center"/>
          </w:tcPr>
          <w:p>
            <w:pPr>
              <w:jc w:val="center"/>
            </w:pPr>
            <w:r>
              <w:rPr>
                <w:rFonts w:ascii="Arial" w:cs="Arial" w:eastAsia="Arial" w:hAnsi="Arial"/>
                <w:color w:val="217346"/>
                <w:sz w:val="19"/>
                <w:szCs w:val="19"/>
              </w:rPr>
              <w:t xml:space="preserve">-27.2%</w:t>
            </w:r>
          </w:p>
        </w:tc>
      </w:tr>
      <w:tr>
        <w:tc>
          <w:tcPr>
            <w:tcW w:type="dxa" w:w="3200"/>
            <w:shd w:fill="F2F2F2" w:val="clear"/>
            <w:tcMar>
              <w:top w:type="dxa" w:w="70"/>
              <w:left w:type="dxa" w:w="100"/>
              <w:bottom w:type="dxa" w:w="70"/>
              <w:right w:type="dxa" w:w="100"/>
            </w:tcMar>
            <w:vAlign w:val="center"/>
          </w:tcPr>
          <w:p>
            <w:r>
              <w:rPr>
                <w:rFonts w:ascii="Arial" w:cs="Arial" w:eastAsia="Arial" w:hAnsi="Arial"/>
                <w:b/>
                <w:bCs/>
                <w:color w:val="111111"/>
                <w:sz w:val="19"/>
                <w:szCs w:val="19"/>
              </w:rPr>
              <w:t xml:space="preserve">Return on Assets (ROA)</w:t>
            </w:r>
          </w:p>
        </w:tc>
        <w:tc>
          <w:tcPr>
            <w:tcW w:type="dxa" w:w="1520"/>
            <w:shd w:fill="F2F2F2" w:val="clear"/>
            <w:tcMar>
              <w:top w:type="dxa" w:w="70"/>
              <w:left w:type="dxa" w:w="100"/>
              <w:bottom w:type="dxa" w:w="70"/>
              <w:right w:type="dxa" w:w="100"/>
            </w:tcMar>
            <w:vAlign w:val="center"/>
          </w:tcPr>
          <w:p>
            <w:pPr>
              <w:jc w:val="center"/>
            </w:pPr>
            <w:r>
              <w:rPr>
                <w:rFonts w:ascii="Arial" w:cs="Arial" w:eastAsia="Arial" w:hAnsi="Arial"/>
                <w:color w:val="217346"/>
                <w:sz w:val="19"/>
                <w:szCs w:val="19"/>
              </w:rPr>
              <w:t xml:space="preserve">-5.2%</w:t>
            </w:r>
          </w:p>
        </w:tc>
        <w:tc>
          <w:tcPr>
            <w:tcW w:type="dxa" w:w="1520"/>
            <w:shd w:fill="F2F2F2" w:val="clear"/>
            <w:tcMar>
              <w:top w:type="dxa" w:w="70"/>
              <w:left w:type="dxa" w:w="100"/>
              <w:bottom w:type="dxa" w:w="70"/>
              <w:right w:type="dxa" w:w="100"/>
            </w:tcMar>
            <w:vAlign w:val="center"/>
          </w:tcPr>
          <w:p>
            <w:pPr>
              <w:jc w:val="center"/>
            </w:pPr>
            <w:r>
              <w:rPr>
                <w:rFonts w:ascii="Arial" w:cs="Arial" w:eastAsia="Arial" w:hAnsi="Arial"/>
                <w:color w:val="217346"/>
                <w:sz w:val="19"/>
                <w:szCs w:val="19"/>
              </w:rPr>
              <w:t xml:space="preserve">5.6%</w:t>
            </w:r>
          </w:p>
        </w:tc>
        <w:tc>
          <w:tcPr>
            <w:tcW w:type="dxa" w:w="1520"/>
            <w:shd w:fill="F2F2F2" w:val="clear"/>
            <w:tcMar>
              <w:top w:type="dxa" w:w="70"/>
              <w:left w:type="dxa" w:w="100"/>
              <w:bottom w:type="dxa" w:w="70"/>
              <w:right w:type="dxa" w:w="100"/>
            </w:tcMar>
            <w:vAlign w:val="center"/>
          </w:tcPr>
          <w:p>
            <w:pPr>
              <w:jc w:val="center"/>
            </w:pPr>
            <w:r>
              <w:rPr>
                <w:rFonts w:ascii="Arial" w:cs="Arial" w:eastAsia="Arial" w:hAnsi="Arial"/>
                <w:color w:val="217346"/>
                <w:sz w:val="19"/>
                <w:szCs w:val="19"/>
              </w:rPr>
              <w:t xml:space="preserve">8.9%</w:t>
            </w:r>
          </w:p>
        </w:tc>
        <w:tc>
          <w:tcPr>
            <w:tcW w:type="dxa" w:w="1520"/>
            <w:shd w:fill="F2F2F2" w:val="clear"/>
            <w:tcMar>
              <w:top w:type="dxa" w:w="70"/>
              <w:left w:type="dxa" w:w="100"/>
              <w:bottom w:type="dxa" w:w="70"/>
              <w:right w:type="dxa" w:w="100"/>
            </w:tcMar>
            <w:vAlign w:val="center"/>
          </w:tcPr>
          <w:p>
            <w:pPr>
              <w:jc w:val="center"/>
            </w:pPr>
            <w:r>
              <w:rPr>
                <w:rFonts w:ascii="Arial" w:cs="Arial" w:eastAsia="Arial" w:hAnsi="Arial"/>
                <w:color w:val="217346"/>
                <w:sz w:val="19"/>
                <w:szCs w:val="19"/>
              </w:rPr>
              <w:t xml:space="preserve">15.6%</w:t>
            </w:r>
          </w:p>
        </w:tc>
        <w:tc>
          <w:tcPr>
            <w:tcW w:type="dxa" w:w="1520"/>
            <w:shd w:fill="F2F2F2" w:val="clear"/>
            <w:tcMar>
              <w:top w:type="dxa" w:w="70"/>
              <w:left w:type="dxa" w:w="100"/>
              <w:bottom w:type="dxa" w:w="70"/>
              <w:right w:type="dxa" w:w="100"/>
            </w:tcMar>
            <w:vAlign w:val="center"/>
          </w:tcPr>
          <w:p>
            <w:pPr>
              <w:jc w:val="center"/>
            </w:pPr>
            <w:r>
              <w:rPr>
                <w:rFonts w:ascii="Arial" w:cs="Arial" w:eastAsia="Arial" w:hAnsi="Arial"/>
                <w:color w:val="217346"/>
                <w:sz w:val="19"/>
                <w:szCs w:val="19"/>
              </w:rPr>
              <w:t xml:space="preserve">13.2%</w:t>
            </w:r>
          </w:p>
        </w:tc>
      </w:tr>
      <w:tr>
        <w:tc>
          <w:tcPr>
            <w:tcW w:type="dxa" w:w="3200"/>
            <w:tcMar>
              <w:top w:type="dxa" w:w="70"/>
              <w:left w:type="dxa" w:w="100"/>
              <w:bottom w:type="dxa" w:w="70"/>
              <w:right w:type="dxa" w:w="100"/>
            </w:tcMar>
            <w:vAlign w:val="center"/>
          </w:tcPr>
          <w:p>
            <w:r>
              <w:rPr>
                <w:rFonts w:ascii="Arial" w:cs="Arial" w:eastAsia="Arial" w:hAnsi="Arial"/>
                <w:b/>
                <w:bCs/>
                <w:color w:val="111111"/>
                <w:sz w:val="19"/>
                <w:szCs w:val="19"/>
              </w:rPr>
              <w:t xml:space="preserve">Price / Earnings (P/E)</w:t>
            </w:r>
          </w:p>
        </w:tc>
        <w:tc>
          <w:tcPr>
            <w:tcW w:type="dxa" w:w="1520"/>
            <w:tcMar>
              <w:top w:type="dxa" w:w="70"/>
              <w:left w:type="dxa" w:w="100"/>
              <w:bottom w:type="dxa" w:w="70"/>
              <w:right w:type="dxa" w:w="100"/>
            </w:tcMar>
            <w:vAlign w:val="center"/>
          </w:tcPr>
          <w:p>
            <w:pPr>
              <w:jc w:val="center"/>
            </w:pPr>
            <w:r>
              <w:rPr>
                <w:rFonts w:ascii="Arial" w:cs="Arial" w:eastAsia="Arial" w:hAnsi="Arial"/>
                <w:color w:val="217346"/>
                <w:sz w:val="19"/>
                <w:szCs w:val="19"/>
              </w:rPr>
              <w:t xml:space="preserve">-44.7x</w:t>
            </w:r>
          </w:p>
        </w:tc>
        <w:tc>
          <w:tcPr>
            <w:tcW w:type="dxa" w:w="1520"/>
            <w:tcMar>
              <w:top w:type="dxa" w:w="70"/>
              <w:left w:type="dxa" w:w="100"/>
              <w:bottom w:type="dxa" w:w="70"/>
              <w:right w:type="dxa" w:w="100"/>
            </w:tcMar>
            <w:vAlign w:val="center"/>
          </w:tcPr>
          <w:p>
            <w:pPr>
              <w:jc w:val="center"/>
            </w:pPr>
            <w:r>
              <w:rPr>
                <w:rFonts w:ascii="Arial" w:cs="Arial" w:eastAsia="Arial" w:hAnsi="Arial"/>
                <w:color w:val="217346"/>
                <w:sz w:val="19"/>
                <w:szCs w:val="19"/>
              </w:rPr>
              <w:t xml:space="preserve">44.5x</w:t>
            </w:r>
          </w:p>
        </w:tc>
        <w:tc>
          <w:tcPr>
            <w:tcW w:type="dxa" w:w="1520"/>
            <w:tcMar>
              <w:top w:type="dxa" w:w="70"/>
              <w:left w:type="dxa" w:w="100"/>
              <w:bottom w:type="dxa" w:w="70"/>
              <w:right w:type="dxa" w:w="100"/>
            </w:tcMar>
            <w:vAlign w:val="center"/>
          </w:tcPr>
          <w:p>
            <w:pPr>
              <w:jc w:val="center"/>
            </w:pPr>
            <w:r>
              <w:rPr>
                <w:rFonts w:ascii="Arial" w:cs="Arial" w:eastAsia="Arial" w:hAnsi="Arial"/>
                <w:color w:val="217346"/>
                <w:sz w:val="19"/>
                <w:szCs w:val="19"/>
              </w:rPr>
              <w:t xml:space="preserve">27.7x</w:t>
            </w:r>
          </w:p>
        </w:tc>
        <w:tc>
          <w:tcPr>
            <w:tcW w:type="dxa" w:w="1520"/>
            <w:tcMar>
              <w:top w:type="dxa" w:w="70"/>
              <w:left w:type="dxa" w:w="100"/>
              <w:bottom w:type="dxa" w:w="70"/>
              <w:right w:type="dxa" w:w="100"/>
            </w:tcMar>
            <w:vAlign w:val="center"/>
          </w:tcPr>
          <w:p>
            <w:pPr>
              <w:jc w:val="center"/>
            </w:pPr>
            <w:r>
              <w:rPr>
                <w:rFonts w:ascii="Arial" w:cs="Arial" w:eastAsia="Arial" w:hAnsi="Arial"/>
                <w:color w:val="217346"/>
                <w:sz w:val="19"/>
                <w:szCs w:val="19"/>
              </w:rPr>
              <w:t xml:space="preserve">20.3x</w:t>
            </w:r>
          </w:p>
        </w:tc>
        <w:tc>
          <w:tcPr>
            <w:tcW w:type="dxa" w:w="1520"/>
            <w:tcMar>
              <w:top w:type="dxa" w:w="70"/>
              <w:left w:type="dxa" w:w="100"/>
              <w:bottom w:type="dxa" w:w="70"/>
              <w:right w:type="dxa" w:w="100"/>
            </w:tcMar>
            <w:vAlign w:val="center"/>
          </w:tcPr>
          <w:p>
            <w:pPr>
              <w:jc w:val="center"/>
            </w:pPr>
            <w:r>
              <w:rPr>
                <w:rFonts w:ascii="Arial" w:cs="Arial" w:eastAsia="Arial" w:hAnsi="Arial"/>
                <w:color w:val="217346"/>
                <w:sz w:val="19"/>
                <w:szCs w:val="19"/>
              </w:rPr>
              <w:t xml:space="preserve">32.0x</w:t>
            </w:r>
          </w:p>
        </w:tc>
      </w:tr>
    </w:tbl>
    <w:p>
      <w:pPr>
        <w:spacing w:after="60" w:before="120"/>
      </w:pPr>
    </w:p>
    <w:p>
      <w:pPr>
        <w:spacing w:after="80"/>
      </w:pPr>
      <w:r>
        <w:rPr>
          <w:rFonts w:ascii="Arial" w:cs="Arial" w:eastAsia="Arial" w:hAnsi="Arial"/>
          <w:i/>
          <w:iCs/>
          <w:color w:val="595959"/>
          <w:sz w:val="18"/>
          <w:szCs w:val="18"/>
        </w:rPr>
        <w:t xml:space="preserve">* 2020 ROE is positive only because both net loss and total equity were negative that year — not a genuine positive return (see note below).</w:t>
      </w:r>
    </w:p>
    <w:p>
      <w:pPr>
        <w:pStyle w:val="Heading1"/>
        <w:pBdr>
          <w:bottom w:val="single" w:color="1F3864" w:sz="6" w:space="4"/>
        </w:pBdr>
        <w:spacing w:after="150" w:before="300"/>
      </w:pPr>
      <w:r>
        <w:rPr>
          <w:rFonts w:ascii="Arial" w:cs="Arial" w:eastAsia="Arial" w:hAnsi="Arial"/>
          <w:b/>
          <w:bCs/>
          <w:color w:val="1F3864"/>
          <w:sz w:val="28"/>
          <w:szCs w:val="28"/>
        </w:rPr>
        <w:t xml:space="preserve">Cash Flow Ratios</w:t>
      </w:r>
    </w:p>
    <w:tbl>
      <w:tblPr>
        <w:tblW w:type="dxa" w:w="10800"/>
        <w:tblBorders>
          <w:top w:val="single" w:color="auto" w:sz="4"/>
          <w:left w:val="single" w:color="auto" w:sz="4"/>
          <w:bottom w:val="single" w:color="auto" w:sz="4"/>
          <w:right w:val="single" w:color="auto" w:sz="4"/>
          <w:insideH w:val="single" w:color="auto" w:sz="4"/>
          <w:insideV w:val="single" w:color="auto" w:sz="4"/>
        </w:tblBorders>
      </w:tblPr>
      <w:tblGrid>
        <w:gridCol w:w="3200"/>
        <w:gridCol w:w="1520"/>
        <w:gridCol w:w="1520"/>
        <w:gridCol w:w="1520"/>
        <w:gridCol w:w="1520"/>
        <w:gridCol w:w="1520"/>
      </w:tblGrid>
      <w:tr>
        <w:trPr>
          <w:tblHeader/>
        </w:trPr>
        <w:tc>
          <w:tcPr>
            <w:tcW w:type="dxa" w:w="3200"/>
            <w:shd w:fill="1F3864" w:val="clear"/>
            <w:tcMar>
              <w:top w:type="dxa" w:w="80"/>
              <w:left w:type="dxa" w:w="100"/>
              <w:bottom w:type="dxa" w:w="80"/>
              <w:right w:type="dxa" w:w="100"/>
            </w:tcMar>
            <w:vAlign w:val="center"/>
          </w:tcPr>
          <w:p>
            <w:pPr>
              <w:jc w:val="center"/>
            </w:pPr>
            <w:r>
              <w:rPr>
                <w:rFonts w:ascii="Arial" w:cs="Arial" w:eastAsia="Arial" w:hAnsi="Arial"/>
                <w:b/>
                <w:bCs/>
                <w:color w:val="FFFFFF"/>
                <w:sz w:val="19"/>
                <w:szCs w:val="19"/>
              </w:rPr>
              <w:t xml:space="preserve">Ratio</w:t>
            </w:r>
          </w:p>
        </w:tc>
        <w:tc>
          <w:tcPr>
            <w:tcW w:type="dxa" w:w="1520"/>
            <w:shd w:fill="1F3864" w:val="clear"/>
            <w:tcMar>
              <w:top w:type="dxa" w:w="80"/>
              <w:left w:type="dxa" w:w="100"/>
              <w:bottom w:type="dxa" w:w="80"/>
              <w:right w:type="dxa" w:w="100"/>
            </w:tcMar>
            <w:vAlign w:val="center"/>
          </w:tcPr>
          <w:p>
            <w:pPr>
              <w:jc w:val="center"/>
            </w:pPr>
            <w:r>
              <w:rPr>
                <w:rFonts w:ascii="Arial" w:cs="Arial" w:eastAsia="Arial" w:hAnsi="Arial"/>
                <w:b/>
                <w:bCs/>
                <w:color w:val="FFFFFF"/>
                <w:sz w:val="19"/>
                <w:szCs w:val="19"/>
              </w:rPr>
              <w:t xml:space="preserve">2020</w:t>
            </w:r>
          </w:p>
        </w:tc>
        <w:tc>
          <w:tcPr>
            <w:tcW w:type="dxa" w:w="1520"/>
            <w:shd w:fill="1F3864" w:val="clear"/>
            <w:tcMar>
              <w:top w:type="dxa" w:w="80"/>
              <w:left w:type="dxa" w:w="100"/>
              <w:bottom w:type="dxa" w:w="80"/>
              <w:right w:type="dxa" w:w="100"/>
            </w:tcMar>
            <w:vAlign w:val="center"/>
          </w:tcPr>
          <w:p>
            <w:pPr>
              <w:jc w:val="center"/>
            </w:pPr>
            <w:r>
              <w:rPr>
                <w:rFonts w:ascii="Arial" w:cs="Arial" w:eastAsia="Arial" w:hAnsi="Arial"/>
                <w:b/>
                <w:bCs/>
                <w:color w:val="FFFFFF"/>
                <w:sz w:val="19"/>
                <w:szCs w:val="19"/>
              </w:rPr>
              <w:t xml:space="preserve">2021</w:t>
            </w:r>
          </w:p>
        </w:tc>
        <w:tc>
          <w:tcPr>
            <w:tcW w:type="dxa" w:w="1520"/>
            <w:shd w:fill="1F3864" w:val="clear"/>
            <w:tcMar>
              <w:top w:type="dxa" w:w="80"/>
              <w:left w:type="dxa" w:w="100"/>
              <w:bottom w:type="dxa" w:w="80"/>
              <w:right w:type="dxa" w:w="100"/>
            </w:tcMar>
            <w:vAlign w:val="center"/>
          </w:tcPr>
          <w:p>
            <w:pPr>
              <w:jc w:val="center"/>
            </w:pPr>
            <w:r>
              <w:rPr>
                <w:rFonts w:ascii="Arial" w:cs="Arial" w:eastAsia="Arial" w:hAnsi="Arial"/>
                <w:b/>
                <w:bCs/>
                <w:color w:val="FFFFFF"/>
                <w:sz w:val="19"/>
                <w:szCs w:val="19"/>
              </w:rPr>
              <w:t xml:space="preserve">2022</w:t>
            </w:r>
          </w:p>
        </w:tc>
        <w:tc>
          <w:tcPr>
            <w:tcW w:type="dxa" w:w="1520"/>
            <w:shd w:fill="1F3864" w:val="clear"/>
            <w:tcMar>
              <w:top w:type="dxa" w:w="80"/>
              <w:left w:type="dxa" w:w="100"/>
              <w:bottom w:type="dxa" w:w="80"/>
              <w:right w:type="dxa" w:w="100"/>
            </w:tcMar>
            <w:vAlign w:val="center"/>
          </w:tcPr>
          <w:p>
            <w:pPr>
              <w:jc w:val="center"/>
            </w:pPr>
            <w:r>
              <w:rPr>
                <w:rFonts w:ascii="Arial" w:cs="Arial" w:eastAsia="Arial" w:hAnsi="Arial"/>
                <w:b/>
                <w:bCs/>
                <w:color w:val="FFFFFF"/>
                <w:sz w:val="19"/>
                <w:szCs w:val="19"/>
              </w:rPr>
              <w:t xml:space="preserve">2023</w:t>
            </w:r>
          </w:p>
        </w:tc>
        <w:tc>
          <w:tcPr>
            <w:tcW w:type="dxa" w:w="1520"/>
            <w:shd w:fill="1F3864" w:val="clear"/>
            <w:tcMar>
              <w:top w:type="dxa" w:w="80"/>
              <w:left w:type="dxa" w:w="100"/>
              <w:bottom w:type="dxa" w:w="80"/>
              <w:right w:type="dxa" w:w="100"/>
            </w:tcMar>
            <w:vAlign w:val="center"/>
          </w:tcPr>
          <w:p>
            <w:pPr>
              <w:jc w:val="center"/>
            </w:pPr>
            <w:r>
              <w:rPr>
                <w:rFonts w:ascii="Arial" w:cs="Arial" w:eastAsia="Arial" w:hAnsi="Arial"/>
                <w:b/>
                <w:bCs/>
                <w:color w:val="FFFFFF"/>
                <w:sz w:val="19"/>
                <w:szCs w:val="19"/>
              </w:rPr>
              <w:t xml:space="preserve">2024</w:t>
            </w:r>
          </w:p>
        </w:tc>
      </w:tr>
      <w:tr>
        <w:tc>
          <w:tcPr>
            <w:tcW w:type="dxa" w:w="3200"/>
            <w:tcMar>
              <w:top w:type="dxa" w:w="70"/>
              <w:left w:type="dxa" w:w="100"/>
              <w:bottom w:type="dxa" w:w="70"/>
              <w:right w:type="dxa" w:w="100"/>
            </w:tcMar>
            <w:vAlign w:val="center"/>
          </w:tcPr>
          <w:p>
            <w:r>
              <w:rPr>
                <w:rFonts w:ascii="Arial" w:cs="Arial" w:eastAsia="Arial" w:hAnsi="Arial"/>
                <w:b/>
                <w:bCs/>
                <w:color w:val="111111"/>
                <w:sz w:val="19"/>
                <w:szCs w:val="19"/>
              </w:rPr>
              <w:t xml:space="preserve">Operating Cash Flow Ratio</w:t>
            </w:r>
          </w:p>
        </w:tc>
        <w:tc>
          <w:tcPr>
            <w:tcW w:type="dxa" w:w="1520"/>
            <w:tcMar>
              <w:top w:type="dxa" w:w="70"/>
              <w:left w:type="dxa" w:w="100"/>
              <w:bottom w:type="dxa" w:w="70"/>
              <w:right w:type="dxa" w:w="100"/>
            </w:tcMar>
            <w:vAlign w:val="center"/>
          </w:tcPr>
          <w:p>
            <w:pPr>
              <w:jc w:val="center"/>
            </w:pPr>
            <w:r>
              <w:rPr>
                <w:rFonts w:ascii="Arial" w:cs="Arial" w:eastAsia="Arial" w:hAnsi="Arial"/>
                <w:color w:val="217346"/>
                <w:sz w:val="19"/>
                <w:szCs w:val="19"/>
              </w:rPr>
              <w:t xml:space="preserve">7.3%</w:t>
            </w:r>
          </w:p>
        </w:tc>
        <w:tc>
          <w:tcPr>
            <w:tcW w:type="dxa" w:w="1520"/>
            <w:tcMar>
              <w:top w:type="dxa" w:w="70"/>
              <w:left w:type="dxa" w:w="100"/>
              <w:bottom w:type="dxa" w:w="70"/>
              <w:right w:type="dxa" w:w="100"/>
            </w:tcMar>
            <w:vAlign w:val="center"/>
          </w:tcPr>
          <w:p>
            <w:pPr>
              <w:jc w:val="center"/>
            </w:pPr>
            <w:r>
              <w:rPr>
                <w:rFonts w:ascii="Arial" w:cs="Arial" w:eastAsia="Arial" w:hAnsi="Arial"/>
                <w:color w:val="217346"/>
                <w:sz w:val="19"/>
                <w:szCs w:val="19"/>
              </w:rPr>
              <w:t xml:space="preserve">39.2%</w:t>
            </w:r>
          </w:p>
        </w:tc>
        <w:tc>
          <w:tcPr>
            <w:tcW w:type="dxa" w:w="1520"/>
            <w:tcMar>
              <w:top w:type="dxa" w:w="70"/>
              <w:left w:type="dxa" w:w="100"/>
              <w:bottom w:type="dxa" w:w="70"/>
              <w:right w:type="dxa" w:w="100"/>
            </w:tcMar>
            <w:vAlign w:val="center"/>
          </w:tcPr>
          <w:p>
            <w:pPr>
              <w:jc w:val="center"/>
            </w:pPr>
            <w:r>
              <w:rPr>
                <w:rFonts w:ascii="Arial" w:cs="Arial" w:eastAsia="Arial" w:hAnsi="Arial"/>
                <w:color w:val="217346"/>
                <w:sz w:val="19"/>
                <w:szCs w:val="19"/>
              </w:rPr>
              <w:t xml:space="preserve">41.8%</w:t>
            </w:r>
          </w:p>
        </w:tc>
        <w:tc>
          <w:tcPr>
            <w:tcW w:type="dxa" w:w="1520"/>
            <w:tcMar>
              <w:top w:type="dxa" w:w="70"/>
              <w:left w:type="dxa" w:w="100"/>
              <w:bottom w:type="dxa" w:w="70"/>
              <w:right w:type="dxa" w:w="100"/>
            </w:tcMar>
            <w:vAlign w:val="center"/>
          </w:tcPr>
          <w:p>
            <w:pPr>
              <w:jc w:val="center"/>
            </w:pPr>
            <w:r>
              <w:rPr>
                <w:rFonts w:ascii="Arial" w:cs="Arial" w:eastAsia="Arial" w:hAnsi="Arial"/>
                <w:color w:val="217346"/>
                <w:sz w:val="19"/>
                <w:szCs w:val="19"/>
              </w:rPr>
              <w:t xml:space="preserve">40.8%</w:t>
            </w:r>
          </w:p>
        </w:tc>
        <w:tc>
          <w:tcPr>
            <w:tcW w:type="dxa" w:w="1520"/>
            <w:tcMar>
              <w:top w:type="dxa" w:w="70"/>
              <w:left w:type="dxa" w:w="100"/>
              <w:bottom w:type="dxa" w:w="70"/>
              <w:right w:type="dxa" w:w="100"/>
            </w:tcMar>
            <w:vAlign w:val="center"/>
          </w:tcPr>
          <w:p>
            <w:pPr>
              <w:jc w:val="center"/>
            </w:pPr>
            <w:r>
              <w:rPr>
                <w:rFonts w:ascii="Arial" w:cs="Arial" w:eastAsia="Arial" w:hAnsi="Arial"/>
                <w:color w:val="217346"/>
                <w:sz w:val="19"/>
                <w:szCs w:val="19"/>
              </w:rPr>
              <w:t xml:space="preserve">37.6%</w:t>
            </w:r>
          </w:p>
        </w:tc>
      </w:tr>
      <w:tr>
        <w:tc>
          <w:tcPr>
            <w:tcW w:type="dxa" w:w="3200"/>
            <w:shd w:fill="F2F2F2" w:val="clear"/>
            <w:tcMar>
              <w:top w:type="dxa" w:w="70"/>
              <w:left w:type="dxa" w:w="100"/>
              <w:bottom w:type="dxa" w:w="70"/>
              <w:right w:type="dxa" w:w="100"/>
            </w:tcMar>
            <w:vAlign w:val="center"/>
          </w:tcPr>
          <w:p>
            <w:r>
              <w:rPr>
                <w:rFonts w:ascii="Arial" w:cs="Arial" w:eastAsia="Arial" w:hAnsi="Arial"/>
                <w:b/>
                <w:bCs/>
                <w:color w:val="111111"/>
                <w:sz w:val="19"/>
                <w:szCs w:val="19"/>
              </w:rPr>
              <w:t xml:space="preserve">Free Cash Flow Margin</w:t>
            </w:r>
          </w:p>
        </w:tc>
        <w:tc>
          <w:tcPr>
            <w:tcW w:type="dxa" w:w="1520"/>
            <w:shd w:fill="F2F2F2" w:val="clear"/>
            <w:tcMar>
              <w:top w:type="dxa" w:w="70"/>
              <w:left w:type="dxa" w:w="100"/>
              <w:bottom w:type="dxa" w:w="70"/>
              <w:right w:type="dxa" w:w="100"/>
            </w:tcMar>
            <w:vAlign w:val="center"/>
          </w:tcPr>
          <w:p>
            <w:pPr>
              <w:jc w:val="center"/>
            </w:pPr>
            <w:r>
              <w:rPr>
                <w:rFonts w:ascii="Arial" w:cs="Arial" w:eastAsia="Arial" w:hAnsi="Arial"/>
                <w:color w:val="217346"/>
                <w:sz w:val="19"/>
                <w:szCs w:val="19"/>
              </w:rPr>
              <w:t xml:space="preserve">2.5%</w:t>
            </w:r>
          </w:p>
        </w:tc>
        <w:tc>
          <w:tcPr>
            <w:tcW w:type="dxa" w:w="1520"/>
            <w:shd w:fill="F2F2F2" w:val="clear"/>
            <w:tcMar>
              <w:top w:type="dxa" w:w="70"/>
              <w:left w:type="dxa" w:w="100"/>
              <w:bottom w:type="dxa" w:w="70"/>
              <w:right w:type="dxa" w:w="100"/>
            </w:tcMar>
            <w:vAlign w:val="center"/>
          </w:tcPr>
          <w:p>
            <w:pPr>
              <w:jc w:val="center"/>
            </w:pPr>
            <w:r>
              <w:rPr>
                <w:rFonts w:ascii="Arial" w:cs="Arial" w:eastAsia="Arial" w:hAnsi="Arial"/>
                <w:color w:val="217346"/>
                <w:sz w:val="19"/>
                <w:szCs w:val="19"/>
              </w:rPr>
              <w:t xml:space="preserve">20.1%</w:t>
            </w:r>
          </w:p>
        </w:tc>
        <w:tc>
          <w:tcPr>
            <w:tcW w:type="dxa" w:w="1520"/>
            <w:shd w:fill="F2F2F2" w:val="clear"/>
            <w:tcMar>
              <w:top w:type="dxa" w:w="70"/>
              <w:left w:type="dxa" w:w="100"/>
              <w:bottom w:type="dxa" w:w="70"/>
              <w:right w:type="dxa" w:w="100"/>
            </w:tcMar>
            <w:vAlign w:val="center"/>
          </w:tcPr>
          <w:p>
            <w:pPr>
              <w:jc w:val="center"/>
            </w:pPr>
            <w:r>
              <w:rPr>
                <w:rFonts w:ascii="Arial" w:cs="Arial" w:eastAsia="Arial" w:hAnsi="Arial"/>
                <w:color w:val="217346"/>
                <w:sz w:val="19"/>
                <w:szCs w:val="19"/>
              </w:rPr>
              <w:t xml:space="preserve">14.1%</w:t>
            </w:r>
          </w:p>
        </w:tc>
        <w:tc>
          <w:tcPr>
            <w:tcW w:type="dxa" w:w="1520"/>
            <w:shd w:fill="F2F2F2" w:val="clear"/>
            <w:tcMar>
              <w:top w:type="dxa" w:w="70"/>
              <w:left w:type="dxa" w:w="100"/>
              <w:bottom w:type="dxa" w:w="70"/>
              <w:right w:type="dxa" w:w="100"/>
            </w:tcMar>
            <w:vAlign w:val="center"/>
          </w:tcPr>
          <w:p>
            <w:pPr>
              <w:jc w:val="center"/>
            </w:pPr>
            <w:r>
              <w:rPr>
                <w:rFonts w:ascii="Arial" w:cs="Arial" w:eastAsia="Arial" w:hAnsi="Arial"/>
                <w:color w:val="217346"/>
                <w:sz w:val="19"/>
                <w:szCs w:val="19"/>
              </w:rPr>
              <w:t xml:space="preserve">17.5%</w:t>
            </w:r>
          </w:p>
        </w:tc>
        <w:tc>
          <w:tcPr>
            <w:tcW w:type="dxa" w:w="1520"/>
            <w:shd w:fill="F2F2F2" w:val="clear"/>
            <w:tcMar>
              <w:top w:type="dxa" w:w="70"/>
              <w:left w:type="dxa" w:w="100"/>
              <w:bottom w:type="dxa" w:w="70"/>
              <w:right w:type="dxa" w:w="100"/>
            </w:tcMar>
            <w:vAlign w:val="center"/>
          </w:tcPr>
          <w:p>
            <w:pPr>
              <w:jc w:val="center"/>
            </w:pPr>
            <w:r>
              <w:rPr>
                <w:rFonts w:ascii="Arial" w:cs="Arial" w:eastAsia="Arial" w:hAnsi="Arial"/>
                <w:color w:val="217346"/>
                <w:sz w:val="19"/>
                <w:szCs w:val="19"/>
              </w:rPr>
              <w:t xml:space="preserve">13.1%</w:t>
            </w:r>
          </w:p>
        </w:tc>
      </w:tr>
    </w:tbl>
    <w:p>
      <w:pPr>
        <w:pStyle w:val="Heading1"/>
        <w:pBdr>
          <w:bottom w:val="single" w:color="1F3864" w:sz="6" w:space="4"/>
        </w:pBdr>
        <w:spacing w:after="150" w:before="300"/>
      </w:pPr>
      <w:r>
        <w:rPr>
          <w:rFonts w:ascii="Arial" w:cs="Arial" w:eastAsia="Arial" w:hAnsi="Arial"/>
          <w:b/>
          <w:bCs/>
          <w:color w:val="1F3864"/>
          <w:sz w:val="28"/>
          <w:szCs w:val="28"/>
        </w:rPr>
        <w:t xml:space="preserve">Trend Commentary</w:t>
      </w:r>
    </w:p>
    <w:p>
      <w:pPr>
        <w:pStyle w:val="Heading2"/>
        <w:spacing w:after="100" w:before="240"/>
      </w:pPr>
      <w:r>
        <w:rPr>
          <w:rFonts w:ascii="Arial" w:cs="Arial" w:eastAsia="Arial" w:hAnsi="Arial"/>
          <w:b/>
          <w:bCs/>
          <w:color w:val="1F3864"/>
          <w:sz w:val="24"/>
          <w:szCs w:val="24"/>
        </w:rPr>
        <w:t xml:space="preserve">Return on Equity (ROE) &amp; Return on Assets (ROA)</w:t>
      </w:r>
    </w:p>
    <w:p>
      <w:pPr>
        <w:spacing w:after="160" w:line="276"/>
      </w:pPr>
      <w:r>
        <w:rPr>
          <w:rFonts w:ascii="Arial" w:cs="Arial" w:eastAsia="Arial" w:hAnsi="Arial"/>
          <w:color w:val="222222"/>
          <w:sz w:val="21"/>
          <w:szCs w:val="21"/>
        </w:rPr>
        <w:t xml:space="preserve">IHG has reported negative total shareholders' equity in every year of this period, the result of a share buyback programme that has consistently exceeded retained earnings. Because ROE divides net income by a negative denominator, the ratio is mathematically distorted and directionally misleading — it should not be read as a genuine measure of shareholder return. Return on Assets (ROA) is the more reliable profitability signal: it climbed from a loss-driven –5.2% in 2020 to a peak of 15.6% in 2023, before easing to 13.2% in 2024 as financial expenses roughly doubled on higher bond interest and FX losses.</w:t>
      </w:r>
    </w:p>
    <w:p>
      <w:pPr>
        <w:pStyle w:val="Heading2"/>
        <w:spacing w:after="100" w:before="240"/>
      </w:pPr>
      <w:r>
        <w:rPr>
          <w:rFonts w:ascii="Arial" w:cs="Arial" w:eastAsia="Arial" w:hAnsi="Arial"/>
          <w:b/>
          <w:bCs/>
          <w:color w:val="1F3864"/>
          <w:sz w:val="24"/>
          <w:szCs w:val="24"/>
        </w:rPr>
        <w:t xml:space="preserve">Price / Earnings (P/E)</w:t>
      </w:r>
    </w:p>
    <w:p>
      <w:pPr>
        <w:spacing w:after="160" w:line="276"/>
      </w:pPr>
      <w:r>
        <w:rPr>
          <w:rFonts w:ascii="Arial" w:cs="Arial" w:eastAsia="Arial" w:hAnsi="Arial"/>
          <w:color w:val="222222"/>
          <w:sz w:val="21"/>
          <w:szCs w:val="21"/>
        </w:rPr>
        <w:t xml:space="preserve">P/E was negative in the 2020 loss year, then fell from roughly 44.7x (2021, on a still-depressed earnings base) to 27.7x (2022) and 20.3x (2023) as earnings per share grew faster than the share price. It rose back to roughly 32.0x in 2024 as the share price gained around 40% (in £ terms) while EPS actually declined 12% on higher interest costs — consistent with the market pricing in a recovery of earnings beyond the near-term dip.</w:t>
      </w:r>
    </w:p>
    <w:p>
      <w:pPr>
        <w:pStyle w:val="Heading2"/>
        <w:spacing w:after="100" w:before="240"/>
      </w:pPr>
      <w:r>
        <w:rPr>
          <w:rFonts w:ascii="Arial" w:cs="Arial" w:eastAsia="Arial" w:hAnsi="Arial"/>
          <w:b/>
          <w:bCs/>
          <w:color w:val="1F3864"/>
          <w:sz w:val="24"/>
          <w:szCs w:val="24"/>
        </w:rPr>
        <w:t xml:space="preserve">Operating Cash Flow Ratio</w:t>
      </w:r>
    </w:p>
    <w:p>
      <w:pPr>
        <w:spacing w:after="160" w:line="276"/>
      </w:pPr>
      <w:r>
        <w:rPr>
          <w:rFonts w:ascii="Arial" w:cs="Arial" w:eastAsia="Arial" w:hAnsi="Arial"/>
          <w:color w:val="222222"/>
          <w:sz w:val="21"/>
          <w:szCs w:val="21"/>
        </w:rPr>
        <w:t xml:space="preserve">This ratio jumped from a thin 7.3% in 2020 to a stable 38%–42% band from 2021 onward. Operating cash flow has comfortably and consistently covered current liabilities every year since the pandemic trough, indicating healthy short-term liquidity support from core operations rather than financing activity.</w:t>
      </w:r>
    </w:p>
    <w:p>
      <w:pPr>
        <w:pStyle w:val="Heading2"/>
        <w:spacing w:after="100" w:before="240"/>
      </w:pPr>
      <w:r>
        <w:rPr>
          <w:rFonts w:ascii="Arial" w:cs="Arial" w:eastAsia="Arial" w:hAnsi="Arial"/>
          <w:b/>
          <w:bCs/>
          <w:color w:val="1F3864"/>
          <w:sz w:val="24"/>
          <w:szCs w:val="24"/>
        </w:rPr>
        <w:t xml:space="preserve">Free Cash Flow Margin</w:t>
      </w:r>
    </w:p>
    <w:p>
      <w:pPr>
        <w:spacing w:after="160" w:line="276"/>
      </w:pPr>
      <w:r>
        <w:rPr>
          <w:rFonts w:ascii="Arial" w:cs="Arial" w:eastAsia="Arial" w:hAnsi="Arial"/>
          <w:color w:val="222222"/>
          <w:sz w:val="21"/>
          <w:szCs w:val="21"/>
        </w:rPr>
        <w:t xml:space="preserve">Free Cash Flow Margin rose sharply from just 2.5% in 2020 to a 14%–20% range across 2021–2024. This reflects IHG's asset-light, fee-based business model: with relatively low capital expenditure requirements, the company converts a high proportion of revenue into free cash flow even as total revenue more than doubled over the period.</w:t>
      </w:r>
    </w:p>
    <w:p>
      <w:pPr>
        <w:pStyle w:val="Heading1"/>
        <w:pBdr>
          <w:bottom w:val="single" w:color="1F3864" w:sz="6" w:space="4"/>
        </w:pBdr>
        <w:spacing w:after="150" w:before="300"/>
      </w:pPr>
      <w:r>
        <w:rPr>
          <w:rFonts w:ascii="Arial" w:cs="Arial" w:eastAsia="Arial" w:hAnsi="Arial"/>
          <w:b/>
          <w:bCs/>
          <w:color w:val="1F3864"/>
          <w:sz w:val="28"/>
          <w:szCs w:val="28"/>
        </w:rPr>
        <w:t xml:space="preserve">Supporting Figures</w:t>
      </w:r>
    </w:p>
    <w:tbl>
      <w:tblPr>
        <w:tblW w:type="dxa" w:w="10800"/>
        <w:tblBorders>
          <w:top w:val="single" w:color="auto" w:sz="4"/>
          <w:left w:val="single" w:color="auto" w:sz="4"/>
          <w:bottom w:val="single" w:color="auto" w:sz="4"/>
          <w:right w:val="single" w:color="auto" w:sz="4"/>
          <w:insideH w:val="single" w:color="auto" w:sz="4"/>
          <w:insideV w:val="single" w:color="auto" w:sz="4"/>
        </w:tblBorders>
      </w:tblPr>
      <w:tblGrid>
        <w:gridCol w:w="3200"/>
        <w:gridCol w:w="1520"/>
        <w:gridCol w:w="1520"/>
        <w:gridCol w:w="1520"/>
        <w:gridCol w:w="1520"/>
        <w:gridCol w:w="1520"/>
      </w:tblGrid>
      <w:tr>
        <w:trPr>
          <w:tblHeader/>
        </w:trPr>
        <w:tc>
          <w:tcPr>
            <w:tcW w:type="dxa" w:w="3200"/>
            <w:shd w:fill="1F3864" w:val="clear"/>
            <w:tcMar>
              <w:top w:type="dxa" w:w="80"/>
              <w:left w:type="dxa" w:w="100"/>
              <w:bottom w:type="dxa" w:w="80"/>
              <w:right w:type="dxa" w:w="100"/>
            </w:tcMar>
            <w:vAlign w:val="center"/>
          </w:tcPr>
          <w:p>
            <w:pPr>
              <w:jc w:val="center"/>
            </w:pPr>
            <w:r>
              <w:rPr>
                <w:rFonts w:ascii="Arial" w:cs="Arial" w:eastAsia="Arial" w:hAnsi="Arial"/>
                <w:b/>
                <w:bCs/>
                <w:color w:val="FFFFFF"/>
                <w:sz w:val="19"/>
                <w:szCs w:val="19"/>
              </w:rPr>
              <w:t xml:space="preserve">Ratio</w:t>
            </w:r>
          </w:p>
        </w:tc>
        <w:tc>
          <w:tcPr>
            <w:tcW w:type="dxa" w:w="1520"/>
            <w:shd w:fill="1F3864" w:val="clear"/>
            <w:tcMar>
              <w:top w:type="dxa" w:w="80"/>
              <w:left w:type="dxa" w:w="100"/>
              <w:bottom w:type="dxa" w:w="80"/>
              <w:right w:type="dxa" w:w="100"/>
            </w:tcMar>
            <w:vAlign w:val="center"/>
          </w:tcPr>
          <w:p>
            <w:pPr>
              <w:jc w:val="center"/>
            </w:pPr>
            <w:r>
              <w:rPr>
                <w:rFonts w:ascii="Arial" w:cs="Arial" w:eastAsia="Arial" w:hAnsi="Arial"/>
                <w:b/>
                <w:bCs/>
                <w:color w:val="FFFFFF"/>
                <w:sz w:val="19"/>
                <w:szCs w:val="19"/>
              </w:rPr>
              <w:t xml:space="preserve">2020</w:t>
            </w:r>
          </w:p>
        </w:tc>
        <w:tc>
          <w:tcPr>
            <w:tcW w:type="dxa" w:w="1520"/>
            <w:shd w:fill="1F3864" w:val="clear"/>
            <w:tcMar>
              <w:top w:type="dxa" w:w="80"/>
              <w:left w:type="dxa" w:w="100"/>
              <w:bottom w:type="dxa" w:w="80"/>
              <w:right w:type="dxa" w:w="100"/>
            </w:tcMar>
            <w:vAlign w:val="center"/>
          </w:tcPr>
          <w:p>
            <w:pPr>
              <w:jc w:val="center"/>
            </w:pPr>
            <w:r>
              <w:rPr>
                <w:rFonts w:ascii="Arial" w:cs="Arial" w:eastAsia="Arial" w:hAnsi="Arial"/>
                <w:b/>
                <w:bCs/>
                <w:color w:val="FFFFFF"/>
                <w:sz w:val="19"/>
                <w:szCs w:val="19"/>
              </w:rPr>
              <w:t xml:space="preserve">2021</w:t>
            </w:r>
          </w:p>
        </w:tc>
        <w:tc>
          <w:tcPr>
            <w:tcW w:type="dxa" w:w="1520"/>
            <w:shd w:fill="1F3864" w:val="clear"/>
            <w:tcMar>
              <w:top w:type="dxa" w:w="80"/>
              <w:left w:type="dxa" w:w="100"/>
              <w:bottom w:type="dxa" w:w="80"/>
              <w:right w:type="dxa" w:w="100"/>
            </w:tcMar>
            <w:vAlign w:val="center"/>
          </w:tcPr>
          <w:p>
            <w:pPr>
              <w:jc w:val="center"/>
            </w:pPr>
            <w:r>
              <w:rPr>
                <w:rFonts w:ascii="Arial" w:cs="Arial" w:eastAsia="Arial" w:hAnsi="Arial"/>
                <w:b/>
                <w:bCs/>
                <w:color w:val="FFFFFF"/>
                <w:sz w:val="19"/>
                <w:szCs w:val="19"/>
              </w:rPr>
              <w:t xml:space="preserve">2022</w:t>
            </w:r>
          </w:p>
        </w:tc>
        <w:tc>
          <w:tcPr>
            <w:tcW w:type="dxa" w:w="1520"/>
            <w:shd w:fill="1F3864" w:val="clear"/>
            <w:tcMar>
              <w:top w:type="dxa" w:w="80"/>
              <w:left w:type="dxa" w:w="100"/>
              <w:bottom w:type="dxa" w:w="80"/>
              <w:right w:type="dxa" w:w="100"/>
            </w:tcMar>
            <w:vAlign w:val="center"/>
          </w:tcPr>
          <w:p>
            <w:pPr>
              <w:jc w:val="center"/>
            </w:pPr>
            <w:r>
              <w:rPr>
                <w:rFonts w:ascii="Arial" w:cs="Arial" w:eastAsia="Arial" w:hAnsi="Arial"/>
                <w:b/>
                <w:bCs/>
                <w:color w:val="FFFFFF"/>
                <w:sz w:val="19"/>
                <w:szCs w:val="19"/>
              </w:rPr>
              <w:t xml:space="preserve">2023</w:t>
            </w:r>
          </w:p>
        </w:tc>
        <w:tc>
          <w:tcPr>
            <w:tcW w:type="dxa" w:w="1520"/>
            <w:shd w:fill="1F3864" w:val="clear"/>
            <w:tcMar>
              <w:top w:type="dxa" w:w="80"/>
              <w:left w:type="dxa" w:w="100"/>
              <w:bottom w:type="dxa" w:w="80"/>
              <w:right w:type="dxa" w:w="100"/>
            </w:tcMar>
            <w:vAlign w:val="center"/>
          </w:tcPr>
          <w:p>
            <w:pPr>
              <w:jc w:val="center"/>
            </w:pPr>
            <w:r>
              <w:rPr>
                <w:rFonts w:ascii="Arial" w:cs="Arial" w:eastAsia="Arial" w:hAnsi="Arial"/>
                <w:b/>
                <w:bCs/>
                <w:color w:val="FFFFFF"/>
                <w:sz w:val="19"/>
                <w:szCs w:val="19"/>
              </w:rPr>
              <w:t xml:space="preserve">2024</w:t>
            </w:r>
          </w:p>
        </w:tc>
      </w:tr>
      <w:tr>
        <w:tc>
          <w:tcPr>
            <w:tcW w:type="dxa" w:w="3200"/>
            <w:tcMar>
              <w:top w:type="dxa" w:w="70"/>
              <w:left w:type="dxa" w:w="100"/>
              <w:bottom w:type="dxa" w:w="70"/>
              <w:right w:type="dxa" w:w="100"/>
            </w:tcMar>
            <w:vAlign w:val="center"/>
          </w:tcPr>
          <w:p>
            <w:r>
              <w:rPr>
                <w:rFonts w:ascii="Arial" w:cs="Arial" w:eastAsia="Arial" w:hAnsi="Arial"/>
                <w:b/>
                <w:bCs/>
                <w:color w:val="111111"/>
                <w:sz w:val="19"/>
                <w:szCs w:val="19"/>
              </w:rPr>
              <w:t xml:space="preserve">Net income ($mm)</w:t>
            </w:r>
          </w:p>
        </w:tc>
        <w:tc>
          <w:tcPr>
            <w:tcW w:type="dxa" w:w="1520"/>
            <w:tcMar>
              <w:top w:type="dxa" w:w="70"/>
              <w:left w:type="dxa" w:w="100"/>
              <w:bottom w:type="dxa" w:w="70"/>
              <w:right w:type="dxa" w:w="100"/>
            </w:tcMar>
            <w:vAlign w:val="center"/>
          </w:tcPr>
          <w:p>
            <w:pPr>
              <w:jc w:val="center"/>
            </w:pPr>
            <w:r>
              <w:rPr>
                <w:rFonts w:ascii="Arial" w:cs="Arial" w:eastAsia="Arial" w:hAnsi="Arial"/>
                <w:color w:val="217346"/>
                <w:sz w:val="19"/>
                <w:szCs w:val="19"/>
              </w:rPr>
              <w:t xml:space="preserve">-260</w:t>
            </w:r>
          </w:p>
        </w:tc>
        <w:tc>
          <w:tcPr>
            <w:tcW w:type="dxa" w:w="1520"/>
            <w:tcMar>
              <w:top w:type="dxa" w:w="70"/>
              <w:left w:type="dxa" w:w="100"/>
              <w:bottom w:type="dxa" w:w="70"/>
              <w:right w:type="dxa" w:w="100"/>
            </w:tcMar>
            <w:vAlign w:val="center"/>
          </w:tcPr>
          <w:p>
            <w:pPr>
              <w:jc w:val="center"/>
            </w:pPr>
            <w:r>
              <w:rPr>
                <w:rFonts w:ascii="Arial" w:cs="Arial" w:eastAsia="Arial" w:hAnsi="Arial"/>
                <w:color w:val="217346"/>
                <w:sz w:val="19"/>
                <w:szCs w:val="19"/>
              </w:rPr>
              <w:t xml:space="preserve">265</w:t>
            </w:r>
          </w:p>
        </w:tc>
        <w:tc>
          <w:tcPr>
            <w:tcW w:type="dxa" w:w="1520"/>
            <w:tcMar>
              <w:top w:type="dxa" w:w="70"/>
              <w:left w:type="dxa" w:w="100"/>
              <w:bottom w:type="dxa" w:w="70"/>
              <w:right w:type="dxa" w:w="100"/>
            </w:tcMar>
            <w:vAlign w:val="center"/>
          </w:tcPr>
          <w:p>
            <w:pPr>
              <w:jc w:val="center"/>
            </w:pPr>
            <w:r>
              <w:rPr>
                <w:rFonts w:ascii="Arial" w:cs="Arial" w:eastAsia="Arial" w:hAnsi="Arial"/>
                <w:color w:val="217346"/>
                <w:sz w:val="19"/>
                <w:szCs w:val="19"/>
              </w:rPr>
              <w:t xml:space="preserve">376</w:t>
            </w:r>
          </w:p>
        </w:tc>
        <w:tc>
          <w:tcPr>
            <w:tcW w:type="dxa" w:w="1520"/>
            <w:tcMar>
              <w:top w:type="dxa" w:w="70"/>
              <w:left w:type="dxa" w:w="100"/>
              <w:bottom w:type="dxa" w:w="70"/>
              <w:right w:type="dxa" w:w="100"/>
            </w:tcMar>
            <w:vAlign w:val="center"/>
          </w:tcPr>
          <w:p>
            <w:pPr>
              <w:jc w:val="center"/>
            </w:pPr>
            <w:r>
              <w:rPr>
                <w:rFonts w:ascii="Arial" w:cs="Arial" w:eastAsia="Arial" w:hAnsi="Arial"/>
                <w:color w:val="217346"/>
                <w:sz w:val="19"/>
                <w:szCs w:val="19"/>
              </w:rPr>
              <w:t xml:space="preserve">750</w:t>
            </w:r>
          </w:p>
        </w:tc>
        <w:tc>
          <w:tcPr>
            <w:tcW w:type="dxa" w:w="1520"/>
            <w:tcMar>
              <w:top w:type="dxa" w:w="70"/>
              <w:left w:type="dxa" w:w="100"/>
              <w:bottom w:type="dxa" w:w="70"/>
              <w:right w:type="dxa" w:w="100"/>
            </w:tcMar>
            <w:vAlign w:val="center"/>
          </w:tcPr>
          <w:p>
            <w:pPr>
              <w:jc w:val="center"/>
            </w:pPr>
            <w:r>
              <w:rPr>
                <w:rFonts w:ascii="Arial" w:cs="Arial" w:eastAsia="Arial" w:hAnsi="Arial"/>
                <w:color w:val="217346"/>
                <w:sz w:val="19"/>
                <w:szCs w:val="19"/>
              </w:rPr>
              <w:t xml:space="preserve">628</w:t>
            </w:r>
          </w:p>
        </w:tc>
      </w:tr>
      <w:tr>
        <w:tc>
          <w:tcPr>
            <w:tcW w:type="dxa" w:w="3200"/>
            <w:shd w:fill="F2F2F2" w:val="clear"/>
            <w:tcMar>
              <w:top w:type="dxa" w:w="70"/>
              <w:left w:type="dxa" w:w="100"/>
              <w:bottom w:type="dxa" w:w="70"/>
              <w:right w:type="dxa" w:w="100"/>
            </w:tcMar>
            <w:vAlign w:val="center"/>
          </w:tcPr>
          <w:p>
            <w:r>
              <w:rPr>
                <w:rFonts w:ascii="Arial" w:cs="Arial" w:eastAsia="Arial" w:hAnsi="Arial"/>
                <w:b/>
                <w:bCs/>
                <w:color w:val="111111"/>
                <w:sz w:val="19"/>
                <w:szCs w:val="19"/>
              </w:rPr>
              <w:t xml:space="preserve">Total equity ($mm)</w:t>
            </w:r>
          </w:p>
        </w:tc>
        <w:tc>
          <w:tcPr>
            <w:tcW w:type="dxa" w:w="1520"/>
            <w:shd w:fill="F2F2F2" w:val="clear"/>
            <w:tcMar>
              <w:top w:type="dxa" w:w="70"/>
              <w:left w:type="dxa" w:w="100"/>
              <w:bottom w:type="dxa" w:w="70"/>
              <w:right w:type="dxa" w:w="100"/>
            </w:tcMar>
            <w:vAlign w:val="center"/>
          </w:tcPr>
          <w:p>
            <w:pPr>
              <w:jc w:val="center"/>
            </w:pPr>
            <w:r>
              <w:rPr>
                <w:rFonts w:ascii="Arial" w:cs="Arial" w:eastAsia="Arial" w:hAnsi="Arial"/>
                <w:color w:val="217346"/>
                <w:sz w:val="19"/>
                <w:szCs w:val="19"/>
              </w:rPr>
              <w:t xml:space="preserve">-1,849</w:t>
            </w:r>
          </w:p>
        </w:tc>
        <w:tc>
          <w:tcPr>
            <w:tcW w:type="dxa" w:w="1520"/>
            <w:shd w:fill="F2F2F2" w:val="clear"/>
            <w:tcMar>
              <w:top w:type="dxa" w:w="70"/>
              <w:left w:type="dxa" w:w="100"/>
              <w:bottom w:type="dxa" w:w="70"/>
              <w:right w:type="dxa" w:w="100"/>
            </w:tcMar>
            <w:vAlign w:val="center"/>
          </w:tcPr>
          <w:p>
            <w:pPr>
              <w:jc w:val="center"/>
            </w:pPr>
            <w:r>
              <w:rPr>
                <w:rFonts w:ascii="Arial" w:cs="Arial" w:eastAsia="Arial" w:hAnsi="Arial"/>
                <w:color w:val="217346"/>
                <w:sz w:val="19"/>
                <w:szCs w:val="19"/>
              </w:rPr>
              <w:t xml:space="preserve">-1,474</w:t>
            </w:r>
          </w:p>
        </w:tc>
        <w:tc>
          <w:tcPr>
            <w:tcW w:type="dxa" w:w="1520"/>
            <w:shd w:fill="F2F2F2" w:val="clear"/>
            <w:tcMar>
              <w:top w:type="dxa" w:w="70"/>
              <w:left w:type="dxa" w:w="100"/>
              <w:bottom w:type="dxa" w:w="70"/>
              <w:right w:type="dxa" w:w="100"/>
            </w:tcMar>
            <w:vAlign w:val="center"/>
          </w:tcPr>
          <w:p>
            <w:pPr>
              <w:jc w:val="center"/>
            </w:pPr>
            <w:r>
              <w:rPr>
                <w:rFonts w:ascii="Arial" w:cs="Arial" w:eastAsia="Arial" w:hAnsi="Arial"/>
                <w:color w:val="217346"/>
                <w:sz w:val="19"/>
                <w:szCs w:val="19"/>
              </w:rPr>
              <w:t xml:space="preserve">-1,608</w:t>
            </w:r>
          </w:p>
        </w:tc>
        <w:tc>
          <w:tcPr>
            <w:tcW w:type="dxa" w:w="1520"/>
            <w:shd w:fill="F2F2F2" w:val="clear"/>
            <w:tcMar>
              <w:top w:type="dxa" w:w="70"/>
              <w:left w:type="dxa" w:w="100"/>
              <w:bottom w:type="dxa" w:w="70"/>
              <w:right w:type="dxa" w:w="100"/>
            </w:tcMar>
            <w:vAlign w:val="center"/>
          </w:tcPr>
          <w:p>
            <w:pPr>
              <w:jc w:val="center"/>
            </w:pPr>
            <w:r>
              <w:rPr>
                <w:rFonts w:ascii="Arial" w:cs="Arial" w:eastAsia="Arial" w:hAnsi="Arial"/>
                <w:color w:val="217346"/>
                <w:sz w:val="19"/>
                <w:szCs w:val="19"/>
              </w:rPr>
              <w:t xml:space="preserve">-1,946</w:t>
            </w:r>
          </w:p>
        </w:tc>
        <w:tc>
          <w:tcPr>
            <w:tcW w:type="dxa" w:w="1520"/>
            <w:shd w:fill="F2F2F2" w:val="clear"/>
            <w:tcMar>
              <w:top w:type="dxa" w:w="70"/>
              <w:left w:type="dxa" w:w="100"/>
              <w:bottom w:type="dxa" w:w="70"/>
              <w:right w:type="dxa" w:w="100"/>
            </w:tcMar>
            <w:vAlign w:val="center"/>
          </w:tcPr>
          <w:p>
            <w:pPr>
              <w:jc w:val="center"/>
            </w:pPr>
            <w:r>
              <w:rPr>
                <w:rFonts w:ascii="Arial" w:cs="Arial" w:eastAsia="Arial" w:hAnsi="Arial"/>
                <w:color w:val="217346"/>
                <w:sz w:val="19"/>
                <w:szCs w:val="19"/>
              </w:rPr>
              <w:t xml:space="preserve">-2,308</w:t>
            </w:r>
          </w:p>
        </w:tc>
      </w:tr>
      <w:tr>
        <w:tc>
          <w:tcPr>
            <w:tcW w:type="dxa" w:w="3200"/>
            <w:tcMar>
              <w:top w:type="dxa" w:w="70"/>
              <w:left w:type="dxa" w:w="100"/>
              <w:bottom w:type="dxa" w:w="70"/>
              <w:right w:type="dxa" w:w="100"/>
            </w:tcMar>
            <w:vAlign w:val="center"/>
          </w:tcPr>
          <w:p>
            <w:r>
              <w:rPr>
                <w:rFonts w:ascii="Arial" w:cs="Arial" w:eastAsia="Arial" w:hAnsi="Arial"/>
                <w:b/>
                <w:bCs/>
                <w:color w:val="111111"/>
                <w:sz w:val="19"/>
                <w:szCs w:val="19"/>
              </w:rPr>
              <w:t xml:space="preserve">Total assets ($mm)</w:t>
            </w:r>
          </w:p>
        </w:tc>
        <w:tc>
          <w:tcPr>
            <w:tcW w:type="dxa" w:w="1520"/>
            <w:tcMar>
              <w:top w:type="dxa" w:w="70"/>
              <w:left w:type="dxa" w:w="100"/>
              <w:bottom w:type="dxa" w:w="70"/>
              <w:right w:type="dxa" w:w="100"/>
            </w:tcMar>
            <w:vAlign w:val="center"/>
          </w:tcPr>
          <w:p>
            <w:pPr>
              <w:jc w:val="center"/>
            </w:pPr>
            <w:r>
              <w:rPr>
                <w:rFonts w:ascii="Arial" w:cs="Arial" w:eastAsia="Arial" w:hAnsi="Arial"/>
                <w:color w:val="217346"/>
                <w:sz w:val="19"/>
                <w:szCs w:val="19"/>
              </w:rPr>
              <w:t xml:space="preserve">5,039</w:t>
            </w:r>
          </w:p>
        </w:tc>
        <w:tc>
          <w:tcPr>
            <w:tcW w:type="dxa" w:w="1520"/>
            <w:tcMar>
              <w:top w:type="dxa" w:w="70"/>
              <w:left w:type="dxa" w:w="100"/>
              <w:bottom w:type="dxa" w:w="70"/>
              <w:right w:type="dxa" w:w="100"/>
            </w:tcMar>
            <w:vAlign w:val="center"/>
          </w:tcPr>
          <w:p>
            <w:pPr>
              <w:jc w:val="center"/>
            </w:pPr>
            <w:r>
              <w:rPr>
                <w:rFonts w:ascii="Arial" w:cs="Arial" w:eastAsia="Arial" w:hAnsi="Arial"/>
                <w:color w:val="217346"/>
                <w:sz w:val="19"/>
                <w:szCs w:val="19"/>
              </w:rPr>
              <w:t xml:space="preserve">4,716</w:t>
            </w:r>
          </w:p>
        </w:tc>
        <w:tc>
          <w:tcPr>
            <w:tcW w:type="dxa" w:w="1520"/>
            <w:tcMar>
              <w:top w:type="dxa" w:w="70"/>
              <w:left w:type="dxa" w:w="100"/>
              <w:bottom w:type="dxa" w:w="70"/>
              <w:right w:type="dxa" w:w="100"/>
            </w:tcMar>
            <w:vAlign w:val="center"/>
          </w:tcPr>
          <w:p>
            <w:pPr>
              <w:jc w:val="center"/>
            </w:pPr>
            <w:r>
              <w:rPr>
                <w:rFonts w:ascii="Arial" w:cs="Arial" w:eastAsia="Arial" w:hAnsi="Arial"/>
                <w:color w:val="217346"/>
                <w:sz w:val="19"/>
                <w:szCs w:val="19"/>
              </w:rPr>
              <w:t xml:space="preserve">4,216</w:t>
            </w:r>
          </w:p>
        </w:tc>
        <w:tc>
          <w:tcPr>
            <w:tcW w:type="dxa" w:w="1520"/>
            <w:tcMar>
              <w:top w:type="dxa" w:w="70"/>
              <w:left w:type="dxa" w:w="100"/>
              <w:bottom w:type="dxa" w:w="70"/>
              <w:right w:type="dxa" w:w="100"/>
            </w:tcMar>
            <w:vAlign w:val="center"/>
          </w:tcPr>
          <w:p>
            <w:pPr>
              <w:jc w:val="center"/>
            </w:pPr>
            <w:r>
              <w:rPr>
                <w:rFonts w:ascii="Arial" w:cs="Arial" w:eastAsia="Arial" w:hAnsi="Arial"/>
                <w:color w:val="217346"/>
                <w:sz w:val="19"/>
                <w:szCs w:val="19"/>
              </w:rPr>
              <w:t xml:space="preserve">4,813</w:t>
            </w:r>
          </w:p>
        </w:tc>
        <w:tc>
          <w:tcPr>
            <w:tcW w:type="dxa" w:w="1520"/>
            <w:tcMar>
              <w:top w:type="dxa" w:w="70"/>
              <w:left w:type="dxa" w:w="100"/>
              <w:bottom w:type="dxa" w:w="70"/>
              <w:right w:type="dxa" w:w="100"/>
            </w:tcMar>
            <w:vAlign w:val="center"/>
          </w:tcPr>
          <w:p>
            <w:pPr>
              <w:jc w:val="center"/>
            </w:pPr>
            <w:r>
              <w:rPr>
                <w:rFonts w:ascii="Arial" w:cs="Arial" w:eastAsia="Arial" w:hAnsi="Arial"/>
                <w:color w:val="217346"/>
                <w:sz w:val="19"/>
                <w:szCs w:val="19"/>
              </w:rPr>
              <w:t xml:space="preserve">4,748</w:t>
            </w:r>
          </w:p>
        </w:tc>
      </w:tr>
      <w:tr>
        <w:tc>
          <w:tcPr>
            <w:tcW w:type="dxa" w:w="3200"/>
            <w:shd w:fill="F2F2F2" w:val="clear"/>
            <w:tcMar>
              <w:top w:type="dxa" w:w="70"/>
              <w:left w:type="dxa" w:w="100"/>
              <w:bottom w:type="dxa" w:w="70"/>
              <w:right w:type="dxa" w:w="100"/>
            </w:tcMar>
            <w:vAlign w:val="center"/>
          </w:tcPr>
          <w:p>
            <w:r>
              <w:rPr>
                <w:rFonts w:ascii="Arial" w:cs="Arial" w:eastAsia="Arial" w:hAnsi="Arial"/>
                <w:b/>
                <w:bCs/>
                <w:color w:val="111111"/>
                <w:sz w:val="19"/>
                <w:szCs w:val="19"/>
              </w:rPr>
              <w:t xml:space="preserve">Share price, year-end ($)</w:t>
            </w:r>
          </w:p>
        </w:tc>
        <w:tc>
          <w:tcPr>
            <w:tcW w:type="dxa" w:w="1520"/>
            <w:shd w:fill="F2F2F2" w:val="clear"/>
            <w:tcMar>
              <w:top w:type="dxa" w:w="70"/>
              <w:left w:type="dxa" w:w="100"/>
              <w:bottom w:type="dxa" w:w="70"/>
              <w:right w:type="dxa" w:w="100"/>
            </w:tcMar>
            <w:vAlign w:val="center"/>
          </w:tcPr>
          <w:p>
            <w:pPr>
              <w:jc w:val="center"/>
            </w:pPr>
            <w:r>
              <w:rPr>
                <w:rFonts w:ascii="Arial" w:cs="Arial" w:eastAsia="Arial" w:hAnsi="Arial"/>
                <w:color w:val="217346"/>
                <w:sz w:val="19"/>
                <w:szCs w:val="19"/>
              </w:rPr>
              <w:t xml:space="preserve">63.90</w:t>
            </w:r>
          </w:p>
        </w:tc>
        <w:tc>
          <w:tcPr>
            <w:tcW w:type="dxa" w:w="1520"/>
            <w:shd w:fill="F2F2F2" w:val="clear"/>
            <w:tcMar>
              <w:top w:type="dxa" w:w="70"/>
              <w:left w:type="dxa" w:w="100"/>
              <w:bottom w:type="dxa" w:w="70"/>
              <w:right w:type="dxa" w:w="100"/>
            </w:tcMar>
            <w:vAlign w:val="center"/>
          </w:tcPr>
          <w:p>
            <w:pPr>
              <w:jc w:val="center"/>
            </w:pPr>
            <w:r>
              <w:rPr>
                <w:rFonts w:ascii="Arial" w:cs="Arial" w:eastAsia="Arial" w:hAnsi="Arial"/>
                <w:color w:val="217346"/>
                <w:sz w:val="19"/>
                <w:szCs w:val="19"/>
              </w:rPr>
              <w:t xml:space="preserve">64.67</w:t>
            </w:r>
          </w:p>
        </w:tc>
        <w:tc>
          <w:tcPr>
            <w:tcW w:type="dxa" w:w="1520"/>
            <w:shd w:fill="F2F2F2" w:val="clear"/>
            <w:tcMar>
              <w:top w:type="dxa" w:w="70"/>
              <w:left w:type="dxa" w:w="100"/>
              <w:bottom w:type="dxa" w:w="70"/>
              <w:right w:type="dxa" w:w="100"/>
            </w:tcMar>
            <w:vAlign w:val="center"/>
          </w:tcPr>
          <w:p>
            <w:pPr>
              <w:jc w:val="center"/>
            </w:pPr>
            <w:r>
              <w:rPr>
                <w:rFonts w:ascii="Arial" w:cs="Arial" w:eastAsia="Arial" w:hAnsi="Arial"/>
                <w:color w:val="217346"/>
                <w:sz w:val="19"/>
                <w:szCs w:val="19"/>
              </w:rPr>
              <w:t xml:space="preserve">57.41</w:t>
            </w:r>
          </w:p>
        </w:tc>
        <w:tc>
          <w:tcPr>
            <w:tcW w:type="dxa" w:w="1520"/>
            <w:shd w:fill="F2F2F2" w:val="clear"/>
            <w:tcMar>
              <w:top w:type="dxa" w:w="70"/>
              <w:left w:type="dxa" w:w="100"/>
              <w:bottom w:type="dxa" w:w="70"/>
              <w:right w:type="dxa" w:w="100"/>
            </w:tcMar>
            <w:vAlign w:val="center"/>
          </w:tcPr>
          <w:p>
            <w:pPr>
              <w:jc w:val="center"/>
            </w:pPr>
            <w:r>
              <w:rPr>
                <w:rFonts w:ascii="Arial" w:cs="Arial" w:eastAsia="Arial" w:hAnsi="Arial"/>
                <w:color w:val="217346"/>
                <w:sz w:val="19"/>
                <w:szCs w:val="19"/>
              </w:rPr>
              <w:t xml:space="preserve">90.26</w:t>
            </w:r>
          </w:p>
        </w:tc>
        <w:tc>
          <w:tcPr>
            <w:tcW w:type="dxa" w:w="1520"/>
            <w:shd w:fill="F2F2F2" w:val="clear"/>
            <w:tcMar>
              <w:top w:type="dxa" w:w="70"/>
              <w:left w:type="dxa" w:w="100"/>
              <w:bottom w:type="dxa" w:w="70"/>
              <w:right w:type="dxa" w:w="100"/>
            </w:tcMar>
            <w:vAlign w:val="center"/>
          </w:tcPr>
          <w:p>
            <w:pPr>
              <w:jc w:val="center"/>
            </w:pPr>
            <w:r>
              <w:rPr>
                <w:rFonts w:ascii="Arial" w:cs="Arial" w:eastAsia="Arial" w:hAnsi="Arial"/>
                <w:color w:val="217346"/>
                <w:sz w:val="19"/>
                <w:szCs w:val="19"/>
              </w:rPr>
              <w:t xml:space="preserve">124.57</w:t>
            </w:r>
          </w:p>
        </w:tc>
      </w:tr>
      <w:tr>
        <w:tc>
          <w:tcPr>
            <w:tcW w:type="dxa" w:w="3200"/>
            <w:tcMar>
              <w:top w:type="dxa" w:w="70"/>
              <w:left w:type="dxa" w:w="100"/>
              <w:bottom w:type="dxa" w:w="70"/>
              <w:right w:type="dxa" w:w="100"/>
            </w:tcMar>
            <w:vAlign w:val="center"/>
          </w:tcPr>
          <w:p>
            <w:r>
              <w:rPr>
                <w:rFonts w:ascii="Arial" w:cs="Arial" w:eastAsia="Arial" w:hAnsi="Arial"/>
                <w:b/>
                <w:bCs/>
                <w:color w:val="111111"/>
                <w:sz w:val="19"/>
                <w:szCs w:val="19"/>
              </w:rPr>
              <w:t xml:space="preserve">Basic EPS ($)</w:t>
            </w:r>
          </w:p>
        </w:tc>
        <w:tc>
          <w:tcPr>
            <w:tcW w:type="dxa" w:w="1520"/>
            <w:tcMar>
              <w:top w:type="dxa" w:w="70"/>
              <w:left w:type="dxa" w:w="100"/>
              <w:bottom w:type="dxa" w:w="70"/>
              <w:right w:type="dxa" w:w="100"/>
            </w:tcMar>
            <w:vAlign w:val="center"/>
          </w:tcPr>
          <w:p>
            <w:pPr>
              <w:jc w:val="center"/>
            </w:pPr>
            <w:r>
              <w:rPr>
                <w:rFonts w:ascii="Arial" w:cs="Arial" w:eastAsia="Arial" w:hAnsi="Arial"/>
                <w:color w:val="217346"/>
                <w:sz w:val="19"/>
                <w:szCs w:val="19"/>
              </w:rPr>
              <w:t xml:space="preserve">-1.429</w:t>
            </w:r>
          </w:p>
        </w:tc>
        <w:tc>
          <w:tcPr>
            <w:tcW w:type="dxa" w:w="1520"/>
            <w:tcMar>
              <w:top w:type="dxa" w:w="70"/>
              <w:left w:type="dxa" w:w="100"/>
              <w:bottom w:type="dxa" w:w="70"/>
              <w:right w:type="dxa" w:w="100"/>
            </w:tcMar>
            <w:vAlign w:val="center"/>
          </w:tcPr>
          <w:p>
            <w:pPr>
              <w:jc w:val="center"/>
            </w:pPr>
            <w:r>
              <w:rPr>
                <w:rFonts w:ascii="Arial" w:cs="Arial" w:eastAsia="Arial" w:hAnsi="Arial"/>
                <w:color w:val="217346"/>
                <w:sz w:val="19"/>
                <w:szCs w:val="19"/>
              </w:rPr>
              <w:t xml:space="preserve">1.454</w:t>
            </w:r>
          </w:p>
        </w:tc>
        <w:tc>
          <w:tcPr>
            <w:tcW w:type="dxa" w:w="1520"/>
            <w:tcMar>
              <w:top w:type="dxa" w:w="70"/>
              <w:left w:type="dxa" w:w="100"/>
              <w:bottom w:type="dxa" w:w="70"/>
              <w:right w:type="dxa" w:w="100"/>
            </w:tcMar>
            <w:vAlign w:val="center"/>
          </w:tcPr>
          <w:p>
            <w:pPr>
              <w:jc w:val="center"/>
            </w:pPr>
            <w:r>
              <w:rPr>
                <w:rFonts w:ascii="Arial" w:cs="Arial" w:eastAsia="Arial" w:hAnsi="Arial"/>
                <w:color w:val="217346"/>
                <w:sz w:val="19"/>
                <w:szCs w:val="19"/>
              </w:rPr>
              <w:t xml:space="preserve">2.072</w:t>
            </w:r>
          </w:p>
        </w:tc>
        <w:tc>
          <w:tcPr>
            <w:tcW w:type="dxa" w:w="1520"/>
            <w:tcMar>
              <w:top w:type="dxa" w:w="70"/>
              <w:left w:type="dxa" w:w="100"/>
              <w:bottom w:type="dxa" w:w="70"/>
              <w:right w:type="dxa" w:w="100"/>
            </w:tcMar>
            <w:vAlign w:val="center"/>
          </w:tcPr>
          <w:p>
            <w:pPr>
              <w:jc w:val="center"/>
            </w:pPr>
            <w:r>
              <w:rPr>
                <w:rFonts w:ascii="Arial" w:cs="Arial" w:eastAsia="Arial" w:hAnsi="Arial"/>
                <w:color w:val="217346"/>
                <w:sz w:val="19"/>
                <w:szCs w:val="19"/>
              </w:rPr>
              <w:t xml:space="preserve">4.438</w:t>
            </w:r>
          </w:p>
        </w:tc>
        <w:tc>
          <w:tcPr>
            <w:tcW w:type="dxa" w:w="1520"/>
            <w:tcMar>
              <w:top w:type="dxa" w:w="70"/>
              <w:left w:type="dxa" w:w="100"/>
              <w:bottom w:type="dxa" w:w="70"/>
              <w:right w:type="dxa" w:w="100"/>
            </w:tcMar>
            <w:vAlign w:val="center"/>
          </w:tcPr>
          <w:p>
            <w:pPr>
              <w:jc w:val="center"/>
            </w:pPr>
            <w:r>
              <w:rPr>
                <w:rFonts w:ascii="Arial" w:cs="Arial" w:eastAsia="Arial" w:hAnsi="Arial"/>
                <w:color w:val="217346"/>
                <w:sz w:val="19"/>
                <w:szCs w:val="19"/>
              </w:rPr>
              <w:t xml:space="preserve">3.896</w:t>
            </w:r>
          </w:p>
        </w:tc>
      </w:tr>
      <w:tr>
        <w:tc>
          <w:tcPr>
            <w:tcW w:type="dxa" w:w="3200"/>
            <w:shd w:fill="F2F2F2" w:val="clear"/>
            <w:tcMar>
              <w:top w:type="dxa" w:w="70"/>
              <w:left w:type="dxa" w:w="100"/>
              <w:bottom w:type="dxa" w:w="70"/>
              <w:right w:type="dxa" w:w="100"/>
            </w:tcMar>
            <w:vAlign w:val="center"/>
          </w:tcPr>
          <w:p>
            <w:r>
              <w:rPr>
                <w:rFonts w:ascii="Arial" w:cs="Arial" w:eastAsia="Arial" w:hAnsi="Arial"/>
                <w:b/>
                <w:bCs/>
                <w:color w:val="111111"/>
                <w:sz w:val="19"/>
                <w:szCs w:val="19"/>
              </w:rPr>
              <w:t xml:space="preserve">Net cash from operations ($mm)</w:t>
            </w:r>
          </w:p>
        </w:tc>
        <w:tc>
          <w:tcPr>
            <w:tcW w:type="dxa" w:w="1520"/>
            <w:shd w:fill="F2F2F2" w:val="clear"/>
            <w:tcMar>
              <w:top w:type="dxa" w:w="70"/>
              <w:left w:type="dxa" w:w="100"/>
              <w:bottom w:type="dxa" w:w="70"/>
              <w:right w:type="dxa" w:w="100"/>
            </w:tcMar>
            <w:vAlign w:val="center"/>
          </w:tcPr>
          <w:p>
            <w:pPr>
              <w:jc w:val="center"/>
            </w:pPr>
            <w:r>
              <w:rPr>
                <w:rFonts w:ascii="Arial" w:cs="Arial" w:eastAsia="Arial" w:hAnsi="Arial"/>
                <w:color w:val="217346"/>
                <w:sz w:val="19"/>
                <w:szCs w:val="19"/>
              </w:rPr>
              <w:t xml:space="preserve">137</w:t>
            </w:r>
          </w:p>
        </w:tc>
        <w:tc>
          <w:tcPr>
            <w:tcW w:type="dxa" w:w="1520"/>
            <w:shd w:fill="F2F2F2" w:val="clear"/>
            <w:tcMar>
              <w:top w:type="dxa" w:w="70"/>
              <w:left w:type="dxa" w:w="100"/>
              <w:bottom w:type="dxa" w:w="70"/>
              <w:right w:type="dxa" w:w="100"/>
            </w:tcMar>
            <w:vAlign w:val="center"/>
          </w:tcPr>
          <w:p>
            <w:pPr>
              <w:jc w:val="center"/>
            </w:pPr>
            <w:r>
              <w:rPr>
                <w:rFonts w:ascii="Arial" w:cs="Arial" w:eastAsia="Arial" w:hAnsi="Arial"/>
                <w:color w:val="217346"/>
                <w:sz w:val="19"/>
                <w:szCs w:val="19"/>
              </w:rPr>
              <w:t xml:space="preserve">636</w:t>
            </w:r>
          </w:p>
        </w:tc>
        <w:tc>
          <w:tcPr>
            <w:tcW w:type="dxa" w:w="1520"/>
            <w:shd w:fill="F2F2F2" w:val="clear"/>
            <w:tcMar>
              <w:top w:type="dxa" w:w="70"/>
              <w:left w:type="dxa" w:w="100"/>
              <w:bottom w:type="dxa" w:w="70"/>
              <w:right w:type="dxa" w:w="100"/>
            </w:tcMar>
            <w:vAlign w:val="center"/>
          </w:tcPr>
          <w:p>
            <w:pPr>
              <w:jc w:val="center"/>
            </w:pPr>
            <w:r>
              <w:rPr>
                <w:rFonts w:ascii="Arial" w:cs="Arial" w:eastAsia="Arial" w:hAnsi="Arial"/>
                <w:color w:val="217346"/>
                <w:sz w:val="19"/>
                <w:szCs w:val="19"/>
              </w:rPr>
              <w:t xml:space="preserve">646</w:t>
            </w:r>
          </w:p>
        </w:tc>
        <w:tc>
          <w:tcPr>
            <w:tcW w:type="dxa" w:w="1520"/>
            <w:shd w:fill="F2F2F2" w:val="clear"/>
            <w:tcMar>
              <w:top w:type="dxa" w:w="70"/>
              <w:left w:type="dxa" w:w="100"/>
              <w:bottom w:type="dxa" w:w="70"/>
              <w:right w:type="dxa" w:w="100"/>
            </w:tcMar>
            <w:vAlign w:val="center"/>
          </w:tcPr>
          <w:p>
            <w:pPr>
              <w:jc w:val="center"/>
            </w:pPr>
            <w:r>
              <w:rPr>
                <w:rFonts w:ascii="Arial" w:cs="Arial" w:eastAsia="Arial" w:hAnsi="Arial"/>
                <w:color w:val="217346"/>
                <w:sz w:val="19"/>
                <w:szCs w:val="19"/>
              </w:rPr>
              <w:t xml:space="preserve">893</w:t>
            </w:r>
          </w:p>
        </w:tc>
        <w:tc>
          <w:tcPr>
            <w:tcW w:type="dxa" w:w="1520"/>
            <w:shd w:fill="F2F2F2" w:val="clear"/>
            <w:tcMar>
              <w:top w:type="dxa" w:w="70"/>
              <w:left w:type="dxa" w:w="100"/>
              <w:bottom w:type="dxa" w:w="70"/>
              <w:right w:type="dxa" w:w="100"/>
            </w:tcMar>
            <w:vAlign w:val="center"/>
          </w:tcPr>
          <w:p>
            <w:pPr>
              <w:jc w:val="center"/>
            </w:pPr>
            <w:r>
              <w:rPr>
                <w:rFonts w:ascii="Arial" w:cs="Arial" w:eastAsia="Arial" w:hAnsi="Arial"/>
                <w:color w:val="217346"/>
                <w:sz w:val="19"/>
                <w:szCs w:val="19"/>
              </w:rPr>
              <w:t xml:space="preserve">724</w:t>
            </w:r>
          </w:p>
        </w:tc>
      </w:tr>
      <w:tr>
        <w:tc>
          <w:tcPr>
            <w:tcW w:type="dxa" w:w="3200"/>
            <w:tcMar>
              <w:top w:type="dxa" w:w="70"/>
              <w:left w:type="dxa" w:w="100"/>
              <w:bottom w:type="dxa" w:w="70"/>
              <w:right w:type="dxa" w:w="100"/>
            </w:tcMar>
            <w:vAlign w:val="center"/>
          </w:tcPr>
          <w:p>
            <w:r>
              <w:rPr>
                <w:rFonts w:ascii="Arial" w:cs="Arial" w:eastAsia="Arial" w:hAnsi="Arial"/>
                <w:b/>
                <w:bCs/>
                <w:color w:val="111111"/>
                <w:sz w:val="19"/>
                <w:szCs w:val="19"/>
              </w:rPr>
              <w:t xml:space="preserve">Free cash flow ($mm)</w:t>
            </w:r>
          </w:p>
        </w:tc>
        <w:tc>
          <w:tcPr>
            <w:tcW w:type="dxa" w:w="1520"/>
            <w:tcMar>
              <w:top w:type="dxa" w:w="70"/>
              <w:left w:type="dxa" w:w="100"/>
              <w:bottom w:type="dxa" w:w="70"/>
              <w:right w:type="dxa" w:w="100"/>
            </w:tcMar>
            <w:vAlign w:val="center"/>
          </w:tcPr>
          <w:p>
            <w:pPr>
              <w:jc w:val="center"/>
            </w:pPr>
            <w:r>
              <w:rPr>
                <w:rFonts w:ascii="Arial" w:cs="Arial" w:eastAsia="Arial" w:hAnsi="Arial"/>
                <w:color w:val="217346"/>
                <w:sz w:val="19"/>
                <w:szCs w:val="19"/>
              </w:rPr>
              <w:t xml:space="preserve">61</w:t>
            </w:r>
          </w:p>
        </w:tc>
        <w:tc>
          <w:tcPr>
            <w:tcW w:type="dxa" w:w="1520"/>
            <w:tcMar>
              <w:top w:type="dxa" w:w="70"/>
              <w:left w:type="dxa" w:w="100"/>
              <w:bottom w:type="dxa" w:w="70"/>
              <w:right w:type="dxa" w:w="100"/>
            </w:tcMar>
            <w:vAlign w:val="center"/>
          </w:tcPr>
          <w:p>
            <w:pPr>
              <w:jc w:val="center"/>
            </w:pPr>
            <w:r>
              <w:rPr>
                <w:rFonts w:ascii="Arial" w:cs="Arial" w:eastAsia="Arial" w:hAnsi="Arial"/>
                <w:color w:val="217346"/>
                <w:sz w:val="19"/>
                <w:szCs w:val="19"/>
              </w:rPr>
              <w:t xml:space="preserve">584</w:t>
            </w:r>
          </w:p>
        </w:tc>
        <w:tc>
          <w:tcPr>
            <w:tcW w:type="dxa" w:w="1520"/>
            <w:tcMar>
              <w:top w:type="dxa" w:w="70"/>
              <w:left w:type="dxa" w:w="100"/>
              <w:bottom w:type="dxa" w:w="70"/>
              <w:right w:type="dxa" w:w="100"/>
            </w:tcMar>
            <w:vAlign w:val="center"/>
          </w:tcPr>
          <w:p>
            <w:pPr>
              <w:jc w:val="center"/>
            </w:pPr>
            <w:r>
              <w:rPr>
                <w:rFonts w:ascii="Arial" w:cs="Arial" w:eastAsia="Arial" w:hAnsi="Arial"/>
                <w:color w:val="217346"/>
                <w:sz w:val="19"/>
                <w:szCs w:val="19"/>
              </w:rPr>
              <w:t xml:space="preserve">547</w:t>
            </w:r>
          </w:p>
        </w:tc>
        <w:tc>
          <w:tcPr>
            <w:tcW w:type="dxa" w:w="1520"/>
            <w:tcMar>
              <w:top w:type="dxa" w:w="70"/>
              <w:left w:type="dxa" w:w="100"/>
              <w:bottom w:type="dxa" w:w="70"/>
              <w:right w:type="dxa" w:w="100"/>
            </w:tcMar>
            <w:vAlign w:val="center"/>
          </w:tcPr>
          <w:p>
            <w:pPr>
              <w:jc w:val="center"/>
            </w:pPr>
            <w:r>
              <w:rPr>
                <w:rFonts w:ascii="Arial" w:cs="Arial" w:eastAsia="Arial" w:hAnsi="Arial"/>
                <w:color w:val="217346"/>
                <w:sz w:val="19"/>
                <w:szCs w:val="19"/>
              </w:rPr>
              <w:t xml:space="preserve">811</w:t>
            </w:r>
          </w:p>
        </w:tc>
        <w:tc>
          <w:tcPr>
            <w:tcW w:type="dxa" w:w="1520"/>
            <w:tcMar>
              <w:top w:type="dxa" w:w="70"/>
              <w:left w:type="dxa" w:w="100"/>
              <w:bottom w:type="dxa" w:w="70"/>
              <w:right w:type="dxa" w:w="100"/>
            </w:tcMar>
            <w:vAlign w:val="center"/>
          </w:tcPr>
          <w:p>
            <w:pPr>
              <w:jc w:val="center"/>
            </w:pPr>
            <w:r>
              <w:rPr>
                <w:rFonts w:ascii="Arial" w:cs="Arial" w:eastAsia="Arial" w:hAnsi="Arial"/>
                <w:color w:val="217346"/>
                <w:sz w:val="19"/>
                <w:szCs w:val="19"/>
              </w:rPr>
              <w:t xml:space="preserve">646</w:t>
            </w:r>
          </w:p>
        </w:tc>
      </w:tr>
    </w:tbl>
    <w:p>
      <w:pPr>
        <w:pStyle w:val="Heading1"/>
        <w:pBdr>
          <w:bottom w:val="single" w:color="1F3864" w:sz="6" w:space="4"/>
        </w:pBdr>
        <w:spacing w:after="150" w:before="300"/>
      </w:pPr>
      <w:r>
        <w:rPr>
          <w:rFonts w:ascii="Arial" w:cs="Arial" w:eastAsia="Arial" w:hAnsi="Arial"/>
          <w:b/>
          <w:bCs/>
          <w:color w:val="1F3864"/>
          <w:sz w:val="28"/>
          <w:szCs w:val="28"/>
        </w:rPr>
        <w:t xml:space="preserve">Notes &amp; Assumptions</w:t>
      </w:r>
    </w:p>
    <w:p>
      <w:pPr>
        <w:spacing w:after="100" w:line="264"/>
        <w:ind w:left="360"/>
      </w:pPr>
      <w:r>
        <w:rPr>
          <w:rFonts w:ascii="Arial" w:cs="Arial" w:eastAsia="Arial" w:hAnsi="Arial"/>
          <w:b/>
          <w:bCs/>
          <w:color w:val="1F3864"/>
          <w:sz w:val="21"/>
          <w:szCs w:val="21"/>
        </w:rPr>
        <w:t xml:space="preserve">•  </w:t>
      </w:r>
      <w:r>
        <w:rPr>
          <w:rFonts w:ascii="Arial" w:cs="Arial" w:eastAsia="Arial" w:hAnsi="Arial"/>
          <w:color w:val="222222"/>
          <w:sz w:val="21"/>
          <w:szCs w:val="21"/>
        </w:rPr>
        <w:t xml:space="preserve">ROE and ROA use “Profit/(loss) for the year” (post-tax, pre non-controlling-interest split) as net income; ROA divides by period-end Total assets (not averaged).</w:t>
      </w:r>
    </w:p>
    <w:p>
      <w:pPr>
        <w:spacing w:after="100" w:line="264"/>
        <w:ind w:left="360"/>
      </w:pPr>
      <w:r>
        <w:rPr>
          <w:rFonts w:ascii="Arial" w:cs="Arial" w:eastAsia="Arial" w:hAnsi="Arial"/>
          <w:b/>
          <w:bCs/>
          <w:color w:val="1F3864"/>
          <w:sz w:val="21"/>
          <w:szCs w:val="21"/>
        </w:rPr>
        <w:t xml:space="preserve">•  </w:t>
      </w:r>
      <w:r>
        <w:rPr>
          <w:rFonts w:ascii="Arial" w:cs="Arial" w:eastAsia="Arial" w:hAnsi="Arial"/>
          <w:color w:val="222222"/>
          <w:sz w:val="21"/>
          <w:szCs w:val="21"/>
        </w:rPr>
        <w:t xml:space="preserve">Share price is IHG’s London Stock Exchange (primary listing) year-end closing price in £, as disclosed in each year’s Annual Report/Form 20-F (“Share price and market capitalisation” section), converted to $ at the published year-end GBP:US$ exchange rate so it sits on a consistent $ basis with EPS and the other ratios.</w:t>
      </w:r>
    </w:p>
    <w:p>
      <w:pPr>
        <w:spacing w:after="100" w:line="264"/>
        <w:ind w:left="360"/>
      </w:pPr>
      <w:r>
        <w:rPr>
          <w:rFonts w:ascii="Arial" w:cs="Arial" w:eastAsia="Arial" w:hAnsi="Arial"/>
          <w:b/>
          <w:bCs/>
          <w:color w:val="1F3864"/>
          <w:sz w:val="21"/>
          <w:szCs w:val="21"/>
        </w:rPr>
        <w:t xml:space="preserve">•  </w:t>
      </w:r>
      <w:r>
        <w:rPr>
          <w:rFonts w:ascii="Arial" w:cs="Arial" w:eastAsia="Arial" w:hAnsi="Arial"/>
          <w:color w:val="222222"/>
          <w:sz w:val="21"/>
          <w:szCs w:val="21"/>
        </w:rPr>
        <w:t xml:space="preserve">P/E = year-end $ share price ÷ Basic EPS (converted from cents to $).</w:t>
      </w:r>
    </w:p>
    <w:p>
      <w:pPr>
        <w:spacing w:after="100" w:line="264"/>
        <w:ind w:left="360"/>
      </w:pPr>
      <w:r>
        <w:rPr>
          <w:rFonts w:ascii="Arial" w:cs="Arial" w:eastAsia="Arial" w:hAnsi="Arial"/>
          <w:b/>
          <w:bCs/>
          <w:color w:val="1F3864"/>
          <w:sz w:val="21"/>
          <w:szCs w:val="21"/>
        </w:rPr>
        <w:t xml:space="preserve">•  </w:t>
      </w:r>
      <w:r>
        <w:rPr>
          <w:rFonts w:ascii="Arial" w:cs="Arial" w:eastAsia="Arial" w:hAnsi="Arial"/>
          <w:color w:val="222222"/>
          <w:sz w:val="21"/>
          <w:szCs w:val="21"/>
        </w:rPr>
        <w:t xml:space="preserve">Operating Cash Flow Ratio = Net cash from operating activities ÷ Total current liabilities.</w:t>
      </w:r>
    </w:p>
    <w:p>
      <w:pPr>
        <w:spacing w:after="100" w:line="264"/>
        <w:ind w:left="360"/>
      </w:pPr>
      <w:r>
        <w:rPr>
          <w:rFonts w:ascii="Arial" w:cs="Arial" w:eastAsia="Arial" w:hAnsi="Arial"/>
          <w:b/>
          <w:bCs/>
          <w:color w:val="1F3864"/>
          <w:sz w:val="21"/>
          <w:szCs w:val="21"/>
        </w:rPr>
        <w:t xml:space="preserve">•  </w:t>
      </w:r>
      <w:r>
        <w:rPr>
          <w:rFonts w:ascii="Arial" w:cs="Arial" w:eastAsia="Arial" w:hAnsi="Arial"/>
          <w:color w:val="222222"/>
          <w:sz w:val="21"/>
          <w:szCs w:val="21"/>
        </w:rPr>
        <w:t xml:space="preserve">Free Cash Flow = Net cash from operating activities less capital expenditure (purchases of property, plant &amp; equipment and intangible assets); it excludes other investing items such as M&amp;A and financial-asset movements. Free Cash Flow Margin = Free Cash Flow ÷ Total revenue.</w:t>
      </w:r>
    </w:p>
    <w:p>
      <w:pPr>
        <w:spacing w:after="100" w:line="264"/>
        <w:ind w:left="360"/>
      </w:pPr>
      <w:r>
        <w:rPr>
          <w:rFonts w:ascii="Arial" w:cs="Arial" w:eastAsia="Arial" w:hAnsi="Arial"/>
          <w:b/>
          <w:bCs/>
          <w:color w:val="1F3864"/>
          <w:sz w:val="21"/>
          <w:szCs w:val="21"/>
        </w:rPr>
        <w:t xml:space="preserve">•  </w:t>
      </w:r>
      <w:r>
        <w:rPr>
          <w:rFonts w:ascii="Arial" w:cs="Arial" w:eastAsia="Arial" w:hAnsi="Arial"/>
          <w:color w:val="222222"/>
          <w:sz w:val="21"/>
          <w:szCs w:val="21"/>
        </w:rPr>
        <w:t xml:space="preserve">All underlying figures are sourced from IHG’s Annual Reports/Form 20-F, FY2020–FY2024, and from the companion Ratios_5YRS.xlsx workbook (tabs IS_5YR, BS_5YR, CFS_5YR, Ratio_5YRS), where these ratios are also computed as live formulas.</w:t>
      </w:r>
    </w:p>
    <w:sectPr>
      <w:footerReference w:type="default" r:id="rId7"/>
      <w:pgSz w:w="12240" w:h="15840" w:orient="portrait"/>
      <w:pgMar w:top="1080" w:right="1080" w:bottom="1080" w:left="1080" w:header="708" w:footer="708" w:gutter="0"/>
      <w:pgNumType/>
      <w:docGrid w:linePitch="360"/>
    </w:sectPr>
  </w:body>
</w:document>
</file>

<file path=word/comments.xml><?xml version="1.0" encoding="utf-8"?>
<w:comment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pPr>
        <w:spacing w:after="0" w:line="240" w:lineRule="auto"/>
      </w:pPr>
      <w:r>
        <w:rPr>
          <w:rStyle w:val="EndnoteReference"/>
        </w:rPr>
        <w:endnoteRef/>
      </w:r>
      <w:r>
        <w:separator/>
      </w:r>
    </w:p>
  </w:endnote>
  <w:endnote w:type="continuationSeparator" w:id="0">
    <w:p>
      <w:pPr>
        <w:spacing w:after="0" w:line="240" w:lineRule="auto"/>
      </w:pPr>
      <w:r>
        <w:rPr>
          <w:rStyle w:val="EndnoteReference"/>
        </w:rPr>
        <w:endnoteRef/>
      </w: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w:p>
    <w:pPr>
      <w:jc w:val="center"/>
    </w:pPr>
    <w:r>
      <w:rPr>
        <w:rFonts w:ascii="Arial" w:cs="Arial" w:eastAsia="Arial" w:hAnsi="Arial"/>
        <w:color w:val="595959"/>
        <w:sz w:val="16"/>
        <w:szCs w:val="16"/>
      </w:rPr>
      <w:t xml:space="preserve">Page </w:t>
    </w:r>
    <w:r>
      <w:rPr>
        <w:rFonts w:ascii="Arial" w:cs="Arial" w:eastAsia="Arial" w:hAnsi="Arial"/>
        <w:color w:val="595959"/>
        <w:sz w:val="16"/>
        <w:szCs w:val="16"/>
      </w:rPr>
      <w:fldChar w:fldCharType="begin"/>
      <w:instrText xml:space="preserve">PAGE</w:instrText>
      <w:fldChar w:fldCharType="separate"/>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pPr>
        <w:spacing w:after="0" w:line="240" w:lineRule="auto"/>
      </w:pPr>
      <w:r>
        <w:rPr>
          <w:rStyle w:val="FootnoteReference"/>
        </w:rPr>
        <w:footnoteRef/>
      </w:r>
      <w:r>
        <w:separator/>
      </w:r>
    </w:p>
  </w:footnote>
  <w:footnote w:type="continuationSeparator" w:id="0">
    <w:p>
      <w:pPr>
        <w:spacing w:after="0" w:line="240" w:lineRule="auto"/>
      </w:pPr>
      <w:r>
        <w:rPr>
          <w:rStyle w:val="FootnoteReference"/>
        </w:rPr>
        <w:footnoteRef/>
      </w: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1" w15:restartNumberingAfterBreak="0">
    <w:multiLevelType w:val="hybridMultilevel"/>
    <w:lvl w:ilvl="0" w15:tentative="1">
      <w:start w:val="1"/>
      <w:numFmt w:val="bullet"/>
      <w:lvlText w:val="●"/>
      <w:lvlJc w:val="left"/>
      <w:pPr>
        <w:ind w:left="720" w:hanging="360"/>
      </w:pPr>
    </w:lvl>
    <w:lvl w:ilvl="1" w15:tentative="1">
      <w:start w:val="1"/>
      <w:numFmt w:val="bullet"/>
      <w:lvlText w:val="○"/>
      <w:lvlJc w:val="left"/>
      <w:pPr>
        <w:ind w:left="1440" w:hanging="360"/>
      </w:pPr>
    </w:lvl>
    <w:lvl w:ilvl="2" w15:tentative="1">
      <w:start w:val="1"/>
      <w:numFmt w:val="bullet"/>
      <w:lvlText w:val="■"/>
      <w:lvlJc w:val="left"/>
      <w:pPr>
        <w:ind w:left="2160" w:hanging="360"/>
      </w:pPr>
    </w:lvl>
    <w:lvl w:ilvl="3" w15:tentative="1">
      <w:start w:val="1"/>
      <w:numFmt w:val="bullet"/>
      <w:lvlText w:val="●"/>
      <w:lvlJc w:val="left"/>
      <w:pPr>
        <w:ind w:left="2880" w:hanging="360"/>
      </w:pPr>
    </w:lvl>
    <w:lvl w:ilvl="4" w15:tentative="1">
      <w:start w:val="1"/>
      <w:numFmt w:val="bullet"/>
      <w:lvlText w:val="○"/>
      <w:lvlJc w:val="left"/>
      <w:pPr>
        <w:ind w:left="3600" w:hanging="360"/>
      </w:pPr>
    </w:lvl>
    <w:lvl w:ilvl="5" w15:tentative="1">
      <w:start w:val="1"/>
      <w:numFmt w:val="bullet"/>
      <w:lvlText w:val="■"/>
      <w:lvlJc w:val="left"/>
      <w:pPr>
        <w:ind w:left="4320" w:hanging="360"/>
      </w:pPr>
    </w:lvl>
    <w:lvl w:ilvl="6" w15:tentative="1">
      <w:start w:val="1"/>
      <w:numFmt w:val="bullet"/>
      <w:lvlText w:val="●"/>
      <w:lvlJc w:val="left"/>
      <w:pPr>
        <w:ind w:left="5040" w:hanging="360"/>
      </w:pPr>
    </w:lvl>
    <w:lvl w:ilvl="7" w15:tentative="1">
      <w:start w:val="1"/>
      <w:numFmt w:val="bullet"/>
      <w:lvlText w:val="●"/>
      <w:lvlJc w:val="left"/>
      <w:pPr>
        <w:ind w:left="5760" w:hanging="360"/>
      </w:pPr>
    </w:lvl>
    <w:lvl w:ilvl="8" w15:tentative="1">
      <w:start w:val="1"/>
      <w:numFmt w:val="bullet"/>
      <w:lvlText w:val="●"/>
      <w:lvlJc w:val="left"/>
      <w:pPr>
        <w:ind w:left="6480" w:hanging="360"/>
      </w:pPr>
    </w:lvl>
  </w:abstractNum>
  <w:num w:numId="1">
    <w:abstractNumId w:val="1"/>
    <w:lvlOverride w:ilvl="0">
      <w:startOverride w:val="1"/>
    </w:lvlOverride>
  </w:num>
</w:numbering>
</file>

<file path=word/settings.xml><?xml version="1.0" encoding="utf-8"?>
<w:setting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isplayBackgroundShape/>
  <w:evenAndOddHeaders w:val="false"/>
  <w:compat>
    <w:compatSetting w:val="15" w:name="compatibilityMode" w:uri="http://schemas.microsoft.com/office/word"/>
  </w:compat>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pPrDefault/>
  </w:docDefaults>
  <w:style w:type="paragraph" w:styleId="Title">
    <w:name w:val="Title"/>
    <w:basedOn w:val="Normal"/>
    <w:next w:val="Normal"/>
    <w:qFormat/>
    <w:rPr>
      <w:sz w:val="56"/>
      <w:szCs w:val="56"/>
    </w:rPr>
  </w:style>
  <w:style w:type="paragraph" w:styleId="Heading1">
    <w:name w:val="Heading 1"/>
    <w:basedOn w:val="Normal"/>
    <w:next w:val="Normal"/>
    <w:qFormat/>
    <w:rPr>
      <w:color w:val="2E74B5"/>
      <w:sz w:val="32"/>
      <w:szCs w:val="32"/>
    </w:rPr>
  </w:style>
  <w:style w:type="paragraph" w:styleId="Heading2">
    <w:name w:val="Heading 2"/>
    <w:basedOn w:val="Normal"/>
    <w:next w:val="Normal"/>
    <w:qFormat/>
    <w:rPr>
      <w:color w:val="2E74B5"/>
      <w:sz w:val="26"/>
      <w:szCs w:val="26"/>
    </w:rPr>
  </w:style>
  <w:style w:type="paragraph" w:styleId="Heading3">
    <w:name w:val="Heading 3"/>
    <w:basedOn w:val="Normal"/>
    <w:next w:val="Normal"/>
    <w:qFormat/>
    <w:rPr>
      <w:color w:val="1F4D78"/>
      <w:sz w:val="24"/>
      <w:szCs w:val="24"/>
    </w:rPr>
  </w:style>
  <w:style w:type="paragraph" w:styleId="Heading4">
    <w:name w:val="Heading 4"/>
    <w:basedOn w:val="Normal"/>
    <w:next w:val="Normal"/>
    <w:qFormat/>
    <w:rPr>
      <w:i/>
      <w:iCs/>
      <w:color w:val="2E74B5"/>
    </w:rPr>
  </w:style>
  <w:style w:type="paragraph" w:styleId="Heading5">
    <w:name w:val="Heading 5"/>
    <w:basedOn w:val="Normal"/>
    <w:next w:val="Normal"/>
    <w:qFormat/>
    <w:rPr>
      <w:color w:val="2E74B5"/>
    </w:rPr>
  </w:style>
  <w:style w:type="paragraph" w:styleId="Heading6">
    <w:name w:val="Heading 6"/>
    <w:basedOn w:val="Normal"/>
    <w:next w:val="Normal"/>
    <w:qFormat/>
    <w:rPr>
      <w:color w:val="1F4D78"/>
    </w:rPr>
  </w:style>
  <w:style w:type="paragraph" w:styleId="Strong">
    <w:name w:val="Strong"/>
    <w:basedOn w:val="Normal"/>
    <w:next w:val="Normal"/>
    <w:qFormat/>
    <w:rPr>
      <w:b/>
      <w:bCs/>
    </w:rPr>
  </w:style>
  <w:style w:type="paragraph" w:styleId="ListParagraph">
    <w:name w:val="List Paragraph"/>
    <w:basedOn w:val="Normal"/>
    <w:qFormat/>
  </w:style>
  <w:style w:type="character" w:styleId="Hyperlink">
    <w:name w:val="Hyperlink"/>
    <w:basedOn w:val="DefaultParagraphFont"/>
    <w:uiPriority w:val="99"/>
    <w:unhideWhenUsed/>
    <w:rPr>
      <w:color w:val="0563C1"/>
      <w:u w:val="single"/>
    </w:rPr>
  </w:style>
  <w:style w:type="character" w:styleId="FootnoteReference">
    <w:name w:val="footnote reference"/>
    <w:basedOn w:val="DefaultParagraphFont"/>
    <w:uiPriority w:val="99"/>
    <w:semiHidden/>
    <w:unhideWhenUsed/>
    <w:rPr>
      <w:vertAlign w:val="superscript"/>
    </w:r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styleId="FootnoteTextChar">
    <w:name w:val="Footnote Text Char"/>
    <w:basedOn w:val="DefaultParagraphFont"/>
    <w:link w:val="FootnoteText"/>
    <w:uiPriority w:val="99"/>
    <w:semiHidden/>
    <w:unhideWhenUsed/>
    <w:rPr>
      <w:sz w:val="20"/>
      <w:szCs w:val="20"/>
    </w:rPr>
  </w:style>
  <w:style w:type="character" w:styleId="EndnoteReference">
    <w:name w:val="endnote reference"/>
    <w:basedOn w:val="DefaultParagraphFont"/>
    <w:uiPriority w:val="99"/>
    <w:semiHidden/>
    <w:unhideWhenUsed/>
    <w:rPr>
      <w:vertAlign w:val="superscript"/>
    </w:rPr>
  </w:style>
  <w:style w:type="paragraph" w:styleId="EndnoteText">
    <w:name w:val="endnote text"/>
    <w:basedOn w:val="Normal"/>
    <w:link w:val="EndnoteTextChar"/>
    <w:uiPriority w:val="99"/>
    <w:semiHidden/>
    <w:unhideWhenUsed/>
    <w:pPr>
      <w:spacing w:after="0" w:line="240" w:lineRule="auto"/>
    </w:pPr>
    <w:rPr>
      <w:sz w:val="20"/>
      <w:szCs w:val="20"/>
    </w:rPr>
  </w:style>
  <w:style w:type="character" w:styleId="EndnoteTextChar">
    <w:name w:val="Endnote Text Char"/>
    <w:basedOn w:val="DefaultParagraphFont"/>
    <w:link w:val="EndnoteText"/>
    <w:uiPriority w:val="99"/>
    <w:semiHidden/>
    <w:unhideWhenUsed/>
    <w:rPr>
      <w:sz w:val="20"/>
      <w:szCs w:val="20"/>
    </w:rPr>
  </w:style>
</w:styles>
</file>

<file path=word/_rels/comments.xml.rels><?xml version="1.0" encoding="UTF-8"?><Relationships xmlns="http://schemas.openxmlformats.org/package/2006/relationships"/>
</file>

<file path=word/_rels/document.xml.rels><?xml version="1.0" encoding="UTF-8"?><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footnotes" Target="footnotes.xml"/><Relationship Id="rId4" Type="http://schemas.openxmlformats.org/officeDocument/2006/relationships/endnotes" Target="endnotes.xml"/><Relationship Id="rId5" Type="http://schemas.openxmlformats.org/officeDocument/2006/relationships/settings" Target="settings.xml"/><Relationship Id="rId6" Type="http://schemas.openxmlformats.org/officeDocument/2006/relationships/comments" Target="comments.xml"/><Relationship Id="rId7" Type="http://schemas.openxmlformats.org/officeDocument/2006/relationships/footer" Target="footer1.xml"/><Relationship Id="rId8" Type="http://schemas.openxmlformats.org/officeDocument/2006/relationships/fontTable" Target="fontTable.xml"/></Relationships>
</file>

<file path=word/_rels/endnotes.xml.rels><?xml version="1.0" encoding="UTF-8"?><Relationships xmlns="http://schemas.openxmlformats.org/package/2006/relationships"/>
</file>

<file path=word/_rels/fontTable.xml.rels><?xml version="1.0" encoding="UTF-8"?><Relationships xmlns="http://schemas.openxmlformats.org/package/2006/relationships"/>
</file>

<file path=word/_rels/footer1.xml.rels><?xml version="1.0" encoding="UTF-8"?><Relationships xmlns="http://schemas.openxmlformats.org/package/2006/relationships"/>
</file>

<file path=word/_rels/footnotes.xml.rels><?xml version="1.0" encoding="UTF-8"?><Relationships xmlns="http://schemas.openxmlformats.org/package/2006/relationships"/>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Un-named</cp:lastModifiedBy>
  <cp:revision>1</cp:revision>
  <dcterms:created xsi:type="dcterms:W3CDTF">2026-08-07T19:57:08.814Z</dcterms:created>
  <dcterms:modified xsi:type="dcterms:W3CDTF">2026-08-07T19:57:08.848Z</dcterms:modified>
</cp:coreProperties>
</file>

<file path=docProps/custom.xml><?xml version="1.0" encoding="utf-8"?>
<Properties xmlns="http://schemas.openxmlformats.org/officeDocument/2006/custom-properties" xmlns:vt="http://schemas.openxmlformats.org/officeDocument/2006/docPropsVTypes"/>
</file>