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Riley Tippett </w:t>
      </w:r>
    </w:p>
    <w:p w:rsidR="00000000" w:rsidDel="00000000" w:rsidP="00000000" w:rsidRDefault="00000000" w:rsidRPr="00000000" w14:paraId="00000002">
      <w:pPr>
        <w:rPr/>
      </w:pPr>
      <w:r w:rsidDel="00000000" w:rsidR="00000000" w:rsidRPr="00000000">
        <w:rPr>
          <w:rtl w:val="0"/>
        </w:rPr>
        <w:t xml:space="preserve">2305603</w:t>
      </w:r>
    </w:p>
    <w:p w:rsidR="00000000" w:rsidDel="00000000" w:rsidP="00000000" w:rsidRDefault="00000000" w:rsidRPr="00000000" w14:paraId="00000003">
      <w:pPr>
        <w:rPr/>
      </w:pPr>
      <w:r w:rsidDel="00000000" w:rsidR="00000000" w:rsidRPr="00000000">
        <w:rPr>
          <w:rtl w:val="0"/>
        </w:rPr>
        <w:t xml:space="preserve">Scott James</w:t>
      </w:r>
    </w:p>
    <w:p w:rsidR="00000000" w:rsidDel="00000000" w:rsidP="00000000" w:rsidRDefault="00000000" w:rsidRPr="00000000" w14:paraId="00000004">
      <w:pPr>
        <w:rPr/>
      </w:pPr>
      <w:r w:rsidDel="00000000" w:rsidR="00000000" w:rsidRPr="00000000">
        <w:rPr>
          <w:rtl w:val="0"/>
        </w:rPr>
        <w:t xml:space="preserve">Independent Project BMTP6015</w:t>
      </w:r>
    </w:p>
    <w:p w:rsidR="00000000" w:rsidDel="00000000" w:rsidP="00000000" w:rsidRDefault="00000000" w:rsidRPr="00000000" w14:paraId="00000005">
      <w:pPr>
        <w:rPr/>
      </w:pPr>
      <w:r w:rsidDel="00000000" w:rsidR="00000000" w:rsidRPr="00000000">
        <w:rPr>
          <w:rtl w:val="0"/>
        </w:rPr>
        <w:t xml:space="preserve">Research Project</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Word Count - 2521</w:t>
      </w:r>
    </w:p>
    <w:p w:rsidR="00000000" w:rsidDel="00000000" w:rsidP="00000000" w:rsidRDefault="00000000" w:rsidRPr="00000000" w14:paraId="00000008">
      <w:pPr>
        <w:widowControl w:val="0"/>
        <w:rPr>
          <w:b w:val="1"/>
          <w:bCs w:val="1"/>
          <w:i w:val="1"/>
          <w:iCs w:val="1"/>
          <w:sz w:val="24"/>
          <w:szCs w:val="24"/>
          <w:u w:val="single"/>
        </w:rPr>
      </w:pPr>
      <w:r w:rsidDel="00000000" w:rsidR="00000000" w:rsidRPr="00000000">
        <w:rPr>
          <w:rtl w:val="0"/>
        </w:rPr>
      </w:r>
    </w:p>
    <w:p w:rsidR="00000000" w:rsidDel="00000000" w:rsidP="00000000" w:rsidRDefault="00000000" w:rsidRPr="00000000" w14:paraId="00000009">
      <w:pPr>
        <w:widowControl w:val="0"/>
        <w:rPr>
          <w:b w:val="1"/>
          <w:bCs w:val="1"/>
          <w:i w:val="1"/>
          <w:iCs w:val="1"/>
          <w:sz w:val="24"/>
          <w:szCs w:val="24"/>
          <w:u w:val="single"/>
        </w:rPr>
      </w:pPr>
      <w:r w:rsidDel="00000000" w:rsidR="00000000" w:rsidRPr="00000000">
        <w:rPr>
          <w:b w:val="1"/>
          <w:bCs w:val="1"/>
          <w:i w:val="1"/>
          <w:iCs w:val="1"/>
          <w:sz w:val="24"/>
          <w:szCs w:val="24"/>
          <w:u w:val="single"/>
          <w:rtl w:val="0"/>
        </w:rPr>
        <w:t xml:space="preserve">Element One</w:t>
      </w:r>
    </w:p>
    <w:p w:rsidR="00000000" w:rsidDel="00000000" w:rsidP="00000000" w:rsidRDefault="00000000" w:rsidRPr="00000000" w14:paraId="0000000A">
      <w:pPr>
        <w:widowControl w:val="0"/>
        <w:rPr/>
      </w:pPr>
      <w:r w:rsidDel="00000000" w:rsidR="00000000" w:rsidRPr="00000000">
        <w:rPr>
          <w:rtl w:val="0"/>
        </w:rPr>
        <w:t xml:space="preserve">To what extent can future Olympic Games achieve genuine environmental sustainability compared to London 2012, Tokyo 2020, and Paris 2024?</w:t>
      </w:r>
    </w:p>
    <w:p w:rsidR="00000000" w:rsidDel="00000000" w:rsidP="00000000" w:rsidRDefault="00000000" w:rsidRPr="00000000" w14:paraId="0000000B">
      <w:pPr>
        <w:widowControl w:val="0"/>
        <w:rPr/>
      </w:pPr>
      <w:r w:rsidDel="00000000" w:rsidR="00000000" w:rsidRPr="00000000">
        <w:rPr>
          <w:rtl w:val="0"/>
        </w:rPr>
      </w:r>
    </w:p>
    <w:p w:rsidR="00000000" w:rsidDel="00000000" w:rsidP="00000000" w:rsidRDefault="00000000" w:rsidRPr="00000000" w14:paraId="0000000C">
      <w:pPr>
        <w:widowControl w:val="0"/>
        <w:rPr>
          <w:b w:val="1"/>
          <w:bCs w:val="1"/>
          <w:i w:val="1"/>
          <w:iCs w:val="1"/>
          <w:sz w:val="24"/>
          <w:szCs w:val="24"/>
          <w:u w:val="single"/>
        </w:rPr>
      </w:pPr>
      <w:r w:rsidDel="00000000" w:rsidR="00000000" w:rsidRPr="00000000">
        <w:rPr>
          <w:b w:val="1"/>
          <w:bCs w:val="1"/>
          <w:i w:val="1"/>
          <w:iCs w:val="1"/>
          <w:sz w:val="24"/>
          <w:szCs w:val="24"/>
          <w:u w:val="single"/>
          <w:rtl w:val="0"/>
        </w:rPr>
        <w:t xml:space="preserve">Research Problem and Objectives </w:t>
      </w:r>
    </w:p>
    <w:p w:rsidR="00000000" w:rsidDel="00000000" w:rsidP="00000000" w:rsidRDefault="00000000" w:rsidRPr="00000000" w14:paraId="0000000D">
      <w:pPr>
        <w:widowControl w:val="0"/>
        <w:rPr/>
      </w:pPr>
      <w:r w:rsidDel="00000000" w:rsidR="00000000" w:rsidRPr="00000000">
        <w:rPr>
          <w:rtl w:val="0"/>
        </w:rPr>
        <w:t xml:space="preserve">Environmental sustainability has become a central requirement for hosting the Olympic Games. Scholars such as Collins, Jones, and Munday (2009) demonstrate that mega-event environmental impacts are complex to measure and frequently under-reported, while Boykoff and Mascarenhas (2016) warn of the risk of “greenwashing” when organisers promote sustainability claims that are not independently verifiable. The International Olympic Committee’s sustainability strategy frames sustainability as a core organising principle (IOC, 2017; IOC, 2024), and recent hosts, London (London 2012 legacy reports), Tokyo (Tokyo 2020 post-Games sustainability report), and Paris (Paris 2024 sustainability commitments)have each published ambitious targets and post-Games documentation. Yet independent evaluations suggest gaps remain between rhetoric and measurable outcomes (Preuss, 2019; Girginov, 2013). For example, London’s official legacy evaluation summarises achievements but acknowledges the need for long-term assessment (UK Government, 2013), while Tokyo’s reporting prompted debate about carbon accounting methods (IOC, 2021). Paris 2024 reports strong reductions in construction emissions and reuse strategies, but independent verification and scrutiny are still emerging (Paris 2024, 2024).</w:t>
      </w:r>
    </w:p>
    <w:p w:rsidR="00000000" w:rsidDel="00000000" w:rsidP="00000000" w:rsidRDefault="00000000" w:rsidRPr="00000000" w14:paraId="0000000E">
      <w:pPr>
        <w:widowControl w:val="0"/>
        <w:rPr/>
      </w:pPr>
      <w:r w:rsidDel="00000000" w:rsidR="00000000" w:rsidRPr="00000000">
        <w:rPr>
          <w:rtl w:val="0"/>
        </w:rPr>
      </w:r>
    </w:p>
    <w:p w:rsidR="00000000" w:rsidDel="00000000" w:rsidP="00000000" w:rsidRDefault="00000000" w:rsidRPr="00000000" w14:paraId="0000000F">
      <w:pPr>
        <w:widowControl w:val="0"/>
        <w:rPr/>
      </w:pPr>
      <w:r w:rsidDel="00000000" w:rsidR="00000000" w:rsidRPr="00000000">
        <w:rPr>
          <w:rtl w:val="0"/>
        </w:rPr>
        <w:t xml:space="preserve">The central research problem is therefore the gap between sustainability claims and demonstrable environmental performance. This study will investigate which future Olympic Games can achieve genuine, verifiable environmental sustainability by critically comparing London 2012, Tokyo 2020, and Paris 2024. The primary objective of this research is to critically evaluate the extent to which future Olympic Games can achieve genuine environmental sustainability, using London 2012, Tokyo 2020, and Paris 2024 as comparative case studies.</w:t>
      </w:r>
    </w:p>
    <w:p w:rsidR="00000000" w:rsidDel="00000000" w:rsidP="00000000" w:rsidRDefault="00000000" w:rsidRPr="00000000" w14:paraId="00000010">
      <w:pPr>
        <w:widowControl w:val="0"/>
        <w:numPr>
          <w:ilvl w:val="0"/>
          <w:numId w:val="1"/>
        </w:numPr>
        <w:spacing w:after="0" w:afterAutospacing="0" w:before="240" w:lineRule="auto"/>
        <w:ind w:left="720" w:hanging="360"/>
      </w:pPr>
      <w:r w:rsidDel="00000000" w:rsidR="00000000" w:rsidRPr="00000000">
        <w:rPr>
          <w:rtl w:val="0"/>
        </w:rPr>
        <w:t xml:space="preserve">Examine the sustainability strategies, policies, and frameworks adopted by each host city.</w:t>
      </w:r>
    </w:p>
    <w:p w:rsidR="00000000" w:rsidDel="00000000" w:rsidP="00000000" w:rsidRDefault="00000000" w:rsidRPr="00000000" w14:paraId="00000011">
      <w:pPr>
        <w:widowControl w:val="0"/>
        <w:numPr>
          <w:ilvl w:val="0"/>
          <w:numId w:val="1"/>
        </w:numPr>
        <w:spacing w:after="0" w:afterAutospacing="0" w:before="0" w:beforeAutospacing="0" w:lineRule="auto"/>
        <w:ind w:left="720" w:hanging="360"/>
      </w:pPr>
      <w:r w:rsidDel="00000000" w:rsidR="00000000" w:rsidRPr="00000000">
        <w:rPr>
          <w:rtl w:val="0"/>
        </w:rPr>
        <w:t xml:space="preserve">Compare measurable environmental outcomes, including carbon emissions, waste management, energy use, and construction impacts.</w:t>
      </w:r>
    </w:p>
    <w:p w:rsidR="00000000" w:rsidDel="00000000" w:rsidP="00000000" w:rsidRDefault="00000000" w:rsidRPr="00000000" w14:paraId="00000012">
      <w:pPr>
        <w:widowControl w:val="0"/>
        <w:numPr>
          <w:ilvl w:val="0"/>
          <w:numId w:val="1"/>
        </w:numPr>
        <w:spacing w:after="0" w:afterAutospacing="0" w:before="0" w:beforeAutospacing="0" w:lineRule="auto"/>
        <w:ind w:left="720" w:hanging="360"/>
      </w:pPr>
      <w:r w:rsidDel="00000000" w:rsidR="00000000" w:rsidRPr="00000000">
        <w:rPr>
          <w:rtl w:val="0"/>
        </w:rPr>
        <w:t xml:space="preserve">Analyse the accuracy, transparency, and methodology of each event’s sustainability reporting.</w:t>
      </w:r>
    </w:p>
    <w:p w:rsidR="00000000" w:rsidDel="00000000" w:rsidP="00000000" w:rsidRDefault="00000000" w:rsidRPr="00000000" w14:paraId="00000013">
      <w:pPr>
        <w:widowControl w:val="0"/>
        <w:numPr>
          <w:ilvl w:val="0"/>
          <w:numId w:val="1"/>
        </w:numPr>
        <w:spacing w:after="0" w:afterAutospacing="0" w:before="0" w:beforeAutospacing="0" w:lineRule="auto"/>
        <w:ind w:left="720" w:hanging="360"/>
      </w:pPr>
      <w:r w:rsidDel="00000000" w:rsidR="00000000" w:rsidRPr="00000000">
        <w:rPr>
          <w:rtl w:val="0"/>
        </w:rPr>
        <w:t xml:space="preserve">Identify key barriers that prevent Olympic hosts from delivering authentic environmental performance.</w:t>
      </w:r>
    </w:p>
    <w:p w:rsidR="00000000" w:rsidDel="00000000" w:rsidP="00000000" w:rsidRDefault="00000000" w:rsidRPr="00000000" w14:paraId="00000014">
      <w:pPr>
        <w:widowControl w:val="0"/>
        <w:numPr>
          <w:ilvl w:val="0"/>
          <w:numId w:val="1"/>
        </w:numPr>
        <w:spacing w:after="240" w:before="0" w:beforeAutospacing="0" w:lineRule="auto"/>
        <w:ind w:left="720" w:hanging="360"/>
      </w:pPr>
      <w:r w:rsidDel="00000000" w:rsidR="00000000" w:rsidRPr="00000000">
        <w:rPr>
          <w:rtl w:val="0"/>
        </w:rPr>
        <w:t xml:space="preserve">Propose evidence-based recommendations for improving sustainability planning in future Games.</w:t>
        <w:br w:type="textWrapping"/>
      </w:r>
    </w:p>
    <w:p w:rsidR="00000000" w:rsidDel="00000000" w:rsidP="00000000" w:rsidRDefault="00000000" w:rsidRPr="00000000" w14:paraId="00000015">
      <w:pPr>
        <w:widowControl w:val="0"/>
        <w:spacing w:after="240" w:before="240" w:lineRule="auto"/>
        <w:ind w:left="0" w:firstLine="0"/>
        <w:rPr>
          <w:b w:val="1"/>
          <w:bCs w:val="1"/>
          <w:i w:val="1"/>
          <w:iCs w:val="1"/>
          <w:sz w:val="24"/>
          <w:szCs w:val="24"/>
          <w:u w:val="single"/>
        </w:rPr>
      </w:pPr>
      <w:r w:rsidDel="00000000" w:rsidR="00000000" w:rsidRPr="00000000">
        <w:rPr>
          <w:b w:val="1"/>
          <w:bCs w:val="1"/>
          <w:i w:val="1"/>
          <w:iCs w:val="1"/>
          <w:sz w:val="24"/>
          <w:szCs w:val="24"/>
          <w:u w:val="single"/>
          <w:rtl w:val="0"/>
        </w:rPr>
        <w:t xml:space="preserve">Research Question </w:t>
      </w:r>
    </w:p>
    <w:p w:rsidR="00000000" w:rsidDel="00000000" w:rsidP="00000000" w:rsidRDefault="00000000" w:rsidRPr="00000000" w14:paraId="00000016">
      <w:pPr>
        <w:widowControl w:val="0"/>
        <w:spacing w:after="240" w:before="240" w:lineRule="auto"/>
        <w:ind w:left="0" w:firstLine="0"/>
        <w:rPr/>
      </w:pPr>
      <w:r w:rsidDel="00000000" w:rsidR="00000000" w:rsidRPr="00000000">
        <w:rPr>
          <w:rtl w:val="0"/>
        </w:rPr>
        <w:t xml:space="preserve">By examining the instances of London 2012, Tokyo 2020, and Paris 2024, this paper explores whether future Olympic Games can achieve true, verifiable environmental sustainability. The research is guided by a collection of targeted, interconnected issues that represent both the scholarly discussion and the real-world challenges of organizing sustainable mega-events, aiming to successfully address this issue. Boykoff (2020) contends that sustainability reporting frequently lacks complete transparency, while Collins, Jones, and Munday (2009) point out that the environmental effects of mega-events are generally underestimated. On the other hand, recent host cities make bold claims about sustainability on their official platforms, like Paris 2024's declared pledge to cut its carbon footprint in half (Paris 2024, 2024). The requirement for important, precise research questions is shaped by these opposing viewpoints.</w:t>
      </w:r>
    </w:p>
    <w:p w:rsidR="00000000" w:rsidDel="00000000" w:rsidP="00000000" w:rsidRDefault="00000000" w:rsidRPr="00000000" w14:paraId="00000017">
      <w:pPr>
        <w:widowControl w:val="0"/>
        <w:spacing w:after="240" w:before="240" w:lineRule="auto"/>
        <w:rPr>
          <w:b w:val="1"/>
          <w:bCs w:val="1"/>
          <w:i w:val="1"/>
          <w:iCs w:val="1"/>
          <w:u w:val="single"/>
        </w:rPr>
      </w:pPr>
      <w:r w:rsidDel="00000000" w:rsidR="00000000" w:rsidRPr="00000000">
        <w:rPr>
          <w:b w:val="1"/>
          <w:bCs w:val="1"/>
          <w:i w:val="1"/>
          <w:iCs w:val="1"/>
          <w:u w:val="single"/>
          <w:rtl w:val="0"/>
        </w:rPr>
        <w:t xml:space="preserve">Research Question 1:</w:t>
      </w:r>
    </w:p>
    <w:p w:rsidR="00000000" w:rsidDel="00000000" w:rsidP="00000000" w:rsidRDefault="00000000" w:rsidRPr="00000000" w14:paraId="00000018">
      <w:pPr>
        <w:widowControl w:val="0"/>
        <w:spacing w:after="240" w:before="240" w:lineRule="auto"/>
        <w:rPr/>
      </w:pPr>
      <w:r w:rsidDel="00000000" w:rsidR="00000000" w:rsidRPr="00000000">
        <w:rPr>
          <w:rtl w:val="0"/>
        </w:rPr>
        <w:t xml:space="preserve">How effective were the environmental sustainability strategies implemented by London 2012, Tokyo 2020, and Paris 2024 when assessed against measurable outcomes such as carbon emissions, construction impacts, waste management, and energy use?</w:t>
      </w:r>
    </w:p>
    <w:p w:rsidR="00000000" w:rsidDel="00000000" w:rsidP="00000000" w:rsidRDefault="00000000" w:rsidRPr="00000000" w14:paraId="00000019">
      <w:pPr>
        <w:widowControl w:val="0"/>
        <w:spacing w:after="240" w:before="240" w:lineRule="auto"/>
        <w:rPr>
          <w:b w:val="1"/>
          <w:bCs w:val="1"/>
          <w:i w:val="1"/>
          <w:iCs w:val="1"/>
          <w:u w:val="single"/>
        </w:rPr>
      </w:pPr>
      <w:r w:rsidDel="00000000" w:rsidR="00000000" w:rsidRPr="00000000">
        <w:rPr>
          <w:b w:val="1"/>
          <w:bCs w:val="1"/>
          <w:i w:val="1"/>
          <w:iCs w:val="1"/>
          <w:u w:val="single"/>
          <w:rtl w:val="0"/>
        </w:rPr>
        <w:t xml:space="preserve">Research Question 2:</w:t>
      </w:r>
    </w:p>
    <w:p w:rsidR="00000000" w:rsidDel="00000000" w:rsidP="00000000" w:rsidRDefault="00000000" w:rsidRPr="00000000" w14:paraId="0000001A">
      <w:pPr>
        <w:widowControl w:val="0"/>
        <w:spacing w:after="240" w:before="240" w:lineRule="auto"/>
        <w:rPr/>
      </w:pPr>
      <w:r w:rsidDel="00000000" w:rsidR="00000000" w:rsidRPr="00000000">
        <w:rPr>
          <w:rtl w:val="0"/>
        </w:rPr>
        <w:t xml:space="preserve">To what extent do the sustainability reporting methods used by each host city provide transparent, verifiable, and comparable information?</w:t>
        <w:br w:type="textWrapping"/>
        <w:t xml:space="preserve"> This responds to concerns raised by Boykoff (2020) about “greenwashing” and inconsistent reporting.</w:t>
      </w:r>
    </w:p>
    <w:p w:rsidR="00000000" w:rsidDel="00000000" w:rsidP="00000000" w:rsidRDefault="00000000" w:rsidRPr="00000000" w14:paraId="0000001B">
      <w:pPr>
        <w:widowControl w:val="0"/>
        <w:spacing w:after="240" w:before="240" w:lineRule="auto"/>
        <w:rPr>
          <w:b w:val="1"/>
          <w:bCs w:val="1"/>
          <w:i w:val="1"/>
          <w:iCs w:val="1"/>
          <w:u w:val="single"/>
        </w:rPr>
      </w:pPr>
      <w:r w:rsidDel="00000000" w:rsidR="00000000" w:rsidRPr="00000000">
        <w:rPr>
          <w:b w:val="1"/>
          <w:bCs w:val="1"/>
          <w:i w:val="1"/>
          <w:iCs w:val="1"/>
          <w:u w:val="single"/>
          <w:rtl w:val="0"/>
        </w:rPr>
        <w:t xml:space="preserve">Research Question 3:</w:t>
      </w:r>
    </w:p>
    <w:p w:rsidR="00000000" w:rsidDel="00000000" w:rsidP="00000000" w:rsidRDefault="00000000" w:rsidRPr="00000000" w14:paraId="0000001C">
      <w:pPr>
        <w:widowControl w:val="0"/>
        <w:spacing w:after="240" w:before="240" w:lineRule="auto"/>
        <w:rPr/>
      </w:pPr>
      <w:r w:rsidDel="00000000" w:rsidR="00000000" w:rsidRPr="00000000">
        <w:rPr>
          <w:rtl w:val="0"/>
        </w:rPr>
        <w:t xml:space="preserve"> What lessons can be extracted from the three host cities to inform improved sustainability planning for future Olympic Games?</w:t>
        <w:br w:type="textWrapping"/>
        <w:t xml:space="preserve"> This question aligns with the IOC’s long-term sustainability agenda and supports the formulation of evidence-based recommendations.</w:t>
      </w:r>
    </w:p>
    <w:p w:rsidR="00000000" w:rsidDel="00000000" w:rsidP="00000000" w:rsidRDefault="00000000" w:rsidRPr="00000000" w14:paraId="0000001D">
      <w:pPr>
        <w:keepLines w:val="1"/>
        <w:widowControl w:val="0"/>
        <w:spacing w:after="240" w:before="240" w:lineRule="auto"/>
        <w:ind w:left="0" w:firstLine="0"/>
        <w:rPr>
          <w:b w:val="1"/>
          <w:bCs w:val="1"/>
          <w:i w:val="1"/>
          <w:iCs w:val="1"/>
          <w:sz w:val="24"/>
          <w:szCs w:val="24"/>
          <w:u w:val="single"/>
        </w:rPr>
      </w:pPr>
      <w:r w:rsidDel="00000000" w:rsidR="00000000" w:rsidRPr="00000000">
        <w:rPr>
          <w:b w:val="1"/>
          <w:bCs w:val="1"/>
          <w:i w:val="1"/>
          <w:iCs w:val="1"/>
          <w:sz w:val="24"/>
          <w:szCs w:val="24"/>
          <w:u w:val="single"/>
          <w:rtl w:val="0"/>
        </w:rPr>
        <w:t xml:space="preserve">Methodology</w:t>
      </w:r>
    </w:p>
    <w:p w:rsidR="00000000" w:rsidDel="00000000" w:rsidP="00000000" w:rsidRDefault="00000000" w:rsidRPr="00000000" w14:paraId="0000001E">
      <w:pPr>
        <w:keepLines w:val="1"/>
        <w:widowControl w:val="0"/>
        <w:spacing w:after="240" w:before="240" w:lineRule="auto"/>
        <w:ind w:left="0" w:firstLine="0"/>
        <w:rPr/>
      </w:pPr>
      <w:r w:rsidDel="00000000" w:rsidR="00000000" w:rsidRPr="00000000">
        <w:rPr>
          <w:rtl w:val="0"/>
        </w:rPr>
        <w:t xml:space="preserve">This research adopts a qualitative methodological approach in order to evaluate whether future Olympic Games can achieve genuine environmental sustainability, drawing on the comparative cases of London 2012, Tokyo 2020, and Paris 2024. A qualitative design is appropriate because the research focuses on examining sustainability frameworks, environmental reporting practices, and the extent to which officially stated targets correspond with measurable outcomes. Creswell (2018) argues that qualitative methods are most effective when the aim is to explore meaning, interpretation, and organisational behaviour in depth, while Yin (2018) emphasises that case study research is particularly suited to analysing complex real-world processes. Given that sustainability is multifaceted and embedded within political, economic, and environmental systems, qualitative inquiry provides the flexibility required to evaluate both documented strategies and independent assessments.</w:t>
      </w:r>
    </w:p>
    <w:p w:rsidR="00000000" w:rsidDel="00000000" w:rsidP="00000000" w:rsidRDefault="00000000" w:rsidRPr="00000000" w14:paraId="0000001F">
      <w:pPr>
        <w:keepLines w:val="1"/>
        <w:widowControl w:val="0"/>
        <w:spacing w:after="240" w:before="240" w:lineRule="auto"/>
        <w:ind w:left="0" w:firstLine="0"/>
        <w:rPr/>
      </w:pPr>
      <w:r w:rsidDel="00000000" w:rsidR="00000000" w:rsidRPr="00000000">
        <w:rPr>
          <w:rtl w:val="0"/>
        </w:rPr>
        <w:t xml:space="preserve">Three Olympic host cities planned, carried out, and reported on sustainability. Because it enables the researcher to find parallels and differences in sustainability outcomes, governance structures, environmental reporting methods, and accountability mechanisms, the comparative element is particularly crucial. According to Müller (2015), mega-events range greatly in the degree to which sustainability goals are translated into quantifiable accomplishments, but they frequently share structural traits. Therefore, a comparison approach aids in identifying the aspects that have the greatest impact on successful or failed sustainability delivery.</w:t>
      </w:r>
    </w:p>
    <w:p w:rsidR="00000000" w:rsidDel="00000000" w:rsidP="00000000" w:rsidRDefault="00000000" w:rsidRPr="00000000" w14:paraId="00000020">
      <w:pPr>
        <w:keepLines w:val="1"/>
        <w:widowControl w:val="0"/>
        <w:spacing w:after="240" w:before="240" w:lineRule="auto"/>
        <w:rPr/>
      </w:pPr>
      <w:r w:rsidDel="00000000" w:rsidR="00000000" w:rsidRPr="00000000">
        <w:rPr>
          <w:rtl w:val="0"/>
        </w:rPr>
        <w:t xml:space="preserve">If feasible within the project timeline, the research may incorporate semi-structured interviews with environmental consultants, academic specialists, or sustainability practitioners connected to mega-events. Interviews provide deeper insight into the challenges surrounding sustainability delivery and the political pressures shaping environmental reporting. Bryman (2016) emphasises that semi-structured interviews enable flexibility and allow participants to introduce perspectives that might not appear in documentary sources. Although not essential for achieving the research aims, interviews would add depth and enrich the overall analysis.</w:t>
      </w:r>
    </w:p>
    <w:p w:rsidR="00000000" w:rsidDel="00000000" w:rsidP="00000000" w:rsidRDefault="00000000" w:rsidRPr="00000000" w14:paraId="00000021">
      <w:pPr>
        <w:keepLines w:val="1"/>
        <w:widowControl w:val="0"/>
        <w:spacing w:after="240" w:before="240" w:lineRule="auto"/>
        <w:rPr/>
      </w:pPr>
      <w:r w:rsidDel="00000000" w:rsidR="00000000" w:rsidRPr="00000000">
        <w:rPr>
          <w:rtl w:val="0"/>
        </w:rPr>
        <w:t xml:space="preserve">Document selection and participant recruitment (if interviews occur) will follow purposive sampling. This ensures that only relevant and credible sources are included and that any experts consulted have direct knowledge of sustainability in mega-events or sport. Purposive sampling strengthens the validity of the research by focusing on high-quality, relevant material and informed participants.</w:t>
      </w:r>
    </w:p>
    <w:p w:rsidR="00000000" w:rsidDel="00000000" w:rsidP="00000000" w:rsidRDefault="00000000" w:rsidRPr="00000000" w14:paraId="00000022">
      <w:pPr>
        <w:keepLines w:val="1"/>
        <w:widowControl w:val="0"/>
        <w:spacing w:after="240" w:before="240" w:lineRule="auto"/>
        <w:rPr/>
      </w:pPr>
      <w:r w:rsidDel="00000000" w:rsidR="00000000" w:rsidRPr="00000000">
        <w:rPr>
          <w:rtl w:val="0"/>
        </w:rPr>
        <w:t xml:space="preserve">This study also recognises that sustainability data can vary in depth and reliability across different Olympic Games, which makes careful interpretation essential. By combining multiple credible sources and cross-checking reported figures, the methodology aims to reduce bias while ensuring that the final outcomes reflect a balanced, evidence-driven understanding of each host city's sustainability performance.</w:t>
      </w:r>
    </w:p>
    <w:p w:rsidR="00000000" w:rsidDel="00000000" w:rsidP="00000000" w:rsidRDefault="00000000" w:rsidRPr="00000000" w14:paraId="00000023">
      <w:pPr>
        <w:keepLines w:val="1"/>
        <w:widowControl w:val="0"/>
        <w:spacing w:after="240" w:before="240" w:lineRule="auto"/>
        <w:rPr/>
      </w:pPr>
      <w:r w:rsidDel="00000000" w:rsidR="00000000" w:rsidRPr="00000000">
        <w:rPr>
          <w:rtl w:val="0"/>
        </w:rPr>
        <w:t xml:space="preserve">Data will be analysed using thematic analysis, following the steps outlined by Braun and Clarke (2006). Thematic analysis involves identifying recurring ideas, patterns, or issues in the data and organising them into themes. The first stage is becoming familiar with the documents by reading them carefully. The second stage involves coding key statements or facts, such as references to carbon targets, venue construction decisions, biodiversity impacts, or public transport strategies. The third stage is grouping these codes into broader themes. Likely themes include carbon management, sustainable construction, waste reduction, transparency in reporting, and long-term environmental legacy. After themes are developed for each case, the findings will be compared across the three Olympic Games to highlight similarities, differences, and lessons for future hosts. Comparative thematic analysis strengthens the study by showing how different approaches lead to different outcomes.</w:t>
      </w:r>
    </w:p>
    <w:p w:rsidR="00000000" w:rsidDel="00000000" w:rsidP="00000000" w:rsidRDefault="00000000" w:rsidRPr="00000000" w14:paraId="00000024">
      <w:pPr>
        <w:keepLines w:val="1"/>
        <w:widowControl w:val="0"/>
        <w:spacing w:after="240" w:before="240" w:lineRule="auto"/>
        <w:rPr/>
      </w:pPr>
      <w:r w:rsidDel="00000000" w:rsidR="00000000" w:rsidRPr="00000000">
        <w:rPr>
          <w:rtl w:val="0"/>
        </w:rPr>
        <w:t xml:space="preserve">Since document analysis makes use of publicly accessible data, ethical implications for this work are negligible. Nonetheless, responsible data handling is still crucial. The researcher will make sure that no document is misinterpreted or taken out of context. To prevent plagiarism or deception, information shall be appropriately cited. Consent, confidentiality, and data protection are not necessary because there are no human subjects in the study. However, the study will adhere to the broad ethical research guidelines set forth by BERA (2018), which include integrity, honesty, and openness.</w:t>
      </w:r>
    </w:p>
    <w:p w:rsidR="00000000" w:rsidDel="00000000" w:rsidP="00000000" w:rsidRDefault="00000000" w:rsidRPr="00000000" w14:paraId="00000025">
      <w:pPr>
        <w:keepLines w:val="1"/>
        <w:widowControl w:val="0"/>
        <w:spacing w:after="240" w:before="240" w:lineRule="auto"/>
        <w:rPr/>
      </w:pPr>
      <w:r w:rsidDel="00000000" w:rsidR="00000000" w:rsidRPr="00000000">
        <w:rPr>
          <w:rtl w:val="0"/>
        </w:rPr>
        <w:t xml:space="preserve">Furthermore, it's critical to acknowledge that sustainability research on mega-events is always changing, therefore interpretations need to be adaptable and subject to change. Particularly when comparing multiple Olympic cycles, new data, policy changes, and evolving social expectations can affect how prior conclusions are interpreted. This emphasises how important it is to use a variety of reliable sources and approach the facts critically rather than depending solely on one prevailing story. The study can provide a more fair and balanced evaluation by recognising that governmental priorities, technological advancements, and global conditions all influence sustainability. Additionally, this guarantees that the final conclusions take into account both the state of the art and the continuous difficulty of achieving lasting results at events of this magnitude.</w:t>
      </w:r>
    </w:p>
    <w:p w:rsidR="00000000" w:rsidDel="00000000" w:rsidP="00000000" w:rsidRDefault="00000000" w:rsidRPr="00000000" w14:paraId="00000026">
      <w:pPr>
        <w:keepLines w:val="1"/>
        <w:widowControl w:val="0"/>
        <w:spacing w:after="240" w:before="240" w:lineRule="auto"/>
        <w:ind w:left="0" w:firstLine="0"/>
        <w:rPr/>
      </w:pPr>
      <w:r w:rsidDel="00000000" w:rsidR="00000000" w:rsidRPr="00000000">
        <w:rPr>
          <w:rtl w:val="0"/>
        </w:rPr>
        <w:t xml:space="preserve">Another important part of the methodology is how the study will judge the </w:t>
      </w:r>
      <w:r w:rsidDel="00000000" w:rsidR="00000000" w:rsidRPr="00000000">
        <w:rPr>
          <w:i w:val="1"/>
          <w:iCs w:val="1"/>
          <w:rtl w:val="0"/>
        </w:rPr>
        <w:t xml:space="preserve">quality</w:t>
      </w:r>
      <w:r w:rsidDel="00000000" w:rsidR="00000000" w:rsidRPr="00000000">
        <w:rPr>
          <w:rtl w:val="0"/>
        </w:rPr>
        <w:t xml:space="preserve"> and </w:t>
      </w:r>
      <w:r w:rsidDel="00000000" w:rsidR="00000000" w:rsidRPr="00000000">
        <w:rPr>
          <w:i w:val="1"/>
          <w:iCs w:val="1"/>
          <w:rtl w:val="0"/>
        </w:rPr>
        <w:t xml:space="preserve">reliability</w:t>
      </w:r>
      <w:r w:rsidDel="00000000" w:rsidR="00000000" w:rsidRPr="00000000">
        <w:rPr>
          <w:rtl w:val="0"/>
        </w:rPr>
        <w:t xml:space="preserve"> of the documents being analysed. Because sustainability reporting can sometimes be influenced by political pressures or image management, it is necessary to assess the credibility of each source before including it in the analysis. For example, official organising committee reports may present sustainability achievements in a positive light, whereas independent audits or government reviews often provide a more critical perspective. Creswell (2018) notes that evaluating source credibility is essential for qualitative research because it helps ensure that the final findings are based on trustworthy information rather than unchallenged claims. To address this, the study will use a simple evaluation checklist that considers the author, purpose, publication date, and whether the document contains evidence-based findings. This strengthens the reliability of the data and reduces bias.</w:t>
      </w:r>
    </w:p>
    <w:p w:rsidR="00000000" w:rsidDel="00000000" w:rsidP="00000000" w:rsidRDefault="00000000" w:rsidRPr="00000000" w14:paraId="00000027">
      <w:pPr>
        <w:keepLines w:val="1"/>
        <w:widowControl w:val="0"/>
        <w:spacing w:after="240" w:before="240" w:lineRule="auto"/>
        <w:rPr/>
      </w:pPr>
      <w:r w:rsidDel="00000000" w:rsidR="00000000" w:rsidRPr="00000000">
        <w:rPr>
          <w:rtl w:val="0"/>
        </w:rPr>
        <w:t xml:space="preserve">The study will also take into account the larger backdrop of each Olympic Games. Tokyo 2020 was severely disrupted by the COVID-19 epidemic, London 2012 placed a strong emphasis on legacy planning, and Paris 2024 made climate reduction its central theme. To create a fair comparison, it is essential to acknowledge these contextual variances. According to Yin (2018), in order to prevent results from being taken out of context, case study research must take into consideration the larger context surrounding each instance. The study becomes more precise and balanced when sustainability outcomes are interpreted within their particular political, economic, and social contexts.</w:t>
      </w:r>
    </w:p>
    <w:p w:rsidR="00000000" w:rsidDel="00000000" w:rsidP="00000000" w:rsidRDefault="00000000" w:rsidRPr="00000000" w14:paraId="00000028">
      <w:pPr>
        <w:keepLines w:val="1"/>
        <w:widowControl w:val="0"/>
        <w:spacing w:after="240" w:before="240" w:lineRule="auto"/>
        <w:ind w:left="0" w:firstLine="0"/>
        <w:rPr/>
      </w:pPr>
      <w:r w:rsidDel="00000000" w:rsidR="00000000" w:rsidRPr="00000000">
        <w:rPr>
          <w:rtl w:val="0"/>
        </w:rPr>
        <w:t xml:space="preserve">Overall, this methodology is well-suited to the aims of the study. A qualitative approach provides depth, while a comparative case study design enables detailed examination of three Olympic Games with different sustainability ambitions and contexts. Document analysis offers a rich source of information about environmental performance, and thematic analysis provides a systematic way to evaluate and compare this information across cases. By relying on credible documents rather than interviews or surveys, the study remains highly feasible, even within time and resource limits. These methodological choices align closely with the research objectives and provide a strong foundation for evaluating whether future Olympic Games can achieve genuine environmental sustainability.</w:t>
      </w:r>
    </w:p>
    <w:p w:rsidR="00000000" w:rsidDel="00000000" w:rsidP="00000000" w:rsidRDefault="00000000" w:rsidRPr="00000000" w14:paraId="00000029">
      <w:pPr>
        <w:spacing w:after="240" w:before="240" w:lineRule="auto"/>
        <w:ind w:left="0" w:firstLine="0"/>
        <w:rPr>
          <w:b w:val="1"/>
          <w:bCs w:val="1"/>
          <w:i w:val="1"/>
          <w:iCs w:val="1"/>
          <w:sz w:val="24"/>
          <w:szCs w:val="24"/>
          <w:u w:val="single"/>
        </w:rPr>
      </w:pPr>
      <w:r w:rsidDel="00000000" w:rsidR="00000000" w:rsidRPr="00000000">
        <w:rPr>
          <w:b w:val="1"/>
          <w:bCs w:val="1"/>
          <w:i w:val="1"/>
          <w:iCs w:val="1"/>
          <w:sz w:val="24"/>
          <w:szCs w:val="24"/>
          <w:u w:val="single"/>
          <w:rtl w:val="0"/>
        </w:rPr>
        <w:t xml:space="preserve">Literature Review </w:t>
      </w:r>
    </w:p>
    <w:p w:rsidR="00000000" w:rsidDel="00000000" w:rsidP="00000000" w:rsidRDefault="00000000" w:rsidRPr="00000000" w14:paraId="0000002A">
      <w:pPr>
        <w:spacing w:after="240" w:before="240" w:lineRule="auto"/>
        <w:ind w:left="0" w:firstLine="0"/>
        <w:rPr/>
      </w:pPr>
      <w:r w:rsidDel="00000000" w:rsidR="00000000" w:rsidRPr="00000000">
        <w:rPr>
          <w:rtl w:val="0"/>
        </w:rPr>
        <w:t xml:space="preserve">Research on sustainability within major sporting events has expanded significantly over the past two decades, particularly as global attention has shifted toward long-term environmental, social, and economic responsibility. The Olympic Games, due to their scale, visibility, and economic footprint, have become one of the most frequently studied event types in sustainability research. Existing literature explores a range of issues, including environmental impacts, carbon emissions, social benefits, economic legacy, policy challenges, and the growing demand for measurable sustainability frameworks. This review examines the most relevant academic and industry literature to establish a foundation for analysing how sustainability has been implemented in recent Olympic Games, with a focus on London 2012, Tokyo 2020, and Paris 2024.</w:t>
      </w:r>
    </w:p>
    <w:p w:rsidR="00000000" w:rsidDel="00000000" w:rsidP="00000000" w:rsidRDefault="00000000" w:rsidRPr="00000000" w14:paraId="0000002B">
      <w:pPr>
        <w:spacing w:after="240" w:before="240" w:lineRule="auto"/>
        <w:ind w:left="0" w:firstLine="0"/>
        <w:rPr/>
      </w:pPr>
      <w:r w:rsidDel="00000000" w:rsidR="00000000" w:rsidRPr="00000000">
        <w:rPr>
          <w:rtl w:val="0"/>
        </w:rPr>
        <w:t xml:space="preserve">A major theme in the literature is the environmental footprint of mega-events. Early research highlighted that Olympic Games tend to cause spikes in emissions, resource consumption, and construction-related environmental damage. The International Olympic Committee has reported that past Games produced millions of tonnes of CO₂, largely due to infrastructure development and international travel (IOC, 2021). These findings have been supported by independent environmental assessments, which show that mega-events frequently underestimate their ecological impact (UN Environment Programme, 2019). Scholars argue that sustainability commitments often clash with the commercial and infrastructural demands of hosting, making environmental performance difficult to achieve consistently. This issue is particularly relevant when analysing whether recent Games have genuinely transitioned toward lower-carbon systems or whether improvements are limited to reporting and communication strategies.</w:t>
      </w:r>
    </w:p>
    <w:p w:rsidR="00000000" w:rsidDel="00000000" w:rsidP="00000000" w:rsidRDefault="00000000" w:rsidRPr="00000000" w14:paraId="0000002C">
      <w:pPr>
        <w:spacing w:after="240" w:before="240" w:lineRule="auto"/>
        <w:ind w:left="0" w:firstLine="0"/>
        <w:rPr/>
      </w:pPr>
      <w:r w:rsidDel="00000000" w:rsidR="00000000" w:rsidRPr="00000000">
        <w:rPr>
          <w:rtl w:val="0"/>
        </w:rPr>
        <w:t xml:space="preserve">Another important subject in the literature is economic legacy. According to Preuss (2019), the economic effects of hosting the Olympics differ greatly, with some communities reaping long-term rewards and others dealing with debt, underutilised facilities, and unstable finances. Because London 2012 generated post-event investment and urban regeneration in East London, it is frequently cited as a positive example. Independent economic analyses, however, show that long-term job creation was less than anticipated and that many projected benefits were overestimated (UK Office for National Statistics, 2018). In comparison, the COVID-19 epidemic presented Tokyo 2020 with an enormous financial hurdle. Postponement raised overall expenses by billions, according to data released by the Tokyo Metropolitan Government (2021), underscoring the susceptibility of mega-events to worldwide disruptions.  Literature, therefore, stresses the need for stronger economic planning, realistic projections, and transparent budget management when evaluating sustainability claims.</w:t>
      </w:r>
    </w:p>
    <w:p w:rsidR="00000000" w:rsidDel="00000000" w:rsidP="00000000" w:rsidRDefault="00000000" w:rsidRPr="00000000" w14:paraId="0000002D">
      <w:pPr>
        <w:spacing w:after="240" w:before="240" w:lineRule="auto"/>
        <w:rPr/>
      </w:pPr>
      <w:r w:rsidDel="00000000" w:rsidR="00000000" w:rsidRPr="00000000">
        <w:rPr>
          <w:rtl w:val="0"/>
        </w:rPr>
        <w:t xml:space="preserve">Social sustainability is another dimension widely discussed in academic research. The United Nations (2020) emphasises that host cities often use the Games to promote inclusion, community participation, and health-related initiatives. However, studies also note that displacement of local communities, policing strategies, and uneven distribution of benefits can undermine social outcomes. Literature on London 2012 often cites improvements in accessibility, increased volunteer engagement, and sports participation campaigns, but several authors note that participation levels dropped back to normal within a few years (Sport England, 2016). For Tokyo 2020, scholars highlight the difficulty of creating a social legacy during a pandemic, as closed-door events significantly limited public engagement. Paris 2024 literature focuses more on inclusivity, particularly efforts to improve gender equality and local access to sports facilities. While official progress reports claim strong community involvement, academic sources argue that such claims require independent verification to ensure they reflect genuine long-term impact rather than promotional messaging.</w:t>
      </w:r>
    </w:p>
    <w:p w:rsidR="00000000" w:rsidDel="00000000" w:rsidP="00000000" w:rsidRDefault="00000000" w:rsidRPr="00000000" w14:paraId="0000002E">
      <w:pPr>
        <w:spacing w:after="240" w:before="240" w:lineRule="auto"/>
        <w:rPr/>
      </w:pPr>
      <w:r w:rsidDel="00000000" w:rsidR="00000000" w:rsidRPr="00000000">
        <w:rPr>
          <w:rtl w:val="0"/>
        </w:rPr>
        <w:t xml:space="preserve">The frameworks and ideas used to evaluate sustainability in mega-events constitute another important field of study. The Triple Bottom Line model, which looks at social, economic, and environmental results, is one of the most often cited. Because the Olympic Games include significant public expenditure and have far-reaching effects, academics contend that they make a good argument for using this model. Critics point out that current Olympic sustainability reports frequently highlight successes while downplaying failures. Stronger governance systems are required to guarantee accurate reporting and accountability, according to an OECD study from 2020. This is in line with recommendations made in the literature for impartial audits and uniform criteria that enable equitable comparison between various game editions.</w:t>
      </w:r>
    </w:p>
    <w:p w:rsidR="00000000" w:rsidDel="00000000" w:rsidP="00000000" w:rsidRDefault="00000000" w:rsidRPr="00000000" w14:paraId="0000002F">
      <w:pPr>
        <w:spacing w:after="240" w:before="240" w:lineRule="auto"/>
        <w:rPr/>
      </w:pPr>
      <w:r w:rsidDel="00000000" w:rsidR="00000000" w:rsidRPr="00000000">
        <w:rPr>
          <w:rtl w:val="0"/>
        </w:rPr>
        <w:t xml:space="preserve">The shift toward circular economy principles also appears frequently in recent sustainability studies. The circular economy approach encourages resource efficiency, waste reduction, and re-use, which are increasingly important for large events. Paris 2024 is often highlighted for adopting a circular economy strategy, including low-carbon construction and extensive recycling measures. Literature from the Ellen MacArthur Foundation (2021) explains that major events transitioning to circular systems can significantly reduce environmental impact, provided that planning begins early and stakeholders commit to long-term implementation. However, several authors caution that evidence of success must be measured after the event rather than assumed based on planning documents.</w:t>
      </w:r>
    </w:p>
    <w:p w:rsidR="00000000" w:rsidDel="00000000" w:rsidP="00000000" w:rsidRDefault="00000000" w:rsidRPr="00000000" w14:paraId="00000030">
      <w:pPr>
        <w:spacing w:after="240" w:before="240" w:lineRule="auto"/>
        <w:rPr/>
      </w:pPr>
      <w:r w:rsidDel="00000000" w:rsidR="00000000" w:rsidRPr="00000000">
        <w:rPr>
          <w:rtl w:val="0"/>
        </w:rPr>
        <w:t xml:space="preserve">Global policy developments and governance constitute another issue in the literature. Academic study has paid close attention to recent IOC reforms, especially Agenda 2020 and Agenda 2020+5. These changes urge hosts to make use of the infrastructure already in place, lessen their impact on the environment, and include sustainability in every phase of the planning process. Although independent evaluations contend that the success of these reforms depends on how host cities execute them, the IOC (2020) asserts that these modifications have greatly enhanced sustainability performance. Researchers point out that although policy frameworks are a sign of progress, they cannot ensure outcomes unless they are accompanied by open monitoring and unambiguous performance metrics.</w:t>
      </w:r>
    </w:p>
    <w:p w:rsidR="00000000" w:rsidDel="00000000" w:rsidP="00000000" w:rsidRDefault="00000000" w:rsidRPr="00000000" w14:paraId="00000031">
      <w:pPr>
        <w:spacing w:after="240" w:before="240" w:lineRule="auto"/>
        <w:rPr/>
      </w:pPr>
      <w:r w:rsidDel="00000000" w:rsidR="00000000" w:rsidRPr="00000000">
        <w:rPr>
          <w:rtl w:val="0"/>
        </w:rPr>
        <w:t xml:space="preserve">Comparative studies are also prominent in the literature, offering insights into how different host cities frame and deliver sustainability. London 2012 is often described as the first “modern sustainable Olympics,” Tokyo 2020 as the most technologically advanced, and Paris 2024 as the most climate-focused. However, academic authors stress that comparisons must account for differing political, economic, and geographic contexts. This reflects a common argument in sustainability research: that standardised evaluation is essential, but contextual understanding is equally important for interpreting results. Some studies highlight that the Olympics’ travelling nature makes it difficult to establish universal sustainability expectations because each host faces unique challenges, especially regarding infrastructure availability, population density, and national climate commitments.</w:t>
      </w:r>
    </w:p>
    <w:p w:rsidR="00000000" w:rsidDel="00000000" w:rsidP="00000000" w:rsidRDefault="00000000" w:rsidRPr="00000000" w14:paraId="00000032">
      <w:pPr>
        <w:spacing w:after="240" w:before="240" w:lineRule="auto"/>
        <w:rPr/>
      </w:pPr>
      <w:r w:rsidDel="00000000" w:rsidR="00000000" w:rsidRPr="00000000">
        <w:rPr>
          <w:rtl w:val="0"/>
        </w:rPr>
        <w:t xml:space="preserve">Lastly, the literature shows that public, media, and international agencies are putting increasing pressure on mega-events to show quantifiable sustainability effects. Evidence-based reporting, accountability, and transparency are becoming crucial elements of contemporary event management. Future Olympic hosts, according to international organisations like the UN and OECD, will be expected to promote social inclusiveness, save waste, decrease carbon emissions, and more closely connect with global climate targets. Researchers contend that as expectations rise, host cities should embrace quantifiable, long-term sustainability initiatives that produce real advantages rather than short-term branding enhancements.</w:t>
      </w:r>
    </w:p>
    <w:p w:rsidR="00000000" w:rsidDel="00000000" w:rsidP="00000000" w:rsidRDefault="00000000" w:rsidRPr="00000000" w14:paraId="00000033">
      <w:pPr>
        <w:spacing w:after="240" w:before="240" w:lineRule="auto"/>
        <w:rPr/>
      </w:pPr>
      <w:r w:rsidDel="00000000" w:rsidR="00000000" w:rsidRPr="00000000">
        <w:rPr>
          <w:rtl w:val="0"/>
        </w:rPr>
        <w:t xml:space="preserve">This research proposal establishes a clear foundation for assessing whether future Olympic Games can achieve genuine environmental sustainability. By comparing London 2012, Tokyo 2020, and Paris 2024, the study draws on credible documents, systematic thematic analysis, and a structured comparative design. This approach allows for a balanced evaluation of sustainability strategies, performance outcomes, and reporting transparency. The methodology and research questions together provide a strong and feasible framework for generating meaningful insights for future Olympic hosts.</w:t>
      </w:r>
    </w:p>
    <w:p w:rsidR="00000000" w:rsidDel="00000000" w:rsidP="00000000" w:rsidRDefault="00000000" w:rsidRPr="00000000" w14:paraId="00000034">
      <w:pPr>
        <w:spacing w:after="240" w:before="240" w:lineRule="auto"/>
        <w:ind w:left="0" w:firstLine="0"/>
        <w:rPr/>
      </w:pPr>
      <w:r w:rsidDel="00000000" w:rsidR="00000000" w:rsidRPr="00000000">
        <w:rPr>
          <w:rtl w:val="0"/>
        </w:rPr>
      </w:r>
    </w:p>
    <w:p w:rsidR="00000000" w:rsidDel="00000000" w:rsidP="00000000" w:rsidRDefault="00000000" w:rsidRPr="00000000" w14:paraId="00000035">
      <w:pPr>
        <w:rPr>
          <w:b w:val="1"/>
          <w:bCs w:val="1"/>
          <w:i w:val="1"/>
          <w:iCs w:val="1"/>
          <w:sz w:val="24"/>
          <w:szCs w:val="24"/>
          <w:u w:val="single"/>
        </w:rPr>
      </w:pPr>
      <w:r w:rsidDel="00000000" w:rsidR="00000000" w:rsidRPr="00000000">
        <w:rPr>
          <w:rtl w:val="0"/>
        </w:rPr>
      </w:r>
    </w:p>
    <w:p w:rsidR="00000000" w:rsidDel="00000000" w:rsidP="00000000" w:rsidRDefault="00000000" w:rsidRPr="00000000" w14:paraId="00000036">
      <w:pPr>
        <w:rPr>
          <w:b w:val="1"/>
          <w:bCs w:val="1"/>
          <w:i w:val="1"/>
          <w:iCs w:val="1"/>
          <w:sz w:val="24"/>
          <w:szCs w:val="24"/>
          <w:u w:val="single"/>
        </w:rPr>
      </w:pPr>
      <w:r w:rsidDel="00000000" w:rsidR="00000000" w:rsidRPr="00000000">
        <w:rPr>
          <w:b w:val="1"/>
          <w:bCs w:val="1"/>
          <w:i w:val="1"/>
          <w:iCs w:val="1"/>
          <w:sz w:val="24"/>
          <w:szCs w:val="24"/>
          <w:u w:val="single"/>
          <w:rtl w:val="0"/>
        </w:rPr>
        <w:t xml:space="preserve">Reference list </w:t>
      </w:r>
    </w:p>
    <w:p w:rsidR="00000000" w:rsidDel="00000000" w:rsidP="00000000" w:rsidRDefault="00000000" w:rsidRPr="00000000" w14:paraId="00000037">
      <w:pPr>
        <w:rPr/>
      </w:pPr>
      <w:r w:rsidDel="00000000" w:rsidR="00000000" w:rsidRPr="00000000">
        <w:rPr>
          <w:rtl w:val="0"/>
        </w:rPr>
        <w:t xml:space="preserve">Aubrey, K. &amp; Riley, A. (2017). Understanding and Using Challenging Education Theories, London: SAGE.</w:t>
      </w:r>
    </w:p>
    <w:p w:rsidR="00000000" w:rsidDel="00000000" w:rsidP="00000000" w:rsidRDefault="00000000" w:rsidRPr="00000000" w14:paraId="00000038">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rPr/>
      </w:pPr>
      <w:r w:rsidDel="00000000" w:rsidR="00000000" w:rsidRPr="00000000">
        <w:rPr>
          <w:rtl w:val="0"/>
        </w:rPr>
      </w:r>
    </w:p>
    <w:p w:rsidR="00000000" w:rsidDel="00000000" w:rsidP="00000000" w:rsidRDefault="00000000" w:rsidRPr="00000000" w14:paraId="00000039">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rPr/>
      </w:pPr>
      <w:r w:rsidDel="00000000" w:rsidR="00000000" w:rsidRPr="00000000">
        <w:rPr>
          <w:rtl w:val="0"/>
        </w:rPr>
        <w:t xml:space="preserve">BERA (2018). Ethical Guidelines for Educational Research, fourth edition (2018). [online] Bera.ac.uk. Available at: </w:t>
      </w:r>
      <w:hyperlink r:id="rId6">
        <w:r w:rsidDel="00000000" w:rsidR="00000000" w:rsidRPr="00000000">
          <w:rPr>
            <w:color w:val="1155cc"/>
            <w:u w:val="single"/>
            <w:rtl w:val="0"/>
          </w:rPr>
          <w:t xml:space="preserve">https://www.bera.ac.uk/publication/ethical-guidelines-for-educational-research-2018</w:t>
        </w:r>
      </w:hyperlink>
      <w:r w:rsidDel="00000000" w:rsidR="00000000" w:rsidRPr="00000000">
        <w:rPr>
          <w:rtl w:val="0"/>
        </w:rPr>
        <w:t xml:space="preserve">. </w:t>
      </w:r>
    </w:p>
    <w:p w:rsidR="00000000" w:rsidDel="00000000" w:rsidP="00000000" w:rsidRDefault="00000000" w:rsidRPr="00000000" w14:paraId="0000003A">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rPr/>
      </w:pPr>
      <w:r w:rsidDel="00000000" w:rsidR="00000000" w:rsidRPr="00000000">
        <w:rPr>
          <w:rtl w:val="0"/>
        </w:rPr>
        <w:t xml:space="preserve">Bowen, G.A. (2009). Document Analysis as a Qualitative Research Method. Qualitative Research Journal, [online] 9(2), pp.27–40. doi:</w:t>
      </w:r>
      <w:hyperlink r:id="rId7">
        <w:r w:rsidDel="00000000" w:rsidR="00000000" w:rsidRPr="00000000">
          <w:rPr>
            <w:color w:val="1155cc"/>
            <w:u w:val="single"/>
            <w:rtl w:val="0"/>
          </w:rPr>
          <w:t xml:space="preserve">https://doi.org/10.3316/QRJ0902027</w:t>
        </w:r>
      </w:hyperlink>
      <w:r w:rsidDel="00000000" w:rsidR="00000000" w:rsidRPr="00000000">
        <w:rPr>
          <w:rtl w:val="0"/>
        </w:rPr>
        <w:t xml:space="preserve">. </w:t>
      </w:r>
    </w:p>
    <w:p w:rsidR="00000000" w:rsidDel="00000000" w:rsidP="00000000" w:rsidRDefault="00000000" w:rsidRPr="00000000" w14:paraId="0000003B">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rPr/>
      </w:pPr>
      <w:r w:rsidDel="00000000" w:rsidR="00000000" w:rsidRPr="00000000">
        <w:rPr>
          <w:rtl w:val="0"/>
        </w:rPr>
        <w:t xml:space="preserve">Boykoff, J. and Mascarenhas, G. (2016). The Olympics, Sustainability, and Greenwashing: The Rio 2016 Summer Games. Capitalism Nature Socialism, 27(2), pp.1–11. </w:t>
      </w:r>
    </w:p>
    <w:p w:rsidR="00000000" w:rsidDel="00000000" w:rsidP="00000000" w:rsidRDefault="00000000" w:rsidRPr="00000000" w14:paraId="0000003C">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rPr/>
      </w:pPr>
      <w:r w:rsidDel="00000000" w:rsidR="00000000" w:rsidRPr="00000000">
        <w:rPr>
          <w:rtl w:val="0"/>
        </w:rPr>
        <w:t xml:space="preserve">Braun, V. and Clarke, V. (2013). Successful Qualitative Research: A Practical Guide for Beginners. London: Sage.</w:t>
      </w:r>
    </w:p>
    <w:p w:rsidR="00000000" w:rsidDel="00000000" w:rsidP="00000000" w:rsidRDefault="00000000" w:rsidRPr="00000000" w14:paraId="0000003D">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rPr/>
      </w:pPr>
      <w:r w:rsidDel="00000000" w:rsidR="00000000" w:rsidRPr="00000000">
        <w:rPr>
          <w:rtl w:val="0"/>
        </w:rPr>
        <w:t xml:space="preserve">Bryman, A. (2016). Social Research Methods. 5th ed. [online] Oxford: Oxford University Press. Available at: https://ktpu.kpi.ua/wp-content/uploads/2014/02/social-research-methods-alan-bryman.pdf.</w:t>
      </w:r>
    </w:p>
    <w:p w:rsidR="00000000" w:rsidDel="00000000" w:rsidP="00000000" w:rsidRDefault="00000000" w:rsidRPr="00000000" w14:paraId="0000003E">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rPr/>
      </w:pPr>
      <w:r w:rsidDel="00000000" w:rsidR="00000000" w:rsidRPr="00000000">
        <w:rPr>
          <w:rtl w:val="0"/>
        </w:rPr>
        <w:t xml:space="preserve">Ceccon, A., Hargrove, A. and Sommer, J. (2024). Do the Olympics Impact CO2 Emissions? A Cross-National Analysis. Global Transitions, [online] 6. </w:t>
      </w:r>
    </w:p>
    <w:p w:rsidR="00000000" w:rsidDel="00000000" w:rsidP="00000000" w:rsidRDefault="00000000" w:rsidRPr="00000000" w14:paraId="0000003F">
      <w:pPr>
        <w:rPr/>
      </w:pPr>
      <w:r w:rsidDel="00000000" w:rsidR="00000000" w:rsidRPr="00000000">
        <w:rPr>
          <w:rtl w:val="0"/>
        </w:rPr>
        <w:t xml:space="preserve">Cottrell S, (2015) Skills for Success Personal Development and Employability, 3rd edition, Palgrave. London.</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rPr/>
      </w:pPr>
      <w:r w:rsidDel="00000000" w:rsidR="00000000" w:rsidRPr="00000000">
        <w:rPr>
          <w:rtl w:val="0"/>
        </w:rPr>
        <w:t xml:space="preserve">Creswell, J.W. and Poth, C.N. (2018). Qualitative inquiry and research design: Choosing among five approaches. 4th ed. SAGE Publications.</w:t>
      </w:r>
    </w:p>
    <w:p w:rsidR="00000000" w:rsidDel="00000000" w:rsidP="00000000" w:rsidRDefault="00000000" w:rsidRPr="00000000" w14:paraId="00000042">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rPr/>
      </w:pPr>
      <w:r w:rsidDel="00000000" w:rsidR="00000000" w:rsidRPr="00000000">
        <w:rPr>
          <w:rtl w:val="0"/>
        </w:rPr>
        <w:t xml:space="preserve">GOV.UK (2013). Inspired by 2012: The legacy from the London 2012 Olympic and Paralympic Games A joint UK Government and Mayor of London report. [online] Available at: </w:t>
      </w:r>
      <w:hyperlink r:id="rId8">
        <w:r w:rsidDel="00000000" w:rsidR="00000000" w:rsidRPr="00000000">
          <w:rPr>
            <w:color w:val="1155cc"/>
            <w:u w:val="single"/>
            <w:rtl w:val="0"/>
          </w:rPr>
          <w:t xml:space="preserve">https://assets.publishing.service.gov.uk/media/5a7c9f9f40f0b65b3de0a190/2901179_OlympicLegacy_acc.pdf</w:t>
        </w:r>
      </w:hyperlink>
      <w:r w:rsidDel="00000000" w:rsidR="00000000" w:rsidRPr="00000000">
        <w:rPr>
          <w:rtl w:val="0"/>
        </w:rPr>
        <w:t xml:space="preserve">. </w:t>
      </w:r>
    </w:p>
    <w:p w:rsidR="00000000" w:rsidDel="00000000" w:rsidP="00000000" w:rsidRDefault="00000000" w:rsidRPr="00000000" w14:paraId="00000043">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rPr/>
      </w:pPr>
      <w:r w:rsidDel="00000000" w:rsidR="00000000" w:rsidRPr="00000000">
        <w:rPr>
          <w:rtl w:val="0"/>
        </w:rPr>
        <w:t xml:space="preserve">Holt, R., Ruta, D. and Panter, J. eds., (2015). Routledge Handbook Of Sport And Legacy. Routledge. </w:t>
      </w:r>
    </w:p>
    <w:p w:rsidR="00000000" w:rsidDel="00000000" w:rsidP="00000000" w:rsidRDefault="00000000" w:rsidRPr="00000000" w14:paraId="00000044">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rPr/>
      </w:pPr>
      <w:r w:rsidDel="00000000" w:rsidR="00000000" w:rsidRPr="00000000">
        <w:rPr>
          <w:rtl w:val="0"/>
        </w:rPr>
        <w:t xml:space="preserve">https://fb.com/Brand.Finance (2024). Going for green: Sustainability at the Olympic Games | Brand Finance. [online] Brand Finance. Available at: https://brandfinance.com/insights/going-for-green-sustainability-at-the-olympic-games? [Accessed 9 Nov. 2025].</w:t>
      </w:r>
    </w:p>
    <w:p w:rsidR="00000000" w:rsidDel="00000000" w:rsidP="00000000" w:rsidRDefault="00000000" w:rsidRPr="00000000" w14:paraId="00000045">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rPr/>
      </w:pPr>
      <w:r w:rsidDel="00000000" w:rsidR="00000000" w:rsidRPr="00000000">
        <w:rPr>
          <w:rtl w:val="0"/>
        </w:rPr>
        <w:t xml:space="preserve">International Olympic Committee (2020). IOC - International Olympic Committee | Olympics.com. [online] Olympics.com. Available at: https://www.olympics.com/ioc/olympic-agenda-2020.</w:t>
      </w:r>
    </w:p>
    <w:p w:rsidR="00000000" w:rsidDel="00000000" w:rsidP="00000000" w:rsidRDefault="00000000" w:rsidRPr="00000000" w14:paraId="00000046">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rPr/>
      </w:pPr>
      <w:r w:rsidDel="00000000" w:rsidR="00000000" w:rsidRPr="00000000">
        <w:rPr>
          <w:rtl w:val="0"/>
        </w:rPr>
        <w:t xml:space="preserve">International Olympic Committee (2024). Paris 2024 Sustainable Gamess. [online] Olympics.com. Available at: </w:t>
      </w:r>
      <w:hyperlink r:id="rId9">
        <w:r w:rsidDel="00000000" w:rsidR="00000000" w:rsidRPr="00000000">
          <w:rPr>
            <w:color w:val="1155cc"/>
            <w:u w:val="single"/>
            <w:rtl w:val="0"/>
          </w:rPr>
          <w:t xml:space="preserve">https://www.olympics.com/ioc/paris-2024-sustainable-games</w:t>
        </w:r>
      </w:hyperlink>
      <w:r w:rsidDel="00000000" w:rsidR="00000000" w:rsidRPr="00000000">
        <w:rPr>
          <w:rtl w:val="0"/>
        </w:rPr>
        <w:t xml:space="preserve">. </w:t>
      </w:r>
    </w:p>
    <w:p w:rsidR="00000000" w:rsidDel="00000000" w:rsidP="00000000" w:rsidRDefault="00000000" w:rsidRPr="00000000" w14:paraId="00000047">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rPr/>
      </w:pPr>
      <w:r w:rsidDel="00000000" w:rsidR="00000000" w:rsidRPr="00000000">
        <w:rPr>
          <w:rtl w:val="0"/>
        </w:rPr>
        <w:t xml:space="preserve">IOC (2021). Olympic sustainability - the IOC sustainability strategy. [online] International Olympic Committee. Available at: </w:t>
      </w:r>
      <w:hyperlink r:id="rId10">
        <w:r w:rsidDel="00000000" w:rsidR="00000000" w:rsidRPr="00000000">
          <w:rPr>
            <w:color w:val="1155cc"/>
            <w:u w:val="single"/>
            <w:rtl w:val="0"/>
          </w:rPr>
          <w:t xml:space="preserve">https://olympics.com/ioc/sustainability</w:t>
        </w:r>
      </w:hyperlink>
      <w:r w:rsidDel="00000000" w:rsidR="00000000" w:rsidRPr="00000000">
        <w:rPr>
          <w:rtl w:val="0"/>
        </w:rPr>
        <w:t xml:space="preserve">. </w:t>
      </w:r>
    </w:p>
    <w:p w:rsidR="00000000" w:rsidDel="00000000" w:rsidP="00000000" w:rsidRDefault="00000000" w:rsidRPr="00000000" w14:paraId="00000048">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rPr/>
      </w:pPr>
      <w:r w:rsidDel="00000000" w:rsidR="00000000" w:rsidRPr="00000000">
        <w:rPr>
          <w:rtl w:val="0"/>
        </w:rPr>
        <w:t xml:space="preserve">Mccullough, B.P., Kellison, T.B. and E Nicole Melton (2022). The Routledge handbook of sport and sustainable development. New York: Routledge.</w:t>
      </w:r>
    </w:p>
    <w:p w:rsidR="00000000" w:rsidDel="00000000" w:rsidP="00000000" w:rsidRDefault="00000000" w:rsidRPr="00000000" w14:paraId="00000049">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rPr/>
      </w:pPr>
      <w:r w:rsidDel="00000000" w:rsidR="00000000" w:rsidRPr="00000000">
        <w:rPr>
          <w:rtl w:val="0"/>
        </w:rPr>
        <w:t xml:space="preserve">Nationalarchives.gov.uk. (2018). Available at: </w:t>
      </w:r>
      <w:hyperlink r:id="rId11">
        <w:r w:rsidDel="00000000" w:rsidR="00000000" w:rsidRPr="00000000">
          <w:rPr>
            <w:color w:val="1155cc"/>
            <w:u w:val="single"/>
            <w:rtl w:val="0"/>
          </w:rPr>
          <w:t xml:space="preserve">https://webarchive.nationalarchives.gov.uk/ukgwa/20180426101359/http://learninglegacy.independent.gov.uk//</w:t>
        </w:r>
      </w:hyperlink>
      <w:r w:rsidDel="00000000" w:rsidR="00000000" w:rsidRPr="00000000">
        <w:rPr>
          <w:rtl w:val="0"/>
        </w:rPr>
        <w:t xml:space="preserve">. </w:t>
      </w:r>
    </w:p>
    <w:p w:rsidR="00000000" w:rsidDel="00000000" w:rsidP="00000000" w:rsidRDefault="00000000" w:rsidRPr="00000000" w14:paraId="0000004A">
      <w:pPr>
        <w:rPr/>
      </w:pPr>
      <w:r w:rsidDel="00000000" w:rsidR="00000000" w:rsidRPr="00000000">
        <w:rPr>
          <w:rtl w:val="0"/>
        </w:rPr>
        <w:t xml:space="preserve">Okumus, Rasoolimanesh, S. M., &amp; Jahani, S. (Eds.). (2023). Cutting edge research methods in hospitality and tourism. Emerald Publishing Limited.</w:t>
      </w:r>
    </w:p>
    <w:p w:rsidR="00000000" w:rsidDel="00000000" w:rsidP="00000000" w:rsidRDefault="00000000" w:rsidRPr="00000000" w14:paraId="0000004B">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rPr/>
      </w:pPr>
      <w:r w:rsidDel="00000000" w:rsidR="00000000" w:rsidRPr="00000000">
        <w:rPr>
          <w:rtl w:val="0"/>
        </w:rPr>
      </w:r>
    </w:p>
    <w:p w:rsidR="00000000" w:rsidDel="00000000" w:rsidP="00000000" w:rsidRDefault="00000000" w:rsidRPr="00000000" w14:paraId="0000004C">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rPr/>
      </w:pPr>
      <w:r w:rsidDel="00000000" w:rsidR="00000000" w:rsidRPr="00000000">
        <w:rPr>
          <w:rtl w:val="0"/>
        </w:rPr>
        <w:t xml:space="preserve">Ritchie, J., Lewis, J. and McNaughton Nicholls, C. (2013). Qualitative Research Practice. SAGE Publications.</w:t>
      </w:r>
    </w:p>
    <w:p w:rsidR="00000000" w:rsidDel="00000000" w:rsidP="00000000" w:rsidRDefault="00000000" w:rsidRPr="00000000" w14:paraId="0000004D">
      <w:pPr>
        <w:rPr/>
      </w:pPr>
      <w:r w:rsidDel="00000000" w:rsidR="00000000" w:rsidRPr="00000000">
        <w:rPr>
          <w:rtl w:val="0"/>
        </w:rPr>
        <w:t xml:space="preserve">Saunders, Thornhill, A., &amp; Lewis, P. (2016). Research methods for business students (Seventh edition.). Pearson Education Limited.</w:t>
      </w:r>
    </w:p>
    <w:p w:rsidR="00000000" w:rsidDel="00000000" w:rsidP="00000000" w:rsidRDefault="00000000" w:rsidRPr="00000000" w14:paraId="0000004E">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rPr/>
      </w:pPr>
      <w:r w:rsidDel="00000000" w:rsidR="00000000" w:rsidRPr="00000000">
        <w:rPr>
          <w:rtl w:val="0"/>
        </w:rPr>
      </w:r>
    </w:p>
    <w:p w:rsidR="00000000" w:rsidDel="00000000" w:rsidP="00000000" w:rsidRDefault="00000000" w:rsidRPr="00000000" w14:paraId="0000004F">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rPr/>
      </w:pPr>
      <w:r w:rsidDel="00000000" w:rsidR="00000000" w:rsidRPr="00000000">
        <w:rPr>
          <w:rtl w:val="0"/>
        </w:rPr>
        <w:t xml:space="preserve">Su, X., Chen, L. and Xu, X.L. (2025). Carbon emission and energy risk management in mega sporting events: challenges, strategies, and pathways. Frontiers in Environmental Science, 12. </w:t>
      </w:r>
    </w:p>
    <w:p w:rsidR="00000000" w:rsidDel="00000000" w:rsidP="00000000" w:rsidRDefault="00000000" w:rsidRPr="00000000" w14:paraId="00000050">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rPr/>
      </w:pPr>
      <w:r w:rsidDel="00000000" w:rsidR="00000000" w:rsidRPr="00000000">
        <w:rPr>
          <w:rtl w:val="0"/>
        </w:rPr>
        <w:t xml:space="preserve">UN Environment Programme (2024). The Olympics are part of a push to ‘green’ sports. Here’s why that’s important. [online] UNEP. Available at: </w:t>
      </w:r>
      <w:hyperlink r:id="rId12">
        <w:r w:rsidDel="00000000" w:rsidR="00000000" w:rsidRPr="00000000">
          <w:rPr>
            <w:color w:val="1155cc"/>
            <w:u w:val="single"/>
            <w:rtl w:val="0"/>
          </w:rPr>
          <w:t xml:space="preserve">https://www.unep.org/news-and-stories/story/olympics-are-part-push-green-sports-heres-why-thats-important</w:t>
        </w:r>
      </w:hyperlink>
      <w:r w:rsidDel="00000000" w:rsidR="00000000" w:rsidRPr="00000000">
        <w:rPr>
          <w:rtl w:val="0"/>
        </w:rPr>
        <w:t xml:space="preserve">. </w:t>
      </w:r>
    </w:p>
    <w:p w:rsidR="00000000" w:rsidDel="00000000" w:rsidP="00000000" w:rsidRDefault="00000000" w:rsidRPr="00000000" w14:paraId="00000051">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rPr/>
      </w:pPr>
      <w:r w:rsidDel="00000000" w:rsidR="00000000" w:rsidRPr="00000000">
        <w:rPr>
          <w:rtl w:val="0"/>
        </w:rPr>
        <w:t xml:space="preserve">Vassil Girginov (2018). Rethinking Olympic Legacy. Routledge.</w:t>
      </w:r>
    </w:p>
    <w:p w:rsidR="00000000" w:rsidDel="00000000" w:rsidP="00000000" w:rsidRDefault="00000000" w:rsidRPr="00000000" w14:paraId="00000052">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rPr/>
      </w:pPr>
      <w:r w:rsidDel="00000000" w:rsidR="00000000" w:rsidRPr="00000000">
        <w:rPr>
          <w:rtl w:val="0"/>
        </w:rPr>
        <w:t xml:space="preserve">Yin, R.K. (2018). Case Study Research and Applications: Design and Methods. 6th ed. SAGE Publications.</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sectPr>
      <w:headerReference r:id="rId13"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9">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ebarchive.nationalarchives.gov.uk/ukgwa/20180426101359/http://learninglegacy.independent.gov.uk//" TargetMode="External"/><Relationship Id="rId10" Type="http://schemas.openxmlformats.org/officeDocument/2006/relationships/hyperlink" Target="https://olympics.com/ioc/sustainability" TargetMode="External"/><Relationship Id="rId13" Type="http://schemas.openxmlformats.org/officeDocument/2006/relationships/header" Target="header1.xml"/><Relationship Id="rId12" Type="http://schemas.openxmlformats.org/officeDocument/2006/relationships/hyperlink" Target="https://www.unep.org/news-and-stories/story/olympics-are-part-push-green-sports-heres-why-thats-importan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olympics.com/ioc/paris-2024-sustainable-games" TargetMode="External"/><Relationship Id="rId5" Type="http://schemas.openxmlformats.org/officeDocument/2006/relationships/styles" Target="styles.xml"/><Relationship Id="rId6" Type="http://schemas.openxmlformats.org/officeDocument/2006/relationships/hyperlink" Target="https://www.bera.ac.uk/publication/ethical-guidelines-for-educational-research-2018" TargetMode="External"/><Relationship Id="rId7" Type="http://schemas.openxmlformats.org/officeDocument/2006/relationships/hyperlink" Target="https://doi.org/10.3316/QRJ0902027" TargetMode="External"/><Relationship Id="rId8" Type="http://schemas.openxmlformats.org/officeDocument/2006/relationships/hyperlink" Target="https://assets.publishing.service.gov.uk/media/5a7c9f9f40f0b65b3de0a190/2901179_OlympicLegacy_ac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