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BF9A" w14:textId="77777777" w:rsidR="000B176D" w:rsidRDefault="002334BF">
      <w:bookmarkStart w:id="0" w:name="_heading=h.do47wlvoe4c0" w:colFirst="0" w:colLast="0"/>
      <w:bookmarkEnd w:id="0"/>
      <w:r>
        <w:rPr>
          <w:noProof/>
        </w:rPr>
        <w:drawing>
          <wp:anchor distT="0" distB="0" distL="114300" distR="114300" simplePos="0" relativeHeight="251658240" behindDoc="0" locked="0" layoutInCell="1" hidden="0" allowOverlap="1" wp14:anchorId="25850B3C" wp14:editId="7C0CCFAA">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2BA4391C" w14:textId="77777777" w:rsidR="000B176D" w:rsidRDefault="000B176D"/>
    <w:p w14:paraId="562FA98F" w14:textId="77777777" w:rsidR="000B176D" w:rsidRDefault="000B176D"/>
    <w:p w14:paraId="7D88AA3D" w14:textId="77777777" w:rsidR="000B176D" w:rsidRDefault="000B176D"/>
    <w:p w14:paraId="7EF7D773" w14:textId="77777777" w:rsidR="000B176D" w:rsidRDefault="000B176D">
      <w:pPr>
        <w:tabs>
          <w:tab w:val="left" w:pos="6540"/>
        </w:tabs>
      </w:pPr>
    </w:p>
    <w:p w14:paraId="05114932" w14:textId="0F4096E7" w:rsidR="000B176D" w:rsidRPr="002465F9" w:rsidRDefault="002334BF">
      <w:pPr>
        <w:tabs>
          <w:tab w:val="left" w:pos="6540"/>
        </w:tabs>
        <w:rPr>
          <w:b/>
          <w:bCs/>
        </w:rPr>
      </w:pPr>
      <w:r w:rsidRPr="002465F9">
        <w:rPr>
          <w:b/>
          <w:bCs/>
        </w:rPr>
        <w:t>Student name:</w:t>
      </w:r>
      <w:r w:rsidR="002465F9" w:rsidRPr="002465F9">
        <w:rPr>
          <w:b/>
          <w:bCs/>
        </w:rPr>
        <w:t xml:space="preserve"> </w:t>
      </w:r>
      <w:r w:rsidR="002465F9" w:rsidRPr="002465F9">
        <w:rPr>
          <w:b/>
          <w:bCs/>
        </w:rPr>
        <w:t>Irise Lewis</w:t>
      </w:r>
    </w:p>
    <w:p w14:paraId="0331C4BB" w14:textId="4488F8FF" w:rsidR="000B176D" w:rsidRPr="002465F9" w:rsidRDefault="002334BF">
      <w:pPr>
        <w:tabs>
          <w:tab w:val="left" w:pos="6540"/>
        </w:tabs>
        <w:rPr>
          <w:b/>
          <w:bCs/>
        </w:rPr>
      </w:pPr>
      <w:r w:rsidRPr="002465F9">
        <w:rPr>
          <w:b/>
          <w:bCs/>
        </w:rPr>
        <w:t>Student ID:</w:t>
      </w:r>
      <w:r w:rsidR="002465F9" w:rsidRPr="002465F9">
        <w:rPr>
          <w:b/>
          <w:bCs/>
        </w:rPr>
        <w:t xml:space="preserve"> </w:t>
      </w:r>
      <w:r w:rsidR="002465F9" w:rsidRPr="002465F9">
        <w:rPr>
          <w:b/>
          <w:bCs/>
        </w:rPr>
        <w:t>2437142</w:t>
      </w:r>
    </w:p>
    <w:p w14:paraId="2754EAF0" w14:textId="77777777" w:rsidR="000B176D" w:rsidRPr="002465F9" w:rsidRDefault="000B176D">
      <w:pPr>
        <w:tabs>
          <w:tab w:val="left" w:pos="6540"/>
        </w:tabs>
        <w:rPr>
          <w:b/>
          <w:bCs/>
        </w:rPr>
      </w:pPr>
    </w:p>
    <w:p w14:paraId="7FC5CB15" w14:textId="281CA744" w:rsidR="000B176D" w:rsidRPr="002465F9" w:rsidRDefault="002334BF">
      <w:pPr>
        <w:tabs>
          <w:tab w:val="left" w:pos="6540"/>
        </w:tabs>
        <w:rPr>
          <w:b/>
          <w:bCs/>
        </w:rPr>
      </w:pPr>
      <w:r w:rsidRPr="002465F9">
        <w:rPr>
          <w:b/>
          <w:bCs/>
        </w:rPr>
        <w:t xml:space="preserve">Module name: </w:t>
      </w:r>
      <w:r w:rsidR="002465F9" w:rsidRPr="002465F9">
        <w:rPr>
          <w:b/>
          <w:bCs/>
        </w:rPr>
        <w:t>Principles of Health and Social Care Practice</w:t>
      </w:r>
    </w:p>
    <w:p w14:paraId="620CE9ED" w14:textId="646FFFA4" w:rsidR="000B176D" w:rsidRPr="002465F9" w:rsidRDefault="002334BF">
      <w:pPr>
        <w:tabs>
          <w:tab w:val="left" w:pos="6540"/>
        </w:tabs>
        <w:rPr>
          <w:b/>
          <w:bCs/>
        </w:rPr>
      </w:pPr>
      <w:r w:rsidRPr="002465F9">
        <w:rPr>
          <w:b/>
          <w:bCs/>
        </w:rPr>
        <w:t>Module code:</w:t>
      </w:r>
      <w:r w:rsidR="002465F9" w:rsidRPr="002465F9">
        <w:rPr>
          <w:b/>
          <w:bCs/>
          <w:color w:val="222222"/>
          <w:shd w:val="clear" w:color="auto" w:fill="FFFFFF"/>
        </w:rPr>
        <w:t xml:space="preserve"> </w:t>
      </w:r>
      <w:r w:rsidR="002465F9" w:rsidRPr="002465F9">
        <w:rPr>
          <w:b/>
          <w:bCs/>
        </w:rPr>
        <w:t>BMHP5016</w:t>
      </w:r>
    </w:p>
    <w:p w14:paraId="24770855" w14:textId="2B655353" w:rsidR="000B176D" w:rsidRPr="002465F9" w:rsidRDefault="002334BF">
      <w:pPr>
        <w:tabs>
          <w:tab w:val="left" w:pos="6540"/>
        </w:tabs>
        <w:rPr>
          <w:b/>
          <w:bCs/>
        </w:rPr>
      </w:pPr>
      <w:r w:rsidRPr="002465F9">
        <w:rPr>
          <w:b/>
          <w:bCs/>
        </w:rPr>
        <w:t>Lecturer name:</w:t>
      </w:r>
      <w:r w:rsidR="002465F9" w:rsidRPr="002465F9">
        <w:rPr>
          <w:b/>
          <w:bCs/>
        </w:rPr>
        <w:t xml:space="preserve"> Sam Parker</w:t>
      </w:r>
    </w:p>
    <w:p w14:paraId="0587798D" w14:textId="77777777" w:rsidR="000B176D" w:rsidRDefault="000B176D">
      <w:pPr>
        <w:tabs>
          <w:tab w:val="left" w:pos="6540"/>
        </w:tabs>
      </w:pPr>
    </w:p>
    <w:p w14:paraId="394ED371" w14:textId="77777777" w:rsidR="000B176D" w:rsidRDefault="000B176D">
      <w:pPr>
        <w:pStyle w:val="Heading1"/>
        <w:keepNext w:val="0"/>
        <w:keepLines w:val="0"/>
        <w:rPr>
          <w:sz w:val="24"/>
          <w:szCs w:val="24"/>
        </w:rPr>
      </w:pPr>
      <w:bookmarkStart w:id="1" w:name="_heading=h.pbktrz340eps" w:colFirst="0" w:colLast="0"/>
      <w:bookmarkEnd w:id="1"/>
    </w:p>
    <w:p w14:paraId="201258E4" w14:textId="77777777" w:rsidR="000B176D" w:rsidRDefault="002334BF">
      <w:pPr>
        <w:pStyle w:val="Heading2"/>
        <w:keepNext w:val="0"/>
        <w:keepLines w:val="0"/>
        <w:rPr>
          <w:sz w:val="24"/>
          <w:szCs w:val="24"/>
        </w:rPr>
      </w:pPr>
      <w:bookmarkStart w:id="2" w:name="_heading=h.qrqk8bwibedf" w:colFirst="0" w:colLast="0"/>
      <w:bookmarkEnd w:id="2"/>
      <w:r>
        <w:br w:type="page"/>
      </w:r>
    </w:p>
    <w:bookmarkStart w:id="3" w:name="_heading=h.bivkscq1mkfh" w:colFirst="0" w:colLast="0" w:displacedByCustomXml="next"/>
    <w:bookmarkEnd w:id="3" w:displacedByCustomXml="next"/>
    <w:sdt>
      <w:sdtPr>
        <w:rPr>
          <w:rFonts w:ascii="Arial" w:eastAsia="Arial" w:hAnsi="Arial" w:cs="Arial"/>
          <w:b w:val="0"/>
          <w:bCs w:val="0"/>
          <w:color w:val="auto"/>
          <w:sz w:val="24"/>
          <w:szCs w:val="24"/>
          <w:lang w:val="en-IN" w:eastAsia="en-IN"/>
        </w:rPr>
        <w:id w:val="346758606"/>
        <w:docPartObj>
          <w:docPartGallery w:val="Table of Contents"/>
          <w:docPartUnique/>
        </w:docPartObj>
      </w:sdtPr>
      <w:sdtEndPr>
        <w:rPr>
          <w:noProof/>
        </w:rPr>
      </w:sdtEndPr>
      <w:sdtContent>
        <w:p w14:paraId="7AE8D733" w14:textId="77777777" w:rsidR="00235BA2" w:rsidRPr="00235BA2" w:rsidRDefault="00235BA2" w:rsidP="00235BA2">
          <w:pPr>
            <w:pStyle w:val="TOCHeading"/>
            <w:jc w:val="center"/>
            <w:rPr>
              <w:rFonts w:ascii="Arial" w:hAnsi="Arial" w:cs="Arial"/>
              <w:color w:val="auto"/>
            </w:rPr>
          </w:pPr>
          <w:r w:rsidRPr="00235BA2">
            <w:rPr>
              <w:rFonts w:ascii="Arial" w:hAnsi="Arial" w:cs="Arial"/>
              <w:color w:val="auto"/>
            </w:rPr>
            <w:t>Table of Contents</w:t>
          </w:r>
        </w:p>
        <w:p w14:paraId="5194BE75" w14:textId="77777777" w:rsidR="00235BA2" w:rsidRDefault="00235BA2">
          <w:pPr>
            <w:pStyle w:val="TOC1"/>
            <w:tabs>
              <w:tab w:val="right" w:leader="dot" w:pos="9016"/>
            </w:tabs>
            <w:rPr>
              <w:noProof/>
            </w:rPr>
          </w:pPr>
          <w:r>
            <w:fldChar w:fldCharType="begin"/>
          </w:r>
          <w:r>
            <w:instrText xml:space="preserve"> TOC \o "1-3" \h \z \u </w:instrText>
          </w:r>
          <w:r>
            <w:fldChar w:fldCharType="separate"/>
          </w:r>
          <w:hyperlink w:anchor="_Toc236835192" w:history="1">
            <w:r w:rsidRPr="00C0311D">
              <w:rPr>
                <w:rStyle w:val="Hyperlink"/>
                <w:noProof/>
              </w:rPr>
              <w:t>Introduction</w:t>
            </w:r>
            <w:r>
              <w:rPr>
                <w:noProof/>
                <w:webHidden/>
              </w:rPr>
              <w:tab/>
            </w:r>
            <w:r>
              <w:rPr>
                <w:noProof/>
                <w:webHidden/>
              </w:rPr>
              <w:fldChar w:fldCharType="begin"/>
            </w:r>
            <w:r>
              <w:rPr>
                <w:noProof/>
                <w:webHidden/>
              </w:rPr>
              <w:instrText xml:space="preserve"> PAGEREF _Toc236835192 \h </w:instrText>
            </w:r>
            <w:r>
              <w:rPr>
                <w:noProof/>
                <w:webHidden/>
              </w:rPr>
            </w:r>
            <w:r>
              <w:rPr>
                <w:noProof/>
                <w:webHidden/>
              </w:rPr>
              <w:fldChar w:fldCharType="separate"/>
            </w:r>
            <w:r>
              <w:rPr>
                <w:noProof/>
                <w:webHidden/>
              </w:rPr>
              <w:t>2</w:t>
            </w:r>
            <w:r>
              <w:rPr>
                <w:noProof/>
                <w:webHidden/>
              </w:rPr>
              <w:fldChar w:fldCharType="end"/>
            </w:r>
          </w:hyperlink>
        </w:p>
        <w:p w14:paraId="525B5CF4" w14:textId="77777777" w:rsidR="00235BA2" w:rsidRDefault="00235BA2">
          <w:pPr>
            <w:pStyle w:val="TOC1"/>
            <w:tabs>
              <w:tab w:val="right" w:leader="dot" w:pos="9016"/>
            </w:tabs>
            <w:rPr>
              <w:noProof/>
            </w:rPr>
          </w:pPr>
          <w:hyperlink w:anchor="_Toc236835193" w:history="1">
            <w:r w:rsidRPr="00C0311D">
              <w:rPr>
                <w:rStyle w:val="Hyperlink"/>
                <w:noProof/>
              </w:rPr>
              <w:t>Development of the Social Model of Disability</w:t>
            </w:r>
            <w:r>
              <w:rPr>
                <w:noProof/>
                <w:webHidden/>
              </w:rPr>
              <w:tab/>
            </w:r>
            <w:r>
              <w:rPr>
                <w:noProof/>
                <w:webHidden/>
              </w:rPr>
              <w:fldChar w:fldCharType="begin"/>
            </w:r>
            <w:r>
              <w:rPr>
                <w:noProof/>
                <w:webHidden/>
              </w:rPr>
              <w:instrText xml:space="preserve"> PAGEREF _Toc236835193 \h </w:instrText>
            </w:r>
            <w:r>
              <w:rPr>
                <w:noProof/>
                <w:webHidden/>
              </w:rPr>
            </w:r>
            <w:r>
              <w:rPr>
                <w:noProof/>
                <w:webHidden/>
              </w:rPr>
              <w:fldChar w:fldCharType="separate"/>
            </w:r>
            <w:r>
              <w:rPr>
                <w:noProof/>
                <w:webHidden/>
              </w:rPr>
              <w:t>2</w:t>
            </w:r>
            <w:r>
              <w:rPr>
                <w:noProof/>
                <w:webHidden/>
              </w:rPr>
              <w:fldChar w:fldCharType="end"/>
            </w:r>
          </w:hyperlink>
        </w:p>
        <w:p w14:paraId="1609DD4D" w14:textId="77777777" w:rsidR="00235BA2" w:rsidRDefault="00235BA2">
          <w:pPr>
            <w:pStyle w:val="TOC1"/>
            <w:tabs>
              <w:tab w:val="right" w:leader="dot" w:pos="9016"/>
            </w:tabs>
            <w:rPr>
              <w:noProof/>
            </w:rPr>
          </w:pPr>
          <w:hyperlink w:anchor="_Toc236835194" w:history="1">
            <w:r w:rsidRPr="00C0311D">
              <w:rPr>
                <w:rStyle w:val="Hyperlink"/>
                <w:noProof/>
              </w:rPr>
              <w:t>Application of the Social Model of Disability in Health and Social Care Policy and Practice</w:t>
            </w:r>
            <w:r>
              <w:rPr>
                <w:noProof/>
                <w:webHidden/>
              </w:rPr>
              <w:tab/>
            </w:r>
            <w:r>
              <w:rPr>
                <w:noProof/>
                <w:webHidden/>
              </w:rPr>
              <w:fldChar w:fldCharType="begin"/>
            </w:r>
            <w:r>
              <w:rPr>
                <w:noProof/>
                <w:webHidden/>
              </w:rPr>
              <w:instrText xml:space="preserve"> PAGEREF _Toc236835194 \h </w:instrText>
            </w:r>
            <w:r>
              <w:rPr>
                <w:noProof/>
                <w:webHidden/>
              </w:rPr>
            </w:r>
            <w:r>
              <w:rPr>
                <w:noProof/>
                <w:webHidden/>
              </w:rPr>
              <w:fldChar w:fldCharType="separate"/>
            </w:r>
            <w:r>
              <w:rPr>
                <w:noProof/>
                <w:webHidden/>
              </w:rPr>
              <w:t>4</w:t>
            </w:r>
            <w:r>
              <w:rPr>
                <w:noProof/>
                <w:webHidden/>
              </w:rPr>
              <w:fldChar w:fldCharType="end"/>
            </w:r>
          </w:hyperlink>
        </w:p>
        <w:p w14:paraId="137B9297" w14:textId="77777777" w:rsidR="00235BA2" w:rsidRDefault="00235BA2" w:rsidP="00235BA2">
          <w:pPr>
            <w:pStyle w:val="TOC2"/>
            <w:tabs>
              <w:tab w:val="right" w:leader="dot" w:pos="9016"/>
            </w:tabs>
            <w:ind w:left="0"/>
            <w:rPr>
              <w:noProof/>
            </w:rPr>
          </w:pPr>
          <w:hyperlink w:anchor="_Toc236835195" w:history="1">
            <w:r w:rsidRPr="00C0311D">
              <w:rPr>
                <w:rStyle w:val="Hyperlink"/>
                <w:noProof/>
              </w:rPr>
              <w:t>Recommendations for Health and Social Care Policy and Practice</w:t>
            </w:r>
            <w:r>
              <w:rPr>
                <w:noProof/>
                <w:webHidden/>
              </w:rPr>
              <w:tab/>
            </w:r>
            <w:r>
              <w:rPr>
                <w:noProof/>
                <w:webHidden/>
              </w:rPr>
              <w:fldChar w:fldCharType="begin"/>
            </w:r>
            <w:r>
              <w:rPr>
                <w:noProof/>
                <w:webHidden/>
              </w:rPr>
              <w:instrText xml:space="preserve"> PAGEREF _Toc236835195 \h </w:instrText>
            </w:r>
            <w:r>
              <w:rPr>
                <w:noProof/>
                <w:webHidden/>
              </w:rPr>
            </w:r>
            <w:r>
              <w:rPr>
                <w:noProof/>
                <w:webHidden/>
              </w:rPr>
              <w:fldChar w:fldCharType="separate"/>
            </w:r>
            <w:r>
              <w:rPr>
                <w:noProof/>
                <w:webHidden/>
              </w:rPr>
              <w:t>6</w:t>
            </w:r>
            <w:r>
              <w:rPr>
                <w:noProof/>
                <w:webHidden/>
              </w:rPr>
              <w:fldChar w:fldCharType="end"/>
            </w:r>
          </w:hyperlink>
        </w:p>
        <w:p w14:paraId="06B36681" w14:textId="77777777" w:rsidR="00235BA2" w:rsidRDefault="00235BA2" w:rsidP="00235BA2">
          <w:pPr>
            <w:pStyle w:val="TOC2"/>
            <w:tabs>
              <w:tab w:val="right" w:leader="dot" w:pos="9016"/>
            </w:tabs>
            <w:ind w:left="0"/>
            <w:rPr>
              <w:noProof/>
            </w:rPr>
          </w:pPr>
          <w:hyperlink w:anchor="_Toc236835196" w:history="1">
            <w:r w:rsidRPr="00C0311D">
              <w:rPr>
                <w:rStyle w:val="Hyperlink"/>
                <w:noProof/>
              </w:rPr>
              <w:t>Conclusion</w:t>
            </w:r>
            <w:r>
              <w:rPr>
                <w:noProof/>
                <w:webHidden/>
              </w:rPr>
              <w:tab/>
            </w:r>
            <w:r>
              <w:rPr>
                <w:noProof/>
                <w:webHidden/>
              </w:rPr>
              <w:fldChar w:fldCharType="begin"/>
            </w:r>
            <w:r>
              <w:rPr>
                <w:noProof/>
                <w:webHidden/>
              </w:rPr>
              <w:instrText xml:space="preserve"> PAGEREF _Toc236835196 \h </w:instrText>
            </w:r>
            <w:r>
              <w:rPr>
                <w:noProof/>
                <w:webHidden/>
              </w:rPr>
            </w:r>
            <w:r>
              <w:rPr>
                <w:noProof/>
                <w:webHidden/>
              </w:rPr>
              <w:fldChar w:fldCharType="separate"/>
            </w:r>
            <w:r>
              <w:rPr>
                <w:noProof/>
                <w:webHidden/>
              </w:rPr>
              <w:t>7</w:t>
            </w:r>
            <w:r>
              <w:rPr>
                <w:noProof/>
                <w:webHidden/>
              </w:rPr>
              <w:fldChar w:fldCharType="end"/>
            </w:r>
          </w:hyperlink>
        </w:p>
        <w:p w14:paraId="2B700675" w14:textId="77777777" w:rsidR="00235BA2" w:rsidRDefault="00235BA2">
          <w:r>
            <w:rPr>
              <w:b/>
              <w:bCs/>
              <w:noProof/>
            </w:rPr>
            <w:fldChar w:fldCharType="end"/>
          </w:r>
        </w:p>
      </w:sdtContent>
    </w:sdt>
    <w:p w14:paraId="03B474B3" w14:textId="77777777" w:rsidR="00235BA2" w:rsidRDefault="00235BA2">
      <w:pPr>
        <w:rPr>
          <w:b/>
          <w:bCs/>
        </w:rPr>
      </w:pPr>
      <w:bookmarkStart w:id="4" w:name="_Toc236835192"/>
      <w:r>
        <w:br w:type="page"/>
      </w:r>
    </w:p>
    <w:p w14:paraId="3CEDA15D" w14:textId="77777777" w:rsidR="000B176D" w:rsidRDefault="002334BF">
      <w:pPr>
        <w:pStyle w:val="Heading1"/>
        <w:keepNext w:val="0"/>
        <w:keepLines w:val="0"/>
        <w:rPr>
          <w:sz w:val="24"/>
          <w:szCs w:val="24"/>
        </w:rPr>
      </w:pPr>
      <w:r>
        <w:rPr>
          <w:sz w:val="24"/>
          <w:szCs w:val="24"/>
        </w:rPr>
        <w:lastRenderedPageBreak/>
        <w:t>Introduction</w:t>
      </w:r>
      <w:bookmarkEnd w:id="4"/>
    </w:p>
    <w:p w14:paraId="03543851" w14:textId="77777777" w:rsidR="000B176D" w:rsidRDefault="002334BF">
      <w:r>
        <w:t>There has been a greater understanding of disability, which is no longer perceived as a medical condition, but as a social and human rights issue. Traditionally, disability has been defined according to the medical paradigm that sees the disability as an individual's physical, sensory, intellectual or mental 'deficiency', which needs to be cured, rehabilitated or treated. The Social Model of Disability has proved to be one of the most significant concepts developed in health and social care. By focusing on 'fixing' the disability rather than changing the individual, the focus shifts to changing society to make it an inclusive place where everyone can have an equal share (Constantino, Campbell, and Simpson, 2022). This model has had an impact on international legislation, the United Nations Convention on the Rights of Persons with Disabilities (UNCRPD), as well as national legislation and policies like the UK's Equality Act 2010. Although there have been some successes, disabled people still suffer inequalities. The Department for Work and Pensions (DWP) estimated that in the UK, an estimated 16.8 million people, which is 24% of the population, lived with a disability in 2023 – 2024. Additionally, the disability employment rate was around 54.2%, whereas the employment rate for people without disabilities was 82%, resulting in an employment gap of almost 28 percentage points (p.p.) (Mladenov, 2022). While policy has changed and there are indeed some barriers in practice, these figures suggest that there are still many.</w:t>
      </w:r>
    </w:p>
    <w:p w14:paraId="5101327F" w14:textId="77777777" w:rsidR="000B176D" w:rsidRDefault="002334BF">
      <w:r>
        <w:t xml:space="preserve">This report critically reviews the Social Model of Disability; this will involve identifying the historical development, providing the theoretical basis, identifying the criticisms and applying this to health and social care in practice. It also assesses the challenges in the implementation of the model and offers recommendations to enhance policy and professional practice. </w:t>
      </w:r>
    </w:p>
    <w:p w14:paraId="35FB1F63" w14:textId="77777777" w:rsidR="000B176D" w:rsidRDefault="002334BF">
      <w:pPr>
        <w:pStyle w:val="Heading1"/>
        <w:keepNext w:val="0"/>
        <w:keepLines w:val="0"/>
        <w:rPr>
          <w:sz w:val="24"/>
          <w:szCs w:val="24"/>
        </w:rPr>
      </w:pPr>
      <w:bookmarkStart w:id="5" w:name="_heading=h.luzknisg8jf7" w:colFirst="0" w:colLast="0"/>
      <w:bookmarkStart w:id="6" w:name="_Toc236835193"/>
      <w:bookmarkEnd w:id="5"/>
      <w:r>
        <w:rPr>
          <w:sz w:val="24"/>
          <w:szCs w:val="24"/>
        </w:rPr>
        <w:t>Development of the Social Model of Disability</w:t>
      </w:r>
      <w:bookmarkEnd w:id="6"/>
    </w:p>
    <w:p w14:paraId="7DEFDCFF" w14:textId="77777777" w:rsidR="000B176D" w:rsidRDefault="002334BF">
      <w:r>
        <w:t xml:space="preserve">The traditional medical model of disability became inadequate to the demands of the disability rights movement of the 1970s, and that's when the Social Model of Disability came along. Disabled activists challenged society and its practices that had been causing disabilities instead of the person's impairments by making buildings inaccessible, having discriminatory attitudes, excluding those with </w:t>
      </w:r>
      <w:r>
        <w:lastRenderedPageBreak/>
        <w:t>disabilities and providing inadequate services (</w:t>
      </w:r>
      <w:proofErr w:type="spellStart"/>
      <w:r>
        <w:t>Petasis</w:t>
      </w:r>
      <w:proofErr w:type="spellEnd"/>
      <w:r>
        <w:t>, 2023). One of the first and most influential groups to advocate this view was the Union of the Physically Impaired Against Segregation (UPIAS), which claimed that disability was caused by social oppression and not biological factors. Based on these concepts, in 1983 Mike Oliver formally coined the term "Social Model of Disability", which helped to highlight the difference between a person's impairment (physical or mental) and the disability he suffers due to barriers that are created by society.</w:t>
      </w:r>
    </w:p>
    <w:p w14:paraId="75FE2023" w14:textId="77777777" w:rsidR="000B176D" w:rsidRDefault="002334BF">
      <w:r>
        <w:t>Oliver's work was a major paradigm shift in the field of health and social care, and he claimed that the key to tackling the barriers in place is to focus on the barriers rather than solely on diagnosis and treatment. This was a significant change in thinking about disability as it shifted from the personal to the governmental, the employer, health, education and the community (Newman-Griffis</w:t>
      </w:r>
      <w:r>
        <w:rPr>
          <w:i/>
          <w:iCs/>
        </w:rPr>
        <w:t xml:space="preserve"> et al. </w:t>
      </w:r>
      <w:r>
        <w:t>2023). The model also was in harmony with the principles of equality, citizenship, and human rights, with a focus on independent living and equal participation. The Social Model developed and continued to develop during the 1990s and early twenty-first century, which saw disability rights recognised internationally (</w:t>
      </w:r>
      <w:proofErr w:type="spellStart"/>
      <w:r>
        <w:t>Goldiner</w:t>
      </w:r>
      <w:proofErr w:type="spellEnd"/>
      <w:r>
        <w:t xml:space="preserve">, 2022). An important step has been the UN Convention on the Rights of Persons with Disabilities (UNCRPD), adopted in 2006 and effective from 2008. The Convention saw disability as a "disability" when it was seen as a consequence of an interaction of impairments and societal barriers and called on the governments to take a proactive approach and remove discrimination, make things accessible and reduce unequal participation across all areas of life. Many countries went on to bolster disability legislation and requirements for accessibility based on these principles (Watson and </w:t>
      </w:r>
      <w:proofErr w:type="spellStart"/>
      <w:r>
        <w:t>Vehmas</w:t>
      </w:r>
      <w:proofErr w:type="spellEnd"/>
      <w:r>
        <w:t>, 2022).</w:t>
      </w:r>
    </w:p>
    <w:p w14:paraId="3123E882" w14:textId="77777777" w:rsidR="000B176D" w:rsidRDefault="002334BF">
      <w:r>
        <w:t xml:space="preserve">The model has also shaped public perceptions of disability, to promote inclusive education, accessible transport, reasonable adjustments in the workplace and universal design. The principles are exemplified by the development of assistive technologies, digital accessibility, and inclusive healthcare. For instance, the accessible use of communication technologies has provided opportunities for education and employment for many people with disabilities. Although the Social Model is powerful, there have been several criticisms of it (Hendren, 2023). A big downside is that it does not take into account the direct effects of pain, chronic </w:t>
      </w:r>
      <w:r>
        <w:lastRenderedPageBreak/>
        <w:t xml:space="preserve">illness and fatigue, or progressive medical conditions. Some impairments need constant health care, rehabilitation and clinical intervention which cannot be overcome by eliminating environmental barriers, the critics argue. Crawshaw and Reynolds (2022) argues that disability is not caused by social factors, but by an interaction between these and biological factors. For this reason, many scholars today prefer to employ a more holistic or ‘biopsychosocial' model that brings together the best of both the medical and social models, and that remains committed to equality of opportunity and human rights. </w:t>
      </w:r>
    </w:p>
    <w:p w14:paraId="499B9E90" w14:textId="77777777" w:rsidR="000B176D" w:rsidRDefault="002334BF">
      <w:pPr>
        <w:pStyle w:val="Heading1"/>
        <w:keepNext w:val="0"/>
        <w:keepLines w:val="0"/>
        <w:rPr>
          <w:sz w:val="24"/>
          <w:szCs w:val="24"/>
        </w:rPr>
      </w:pPr>
      <w:bookmarkStart w:id="7" w:name="_heading=h.rh9e3oentna1" w:colFirst="0" w:colLast="0"/>
      <w:bookmarkStart w:id="8" w:name="_Toc236835194"/>
      <w:bookmarkEnd w:id="7"/>
      <w:r>
        <w:rPr>
          <w:sz w:val="24"/>
          <w:szCs w:val="24"/>
        </w:rPr>
        <w:t>Application of the Social Model of Disability in Health and Social Care Policy and Practice</w:t>
      </w:r>
      <w:bookmarkEnd w:id="8"/>
    </w:p>
    <w:p w14:paraId="721EE442" w14:textId="77777777" w:rsidR="000B176D" w:rsidRDefault="002334BF">
      <w:r>
        <w:t>The Social Model of Disability has had a considerable impact on modern health and social care policy, and led governments and organisations to tackle inequalities in society that prevent disabled people from doing the same. The model is not concerned with the diagnosis or treatment of impairments, but is about equality, accessibility, inclusion and independent living (</w:t>
      </w:r>
      <w:proofErr w:type="spellStart"/>
      <w:r>
        <w:t>Koutsoklenis</w:t>
      </w:r>
      <w:proofErr w:type="spellEnd"/>
      <w:r>
        <w:t xml:space="preserve"> and Adam, 2024). As a result, the disability movement has emerged as a human rights issue and a major focus of many national and international policies, which call on healthcare providers, social care organisations, employers and education providers to ensure their environments are free from discrimination and accessible to people with a disability (Adam and </w:t>
      </w:r>
      <w:proofErr w:type="spellStart"/>
      <w:r>
        <w:t>Koutsoklenis</w:t>
      </w:r>
      <w:proofErr w:type="spellEnd"/>
      <w:r>
        <w:t>, 2023</w:t>
      </w:r>
      <w:proofErr w:type="gramStart"/>
      <w:r>
        <w:t>) .</w:t>
      </w:r>
      <w:proofErr w:type="gramEnd"/>
      <w:r>
        <w:t xml:space="preserve"> The United Nations Convention on the Rights of Persons with Disabilities (UNCRPD) is one of the most important initiatives that has been based on the Social Model. The Convention acknowledges that disability is the result of an interaction between persons with impairments and environmental barriers, and asserts governments' obligation to ensure equal access to health, education, employment, transportation, housing, justice and political participation (United Nations, 2022). The Convention has been ratified by over 190 countries, and is one of the most accepted international human rights conventions. It has helped countries to revisit the laws on disability, upgrade accessibility requirements, and enhance anti-discrimination policies.</w:t>
      </w:r>
    </w:p>
    <w:p w14:paraId="2627B209" w14:textId="77777777" w:rsidR="000B176D" w:rsidRDefault="002334BF">
      <w:r>
        <w:t xml:space="preserve">In the UK, the principles of the Social Model are incorporated into the provisions of the Equality Act 2010, which makes a requirement for organisations to make reasonable adjustments so that disabled persons can access services and </w:t>
      </w:r>
      <w:r>
        <w:lastRenderedPageBreak/>
        <w:t xml:space="preserve">employment in the same way as others. By providing services to be accessible, healthcare providers need to provide interpreters, accessible information, adapted facilities, and flexible appointment times (Robertson and Jaswal, 2024). Social care providers are also expected to support the individual to be independent and to make choices and provide person-centred support, not dependent. These legal rights have raised awareness about disability rights among both the public and private sector. The Care Act 2014 is another example of how the Social Model is being put into practice, as it focuses on wellbeing, independence and personal choice as the key priorities of adult social care in England. Rather than just focusing on medical requirements, local authorities must consider how people will maintain independence, be able to engage with the community and achieve their outcomes (Adam and </w:t>
      </w:r>
      <w:proofErr w:type="spellStart"/>
      <w:r>
        <w:t>Koutsoklenis</w:t>
      </w:r>
      <w:proofErr w:type="spellEnd"/>
      <w:r>
        <w:t>, 2023). This is a clear change from the more traditional models of disability that focused primarily on the provision of care to disabled people. The Act also prioritises individualised care planning, where people are considered experts in their own care, and have a voice in their decisions for wellbeing.</w:t>
      </w:r>
    </w:p>
    <w:p w14:paraId="5BE5D910" w14:textId="77777777" w:rsidR="000B176D" w:rsidRDefault="002334BF">
      <w:r>
        <w:t>The Social Model has also had an impact on professional practice by prompting health care professionals to recognise issues within the health care systems. For instance, disabled people can be denied care due to inaccessible appointment systems, poor communication and poorly-designed clinical environments (Forstner, 2022). Professionals are expected to take steps to eliminate these barriers by presenting information in a variety of ways through print and various communication supports; providing physical access to information; and utilising members of the family or advocates when suitable. These practices promote equity in health service provision and enhance patient experiences. Although all these changes have been introduced, there are still many disparities. The World Health Organisation (2023) states that people with disabilities have significantly poorer health outcomes compared to the general population. They are more likely to experience suboptimal skills on the part of health care providers, more likely to be denied health care services, and more likely to experience poor care within the health care systems. These statistics show that 'the law' has failed to eradicate discriminatory practices or structural barriers.</w:t>
      </w:r>
    </w:p>
    <w:p w14:paraId="1BC513D4" w14:textId="77777777" w:rsidR="000B176D" w:rsidRDefault="002334BF">
      <w:r>
        <w:lastRenderedPageBreak/>
        <w:t xml:space="preserve">Issues of accessibility to healthcare remain a huge hurdle, too. NHS England has published that disparities in access to screening programmes, prevention and specialist services for disabled people have remained the same. The health inequalities and lower life expectancy for people with learning disabilities are still avoidable and are worse than the general population. Many avoidable deaths have been linked to the factors of delayed diagnosis, poor communication and inequitable access to the right type of health service in annual reports from NHS England. The results suggest inconsistencies in the implementation of the Social Model in the health care sector (Newman-Griffis </w:t>
      </w:r>
      <w:r>
        <w:rPr>
          <w:i/>
          <w:iCs/>
        </w:rPr>
        <w:t>et al.</w:t>
      </w:r>
      <w:r>
        <w:t xml:space="preserve"> 2022). Other challenges are still current with regard to employment. While there has been a significant improvement in access to the workplace for disabled people, there remain significant inequalities. The Office for National Statistics (2024) found that the employment rate for disabled adults was around 54.2% compared with 82% for their non-disabled counterparts. The 27.6 percentage point difference in employment rates between those with and without a disability continues to be due to a variety of factors that prevent women and men with disabilities from accessing work or holding onto their jobs, such as inaccessible workplaces, employer discrimination, limited flexible working opportunities, and limited understanding about productivity. These inequalities have a direct impact on the poverty rates of disabled households, and also limit their opportunities to participate in society and enjoy independent living.</w:t>
      </w:r>
    </w:p>
    <w:p w14:paraId="72967DC2" w14:textId="77777777" w:rsidR="000B176D" w:rsidRDefault="002334BF">
      <w:pPr>
        <w:pStyle w:val="Heading2"/>
        <w:keepNext w:val="0"/>
        <w:keepLines w:val="0"/>
        <w:rPr>
          <w:sz w:val="24"/>
          <w:szCs w:val="24"/>
        </w:rPr>
      </w:pPr>
      <w:bookmarkStart w:id="9" w:name="_heading=h.fehqvnb8oxgy" w:colFirst="0" w:colLast="0"/>
      <w:bookmarkStart w:id="10" w:name="_Toc236835195"/>
      <w:bookmarkEnd w:id="9"/>
      <w:r>
        <w:rPr>
          <w:sz w:val="24"/>
          <w:szCs w:val="24"/>
        </w:rPr>
        <w:t>Recommendations for Health and Social Care Policy and Practice</w:t>
      </w:r>
      <w:bookmarkEnd w:id="10"/>
    </w:p>
    <w:p w14:paraId="12638233" w14:textId="77777777" w:rsidR="000B176D" w:rsidRDefault="002334BF">
      <w:r>
        <w:t>One of the first ideas is to increase the level of disability awareness and inclusive practice training for all health and social care professionals. While there are existing laws, there is still a significant lack of awareness among healthcare personnel regarding disability rights, accessible communication tools and reasonable adjustments. The World Health Organisation (2023) found that persons with disabilities are twice as likely to see health workers who lack the necessary skills to address their disabilities. Disability equality training, communication techniques, cultural competence and person-centred care, therefore, should be compulsory elements of the mandatory continuing professional development programmes. This would have the benefit of improving professional attitudes, minimising unconscious bias and improving the quality of care for disabled people.</w:t>
      </w:r>
    </w:p>
    <w:p w14:paraId="0E86A8C9" w14:textId="77777777" w:rsidR="000B176D" w:rsidRDefault="002334BF">
      <w:r>
        <w:lastRenderedPageBreak/>
        <w:t>The other recommendation is that access should be enhanced in all health and social care services. Accessibility should not be limited to physical structures but should also be available in transportation, digital services and communication systems, medical equipment and information formats (</w:t>
      </w:r>
      <w:proofErr w:type="spellStart"/>
      <w:r>
        <w:t>Koutsoklenis</w:t>
      </w:r>
      <w:proofErr w:type="spellEnd"/>
      <w:r>
        <w:t xml:space="preserve"> and Adam, 2024). Many disabled people still find it hard to make appointments as online booking systems and websites or health information are not accessible. All healthcare providers and organisations should be subject to standards, such as Web Content Accessibility Guidelines (WCAG), and their facilities should be regularly tested by accessibility audits. The provision of assistive technology, hearing loops, accessible signage and provision of alternative communication materials (braille, easy read, British sign language (BSL) and/or audio materials) would greatly enhance the accessibility of services.</w:t>
      </w:r>
    </w:p>
    <w:p w14:paraId="5F05DAB8" w14:textId="77777777" w:rsidR="000B176D" w:rsidRDefault="002334BF">
      <w:r>
        <w:t>Third, more needs to be done to ensure the implementation and monitoring of disability laws. There are laws in place, the Equality Act 2010, that protect from discrimination, but there is a lack of consistency in implementation between sectors. Regular checks should be carried out to determine if healthcare providers, local authorities and employers are compliant with accessibility requirements and implementing reasonable adjustments (United Nations, 2022). Those organisations that have a history of non-compliance should be subject to more robust regulatory measures and good practice should be recognised and shared nationally. There would also be added benefit in having measurable performance indicators that relate to disability inclusion, which would enhance organisational accountability.</w:t>
      </w:r>
    </w:p>
    <w:p w14:paraId="7EA4AB6B" w14:textId="77777777" w:rsidR="000B176D" w:rsidRDefault="002334BF">
      <w:r>
        <w:t>A further key recommendation is to make disabled people more involved in policy making, planning of services and decision making. The Social Model puts the emphasis on disabled people as experts in their lives, and the importance of their active involvement in the design of services that impact their lives. Healthcare organisations should have disability advisory committees, and include service users to assess healthcare quality, design disability accessible facilities, and create organisational policies. Co-production benefits the quality of service, builds a sense of trust between service users and providers and helps to create services which are truly reflective of the needs of the users.</w:t>
      </w:r>
    </w:p>
    <w:p w14:paraId="0E511B44" w14:textId="77777777" w:rsidR="000B176D" w:rsidRDefault="002334BF">
      <w:pPr>
        <w:pStyle w:val="Heading2"/>
        <w:keepNext w:val="0"/>
        <w:keepLines w:val="0"/>
        <w:rPr>
          <w:sz w:val="24"/>
          <w:szCs w:val="24"/>
        </w:rPr>
      </w:pPr>
      <w:bookmarkStart w:id="11" w:name="_heading=h.chuq08lxfqb3" w:colFirst="0" w:colLast="0"/>
      <w:bookmarkStart w:id="12" w:name="_Toc236835196"/>
      <w:bookmarkEnd w:id="11"/>
      <w:r>
        <w:rPr>
          <w:sz w:val="24"/>
          <w:szCs w:val="24"/>
        </w:rPr>
        <w:t>Conclusion</w:t>
      </w:r>
      <w:bookmarkEnd w:id="12"/>
    </w:p>
    <w:p w14:paraId="588FA8B0" w14:textId="77777777" w:rsidR="000B176D" w:rsidRDefault="002334BF">
      <w:r>
        <w:lastRenderedPageBreak/>
        <w:t xml:space="preserve">The Social Model of Disability has shifted the paradigm of disability by highlighting that the barriers to access to society for individuals are not just a result of their impairments but of social, environmental and institutional barriers. It has had an impact on national legislation, health and social care practices and international conventions, all of which have underpinned equality, access and person-centred care. But the fact that there are still inequalities across access to health services, employment, education and community inclusion illustrates that there are still a range of issues to address in its implementation. Enhancing professional training and skills, making health and social care more accessible, investment and engaging disabled people in policy-making will ensure greater inclusive, equitable and effective outcomes for all from health and social care systems. </w:t>
      </w:r>
    </w:p>
    <w:p w14:paraId="1A474F7E" w14:textId="77777777" w:rsidR="000B176D" w:rsidRDefault="000B176D">
      <w:pPr>
        <w:rPr>
          <w:b/>
          <w:bCs/>
        </w:rPr>
      </w:pPr>
    </w:p>
    <w:p w14:paraId="3CC1494C" w14:textId="77777777" w:rsidR="000B176D" w:rsidRDefault="000B176D">
      <w:pPr>
        <w:rPr>
          <w:b/>
          <w:bCs/>
        </w:rPr>
      </w:pPr>
    </w:p>
    <w:p w14:paraId="5E25CF1C" w14:textId="77777777" w:rsidR="00235BA2" w:rsidRDefault="00235BA2">
      <w:pPr>
        <w:rPr>
          <w:b/>
          <w:bCs/>
        </w:rPr>
      </w:pPr>
      <w:r>
        <w:rPr>
          <w:b/>
          <w:bCs/>
        </w:rPr>
        <w:br w:type="page"/>
      </w:r>
    </w:p>
    <w:p w14:paraId="6B875197" w14:textId="77777777" w:rsidR="000B176D" w:rsidRDefault="002334BF">
      <w:pPr>
        <w:rPr>
          <w:b/>
          <w:bCs/>
        </w:rPr>
      </w:pPr>
      <w:r>
        <w:rPr>
          <w:b/>
          <w:bCs/>
        </w:rPr>
        <w:lastRenderedPageBreak/>
        <w:t>References</w:t>
      </w:r>
    </w:p>
    <w:p w14:paraId="415207B0" w14:textId="77777777" w:rsidR="00235BA2" w:rsidRDefault="00235BA2">
      <w:r>
        <w:t xml:space="preserve">Adam, S. and </w:t>
      </w:r>
      <w:proofErr w:type="spellStart"/>
      <w:r>
        <w:t>Koutsoklenis</w:t>
      </w:r>
      <w:proofErr w:type="spellEnd"/>
      <w:r>
        <w:t xml:space="preserve">, A. (2023) ‘Who needs the social model of disability?’, </w:t>
      </w:r>
      <w:r>
        <w:rPr>
          <w:i/>
          <w:iCs/>
        </w:rPr>
        <w:t>Frontiers in Sociology</w:t>
      </w:r>
      <w:r>
        <w:t xml:space="preserve">, 8, Article 1305301. Available at: </w:t>
      </w:r>
      <w:hyperlink r:id="rId9">
        <w:r>
          <w:rPr>
            <w:color w:val="1155CC"/>
            <w:u w:val="single"/>
          </w:rPr>
          <w:t>https://doi.org/10.3389/fsoc.2023.1305301</w:t>
        </w:r>
      </w:hyperlink>
      <w:r>
        <w:t xml:space="preserve"> </w:t>
      </w:r>
    </w:p>
    <w:p w14:paraId="02FDD245" w14:textId="77777777" w:rsidR="00235BA2" w:rsidRDefault="00235BA2">
      <w:r>
        <w:t xml:space="preserve">Adam, S. and </w:t>
      </w:r>
      <w:proofErr w:type="spellStart"/>
      <w:r>
        <w:t>Koutsoklenis</w:t>
      </w:r>
      <w:proofErr w:type="spellEnd"/>
      <w:r>
        <w:t xml:space="preserve">, A. (2023) ‘Who needs the social model of disability?’, </w:t>
      </w:r>
      <w:r>
        <w:rPr>
          <w:i/>
          <w:iCs/>
        </w:rPr>
        <w:t>Frontiers in Sociology</w:t>
      </w:r>
      <w:r>
        <w:t xml:space="preserve">, 8, Article 1305301. Available at: </w:t>
      </w:r>
      <w:hyperlink r:id="rId10">
        <w:r>
          <w:rPr>
            <w:color w:val="1155CC"/>
            <w:u w:val="single"/>
          </w:rPr>
          <w:t>https://doi.org/10.3389/fsoc.2023.1305301</w:t>
        </w:r>
      </w:hyperlink>
      <w:r>
        <w:t xml:space="preserve"> </w:t>
      </w:r>
    </w:p>
    <w:p w14:paraId="5E7840AF" w14:textId="77777777" w:rsidR="00235BA2" w:rsidRDefault="00235BA2">
      <w:r>
        <w:t xml:space="preserve">Constantino, C., Campbell, P. and Simpson, S. (2022) ‘Stuttering and the social model’, </w:t>
      </w:r>
      <w:r>
        <w:rPr>
          <w:i/>
          <w:iCs/>
        </w:rPr>
        <w:t>Journal of Communication Disorders</w:t>
      </w:r>
      <w:r>
        <w:t xml:space="preserve">, 96, 106200. Available at: </w:t>
      </w:r>
      <w:hyperlink r:id="rId11">
        <w:r>
          <w:rPr>
            <w:color w:val="1155CC"/>
            <w:u w:val="single"/>
          </w:rPr>
          <w:t>https://doi.org/10.1016/j.jcomdis.2022.106200</w:t>
        </w:r>
      </w:hyperlink>
      <w:r>
        <w:t xml:space="preserve"> </w:t>
      </w:r>
    </w:p>
    <w:p w14:paraId="46566C71" w14:textId="77777777" w:rsidR="00235BA2" w:rsidRDefault="00235BA2">
      <w:r>
        <w:t xml:space="preserve">Crawshaw, P. and Reynolds, T. (2022) ‘Rethinking disability inclusion through the social model’, </w:t>
      </w:r>
      <w:r>
        <w:rPr>
          <w:i/>
          <w:iCs/>
        </w:rPr>
        <w:t>Disability &amp; Society</w:t>
      </w:r>
      <w:r>
        <w:t>, 37(9), pp. 1458–1476. Available at:</w:t>
      </w:r>
      <w:hyperlink r:id="rId12">
        <w:r>
          <w:t xml:space="preserve"> </w:t>
        </w:r>
      </w:hyperlink>
      <w:hyperlink r:id="rId13">
        <w:r>
          <w:rPr>
            <w:color w:val="1155CC"/>
            <w:u w:val="single"/>
          </w:rPr>
          <w:t>https://doi.org/10.1080/09687599.2021.1946677</w:t>
        </w:r>
      </w:hyperlink>
    </w:p>
    <w:p w14:paraId="7C8B06FC" w14:textId="77777777" w:rsidR="00235BA2" w:rsidRDefault="00235BA2">
      <w:r>
        <w:t xml:space="preserve">Forstner, M. (2022) ‘Conceptual models of disability: The development of the consideration of non-biomedical aspects’, </w:t>
      </w:r>
      <w:r>
        <w:rPr>
          <w:i/>
          <w:iCs/>
        </w:rPr>
        <w:t>Disabilities</w:t>
      </w:r>
      <w:r>
        <w:t xml:space="preserve">, 2(3), pp. 540–563. Available at: </w:t>
      </w:r>
      <w:hyperlink r:id="rId14">
        <w:r>
          <w:rPr>
            <w:color w:val="1155CC"/>
            <w:u w:val="single"/>
          </w:rPr>
          <w:t>https://doi.org/10.3390/disabilities2030039</w:t>
        </w:r>
      </w:hyperlink>
      <w:r>
        <w:t xml:space="preserve"> </w:t>
      </w:r>
    </w:p>
    <w:p w14:paraId="7C97ECE0" w14:textId="77777777" w:rsidR="00235BA2" w:rsidRDefault="00235BA2">
      <w:proofErr w:type="spellStart"/>
      <w:r>
        <w:t>Goldiner</w:t>
      </w:r>
      <w:proofErr w:type="spellEnd"/>
      <w:r>
        <w:t xml:space="preserve">, A. (2022) ‘Understanding disability as a cluster of disability models’, </w:t>
      </w:r>
      <w:r>
        <w:rPr>
          <w:i/>
          <w:iCs/>
        </w:rPr>
        <w:t>Journal of Philosophy of Disability</w:t>
      </w:r>
      <w:r>
        <w:t>, 2, pp. 1–28. Available at: https://doi.org/10.5840/jpd20224521</w:t>
      </w:r>
    </w:p>
    <w:p w14:paraId="6B674CFA" w14:textId="77777777" w:rsidR="00235BA2" w:rsidRDefault="00235BA2">
      <w:r>
        <w:t xml:space="preserve">Hendren, S. (2023) </w:t>
      </w:r>
      <w:r>
        <w:rPr>
          <w:i/>
          <w:iCs/>
        </w:rPr>
        <w:t>What Can a Body Do? How We Meet the Built World</w:t>
      </w:r>
      <w:r>
        <w:t xml:space="preserve">. Updated </w:t>
      </w:r>
      <w:proofErr w:type="spellStart"/>
      <w:r>
        <w:t>edn</w:t>
      </w:r>
      <w:proofErr w:type="spellEnd"/>
      <w:r>
        <w:t xml:space="preserve">. New York: Riverhead Books. Available at: </w:t>
      </w:r>
      <w:hyperlink r:id="rId15">
        <w:r>
          <w:rPr>
            <w:color w:val="1155CC"/>
            <w:u w:val="single"/>
          </w:rPr>
          <w:t>https://www.penguinrandomhouse.com/books/566715/what-can-a-body-do-by-sara-hendren/</w:t>
        </w:r>
      </w:hyperlink>
      <w:r>
        <w:t xml:space="preserve"> </w:t>
      </w:r>
    </w:p>
    <w:p w14:paraId="7500F98B" w14:textId="77777777" w:rsidR="00235BA2" w:rsidRDefault="00235BA2">
      <w:proofErr w:type="spellStart"/>
      <w:r>
        <w:t>Koutsoklenis</w:t>
      </w:r>
      <w:proofErr w:type="spellEnd"/>
      <w:r>
        <w:t xml:space="preserve">, A. and Adam, S. (2024) ‘The Social Model of Disability’, in </w:t>
      </w:r>
      <w:r>
        <w:rPr>
          <w:i/>
          <w:iCs/>
        </w:rPr>
        <w:t xml:space="preserve">The Palgrave </w:t>
      </w:r>
      <w:proofErr w:type="spellStart"/>
      <w:r>
        <w:rPr>
          <w:i/>
          <w:iCs/>
        </w:rPr>
        <w:t>Encyclopedia</w:t>
      </w:r>
      <w:proofErr w:type="spellEnd"/>
      <w:r>
        <w:rPr>
          <w:i/>
          <w:iCs/>
        </w:rPr>
        <w:t xml:space="preserve"> of Disability</w:t>
      </w:r>
      <w:r>
        <w:t xml:space="preserve">. Cham: Springer Nature. Available at: </w:t>
      </w:r>
      <w:hyperlink r:id="rId16">
        <w:r>
          <w:rPr>
            <w:color w:val="1155CC"/>
            <w:u w:val="single"/>
          </w:rPr>
          <w:t>https://doi.org/10.1007/978-3-031-40858-8_294-1</w:t>
        </w:r>
      </w:hyperlink>
      <w:r>
        <w:t xml:space="preserve"> </w:t>
      </w:r>
    </w:p>
    <w:p w14:paraId="41724AE6" w14:textId="77777777" w:rsidR="00235BA2" w:rsidRDefault="00235BA2">
      <w:proofErr w:type="spellStart"/>
      <w:r>
        <w:lastRenderedPageBreak/>
        <w:t>Koutsoklenis</w:t>
      </w:r>
      <w:proofErr w:type="spellEnd"/>
      <w:r>
        <w:t xml:space="preserve">, A. and Adam, S. (2024) ‘The Social Model of Disability’, in </w:t>
      </w:r>
      <w:r>
        <w:rPr>
          <w:i/>
          <w:iCs/>
        </w:rPr>
        <w:t xml:space="preserve">The Palgrave </w:t>
      </w:r>
      <w:proofErr w:type="spellStart"/>
      <w:r>
        <w:rPr>
          <w:i/>
          <w:iCs/>
        </w:rPr>
        <w:t>Encyclopedia</w:t>
      </w:r>
      <w:proofErr w:type="spellEnd"/>
      <w:r>
        <w:rPr>
          <w:i/>
          <w:iCs/>
        </w:rPr>
        <w:t xml:space="preserve"> of Disability</w:t>
      </w:r>
      <w:r>
        <w:t xml:space="preserve">. Cham: Springer Nature. Available at: </w:t>
      </w:r>
      <w:hyperlink r:id="rId17">
        <w:r>
          <w:rPr>
            <w:color w:val="1155CC"/>
            <w:u w:val="single"/>
          </w:rPr>
          <w:t>https://doi.org/10.1007/978-3-031-40858-8_294-1</w:t>
        </w:r>
      </w:hyperlink>
      <w:r>
        <w:t xml:space="preserve"> </w:t>
      </w:r>
    </w:p>
    <w:p w14:paraId="58B027B4" w14:textId="77777777" w:rsidR="00235BA2" w:rsidRDefault="00235BA2">
      <w:pPr>
        <w:rPr>
          <w:color w:val="1155CC"/>
          <w:u w:val="single"/>
        </w:rPr>
      </w:pPr>
      <w:r>
        <w:t xml:space="preserve">Mladenov, T. (2022) ‘The social model of disability, the independent living and the idea of “care”’, </w:t>
      </w:r>
      <w:r>
        <w:rPr>
          <w:i/>
          <w:iCs/>
        </w:rPr>
        <w:t>Critique and Humanism Journal</w:t>
      </w:r>
      <w:r>
        <w:t>, 55(3), pp. 9–24. Available at:</w:t>
      </w:r>
      <w:hyperlink r:id="rId18">
        <w:r>
          <w:t xml:space="preserve"> </w:t>
        </w:r>
      </w:hyperlink>
      <w:hyperlink r:id="rId19">
        <w:r>
          <w:rPr>
            <w:color w:val="1155CC"/>
            <w:u w:val="single"/>
          </w:rPr>
          <w:t>https://discovery.dundee.ac.uk/en/publications/the-social-model-of-disability-the-independent-living-and-the-ide/</w:t>
        </w:r>
      </w:hyperlink>
    </w:p>
    <w:p w14:paraId="78F00F89" w14:textId="77777777" w:rsidR="00235BA2" w:rsidRDefault="00235BA2">
      <w:pPr>
        <w:rPr>
          <w:color w:val="1155CC"/>
          <w:u w:val="single"/>
        </w:rPr>
      </w:pPr>
      <w:r>
        <w:t xml:space="preserve">Newman-Griffis, D., </w:t>
      </w:r>
      <w:proofErr w:type="spellStart"/>
      <w:r>
        <w:t>Rauchberg</w:t>
      </w:r>
      <w:proofErr w:type="spellEnd"/>
      <w:r>
        <w:t xml:space="preserve">, J.S., Alharbi, R., Hickman, L. and Hochheiser, H. (2022) ‘Definition drives design: Disability models and mechanisms of bias in AI </w:t>
      </w:r>
      <w:proofErr w:type="gramStart"/>
      <w:r>
        <w:t>technologies’</w:t>
      </w:r>
      <w:proofErr w:type="gramEnd"/>
      <w:r>
        <w:t>. Available at:</w:t>
      </w:r>
      <w:hyperlink r:id="rId20">
        <w:r>
          <w:t xml:space="preserve"> </w:t>
        </w:r>
      </w:hyperlink>
      <w:hyperlink r:id="rId21">
        <w:r>
          <w:rPr>
            <w:color w:val="1155CC"/>
            <w:u w:val="single"/>
          </w:rPr>
          <w:t>https://arxiv.org/abs/2206.08287</w:t>
        </w:r>
      </w:hyperlink>
    </w:p>
    <w:p w14:paraId="2C90F13C" w14:textId="77777777" w:rsidR="00235BA2" w:rsidRDefault="00235BA2">
      <w:pPr>
        <w:rPr>
          <w:color w:val="1155CC"/>
          <w:u w:val="single"/>
        </w:rPr>
      </w:pPr>
      <w:r>
        <w:t xml:space="preserve">Newman-Griffis, D., </w:t>
      </w:r>
      <w:proofErr w:type="spellStart"/>
      <w:r>
        <w:t>Rauchberg</w:t>
      </w:r>
      <w:proofErr w:type="spellEnd"/>
      <w:r>
        <w:t xml:space="preserve">, J.S., Alharbi, R., Hickman, L. and Hochheiser, H. (2022) ‘Definition drives design: Disability models and mechanisms of bias in AI technologies’, </w:t>
      </w:r>
      <w:r>
        <w:rPr>
          <w:i/>
          <w:iCs/>
        </w:rPr>
        <w:t>Proceedings of the ACM Conference on Fairness, Accountability, and Transparency</w:t>
      </w:r>
      <w:r>
        <w:t>. Available at:</w:t>
      </w:r>
      <w:hyperlink r:id="rId22">
        <w:r>
          <w:t xml:space="preserve"> </w:t>
        </w:r>
      </w:hyperlink>
      <w:hyperlink r:id="rId23">
        <w:r>
          <w:rPr>
            <w:color w:val="1155CC"/>
            <w:u w:val="single"/>
          </w:rPr>
          <w:t>https://arxiv.org/abs/2206.08287</w:t>
        </w:r>
      </w:hyperlink>
    </w:p>
    <w:p w14:paraId="4F834504" w14:textId="77777777" w:rsidR="00235BA2" w:rsidRDefault="00235BA2">
      <w:proofErr w:type="spellStart"/>
      <w:r>
        <w:t>Petasis</w:t>
      </w:r>
      <w:proofErr w:type="spellEnd"/>
      <w:r>
        <w:t xml:space="preserve">, A. (2023) ‘Discrepancies of the medical, social and biopsychosocial models of disability: A comprehensive theoretical framework’, </w:t>
      </w:r>
      <w:r>
        <w:rPr>
          <w:i/>
          <w:iCs/>
        </w:rPr>
        <w:t>International Journal of Business Management and Technology</w:t>
      </w:r>
      <w:r>
        <w:t xml:space="preserve">, 3(4), pp. 42–54. Available at: </w:t>
      </w:r>
      <w:hyperlink r:id="rId24">
        <w:r>
          <w:rPr>
            <w:color w:val="1155CC"/>
            <w:u w:val="single"/>
          </w:rPr>
          <w:t>https://doi.org/10.5281/zenodo.7655940</w:t>
        </w:r>
      </w:hyperlink>
      <w:r>
        <w:t xml:space="preserve"> </w:t>
      </w:r>
    </w:p>
    <w:p w14:paraId="79FB8976" w14:textId="77777777" w:rsidR="00235BA2" w:rsidRDefault="00235BA2">
      <w:r>
        <w:t xml:space="preserve">Robertson, Z.S. and Jaswal, V.K. (2024) ‘Barriers to inclusion: Incorporating the social model in the study of children’s understanding of disability’, </w:t>
      </w:r>
      <w:r>
        <w:rPr>
          <w:i/>
          <w:iCs/>
        </w:rPr>
        <w:t>Cognitive Development</w:t>
      </w:r>
      <w:r>
        <w:t xml:space="preserve">, 70, Article 101435. Available at: </w:t>
      </w:r>
      <w:hyperlink r:id="rId25">
        <w:r>
          <w:rPr>
            <w:color w:val="1155CC"/>
            <w:u w:val="single"/>
          </w:rPr>
          <w:t>https://doi.org/10.1016/j.cogdev.2024.101435</w:t>
        </w:r>
      </w:hyperlink>
      <w:r>
        <w:t xml:space="preserve"> </w:t>
      </w:r>
    </w:p>
    <w:p w14:paraId="41D559FF" w14:textId="77777777" w:rsidR="00235BA2" w:rsidRDefault="00235BA2">
      <w:pPr>
        <w:rPr>
          <w:color w:val="1155CC"/>
          <w:u w:val="single"/>
        </w:rPr>
      </w:pPr>
      <w:r>
        <w:t xml:space="preserve">United Nations (2022) </w:t>
      </w:r>
      <w:r>
        <w:rPr>
          <w:i/>
          <w:iCs/>
        </w:rPr>
        <w:t>Disability Inclusion Strategy Progress Report</w:t>
      </w:r>
      <w:r>
        <w:t>. New York: United Nations. Available at:</w:t>
      </w:r>
      <w:hyperlink r:id="rId26">
        <w:r>
          <w:t xml:space="preserve"> </w:t>
        </w:r>
      </w:hyperlink>
      <w:hyperlink r:id="rId27">
        <w:r>
          <w:rPr>
            <w:color w:val="1155CC"/>
            <w:u w:val="single"/>
          </w:rPr>
          <w:t>https://www.un.org/en/content/disabilitystrategy/</w:t>
        </w:r>
      </w:hyperlink>
    </w:p>
    <w:p w14:paraId="30EA554B" w14:textId="77777777" w:rsidR="00235BA2" w:rsidRDefault="00235BA2">
      <w:r>
        <w:t xml:space="preserve">Watson, N. and </w:t>
      </w:r>
      <w:proofErr w:type="spellStart"/>
      <w:r>
        <w:t>Vehmas</w:t>
      </w:r>
      <w:proofErr w:type="spellEnd"/>
      <w:r>
        <w:t xml:space="preserve">, S. (eds.) (2022) </w:t>
      </w:r>
      <w:r>
        <w:rPr>
          <w:i/>
          <w:iCs/>
        </w:rPr>
        <w:t>Routledge Handbook of Disability Studies</w:t>
      </w:r>
      <w:r>
        <w:t xml:space="preserve">. 2nd </w:t>
      </w:r>
      <w:proofErr w:type="spellStart"/>
      <w:r>
        <w:t>edn</w:t>
      </w:r>
      <w:proofErr w:type="spellEnd"/>
      <w:r>
        <w:t xml:space="preserve">. London: Routledge. Available at: </w:t>
      </w:r>
      <w:hyperlink r:id="rId28">
        <w:r>
          <w:rPr>
            <w:color w:val="1155CC"/>
            <w:u w:val="single"/>
          </w:rPr>
          <w:t>https://doi.org/10.4324/9780429467417</w:t>
        </w:r>
      </w:hyperlink>
      <w:r>
        <w:t xml:space="preserve"> </w:t>
      </w:r>
    </w:p>
    <w:p w14:paraId="28D6E6EE" w14:textId="77777777" w:rsidR="00235BA2" w:rsidRDefault="00235BA2">
      <w:pPr>
        <w:rPr>
          <w:color w:val="1155CC"/>
          <w:u w:val="single"/>
        </w:rPr>
      </w:pPr>
      <w:bookmarkStart w:id="13" w:name="_heading=h.iur4yfdxk" w:colFirst="0" w:colLast="0"/>
      <w:bookmarkEnd w:id="13"/>
      <w:r>
        <w:t xml:space="preserve">World Health Organization (2022) </w:t>
      </w:r>
      <w:r>
        <w:rPr>
          <w:i/>
          <w:iCs/>
        </w:rPr>
        <w:t>Global Report on Health Equity for Persons with Disabilities</w:t>
      </w:r>
      <w:r>
        <w:t>. Geneva: WHO. Available at:</w:t>
      </w:r>
      <w:hyperlink r:id="rId29">
        <w:r>
          <w:t xml:space="preserve"> </w:t>
        </w:r>
      </w:hyperlink>
      <w:hyperlink r:id="rId30">
        <w:r>
          <w:rPr>
            <w:color w:val="1155CC"/>
            <w:u w:val="single"/>
          </w:rPr>
          <w:t>https://www.who.int/publications/i/item/9789240063600</w:t>
        </w:r>
      </w:hyperlink>
    </w:p>
    <w:p w14:paraId="5765F347" w14:textId="77777777" w:rsidR="000B176D" w:rsidRDefault="000B176D">
      <w:bookmarkStart w:id="14" w:name="_heading=h.svxbxa1dooe9" w:colFirst="0" w:colLast="0"/>
      <w:bookmarkEnd w:id="14"/>
    </w:p>
    <w:p w14:paraId="7D32DB2F" w14:textId="77777777" w:rsidR="000B176D" w:rsidRDefault="000B176D">
      <w:pPr>
        <w:rPr>
          <w:b/>
          <w:bCs/>
        </w:rPr>
      </w:pPr>
    </w:p>
    <w:p w14:paraId="230F8599" w14:textId="77777777" w:rsidR="000B176D" w:rsidRDefault="000B176D">
      <w:pPr>
        <w:rPr>
          <w:color w:val="00B0F0"/>
        </w:rPr>
      </w:pPr>
    </w:p>
    <w:sectPr w:rsidR="000B176D" w:rsidSect="00235BA2">
      <w:footerReference w:type="default" r:id="rId31"/>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ADC2A" w14:textId="77777777" w:rsidR="003D5A72" w:rsidRDefault="003D5A72" w:rsidP="00235BA2">
      <w:pPr>
        <w:spacing w:before="0" w:after="0" w:line="240" w:lineRule="auto"/>
      </w:pPr>
      <w:r>
        <w:separator/>
      </w:r>
    </w:p>
  </w:endnote>
  <w:endnote w:type="continuationSeparator" w:id="0">
    <w:p w14:paraId="2A4AC0CE" w14:textId="77777777" w:rsidR="003D5A72" w:rsidRDefault="003D5A72" w:rsidP="00235BA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BE06455-F8E4-4767-BFC1-0B3C2221F251}"/>
  </w:font>
  <w:font w:name="Calibri">
    <w:panose1 w:val="020F0502020204030204"/>
    <w:charset w:val="00"/>
    <w:family w:val="swiss"/>
    <w:pitch w:val="variable"/>
    <w:sig w:usb0="E4002EFF" w:usb1="C200247B" w:usb2="00000009" w:usb3="00000000" w:csb0="000001FF" w:csb1="00000000"/>
    <w:embedRegular r:id="rId2" w:fontKey="{914F7855-8BDA-49CC-A842-E2BDEB6CE47F}"/>
    <w:embedBold r:id="rId3" w:fontKey="{CE6A3CDC-44EC-4C37-B0B9-E9D768ADA6C1}"/>
  </w:font>
  <w:font w:name="Tahoma">
    <w:panose1 w:val="020B0604030504040204"/>
    <w:charset w:val="00"/>
    <w:family w:val="swiss"/>
    <w:pitch w:val="variable"/>
    <w:sig w:usb0="E1002EFF" w:usb1="C000605B" w:usb2="00000029" w:usb3="00000000" w:csb0="000101FF" w:csb1="00000000"/>
    <w:embedRegular r:id="rId4" w:fontKey="{33902617-D6E1-4394-978E-55B156124D42}"/>
  </w:font>
  <w:font w:name="Cambria">
    <w:panose1 w:val="02040503050406030204"/>
    <w:charset w:val="00"/>
    <w:family w:val="roman"/>
    <w:pitch w:val="variable"/>
    <w:sig w:usb0="E00006FF" w:usb1="420024FF" w:usb2="02000000" w:usb3="00000000" w:csb0="0000019F" w:csb1="00000000"/>
    <w:embedRegular r:id="rId5" w:fontKey="{CEA5BB2A-7EDB-43E0-AC62-6E4594FDB7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116668"/>
      <w:docPartObj>
        <w:docPartGallery w:val="Page Numbers (Bottom of Page)"/>
        <w:docPartUnique/>
      </w:docPartObj>
    </w:sdtPr>
    <w:sdtContent>
      <w:sdt>
        <w:sdtPr>
          <w:id w:val="860082579"/>
          <w:docPartObj>
            <w:docPartGallery w:val="Page Numbers (Top of Page)"/>
            <w:docPartUnique/>
          </w:docPartObj>
        </w:sdtPr>
        <w:sdtContent>
          <w:p w14:paraId="3E247CCA" w14:textId="77777777" w:rsidR="00235BA2" w:rsidRDefault="00235BA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12</w:t>
            </w:r>
            <w:r>
              <w:rPr>
                <w:b/>
                <w:bCs/>
              </w:rPr>
              <w:fldChar w:fldCharType="end"/>
            </w:r>
          </w:p>
        </w:sdtContent>
      </w:sdt>
    </w:sdtContent>
  </w:sdt>
  <w:p w14:paraId="18D42DC6" w14:textId="77777777" w:rsidR="00235BA2" w:rsidRDefault="00235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D2C24" w14:textId="77777777" w:rsidR="003D5A72" w:rsidRDefault="003D5A72" w:rsidP="00235BA2">
      <w:pPr>
        <w:spacing w:before="0" w:after="0" w:line="240" w:lineRule="auto"/>
      </w:pPr>
      <w:r>
        <w:separator/>
      </w:r>
    </w:p>
  </w:footnote>
  <w:footnote w:type="continuationSeparator" w:id="0">
    <w:p w14:paraId="590B9866" w14:textId="77777777" w:rsidR="003D5A72" w:rsidRDefault="003D5A72" w:rsidP="00235BA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B176D"/>
    <w:rsid w:val="000B176D"/>
    <w:rsid w:val="002334BF"/>
    <w:rsid w:val="00235BA2"/>
    <w:rsid w:val="002465F9"/>
    <w:rsid w:val="003D5A72"/>
    <w:rsid w:val="00A575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C21ED"/>
  <w15:docId w15:val="{46CC1DEA-31B0-498A-BC53-420E1B12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b/>
      <w:bCs/>
      <w:sz w:val="28"/>
      <w:szCs w:val="2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TOCHeading">
    <w:name w:val="TOC Heading"/>
    <w:basedOn w:val="Heading1"/>
    <w:next w:val="Normal"/>
    <w:uiPriority w:val="39"/>
    <w:semiHidden/>
    <w:unhideWhenUsed/>
    <w:qFormat/>
    <w:rsid w:val="00235BA2"/>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235BA2"/>
    <w:pPr>
      <w:spacing w:after="100"/>
    </w:pPr>
  </w:style>
  <w:style w:type="paragraph" w:styleId="TOC2">
    <w:name w:val="toc 2"/>
    <w:basedOn w:val="Normal"/>
    <w:next w:val="Normal"/>
    <w:autoRedefine/>
    <w:uiPriority w:val="39"/>
    <w:unhideWhenUsed/>
    <w:rsid w:val="00235BA2"/>
    <w:pPr>
      <w:spacing w:after="100"/>
      <w:ind w:left="240"/>
    </w:pPr>
  </w:style>
  <w:style w:type="character" w:styleId="Hyperlink">
    <w:name w:val="Hyperlink"/>
    <w:basedOn w:val="DefaultParagraphFont"/>
    <w:uiPriority w:val="99"/>
    <w:unhideWhenUsed/>
    <w:rsid w:val="00235BA2"/>
    <w:rPr>
      <w:color w:val="0000FF" w:themeColor="hyperlink"/>
      <w:u w:val="single"/>
    </w:rPr>
  </w:style>
  <w:style w:type="paragraph" w:styleId="BalloonText">
    <w:name w:val="Balloon Text"/>
    <w:basedOn w:val="Normal"/>
    <w:link w:val="BalloonTextChar"/>
    <w:uiPriority w:val="99"/>
    <w:semiHidden/>
    <w:unhideWhenUsed/>
    <w:rsid w:val="00235BA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BA2"/>
    <w:rPr>
      <w:rFonts w:ascii="Tahoma" w:hAnsi="Tahoma" w:cs="Tahoma"/>
      <w:sz w:val="16"/>
      <w:szCs w:val="16"/>
    </w:rPr>
  </w:style>
  <w:style w:type="paragraph" w:styleId="Header">
    <w:name w:val="header"/>
    <w:basedOn w:val="Normal"/>
    <w:link w:val="HeaderChar"/>
    <w:uiPriority w:val="99"/>
    <w:unhideWhenUsed/>
    <w:rsid w:val="00235BA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35BA2"/>
  </w:style>
  <w:style w:type="paragraph" w:styleId="Footer">
    <w:name w:val="footer"/>
    <w:basedOn w:val="Normal"/>
    <w:link w:val="FooterChar"/>
    <w:uiPriority w:val="99"/>
    <w:unhideWhenUsed/>
    <w:rsid w:val="00235BA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5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80/09687599.2021.1946677" TargetMode="External"/><Relationship Id="rId18" Type="http://schemas.openxmlformats.org/officeDocument/2006/relationships/hyperlink" Target="https://discovery.dundee.ac.uk/en/publications/the-social-model-of-disability-the-independent-living-and-the-ide/" TargetMode="External"/><Relationship Id="rId26" Type="http://schemas.openxmlformats.org/officeDocument/2006/relationships/hyperlink" Target="https://www.un.org/en/content/disabilitystrategy/" TargetMode="External"/><Relationship Id="rId3" Type="http://schemas.openxmlformats.org/officeDocument/2006/relationships/styles" Target="styles.xml"/><Relationship Id="rId21" Type="http://schemas.openxmlformats.org/officeDocument/2006/relationships/hyperlink" Target="https://arxiv.org/abs/2206.08287" TargetMode="External"/><Relationship Id="rId7" Type="http://schemas.openxmlformats.org/officeDocument/2006/relationships/endnotes" Target="endnotes.xml"/><Relationship Id="rId12" Type="http://schemas.openxmlformats.org/officeDocument/2006/relationships/hyperlink" Target="https://doi.org/10.1080/09687599.2021.1946677" TargetMode="External"/><Relationship Id="rId17" Type="http://schemas.openxmlformats.org/officeDocument/2006/relationships/hyperlink" Target="https://doi.org/10.1007/978-3-031-40858-8_294-1" TargetMode="External"/><Relationship Id="rId25" Type="http://schemas.openxmlformats.org/officeDocument/2006/relationships/hyperlink" Target="https://doi.org/10.1016/j.cogdev.2024.10143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07/978-3-031-40858-8_294-1" TargetMode="External"/><Relationship Id="rId20" Type="http://schemas.openxmlformats.org/officeDocument/2006/relationships/hyperlink" Target="https://arxiv.org/abs/2206.08287" TargetMode="External"/><Relationship Id="rId29" Type="http://schemas.openxmlformats.org/officeDocument/2006/relationships/hyperlink" Target="https://www.who.int/publications/i/item/97892400636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comdis.2022.106200" TargetMode="External"/><Relationship Id="rId24" Type="http://schemas.openxmlformats.org/officeDocument/2006/relationships/hyperlink" Target="https://doi.org/10.5281/zenodo.765594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enguinrandomhouse.com/books/566715/what-can-a-body-do-by-sara-hendren/" TargetMode="External"/><Relationship Id="rId23" Type="http://schemas.openxmlformats.org/officeDocument/2006/relationships/hyperlink" Target="https://arxiv.org/abs/2206.08287" TargetMode="External"/><Relationship Id="rId28" Type="http://schemas.openxmlformats.org/officeDocument/2006/relationships/hyperlink" Target="https://doi.org/10.4324/9780429467417" TargetMode="External"/><Relationship Id="rId10" Type="http://schemas.openxmlformats.org/officeDocument/2006/relationships/hyperlink" Target="https://doi.org/10.3389/fsoc.2023.1305301" TargetMode="External"/><Relationship Id="rId19" Type="http://schemas.openxmlformats.org/officeDocument/2006/relationships/hyperlink" Target="https://discovery.dundee.ac.uk/en/publications/the-social-model-of-disability-the-independent-living-and-the-id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389/fsoc.2023.1305301" TargetMode="External"/><Relationship Id="rId14" Type="http://schemas.openxmlformats.org/officeDocument/2006/relationships/hyperlink" Target="https://doi.org/10.3390/disabilities2030039" TargetMode="External"/><Relationship Id="rId22" Type="http://schemas.openxmlformats.org/officeDocument/2006/relationships/hyperlink" Target="https://arxiv.org/abs/2206.08287" TargetMode="External"/><Relationship Id="rId27" Type="http://schemas.openxmlformats.org/officeDocument/2006/relationships/hyperlink" Target="https://www.un.org/en/content/disabilitystrategy/" TargetMode="External"/><Relationship Id="rId30" Type="http://schemas.openxmlformats.org/officeDocument/2006/relationships/hyperlink" Target="https://www.who.int/publications/i/item/9789240063600"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OTqyblzH7/NUfOZG8lpMUm6+g==">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28EE5B-D014-4811-91A0-D0F1D8DA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3222</Words>
  <Characters>18371</Characters>
  <Application>Microsoft Office Word</Application>
  <DocSecurity>0</DocSecurity>
  <Lines>153</Lines>
  <Paragraphs>43</Paragraphs>
  <ScaleCrop>false</ScaleCrop>
  <Company/>
  <LinksUpToDate>false</LinksUpToDate>
  <CharactersWithSpaces>21550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Alok Kumar</cp:lastModifiedBy>
  <cp:revision>3</cp:revision>
  <dcterms:created xsi:type="dcterms:W3CDTF">2026-08-05T09:42:00Z</dcterms:created>
  <dcterms:modified xsi:type="dcterms:W3CDTF">2026-08-05T15:57:00Z</dcterms:modified>
</cp:coreProperties>
</file>