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C579E" w14:textId="57DD0E2A" w:rsidR="007132CF" w:rsidRPr="007132CF" w:rsidRDefault="007132CF" w:rsidP="007132CF">
      <w:r w:rsidRPr="007132CF">
        <w:t> </w:t>
      </w:r>
      <w:r w:rsidR="00E62C47">
        <w:rPr>
          <w:noProof/>
        </w:rPr>
        <w:drawing>
          <wp:inline distT="0" distB="0" distL="0" distR="0" wp14:anchorId="5355D72A" wp14:editId="0B585C64">
            <wp:extent cx="1810385" cy="725170"/>
            <wp:effectExtent l="0" t="0" r="0" b="0"/>
            <wp:docPr id="803801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37C9FAC0" w14:textId="77777777" w:rsidR="007132CF" w:rsidRPr="007132CF" w:rsidRDefault="007132CF" w:rsidP="007132CF">
      <w:r w:rsidRPr="007132CF">
        <w:t> </w:t>
      </w:r>
    </w:p>
    <w:p w14:paraId="58C3F5C6" w14:textId="77777777" w:rsidR="00D14568" w:rsidRPr="00EE388F" w:rsidRDefault="007132CF" w:rsidP="00D14568">
      <w:pPr>
        <w:rPr>
          <w:sz w:val="40"/>
          <w:szCs w:val="40"/>
        </w:rPr>
      </w:pPr>
      <w:r w:rsidRPr="007132CF">
        <w:t> </w:t>
      </w:r>
    </w:p>
    <w:p w14:paraId="70B8A0FE" w14:textId="77777777" w:rsidR="00D14568" w:rsidRPr="00EE388F" w:rsidRDefault="00D14568" w:rsidP="00D14568">
      <w:pPr>
        <w:rPr>
          <w:sz w:val="40"/>
          <w:szCs w:val="40"/>
        </w:rPr>
      </w:pPr>
      <w:r w:rsidRPr="00EE388F">
        <w:rPr>
          <w:sz w:val="40"/>
          <w:szCs w:val="40"/>
        </w:rPr>
        <w:t> </w:t>
      </w:r>
    </w:p>
    <w:p w14:paraId="760517F9" w14:textId="77777777" w:rsidR="00D14568" w:rsidRPr="00EE388F" w:rsidRDefault="00D14568" w:rsidP="00D14568">
      <w:pPr>
        <w:rPr>
          <w:sz w:val="40"/>
          <w:szCs w:val="40"/>
        </w:rPr>
      </w:pPr>
      <w:r w:rsidRPr="00EE388F">
        <w:rPr>
          <w:b/>
          <w:bCs/>
          <w:sz w:val="40"/>
          <w:szCs w:val="40"/>
        </w:rPr>
        <w:t>Module name</w:t>
      </w:r>
      <w:r w:rsidRPr="00EE388F">
        <w:rPr>
          <w:sz w:val="40"/>
          <w:szCs w:val="40"/>
        </w:rPr>
        <w:t>: </w:t>
      </w:r>
      <w:r w:rsidRPr="00EE388F">
        <w:rPr>
          <w:b/>
          <w:bCs/>
          <w:sz w:val="40"/>
          <w:szCs w:val="40"/>
        </w:rPr>
        <w:t xml:space="preserve">Introduction to Public Health </w:t>
      </w:r>
    </w:p>
    <w:p w14:paraId="3C759448" w14:textId="77777777" w:rsidR="00D14568" w:rsidRPr="00EE388F" w:rsidRDefault="00D14568" w:rsidP="00D14568">
      <w:pPr>
        <w:rPr>
          <w:sz w:val="40"/>
          <w:szCs w:val="40"/>
        </w:rPr>
      </w:pPr>
    </w:p>
    <w:p w14:paraId="05C66C7F" w14:textId="77777777" w:rsidR="00D14568" w:rsidRPr="00EE388F" w:rsidRDefault="00D14568" w:rsidP="00D14568">
      <w:pPr>
        <w:rPr>
          <w:sz w:val="40"/>
          <w:szCs w:val="40"/>
        </w:rPr>
      </w:pPr>
      <w:r w:rsidRPr="00EE388F">
        <w:rPr>
          <w:b/>
          <w:bCs/>
          <w:sz w:val="40"/>
          <w:szCs w:val="40"/>
        </w:rPr>
        <w:t>Module code</w:t>
      </w:r>
      <w:r w:rsidRPr="00EE388F">
        <w:rPr>
          <w:sz w:val="40"/>
          <w:szCs w:val="40"/>
        </w:rPr>
        <w:t>: </w:t>
      </w:r>
      <w:r w:rsidRPr="00EE388F">
        <w:rPr>
          <w:b/>
          <w:bCs/>
          <w:sz w:val="40"/>
          <w:szCs w:val="40"/>
        </w:rPr>
        <w:t>(LCHS4008)</w:t>
      </w:r>
    </w:p>
    <w:p w14:paraId="283CEB8D" w14:textId="77777777" w:rsidR="00D14568" w:rsidRPr="00EE388F" w:rsidRDefault="00D14568" w:rsidP="00D14568">
      <w:pPr>
        <w:rPr>
          <w:sz w:val="40"/>
          <w:szCs w:val="40"/>
        </w:rPr>
      </w:pPr>
      <w:r w:rsidRPr="00EE388F">
        <w:rPr>
          <w:sz w:val="40"/>
          <w:szCs w:val="40"/>
        </w:rPr>
        <w:t> </w:t>
      </w:r>
    </w:p>
    <w:p w14:paraId="44254887" w14:textId="77777777" w:rsidR="00D14568" w:rsidRDefault="00D14568" w:rsidP="00D14568">
      <w:pPr>
        <w:rPr>
          <w:sz w:val="40"/>
          <w:szCs w:val="40"/>
        </w:rPr>
      </w:pPr>
      <w:r w:rsidRPr="00EE388F">
        <w:rPr>
          <w:b/>
          <w:bCs/>
          <w:sz w:val="40"/>
          <w:szCs w:val="40"/>
        </w:rPr>
        <w:t>Student name</w:t>
      </w:r>
      <w:r w:rsidRPr="00EE388F">
        <w:rPr>
          <w:sz w:val="40"/>
          <w:szCs w:val="40"/>
        </w:rPr>
        <w:t xml:space="preserve">: Gisela luz Arano Mayta  </w:t>
      </w:r>
    </w:p>
    <w:p w14:paraId="655C47BF" w14:textId="77777777" w:rsidR="00D14568" w:rsidRPr="00EE388F" w:rsidRDefault="00D14568" w:rsidP="00D14568">
      <w:pPr>
        <w:rPr>
          <w:sz w:val="40"/>
          <w:szCs w:val="40"/>
        </w:rPr>
      </w:pPr>
    </w:p>
    <w:p w14:paraId="20394906" w14:textId="77777777" w:rsidR="00D14568" w:rsidRPr="00D14568" w:rsidRDefault="00D14568" w:rsidP="00D14568">
      <w:pPr>
        <w:rPr>
          <w:sz w:val="40"/>
          <w:szCs w:val="40"/>
        </w:rPr>
      </w:pPr>
      <w:r w:rsidRPr="00D14568">
        <w:rPr>
          <w:b/>
          <w:bCs/>
          <w:sz w:val="40"/>
          <w:szCs w:val="40"/>
        </w:rPr>
        <w:t>Student ID</w:t>
      </w:r>
      <w:r w:rsidRPr="00D14568">
        <w:rPr>
          <w:sz w:val="40"/>
          <w:szCs w:val="40"/>
        </w:rPr>
        <w:t xml:space="preserve">: 2510732 </w:t>
      </w:r>
    </w:p>
    <w:p w14:paraId="50B32E77" w14:textId="77777777" w:rsidR="00D14568" w:rsidRPr="00D14568" w:rsidRDefault="00D14568" w:rsidP="00D14568">
      <w:pPr>
        <w:rPr>
          <w:sz w:val="40"/>
          <w:szCs w:val="40"/>
        </w:rPr>
      </w:pPr>
      <w:r w:rsidRPr="00D14568">
        <w:rPr>
          <w:sz w:val="40"/>
          <w:szCs w:val="40"/>
        </w:rPr>
        <w:t> </w:t>
      </w:r>
    </w:p>
    <w:p w14:paraId="050A696B" w14:textId="77777777" w:rsidR="00D14568" w:rsidRPr="00EE388F" w:rsidRDefault="00D14568" w:rsidP="00D14568">
      <w:pPr>
        <w:rPr>
          <w:sz w:val="40"/>
          <w:szCs w:val="40"/>
        </w:rPr>
      </w:pPr>
      <w:r w:rsidRPr="00EE388F">
        <w:rPr>
          <w:b/>
          <w:bCs/>
          <w:sz w:val="40"/>
          <w:szCs w:val="40"/>
        </w:rPr>
        <w:t>Lecturer’s name</w:t>
      </w:r>
      <w:r w:rsidRPr="00EE388F">
        <w:rPr>
          <w:sz w:val="40"/>
          <w:szCs w:val="40"/>
        </w:rPr>
        <w:t xml:space="preserve">: Dr. Patronella </w:t>
      </w:r>
    </w:p>
    <w:p w14:paraId="7B7AEDB5" w14:textId="77777777" w:rsidR="00D14568" w:rsidRDefault="00D14568" w:rsidP="00D14568"/>
    <w:p w14:paraId="35FE2FAB" w14:textId="77777777" w:rsidR="00D14568" w:rsidRDefault="00D14568" w:rsidP="00D14568"/>
    <w:p w14:paraId="737770C9" w14:textId="77777777" w:rsidR="00D14568" w:rsidRDefault="00D14568" w:rsidP="00D14568"/>
    <w:p w14:paraId="482EBBAA" w14:textId="77777777" w:rsidR="00D14568" w:rsidRDefault="00D14568" w:rsidP="00D14568"/>
    <w:p w14:paraId="43E25148" w14:textId="77777777" w:rsidR="00D14568" w:rsidRDefault="00D14568" w:rsidP="00D14568"/>
    <w:p w14:paraId="5C551FE8" w14:textId="77777777" w:rsidR="00D14568" w:rsidRDefault="00D14568" w:rsidP="00D14568"/>
    <w:p w14:paraId="48B5DE93" w14:textId="77777777" w:rsidR="00D14568" w:rsidRDefault="00D14568" w:rsidP="00D14568"/>
    <w:p w14:paraId="04287856" w14:textId="77777777" w:rsidR="00D14568" w:rsidRPr="00FC1EA2" w:rsidRDefault="00D14568" w:rsidP="00D14568">
      <w:pPr>
        <w:pStyle w:val="Heading2"/>
        <w:rPr>
          <w:sz w:val="40"/>
          <w:szCs w:val="40"/>
        </w:rPr>
      </w:pPr>
    </w:p>
    <w:sdt>
      <w:sdtPr>
        <w:rPr>
          <w:rFonts w:asciiTheme="minorHAnsi" w:eastAsiaTheme="minorHAnsi" w:hAnsiTheme="minorHAnsi" w:cstheme="minorBidi"/>
          <w:color w:val="auto"/>
          <w:sz w:val="24"/>
          <w:szCs w:val="24"/>
        </w:rPr>
        <w:id w:val="-515154714"/>
        <w:docPartObj>
          <w:docPartGallery w:val="Table of Contents"/>
          <w:docPartUnique/>
        </w:docPartObj>
      </w:sdtPr>
      <w:sdtEndPr>
        <w:rPr>
          <w:b/>
          <w:bCs/>
        </w:rPr>
      </w:sdtEndPr>
      <w:sdtContent>
        <w:p w14:paraId="1F9D20EF" w14:textId="77777777" w:rsidR="00D14568" w:rsidRDefault="00D14568" w:rsidP="00D14568">
          <w:pPr>
            <w:pStyle w:val="TOCHeading"/>
            <w:rPr>
              <w:sz w:val="40"/>
              <w:szCs w:val="40"/>
            </w:rPr>
          </w:pPr>
          <w:r w:rsidRPr="00FC1EA2">
            <w:rPr>
              <w:sz w:val="40"/>
              <w:szCs w:val="40"/>
            </w:rPr>
            <w:t>Table of Contents</w:t>
          </w:r>
        </w:p>
        <w:p w14:paraId="020FE039" w14:textId="77777777" w:rsidR="00FE7F88" w:rsidRPr="00FE7F88" w:rsidRDefault="00FE7F88" w:rsidP="00FE7F88"/>
        <w:p w14:paraId="6A05324F" w14:textId="77777777" w:rsidR="00D14568" w:rsidRPr="00FC1EA2" w:rsidRDefault="00D14568" w:rsidP="00D14568">
          <w:pPr>
            <w:pStyle w:val="TOC1"/>
            <w:rPr>
              <w:rFonts w:eastAsiaTheme="minorEastAsia" w:cstheme="minorBidi"/>
              <w:b w:val="0"/>
              <w:bCs w:val="0"/>
              <w:sz w:val="24"/>
              <w:szCs w:val="24"/>
              <w:lang w:eastAsia="en-GB"/>
            </w:rPr>
          </w:pPr>
          <w:r w:rsidRPr="00FC1EA2">
            <w:rPr>
              <w:b w:val="0"/>
              <w:bCs w:val="0"/>
            </w:rPr>
            <w:fldChar w:fldCharType="begin"/>
          </w:r>
          <w:r w:rsidRPr="00FC1EA2">
            <w:rPr>
              <w:b w:val="0"/>
              <w:bCs w:val="0"/>
            </w:rPr>
            <w:instrText xml:space="preserve"> TOC \o "1-3" \h \z \u </w:instrText>
          </w:r>
          <w:r w:rsidRPr="00FC1EA2">
            <w:rPr>
              <w:b w:val="0"/>
              <w:bCs w:val="0"/>
            </w:rPr>
            <w:fldChar w:fldCharType="separate"/>
          </w:r>
          <w:hyperlink w:anchor="_Toc227192462" w:history="1">
            <w:r w:rsidRPr="00FC1EA2">
              <w:rPr>
                <w:rStyle w:val="Hyperlink"/>
                <w:b w:val="0"/>
                <w:bCs w:val="0"/>
              </w:rPr>
              <w:t>Introduction</w:t>
            </w:r>
            <w:r w:rsidRPr="00FC1EA2">
              <w:rPr>
                <w:b w:val="0"/>
                <w:bCs w:val="0"/>
                <w:webHidden/>
              </w:rPr>
              <w:tab/>
            </w:r>
            <w:r w:rsidRPr="00FC1EA2">
              <w:rPr>
                <w:b w:val="0"/>
                <w:bCs w:val="0"/>
                <w:webHidden/>
              </w:rPr>
              <w:fldChar w:fldCharType="begin"/>
            </w:r>
            <w:r w:rsidRPr="00FC1EA2">
              <w:rPr>
                <w:b w:val="0"/>
                <w:bCs w:val="0"/>
                <w:webHidden/>
              </w:rPr>
              <w:instrText xml:space="preserve"> PAGEREF _Toc227192462 \h </w:instrText>
            </w:r>
            <w:r w:rsidRPr="00FC1EA2">
              <w:rPr>
                <w:b w:val="0"/>
                <w:bCs w:val="0"/>
                <w:webHidden/>
              </w:rPr>
            </w:r>
            <w:r w:rsidRPr="00FC1EA2">
              <w:rPr>
                <w:b w:val="0"/>
                <w:bCs w:val="0"/>
                <w:webHidden/>
              </w:rPr>
              <w:fldChar w:fldCharType="separate"/>
            </w:r>
            <w:r w:rsidRPr="00FC1EA2">
              <w:rPr>
                <w:b w:val="0"/>
                <w:bCs w:val="0"/>
                <w:webHidden/>
              </w:rPr>
              <w:t>3</w:t>
            </w:r>
            <w:r w:rsidRPr="00FC1EA2">
              <w:rPr>
                <w:b w:val="0"/>
                <w:bCs w:val="0"/>
                <w:webHidden/>
              </w:rPr>
              <w:fldChar w:fldCharType="end"/>
            </w:r>
          </w:hyperlink>
        </w:p>
        <w:p w14:paraId="6467F775" w14:textId="77777777" w:rsidR="00D14568" w:rsidRPr="00FC1EA2" w:rsidRDefault="00D14568" w:rsidP="00D14568">
          <w:pPr>
            <w:pStyle w:val="TOC1"/>
            <w:tabs>
              <w:tab w:val="left" w:pos="720"/>
            </w:tabs>
            <w:rPr>
              <w:rFonts w:eastAsiaTheme="minorEastAsia" w:cstheme="minorBidi"/>
              <w:b w:val="0"/>
              <w:bCs w:val="0"/>
              <w:sz w:val="24"/>
              <w:szCs w:val="24"/>
              <w:lang w:eastAsia="en-GB"/>
            </w:rPr>
          </w:pPr>
          <w:hyperlink w:anchor="_Toc227192463" w:history="1">
            <w:r w:rsidRPr="00FC1EA2">
              <w:rPr>
                <w:rStyle w:val="Hyperlink"/>
                <w:b w:val="0"/>
                <w:bCs w:val="0"/>
              </w:rPr>
              <w:t>1.</w:t>
            </w:r>
            <w:r w:rsidRPr="00FC1EA2">
              <w:rPr>
                <w:rFonts w:eastAsiaTheme="minorEastAsia" w:cstheme="minorBidi"/>
                <w:b w:val="0"/>
                <w:bCs w:val="0"/>
                <w:sz w:val="24"/>
                <w:szCs w:val="24"/>
                <w:lang w:eastAsia="en-GB"/>
              </w:rPr>
              <w:t xml:space="preserve"> </w:t>
            </w:r>
            <w:r w:rsidRPr="00FC1EA2">
              <w:rPr>
                <w:rStyle w:val="Hyperlink"/>
                <w:b w:val="0"/>
                <w:bCs w:val="0"/>
              </w:rPr>
              <w:t>Measure and Monitor Dementia</w:t>
            </w:r>
            <w:r w:rsidRPr="00FC1EA2">
              <w:rPr>
                <w:b w:val="0"/>
                <w:bCs w:val="0"/>
                <w:webHidden/>
              </w:rPr>
              <w:tab/>
            </w:r>
            <w:r w:rsidRPr="00FC1EA2">
              <w:rPr>
                <w:b w:val="0"/>
                <w:bCs w:val="0"/>
                <w:webHidden/>
              </w:rPr>
              <w:fldChar w:fldCharType="begin"/>
            </w:r>
            <w:r w:rsidRPr="00FC1EA2">
              <w:rPr>
                <w:b w:val="0"/>
                <w:bCs w:val="0"/>
                <w:webHidden/>
              </w:rPr>
              <w:instrText xml:space="preserve"> PAGEREF _Toc227192463 \h </w:instrText>
            </w:r>
            <w:r w:rsidRPr="00FC1EA2">
              <w:rPr>
                <w:b w:val="0"/>
                <w:bCs w:val="0"/>
                <w:webHidden/>
              </w:rPr>
            </w:r>
            <w:r w:rsidRPr="00FC1EA2">
              <w:rPr>
                <w:b w:val="0"/>
                <w:bCs w:val="0"/>
                <w:webHidden/>
              </w:rPr>
              <w:fldChar w:fldCharType="separate"/>
            </w:r>
            <w:r w:rsidRPr="00FC1EA2">
              <w:rPr>
                <w:b w:val="0"/>
                <w:bCs w:val="0"/>
                <w:webHidden/>
              </w:rPr>
              <w:t>3</w:t>
            </w:r>
            <w:r w:rsidRPr="00FC1EA2">
              <w:rPr>
                <w:b w:val="0"/>
                <w:bCs w:val="0"/>
                <w:webHidden/>
              </w:rPr>
              <w:fldChar w:fldCharType="end"/>
            </w:r>
          </w:hyperlink>
        </w:p>
        <w:p w14:paraId="038D3FE4" w14:textId="77777777" w:rsidR="00D14568" w:rsidRPr="00FC1EA2" w:rsidRDefault="00D14568" w:rsidP="00D14568">
          <w:pPr>
            <w:pStyle w:val="TOC1"/>
            <w:rPr>
              <w:rFonts w:eastAsiaTheme="minorEastAsia" w:cstheme="minorBidi"/>
              <w:b w:val="0"/>
              <w:bCs w:val="0"/>
              <w:sz w:val="24"/>
              <w:szCs w:val="24"/>
              <w:lang w:eastAsia="en-GB"/>
            </w:rPr>
          </w:pPr>
          <w:hyperlink w:anchor="_Toc227192464" w:history="1">
            <w:r w:rsidRPr="00FC1EA2">
              <w:rPr>
                <w:rStyle w:val="Hyperlink"/>
                <w:rFonts w:eastAsia="Times New Roman"/>
                <w:b w:val="0"/>
                <w:bCs w:val="0"/>
                <w:lang w:eastAsia="en-GB"/>
              </w:rPr>
              <w:t>2. How Dementia Is Controlled</w:t>
            </w:r>
            <w:r w:rsidRPr="00FC1EA2">
              <w:rPr>
                <w:b w:val="0"/>
                <w:bCs w:val="0"/>
                <w:webHidden/>
              </w:rPr>
              <w:tab/>
            </w:r>
            <w:r w:rsidRPr="00FC1EA2">
              <w:rPr>
                <w:b w:val="0"/>
                <w:bCs w:val="0"/>
                <w:webHidden/>
              </w:rPr>
              <w:fldChar w:fldCharType="begin"/>
            </w:r>
            <w:r w:rsidRPr="00FC1EA2">
              <w:rPr>
                <w:b w:val="0"/>
                <w:bCs w:val="0"/>
                <w:webHidden/>
              </w:rPr>
              <w:instrText xml:space="preserve"> PAGEREF _Toc227192464 \h </w:instrText>
            </w:r>
            <w:r w:rsidRPr="00FC1EA2">
              <w:rPr>
                <w:b w:val="0"/>
                <w:bCs w:val="0"/>
                <w:webHidden/>
              </w:rPr>
            </w:r>
            <w:r w:rsidRPr="00FC1EA2">
              <w:rPr>
                <w:b w:val="0"/>
                <w:bCs w:val="0"/>
                <w:webHidden/>
              </w:rPr>
              <w:fldChar w:fldCharType="separate"/>
            </w:r>
            <w:r w:rsidRPr="00FC1EA2">
              <w:rPr>
                <w:b w:val="0"/>
                <w:bCs w:val="0"/>
                <w:webHidden/>
              </w:rPr>
              <w:t>4</w:t>
            </w:r>
            <w:r w:rsidRPr="00FC1EA2">
              <w:rPr>
                <w:b w:val="0"/>
                <w:bCs w:val="0"/>
                <w:webHidden/>
              </w:rPr>
              <w:fldChar w:fldCharType="end"/>
            </w:r>
          </w:hyperlink>
        </w:p>
        <w:p w14:paraId="5CD8AF05" w14:textId="77777777" w:rsidR="00D14568" w:rsidRPr="00FC1EA2" w:rsidRDefault="00D14568" w:rsidP="00D14568">
          <w:pPr>
            <w:pStyle w:val="TOC1"/>
            <w:rPr>
              <w:rFonts w:eastAsiaTheme="minorEastAsia" w:cstheme="minorBidi"/>
              <w:b w:val="0"/>
              <w:bCs w:val="0"/>
              <w:sz w:val="24"/>
              <w:szCs w:val="24"/>
              <w:lang w:eastAsia="en-GB"/>
            </w:rPr>
          </w:pPr>
          <w:hyperlink w:anchor="_Toc227192465" w:history="1">
            <w:r w:rsidRPr="00FC1EA2">
              <w:rPr>
                <w:rStyle w:val="Hyperlink"/>
                <w:rFonts w:eastAsia="Times New Roman"/>
                <w:b w:val="0"/>
                <w:bCs w:val="0"/>
                <w:lang w:eastAsia="en-GB"/>
              </w:rPr>
              <w:t>3. Consequences of Dementia on People in the Community</w:t>
            </w:r>
            <w:r w:rsidRPr="00FC1EA2">
              <w:rPr>
                <w:b w:val="0"/>
                <w:bCs w:val="0"/>
                <w:webHidden/>
              </w:rPr>
              <w:tab/>
            </w:r>
            <w:r w:rsidRPr="00FC1EA2">
              <w:rPr>
                <w:b w:val="0"/>
                <w:bCs w:val="0"/>
                <w:webHidden/>
              </w:rPr>
              <w:fldChar w:fldCharType="begin"/>
            </w:r>
            <w:r w:rsidRPr="00FC1EA2">
              <w:rPr>
                <w:b w:val="0"/>
                <w:bCs w:val="0"/>
                <w:webHidden/>
              </w:rPr>
              <w:instrText xml:space="preserve"> PAGEREF _Toc227192465 \h </w:instrText>
            </w:r>
            <w:r w:rsidRPr="00FC1EA2">
              <w:rPr>
                <w:b w:val="0"/>
                <w:bCs w:val="0"/>
                <w:webHidden/>
              </w:rPr>
            </w:r>
            <w:r w:rsidRPr="00FC1EA2">
              <w:rPr>
                <w:b w:val="0"/>
                <w:bCs w:val="0"/>
                <w:webHidden/>
              </w:rPr>
              <w:fldChar w:fldCharType="separate"/>
            </w:r>
            <w:r w:rsidRPr="00FC1EA2">
              <w:rPr>
                <w:b w:val="0"/>
                <w:bCs w:val="0"/>
                <w:webHidden/>
              </w:rPr>
              <w:t>5</w:t>
            </w:r>
            <w:r w:rsidRPr="00FC1EA2">
              <w:rPr>
                <w:b w:val="0"/>
                <w:bCs w:val="0"/>
                <w:webHidden/>
              </w:rPr>
              <w:fldChar w:fldCharType="end"/>
            </w:r>
          </w:hyperlink>
        </w:p>
        <w:p w14:paraId="7FBF3E8F" w14:textId="77777777" w:rsidR="00D14568" w:rsidRPr="00FC1EA2" w:rsidRDefault="00D14568" w:rsidP="00D14568">
          <w:pPr>
            <w:pStyle w:val="TOC1"/>
            <w:rPr>
              <w:rFonts w:eastAsiaTheme="minorEastAsia" w:cstheme="minorBidi"/>
              <w:b w:val="0"/>
              <w:bCs w:val="0"/>
              <w:sz w:val="24"/>
              <w:szCs w:val="24"/>
              <w:lang w:eastAsia="en-GB"/>
            </w:rPr>
          </w:pPr>
          <w:hyperlink w:anchor="_Toc227192466" w:history="1">
            <w:r w:rsidRPr="00FC1EA2">
              <w:rPr>
                <w:rStyle w:val="Hyperlink"/>
                <w:b w:val="0"/>
                <w:bCs w:val="0"/>
              </w:rPr>
              <w:t>Conclusion</w:t>
            </w:r>
            <w:r w:rsidRPr="00FC1EA2">
              <w:rPr>
                <w:b w:val="0"/>
                <w:bCs w:val="0"/>
                <w:webHidden/>
              </w:rPr>
              <w:tab/>
            </w:r>
            <w:r w:rsidRPr="00FC1EA2">
              <w:rPr>
                <w:b w:val="0"/>
                <w:bCs w:val="0"/>
                <w:webHidden/>
              </w:rPr>
              <w:fldChar w:fldCharType="begin"/>
            </w:r>
            <w:r w:rsidRPr="00FC1EA2">
              <w:rPr>
                <w:b w:val="0"/>
                <w:bCs w:val="0"/>
                <w:webHidden/>
              </w:rPr>
              <w:instrText xml:space="preserve"> PAGEREF _Toc227192466 \h </w:instrText>
            </w:r>
            <w:r w:rsidRPr="00FC1EA2">
              <w:rPr>
                <w:b w:val="0"/>
                <w:bCs w:val="0"/>
                <w:webHidden/>
              </w:rPr>
            </w:r>
            <w:r w:rsidRPr="00FC1EA2">
              <w:rPr>
                <w:b w:val="0"/>
                <w:bCs w:val="0"/>
                <w:webHidden/>
              </w:rPr>
              <w:fldChar w:fldCharType="separate"/>
            </w:r>
            <w:r w:rsidRPr="00FC1EA2">
              <w:rPr>
                <w:b w:val="0"/>
                <w:bCs w:val="0"/>
                <w:webHidden/>
              </w:rPr>
              <w:t>7</w:t>
            </w:r>
            <w:r w:rsidRPr="00FC1EA2">
              <w:rPr>
                <w:b w:val="0"/>
                <w:bCs w:val="0"/>
                <w:webHidden/>
              </w:rPr>
              <w:fldChar w:fldCharType="end"/>
            </w:r>
          </w:hyperlink>
        </w:p>
        <w:p w14:paraId="66CFFBCB" w14:textId="77777777" w:rsidR="00D14568" w:rsidRDefault="00D14568" w:rsidP="00D14568">
          <w:r w:rsidRPr="00FC1EA2">
            <w:fldChar w:fldCharType="end"/>
          </w:r>
        </w:p>
      </w:sdtContent>
    </w:sdt>
    <w:p w14:paraId="53FB80B9" w14:textId="77777777" w:rsidR="00D14568" w:rsidRDefault="00D14568" w:rsidP="00D14568"/>
    <w:p w14:paraId="72861B36" w14:textId="77777777" w:rsidR="00D14568" w:rsidRDefault="00D14568" w:rsidP="00D14568"/>
    <w:p w14:paraId="1DCED6F0" w14:textId="77777777" w:rsidR="00D14568" w:rsidRDefault="00D14568" w:rsidP="00D14568"/>
    <w:p w14:paraId="23187374" w14:textId="77777777" w:rsidR="00D14568" w:rsidRDefault="00D14568" w:rsidP="00D14568"/>
    <w:p w14:paraId="7C1200CE" w14:textId="77777777" w:rsidR="00D14568" w:rsidRDefault="00D14568" w:rsidP="00D14568"/>
    <w:p w14:paraId="59B5CC9B" w14:textId="77777777" w:rsidR="00D14568" w:rsidRDefault="00D14568" w:rsidP="00D14568"/>
    <w:p w14:paraId="2E773432" w14:textId="77777777" w:rsidR="00D14568" w:rsidRDefault="00D14568" w:rsidP="00D14568">
      <w:pPr>
        <w:jc w:val="center"/>
      </w:pPr>
    </w:p>
    <w:p w14:paraId="2E1A2C7F" w14:textId="77777777" w:rsidR="00D14568" w:rsidRDefault="00D14568" w:rsidP="00D14568"/>
    <w:p w14:paraId="3D29BECE" w14:textId="77777777" w:rsidR="00D14568" w:rsidRDefault="00D14568" w:rsidP="00D14568"/>
    <w:p w14:paraId="0589C74C" w14:textId="77777777" w:rsidR="00D14568" w:rsidRDefault="00D14568" w:rsidP="00D14568"/>
    <w:p w14:paraId="11AF55A6" w14:textId="77777777" w:rsidR="00D14568" w:rsidRDefault="00D14568" w:rsidP="00D14568"/>
    <w:p w14:paraId="0E758D23" w14:textId="77777777" w:rsidR="00D14568" w:rsidRDefault="00D14568" w:rsidP="00D14568"/>
    <w:p w14:paraId="4EB4244C" w14:textId="77777777" w:rsidR="00D14568" w:rsidRDefault="00D14568" w:rsidP="00D14568"/>
    <w:p w14:paraId="6FE1545E" w14:textId="77777777" w:rsidR="00D14568" w:rsidRDefault="00D14568" w:rsidP="00D14568"/>
    <w:p w14:paraId="326E9568" w14:textId="77777777" w:rsidR="00D14568" w:rsidRPr="00FC1EA2" w:rsidRDefault="00D14568" w:rsidP="00D14568">
      <w:pPr>
        <w:pStyle w:val="Heading1"/>
        <w:spacing w:line="360" w:lineRule="auto"/>
        <w:rPr>
          <w:rFonts w:asciiTheme="minorHAnsi" w:hAnsiTheme="minorHAnsi"/>
          <w:sz w:val="24"/>
          <w:szCs w:val="24"/>
        </w:rPr>
      </w:pPr>
    </w:p>
    <w:p w14:paraId="576688FA" w14:textId="77777777" w:rsidR="00D14568" w:rsidRPr="00FC1EA2" w:rsidRDefault="00D14568" w:rsidP="00D14568">
      <w:pPr>
        <w:spacing w:line="360" w:lineRule="auto"/>
      </w:pPr>
    </w:p>
    <w:p w14:paraId="13A1C2A1" w14:textId="77777777" w:rsidR="00D14568" w:rsidRPr="00FC1EA2" w:rsidRDefault="00D14568" w:rsidP="00D14568">
      <w:pPr>
        <w:pStyle w:val="Heading1"/>
        <w:spacing w:line="360" w:lineRule="auto"/>
        <w:rPr>
          <w:sz w:val="32"/>
          <w:szCs w:val="32"/>
        </w:rPr>
      </w:pPr>
      <w:r w:rsidRPr="00FC1EA2">
        <w:rPr>
          <w:sz w:val="32"/>
          <w:szCs w:val="32"/>
        </w:rPr>
        <w:t xml:space="preserve"> </w:t>
      </w:r>
      <w:bookmarkStart w:id="0" w:name="_Toc227192462"/>
      <w:r w:rsidRPr="00FC1EA2">
        <w:rPr>
          <w:sz w:val="32"/>
          <w:szCs w:val="32"/>
        </w:rPr>
        <w:t>Introduction</w:t>
      </w:r>
      <w:bookmarkEnd w:id="0"/>
      <w:r w:rsidRPr="00FC1EA2">
        <w:rPr>
          <w:sz w:val="32"/>
          <w:szCs w:val="32"/>
        </w:rPr>
        <w:t xml:space="preserve"> </w:t>
      </w:r>
    </w:p>
    <w:p w14:paraId="3FB44BDE" w14:textId="77777777" w:rsidR="00D14568" w:rsidRPr="00FC1EA2" w:rsidRDefault="00D14568" w:rsidP="00D14568">
      <w:pPr>
        <w:spacing w:line="360" w:lineRule="auto"/>
      </w:pPr>
      <w:r w:rsidRPr="00FC1EA2">
        <w:t>Dementia is a progressive condition that occurs when different diseases damage nerve cells in the brain; therefore, individuals gradually lose abilities such as memory, thinking, language, and everyday functional skills. Alzheimer’s disease is the most common cause, accounting for around 60–70% of all cases, and although dementia is more common in people over the age of sixty-five, it is not a normal part of ageing (Dementia UK, 2023). In addition, early symptoms include forgetting recent events, confusion, difficulty solving problems, and changes in mood or behaviour. People may also experience communication difficulties and problems performing daily tasks, and as a result, symptoms usually worsen over time. Consequently, in the later stages of the condition, many individuals need full support with personal care and everyday activities. Moreover, dementia stands for a growing public health concern worldwide. For example, in the United Kingdom, approximately one million people are currently living with dementia, and this number is expected to increase as the population continues to age (WHO, 2021).</w:t>
      </w:r>
    </w:p>
    <w:p w14:paraId="02CF5207" w14:textId="77777777" w:rsidR="00D14568" w:rsidRPr="00FC1EA2" w:rsidRDefault="00D14568" w:rsidP="00D14568">
      <w:pPr>
        <w:pStyle w:val="Heading1"/>
        <w:numPr>
          <w:ilvl w:val="0"/>
          <w:numId w:val="5"/>
        </w:numPr>
        <w:tabs>
          <w:tab w:val="num" w:pos="360"/>
        </w:tabs>
        <w:spacing w:line="360" w:lineRule="auto"/>
        <w:ind w:left="0" w:firstLine="0"/>
        <w:rPr>
          <w:rFonts w:asciiTheme="minorHAnsi" w:hAnsiTheme="minorHAnsi" w:cstheme="minorBidi"/>
          <w:b/>
          <w:bCs/>
          <w:sz w:val="24"/>
          <w:szCs w:val="24"/>
        </w:rPr>
      </w:pPr>
      <w:bookmarkStart w:id="1" w:name="_Toc227192463"/>
      <w:r w:rsidRPr="00FC1EA2">
        <w:rPr>
          <w:rStyle w:val="Strong"/>
          <w:rFonts w:asciiTheme="minorHAnsi" w:hAnsiTheme="minorHAnsi" w:cs="Segoe UI"/>
          <w:b w:val="0"/>
          <w:bCs w:val="0"/>
          <w:sz w:val="24"/>
          <w:szCs w:val="24"/>
        </w:rPr>
        <w:t>Measure and Monitor Dementia</w:t>
      </w:r>
      <w:bookmarkEnd w:id="1"/>
    </w:p>
    <w:p w14:paraId="668A89DE" w14:textId="77777777" w:rsidR="00D14568" w:rsidRPr="00FC1EA2" w:rsidRDefault="00D14568" w:rsidP="00D14568">
      <w:pPr>
        <w:pStyle w:val="NormalWeb"/>
        <w:spacing w:line="360" w:lineRule="auto"/>
        <w:rPr>
          <w:rFonts w:asciiTheme="minorHAnsi" w:hAnsiTheme="minorHAnsi" w:cs="Segoe UI"/>
        </w:rPr>
      </w:pPr>
      <w:r w:rsidRPr="00FC1EA2">
        <w:rPr>
          <w:rFonts w:asciiTheme="minorHAnsi" w:hAnsiTheme="minorHAnsi" w:cs="Segoe UI"/>
        </w:rPr>
        <w:t xml:space="preserve">Monitoring dementia is essential to understand how many people are affected, how the condition progresses, and what level of support is needed at community and national levels. One important method is the use of diagnosis rates collected by health systems such as the NHS. These rates help find how many people receive a formal diagnosis and whether dementia is being detected early. In England, the Dementia Profile checks the Estimated Dementia Diagnosis Rate (EDDR), allowing health authorities to show areas where diagnosis or awareness may be low. In addition, electronic health records support monitoring by recording symptoms, assessments, and test results over time, which helps track disease progression and plan proper care. Public health surveillance also plays a key role. For example, the World Health Organization reported that around fifty-seven million people were living with dementia globally in 2021. In the UK, </w:t>
      </w:r>
      <w:r w:rsidRPr="00FC1EA2">
        <w:rPr>
          <w:rFonts w:asciiTheme="minorHAnsi" w:hAnsiTheme="minorHAnsi" w:cs="Segoe UI"/>
        </w:rPr>
        <w:lastRenderedPageBreak/>
        <w:t>epidemiological data such as prevalence, mortality rates, and hospital admissions are used to assess trends and improve services. Cognitive, functional, and behavioural assessments further help professionals watch changes in memory, daily functioning, and behaviour. Finally, community and social care monitoring, including services such as Admiral Nurses, supports continuity of care and helps people with dementia keep independence for as long as possible. (Dementia UK, 2023).</w:t>
      </w:r>
      <w:bookmarkStart w:id="2" w:name="_Toc227085207"/>
    </w:p>
    <w:p w14:paraId="6BD7F3BF" w14:textId="77777777" w:rsidR="00D14568" w:rsidRPr="00FC1EA2" w:rsidRDefault="00D14568" w:rsidP="00D14568">
      <w:pPr>
        <w:pStyle w:val="Heading1"/>
        <w:numPr>
          <w:ilvl w:val="0"/>
          <w:numId w:val="5"/>
        </w:numPr>
        <w:tabs>
          <w:tab w:val="num" w:pos="360"/>
        </w:tabs>
        <w:spacing w:line="360" w:lineRule="auto"/>
        <w:ind w:left="0" w:firstLine="0"/>
        <w:rPr>
          <w:rFonts w:asciiTheme="minorHAnsi" w:eastAsia="Times New Roman" w:hAnsiTheme="minorHAnsi"/>
          <w:sz w:val="24"/>
          <w:szCs w:val="24"/>
          <w:lang w:eastAsia="en-GB"/>
        </w:rPr>
      </w:pPr>
      <w:bookmarkStart w:id="3" w:name="_Toc227192464"/>
      <w:bookmarkStart w:id="4" w:name="_Toc227085209"/>
      <w:bookmarkEnd w:id="2"/>
      <w:r w:rsidRPr="00FC1EA2">
        <w:rPr>
          <w:rFonts w:asciiTheme="minorHAnsi" w:eastAsia="Times New Roman" w:hAnsiTheme="minorHAnsi"/>
          <w:sz w:val="24"/>
          <w:szCs w:val="24"/>
          <w:lang w:eastAsia="en-GB"/>
        </w:rPr>
        <w:t>How Dementia Is Controlled</w:t>
      </w:r>
      <w:bookmarkEnd w:id="3"/>
    </w:p>
    <w:p w14:paraId="56AEDF05" w14:textId="77777777" w:rsidR="00D14568" w:rsidRPr="000B5F56" w:rsidRDefault="00D14568" w:rsidP="00D14568">
      <w:pPr>
        <w:spacing w:before="100" w:beforeAutospacing="1" w:after="100" w:afterAutospacing="1" w:line="360" w:lineRule="auto"/>
        <w:rPr>
          <w:rFonts w:eastAsia="Times New Roman" w:cs="Segoe UI"/>
          <w:kern w:val="0"/>
          <w:lang w:eastAsia="en-GB"/>
          <w14:ligatures w14:val="none"/>
        </w:rPr>
      </w:pPr>
      <w:r w:rsidRPr="000B5F56">
        <w:rPr>
          <w:rFonts w:eastAsia="Times New Roman" w:cs="Segoe UI"/>
          <w:kern w:val="0"/>
          <w:lang w:eastAsia="en-GB"/>
          <w14:ligatures w14:val="none"/>
        </w:rPr>
        <w:t>Dementia cannot be cured, but there are several ways to control and manage the condition. Control strategies aim to slow disease progression, manage symptoms, reduce risk factors, and support the quality of life of individuals with dementia and their families (WHO, 2017).</w:t>
      </w:r>
    </w:p>
    <w:p w14:paraId="0DAEADBE" w14:textId="77777777" w:rsidR="00D14568" w:rsidRPr="000B5F56" w:rsidRDefault="00D14568" w:rsidP="00D14568">
      <w:pPr>
        <w:spacing w:before="100" w:beforeAutospacing="1" w:after="100" w:afterAutospacing="1" w:line="360" w:lineRule="auto"/>
        <w:rPr>
          <w:rFonts w:eastAsia="Times New Roman" w:cs="Segoe UI"/>
          <w:kern w:val="0"/>
          <w:lang w:eastAsia="en-GB"/>
          <w14:ligatures w14:val="none"/>
        </w:rPr>
      </w:pPr>
      <w:r w:rsidRPr="000B5F56">
        <w:rPr>
          <w:rFonts w:eastAsia="Times New Roman" w:cs="Segoe UI"/>
          <w:kern w:val="0"/>
          <w:lang w:eastAsia="en-GB"/>
          <w14:ligatures w14:val="none"/>
        </w:rPr>
        <w:t xml:space="preserve">Early diagnosis plays a key role in controlling dementia. Although there is currently no cure, early identification allows people to access treatments and support that may slow the progression of symptoms and help </w:t>
      </w:r>
      <w:r w:rsidRPr="00FC1EA2">
        <w:rPr>
          <w:rFonts w:eastAsia="Times New Roman" w:cs="Segoe UI"/>
          <w:kern w:val="0"/>
          <w:lang w:eastAsia="en-GB"/>
          <w14:ligatures w14:val="none"/>
        </w:rPr>
        <w:t>keep</w:t>
      </w:r>
      <w:r w:rsidRPr="000B5F56">
        <w:rPr>
          <w:rFonts w:eastAsia="Times New Roman" w:cs="Segoe UI"/>
          <w:kern w:val="0"/>
          <w:lang w:eastAsia="en-GB"/>
          <w14:ligatures w14:val="none"/>
        </w:rPr>
        <w:t xml:space="preserve"> cognitive function for longer. The NHS emphasises that early diagnosis enables individuals to prepare for the future, access </w:t>
      </w:r>
      <w:r w:rsidRPr="00FC1EA2">
        <w:rPr>
          <w:rFonts w:eastAsia="Times New Roman" w:cs="Segoe UI"/>
          <w:kern w:val="0"/>
          <w:lang w:eastAsia="en-GB"/>
          <w14:ligatures w14:val="none"/>
        </w:rPr>
        <w:t>proper services</w:t>
      </w:r>
      <w:r w:rsidRPr="000B5F56">
        <w:rPr>
          <w:rFonts w:eastAsia="Times New Roman" w:cs="Segoe UI"/>
          <w:kern w:val="0"/>
          <w:lang w:eastAsia="en-GB"/>
          <w14:ligatures w14:val="none"/>
        </w:rPr>
        <w:t xml:space="preserve">, and receive </w:t>
      </w:r>
      <w:r w:rsidRPr="00FC1EA2">
        <w:rPr>
          <w:rFonts w:eastAsia="Times New Roman" w:cs="Segoe UI"/>
          <w:kern w:val="0"/>
          <w:lang w:eastAsia="en-GB"/>
          <w14:ligatures w14:val="none"/>
        </w:rPr>
        <w:t>prompt</w:t>
      </w:r>
      <w:r w:rsidRPr="000B5F56">
        <w:rPr>
          <w:rFonts w:eastAsia="Times New Roman" w:cs="Segoe UI"/>
          <w:kern w:val="0"/>
          <w:lang w:eastAsia="en-GB"/>
          <w14:ligatures w14:val="none"/>
        </w:rPr>
        <w:t xml:space="preserve"> support (NHS England, 2024). Early intervention may include lifestyle changes, medication, and memory</w:t>
      </w:r>
      <w:r w:rsidRPr="000B5F56">
        <w:rPr>
          <w:rFonts w:eastAsia="Times New Roman" w:cs="Segoe UI"/>
          <w:kern w:val="0"/>
          <w:lang w:eastAsia="en-GB"/>
          <w14:ligatures w14:val="none"/>
        </w:rPr>
        <w:noBreakHyphen/>
        <w:t>support programmes. It also allows families to plan care, manage finances, and access community services at an earlier stage.</w:t>
      </w:r>
    </w:p>
    <w:p w14:paraId="014C0D39" w14:textId="77777777" w:rsidR="00D14568" w:rsidRPr="000B5F56" w:rsidRDefault="00D14568" w:rsidP="00D14568">
      <w:pPr>
        <w:spacing w:before="100" w:beforeAutospacing="1" w:after="100" w:afterAutospacing="1" w:line="360" w:lineRule="auto"/>
        <w:rPr>
          <w:rFonts w:eastAsia="Times New Roman" w:cs="Segoe UI"/>
          <w:kern w:val="0"/>
          <w:lang w:eastAsia="en-GB"/>
          <w14:ligatures w14:val="none"/>
        </w:rPr>
      </w:pPr>
      <w:r w:rsidRPr="000B5F56">
        <w:rPr>
          <w:rFonts w:eastAsia="Times New Roman" w:cs="Segoe UI"/>
          <w:kern w:val="0"/>
          <w:lang w:eastAsia="en-GB"/>
          <w14:ligatures w14:val="none"/>
        </w:rPr>
        <w:t>Medication is another important approach to controlling dementia. While drugs cannot cure the condition, certain treatments can help reduce symptoms such as memory loss, confusion, and agitation. Dementia UK explains that medications used for Alzheimer’s disease may help slow symptom progression by improving communication between brain cells (Dementia UK, 2023). Medication can also help manage behavioural symptoms such as anxiety, depression, sleep difficulties, and agitation, which are common in people living with dementia.</w:t>
      </w:r>
    </w:p>
    <w:p w14:paraId="5DA3E3DA" w14:textId="77777777" w:rsidR="00D14568" w:rsidRPr="000B5F56" w:rsidRDefault="00D14568" w:rsidP="00D14568">
      <w:pPr>
        <w:spacing w:before="100" w:beforeAutospacing="1" w:after="100" w:afterAutospacing="1" w:line="360" w:lineRule="auto"/>
        <w:rPr>
          <w:rFonts w:eastAsia="Times New Roman" w:cs="Segoe UI"/>
          <w:kern w:val="0"/>
          <w:lang w:eastAsia="en-GB"/>
          <w14:ligatures w14:val="none"/>
        </w:rPr>
      </w:pPr>
      <w:r w:rsidRPr="000B5F56">
        <w:rPr>
          <w:rFonts w:eastAsia="Times New Roman" w:cs="Segoe UI"/>
          <w:kern w:val="0"/>
          <w:lang w:eastAsia="en-GB"/>
          <w14:ligatures w14:val="none"/>
        </w:rPr>
        <w:t xml:space="preserve">Controlling dementia also involves reducing modifiable risk factors. The World Health Organization </w:t>
      </w:r>
      <w:r w:rsidRPr="00FC1EA2">
        <w:rPr>
          <w:rFonts w:eastAsia="Times New Roman" w:cs="Segoe UI"/>
          <w:kern w:val="0"/>
          <w:lang w:eastAsia="en-GB"/>
          <w14:ligatures w14:val="none"/>
        </w:rPr>
        <w:t>finds</w:t>
      </w:r>
      <w:r w:rsidRPr="000B5F56">
        <w:rPr>
          <w:rFonts w:eastAsia="Times New Roman" w:cs="Segoe UI"/>
          <w:kern w:val="0"/>
          <w:lang w:eastAsia="en-GB"/>
          <w14:ligatures w14:val="none"/>
        </w:rPr>
        <w:t xml:space="preserve"> several factors linked to dementia, including high blood pressure, </w:t>
      </w:r>
      <w:r w:rsidRPr="000B5F56">
        <w:rPr>
          <w:rFonts w:eastAsia="Times New Roman" w:cs="Segoe UI"/>
          <w:kern w:val="0"/>
          <w:lang w:eastAsia="en-GB"/>
          <w14:ligatures w14:val="none"/>
        </w:rPr>
        <w:lastRenderedPageBreak/>
        <w:t>diabetes, smoking, alcohol misuse, physical inactivity, social isolation, and depression (WHO, 2021). Addressing these risks through lifestyle changes can reduce the likelihood of developing dementia or slow its progression. Common interventions include regular physical activity, a healthy diet, stopping smoking, reducing alcohol consumption, managing cardiovascular conditions, and increasing social engagement. These strategies support both prevention and long</w:t>
      </w:r>
      <w:r w:rsidRPr="000B5F56">
        <w:rPr>
          <w:rFonts w:eastAsia="Times New Roman" w:cs="Segoe UI"/>
          <w:kern w:val="0"/>
          <w:lang w:eastAsia="en-GB"/>
          <w14:ligatures w14:val="none"/>
        </w:rPr>
        <w:noBreakHyphen/>
        <w:t>term control.</w:t>
      </w:r>
    </w:p>
    <w:p w14:paraId="7368F91C" w14:textId="77777777" w:rsidR="00D14568" w:rsidRPr="00FC1EA2" w:rsidRDefault="00D14568" w:rsidP="00D14568">
      <w:pPr>
        <w:spacing w:before="100" w:beforeAutospacing="1" w:after="100" w:afterAutospacing="1" w:line="360" w:lineRule="auto"/>
        <w:rPr>
          <w:rFonts w:eastAsia="Times New Roman" w:cs="Segoe UI"/>
          <w:kern w:val="0"/>
          <w:lang w:eastAsia="en-GB"/>
          <w14:ligatures w14:val="none"/>
        </w:rPr>
      </w:pPr>
      <w:r w:rsidRPr="000B5F56">
        <w:rPr>
          <w:rFonts w:eastAsia="Times New Roman" w:cs="Segoe UI"/>
          <w:kern w:val="0"/>
          <w:lang w:eastAsia="en-GB"/>
          <w14:ligatures w14:val="none"/>
        </w:rPr>
        <w:t xml:space="preserve">Finally, effective dementia control requires coordinated support services and </w:t>
      </w:r>
      <w:r w:rsidRPr="00FC1EA2">
        <w:rPr>
          <w:rFonts w:eastAsia="Times New Roman" w:cs="Segoe UI"/>
          <w:kern w:val="0"/>
          <w:lang w:eastAsia="en-GB"/>
          <w14:ligatures w14:val="none"/>
        </w:rPr>
        <w:t>proper environments</w:t>
      </w:r>
      <w:r w:rsidRPr="000B5F56">
        <w:rPr>
          <w:rFonts w:eastAsia="Times New Roman" w:cs="Segoe UI"/>
          <w:kern w:val="0"/>
          <w:lang w:eastAsia="en-GB"/>
          <w14:ligatures w14:val="none"/>
        </w:rPr>
        <w:t>. People with dementia often need help with daily activities, memory prompts, and emotional support, while families may need guidance to manage symptoms and behavioural changes. Community care teams, social workers, specialist nurses, and voluntary organisations help provide safe environments, structured routines, and personalised care plans. In addition, home adaptations such as clear labelling, improved lighting, removal of trip hazards, assistive technology, and structured routines can improve safety, reduce confusion, and support independence for as long as possible (Dementia UK, 2023).</w:t>
      </w:r>
      <w:bookmarkEnd w:id="4"/>
    </w:p>
    <w:p w14:paraId="1D29A774" w14:textId="77777777" w:rsidR="00D14568" w:rsidRPr="00FC1EA2" w:rsidRDefault="00D14568" w:rsidP="00D14568">
      <w:pPr>
        <w:pStyle w:val="Heading1"/>
        <w:numPr>
          <w:ilvl w:val="0"/>
          <w:numId w:val="5"/>
        </w:numPr>
        <w:tabs>
          <w:tab w:val="num" w:pos="360"/>
        </w:tabs>
        <w:spacing w:line="360" w:lineRule="auto"/>
        <w:ind w:left="0" w:firstLine="0"/>
        <w:rPr>
          <w:rFonts w:asciiTheme="minorHAnsi" w:eastAsia="Times New Roman" w:hAnsiTheme="minorHAnsi"/>
          <w:sz w:val="24"/>
          <w:szCs w:val="24"/>
          <w:lang w:eastAsia="en-GB"/>
        </w:rPr>
      </w:pPr>
      <w:bookmarkStart w:id="5" w:name="_Toc227192465"/>
      <w:r w:rsidRPr="00FC1EA2">
        <w:rPr>
          <w:rFonts w:asciiTheme="minorHAnsi" w:eastAsia="Times New Roman" w:hAnsiTheme="minorHAnsi"/>
          <w:sz w:val="24"/>
          <w:szCs w:val="24"/>
          <w:lang w:eastAsia="en-GB"/>
        </w:rPr>
        <w:t>Consequences of Dementia on People in the Community</w:t>
      </w:r>
      <w:bookmarkEnd w:id="5"/>
    </w:p>
    <w:p w14:paraId="6209BF6A" w14:textId="77777777" w:rsidR="00D14568" w:rsidRPr="00C4454B" w:rsidRDefault="00D14568" w:rsidP="00D14568">
      <w:pPr>
        <w:spacing w:before="100" w:beforeAutospacing="1" w:after="100" w:afterAutospacing="1" w:line="360" w:lineRule="auto"/>
        <w:rPr>
          <w:rFonts w:eastAsia="Times New Roman" w:cs="Segoe UI"/>
          <w:kern w:val="0"/>
          <w:lang w:eastAsia="en-GB"/>
          <w14:ligatures w14:val="none"/>
        </w:rPr>
      </w:pPr>
      <w:r w:rsidRPr="00C4454B">
        <w:rPr>
          <w:rFonts w:eastAsia="Times New Roman" w:cs="Segoe UI"/>
          <w:kern w:val="0"/>
          <w:lang w:eastAsia="en-GB"/>
          <w14:ligatures w14:val="none"/>
        </w:rPr>
        <w:t>Dementia has wide</w:t>
      </w:r>
      <w:r w:rsidRPr="00C4454B">
        <w:rPr>
          <w:rFonts w:eastAsia="Times New Roman" w:cs="Segoe UI"/>
          <w:kern w:val="0"/>
          <w:lang w:eastAsia="en-GB"/>
          <w14:ligatures w14:val="none"/>
        </w:rPr>
        <w:noBreakHyphen/>
        <w:t>ranging consequences that affect not only individuals but also families, carers, and the wider community. These consequences include social, emotional, physical, and economic impacts that influence daily life and place increasing pressure on health and social care systems (WHO, 2021).</w:t>
      </w:r>
    </w:p>
    <w:p w14:paraId="2B014124" w14:textId="77777777" w:rsidR="00D14568" w:rsidRPr="00C4454B" w:rsidRDefault="00D14568" w:rsidP="00D14568">
      <w:pPr>
        <w:spacing w:before="100" w:beforeAutospacing="1" w:after="100" w:afterAutospacing="1" w:line="360" w:lineRule="auto"/>
        <w:rPr>
          <w:rFonts w:eastAsia="Times New Roman" w:cs="Segoe UI"/>
          <w:kern w:val="0"/>
          <w:lang w:eastAsia="en-GB"/>
          <w14:ligatures w14:val="none"/>
        </w:rPr>
      </w:pPr>
      <w:r w:rsidRPr="00C4454B">
        <w:rPr>
          <w:rFonts w:eastAsia="Times New Roman" w:cs="Segoe UI"/>
          <w:kern w:val="0"/>
          <w:lang w:eastAsia="en-GB"/>
          <w14:ligatures w14:val="none"/>
        </w:rPr>
        <w:t>At an individual level, dementia affects cognitive abilities, mood, behaviour, and independence. According to the NHS, people living with dementia may experience memory loss, language difficulties, problems managing daily activities, personality changes, and hallucinations (NHS, 2024). As the condition progresses, individuals may lose the ability to communicate clearly, make decisions, or care for themselves. These changes can lead to feelings of frustration, fear, vulnerability, and low self</w:t>
      </w:r>
      <w:r w:rsidRPr="00C4454B">
        <w:rPr>
          <w:rFonts w:eastAsia="Times New Roman" w:cs="Segoe UI"/>
          <w:kern w:val="0"/>
          <w:lang w:eastAsia="en-GB"/>
          <w14:ligatures w14:val="none"/>
        </w:rPr>
        <w:noBreakHyphen/>
        <w:t>esteem. In addition, many individuals experience social isolation because they are no longer able to take part in activities they previously enjoyed.</w:t>
      </w:r>
    </w:p>
    <w:p w14:paraId="6A2CD0AD" w14:textId="77777777" w:rsidR="00D14568" w:rsidRPr="00C4454B" w:rsidRDefault="00D14568" w:rsidP="00D14568">
      <w:pPr>
        <w:spacing w:before="100" w:beforeAutospacing="1" w:after="100" w:afterAutospacing="1" w:line="360" w:lineRule="auto"/>
        <w:rPr>
          <w:rFonts w:eastAsia="Times New Roman" w:cs="Segoe UI"/>
          <w:kern w:val="0"/>
          <w:lang w:eastAsia="en-GB"/>
          <w14:ligatures w14:val="none"/>
        </w:rPr>
      </w:pPr>
      <w:r w:rsidRPr="00C4454B">
        <w:rPr>
          <w:rFonts w:eastAsia="Times New Roman" w:cs="Segoe UI"/>
          <w:kern w:val="0"/>
          <w:lang w:eastAsia="en-GB"/>
          <w14:ligatures w14:val="none"/>
        </w:rPr>
        <w:lastRenderedPageBreak/>
        <w:t xml:space="preserve">Dementia also has a significant impact on families and carers. The World Health Organization reports that dementia creates physical, psychological, social, and economic challenges for carers, who provide an average of five hours of care per day, with women contributing around 70% of informal care worldwide (WHO, 2021). Many carers experience stress, exhaustion, and financial difficulties as they balance employment, personal responsibilities, and caregiving roles. Emotional challenges such as grief, sadness, and anxiety are also common as carers </w:t>
      </w:r>
      <w:r w:rsidRPr="00FC1EA2">
        <w:rPr>
          <w:rFonts w:eastAsia="Times New Roman" w:cs="Segoe UI"/>
          <w:kern w:val="0"/>
          <w:lang w:eastAsia="en-GB"/>
          <w14:ligatures w14:val="none"/>
        </w:rPr>
        <w:t>see</w:t>
      </w:r>
      <w:r w:rsidRPr="00C4454B">
        <w:rPr>
          <w:rFonts w:eastAsia="Times New Roman" w:cs="Segoe UI"/>
          <w:kern w:val="0"/>
          <w:lang w:eastAsia="en-GB"/>
          <w14:ligatures w14:val="none"/>
        </w:rPr>
        <w:t xml:space="preserve"> the gradual decline of a loved one.</w:t>
      </w:r>
    </w:p>
    <w:p w14:paraId="544E6B71" w14:textId="77777777" w:rsidR="00D14568" w:rsidRPr="00C4454B" w:rsidRDefault="00D14568" w:rsidP="00D14568">
      <w:pPr>
        <w:spacing w:before="100" w:beforeAutospacing="1" w:after="100" w:afterAutospacing="1" w:line="360" w:lineRule="auto"/>
        <w:rPr>
          <w:rFonts w:eastAsia="Times New Roman" w:cs="Segoe UI"/>
          <w:kern w:val="0"/>
          <w:lang w:eastAsia="en-GB"/>
          <w14:ligatures w14:val="none"/>
        </w:rPr>
      </w:pPr>
      <w:r w:rsidRPr="00C4454B">
        <w:rPr>
          <w:rFonts w:eastAsia="Times New Roman" w:cs="Segoe UI"/>
          <w:kern w:val="0"/>
          <w:lang w:eastAsia="en-GB"/>
          <w14:ligatures w14:val="none"/>
        </w:rPr>
        <w:t xml:space="preserve">Furthermore, dementia places increasing pressure on community and health services, including GP practices, hospitals, social care services, housing support, and voluntary organisations. In England, the Dementia Profile </w:t>
      </w:r>
      <w:r w:rsidRPr="00FC1EA2">
        <w:rPr>
          <w:rFonts w:eastAsia="Times New Roman" w:cs="Segoe UI"/>
          <w:kern w:val="0"/>
          <w:lang w:eastAsia="en-GB"/>
          <w14:ligatures w14:val="none"/>
        </w:rPr>
        <w:t>checks</w:t>
      </w:r>
      <w:r w:rsidRPr="00C4454B">
        <w:rPr>
          <w:rFonts w:eastAsia="Times New Roman" w:cs="Segoe UI"/>
          <w:kern w:val="0"/>
          <w:lang w:eastAsia="en-GB"/>
          <w14:ligatures w14:val="none"/>
        </w:rPr>
        <w:t xml:space="preserve"> service access and outcomes, highlighting the need for effective planning and sustained investment in dementia care (Office for Health Improvement and Disparities, 2025). Communities </w:t>
      </w:r>
      <w:r w:rsidRPr="00FC1EA2">
        <w:rPr>
          <w:rFonts w:eastAsia="Times New Roman" w:cs="Segoe UI"/>
          <w:kern w:val="0"/>
          <w:lang w:eastAsia="en-GB"/>
          <w14:ligatures w14:val="none"/>
        </w:rPr>
        <w:t>must</w:t>
      </w:r>
      <w:r w:rsidRPr="00C4454B">
        <w:rPr>
          <w:rFonts w:eastAsia="Times New Roman" w:cs="Segoe UI"/>
          <w:kern w:val="0"/>
          <w:lang w:eastAsia="en-GB"/>
          <w14:ligatures w14:val="none"/>
        </w:rPr>
        <w:t xml:space="preserve"> expand day services, respite care, support groups, and home</w:t>
      </w:r>
      <w:r w:rsidRPr="00C4454B">
        <w:rPr>
          <w:rFonts w:eastAsia="Times New Roman" w:cs="Segoe UI"/>
          <w:kern w:val="0"/>
          <w:lang w:eastAsia="en-GB"/>
          <w14:ligatures w14:val="none"/>
        </w:rPr>
        <w:noBreakHyphen/>
        <w:t>care packages to meet growing demand.</w:t>
      </w:r>
    </w:p>
    <w:p w14:paraId="5F7CABC9" w14:textId="77777777" w:rsidR="00D14568" w:rsidRPr="00C4454B" w:rsidRDefault="00D14568" w:rsidP="00D14568">
      <w:pPr>
        <w:spacing w:before="100" w:beforeAutospacing="1" w:after="100" w:afterAutospacing="1" w:line="360" w:lineRule="auto"/>
        <w:rPr>
          <w:rFonts w:eastAsia="Times New Roman" w:cs="Segoe UI"/>
          <w:kern w:val="0"/>
          <w:lang w:eastAsia="en-GB"/>
          <w14:ligatures w14:val="none"/>
        </w:rPr>
      </w:pPr>
      <w:r w:rsidRPr="00C4454B">
        <w:rPr>
          <w:rFonts w:eastAsia="Times New Roman" w:cs="Segoe UI"/>
          <w:kern w:val="0"/>
          <w:lang w:eastAsia="en-GB"/>
          <w14:ligatures w14:val="none"/>
        </w:rPr>
        <w:t xml:space="preserve">Dementia also has a major economic impact. According to WHO estimates, dementia cost the global economy </w:t>
      </w:r>
      <w:r w:rsidRPr="00FC1EA2">
        <w:rPr>
          <w:rFonts w:eastAsia="Times New Roman" w:cs="Segoe UI"/>
          <w:kern w:val="0"/>
          <w:lang w:eastAsia="en-GB"/>
          <w14:ligatures w14:val="none"/>
        </w:rPr>
        <w:t>US$1.3 trillion</w:t>
      </w:r>
      <w:r w:rsidRPr="00C4454B">
        <w:rPr>
          <w:rFonts w:eastAsia="Times New Roman" w:cs="Segoe UI"/>
          <w:kern w:val="0"/>
          <w:lang w:eastAsia="en-GB"/>
          <w14:ligatures w14:val="none"/>
        </w:rPr>
        <w:t xml:space="preserve"> in 2019, with around half of these costs related to informal care provided by families and friends (WHO, 2021). These costs are expected to rise as populations continue to age.</w:t>
      </w:r>
    </w:p>
    <w:p w14:paraId="4CD720C6" w14:textId="77777777" w:rsidR="00D14568" w:rsidRPr="00C4454B" w:rsidRDefault="00D14568" w:rsidP="00D14568">
      <w:pPr>
        <w:spacing w:before="100" w:beforeAutospacing="1" w:after="100" w:afterAutospacing="1" w:line="360" w:lineRule="auto"/>
        <w:rPr>
          <w:rFonts w:eastAsia="Times New Roman" w:cs="Segoe UI"/>
          <w:kern w:val="0"/>
          <w:lang w:eastAsia="en-GB"/>
          <w14:ligatures w14:val="none"/>
        </w:rPr>
      </w:pPr>
      <w:r w:rsidRPr="00C4454B">
        <w:rPr>
          <w:rFonts w:eastAsia="Times New Roman" w:cs="Segoe UI"/>
          <w:kern w:val="0"/>
          <w:lang w:eastAsia="en-GB"/>
          <w14:ligatures w14:val="none"/>
        </w:rPr>
        <w:t>Finally, dementia is often associated with stigma and misunderstanding. Limited awareness can lead to discrimination and incorrect assumptions about a person’s abilities, discouraging early diagnosis and reducing engagement in community life. Education and awareness campaigns are therefore essential to reduce stigma and promote dementia</w:t>
      </w:r>
      <w:r w:rsidRPr="00C4454B">
        <w:rPr>
          <w:rFonts w:eastAsia="Times New Roman" w:cs="Segoe UI"/>
          <w:kern w:val="0"/>
          <w:lang w:eastAsia="en-GB"/>
          <w14:ligatures w14:val="none"/>
        </w:rPr>
        <w:noBreakHyphen/>
        <w:t>friendly communities.</w:t>
      </w:r>
    </w:p>
    <w:p w14:paraId="74113533" w14:textId="77777777" w:rsidR="00D14568" w:rsidRPr="00FC1EA2" w:rsidRDefault="00D14568" w:rsidP="00D14568">
      <w:pPr>
        <w:spacing w:line="360" w:lineRule="auto"/>
      </w:pPr>
    </w:p>
    <w:p w14:paraId="5332ED99" w14:textId="77777777" w:rsidR="00D14568" w:rsidRPr="00FC1EA2" w:rsidRDefault="00D14568" w:rsidP="00D14568">
      <w:pPr>
        <w:spacing w:line="360" w:lineRule="auto"/>
      </w:pPr>
    </w:p>
    <w:p w14:paraId="63D1DB06" w14:textId="77777777" w:rsidR="00D14568" w:rsidRPr="00FC1EA2" w:rsidRDefault="00D14568" w:rsidP="00D14568">
      <w:pPr>
        <w:pStyle w:val="Heading1"/>
        <w:spacing w:line="360" w:lineRule="auto"/>
        <w:rPr>
          <w:sz w:val="32"/>
          <w:szCs w:val="32"/>
        </w:rPr>
      </w:pPr>
      <w:bookmarkStart w:id="6" w:name="_Toc227192466"/>
      <w:r w:rsidRPr="00FC1EA2">
        <w:rPr>
          <w:sz w:val="32"/>
          <w:szCs w:val="32"/>
        </w:rPr>
        <w:lastRenderedPageBreak/>
        <w:t>Conclusion</w:t>
      </w:r>
      <w:bookmarkEnd w:id="6"/>
      <w:r w:rsidRPr="00FC1EA2">
        <w:rPr>
          <w:sz w:val="32"/>
          <w:szCs w:val="32"/>
        </w:rPr>
        <w:t xml:space="preserve"> </w:t>
      </w:r>
    </w:p>
    <w:p w14:paraId="04CC6A39" w14:textId="77777777" w:rsidR="00D14568" w:rsidRPr="00FC1EA2" w:rsidRDefault="00D14568" w:rsidP="00D14568">
      <w:pPr>
        <w:spacing w:line="360" w:lineRule="auto"/>
        <w:rPr>
          <w:rFonts w:eastAsia="Times New Roman" w:cs="Segoe UI"/>
          <w:kern w:val="0"/>
          <w:lang w:eastAsia="en-GB"/>
          <w14:ligatures w14:val="none"/>
        </w:rPr>
      </w:pPr>
      <w:r w:rsidRPr="00FC1EA2">
        <w:rPr>
          <w:rFonts w:eastAsia="Times New Roman" w:cs="Segoe UI"/>
          <w:kern w:val="0"/>
          <w:lang w:eastAsia="en-GB"/>
          <w14:ligatures w14:val="none"/>
        </w:rPr>
        <w:t>Dementia stands for a major global and national public health challenge, and current evidence clearly proves the scale and seriousness of the condition. Globally, approximately fifty-seven million people were living with dementia in 2021, with ten million new cases occurring each year, placing considerable pressure on health and social care systems (WHO, 2021). Dementia is also a leading cause of death worldwide, reflecting the complexity of care needed for affected individuals and their families. In the United Kingdom, around one million people are currently living with dementia, and prevalence is expected to increase as the population ages. Monitoring systems such as England’s Dementia Profile play a critical role in tracking prevalence, improving diagnosis rates, and supporting effective service planning. Overall, dementia is still a significant public health priority that requires long</w:t>
      </w:r>
      <w:r w:rsidRPr="00FC1EA2">
        <w:rPr>
          <w:rFonts w:eastAsia="Times New Roman" w:cs="Segoe UI"/>
          <w:kern w:val="0"/>
          <w:lang w:eastAsia="en-GB"/>
          <w14:ligatures w14:val="none"/>
        </w:rPr>
        <w:noBreakHyphen/>
        <w:t>term planning, adequate resources, and coordinated health and social care responses.</w:t>
      </w:r>
    </w:p>
    <w:p w14:paraId="3113B58B" w14:textId="77777777" w:rsidR="00D14568" w:rsidRPr="00FC1EA2" w:rsidRDefault="00D14568" w:rsidP="00D14568">
      <w:pPr>
        <w:pStyle w:val="Heading1"/>
        <w:spacing w:line="360" w:lineRule="auto"/>
        <w:rPr>
          <w:rFonts w:asciiTheme="minorHAnsi" w:hAnsiTheme="minorHAnsi"/>
          <w:sz w:val="24"/>
          <w:szCs w:val="24"/>
        </w:rPr>
      </w:pPr>
    </w:p>
    <w:p w14:paraId="5C286F1C" w14:textId="77777777" w:rsidR="00D14568" w:rsidRPr="00FC1EA2" w:rsidRDefault="00D14568" w:rsidP="00D14568">
      <w:pPr>
        <w:spacing w:line="360" w:lineRule="auto"/>
      </w:pPr>
    </w:p>
    <w:p w14:paraId="11AC6644" w14:textId="163B684E" w:rsidR="00E62C47" w:rsidRDefault="00E62C47" w:rsidP="00D14568"/>
    <w:sectPr w:rsidR="00E62C4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22A0A" w14:textId="77777777" w:rsidR="00A21EF3" w:rsidRDefault="00A21EF3" w:rsidP="0086318F">
      <w:pPr>
        <w:spacing w:after="0" w:line="240" w:lineRule="auto"/>
      </w:pPr>
      <w:r>
        <w:separator/>
      </w:r>
    </w:p>
  </w:endnote>
  <w:endnote w:type="continuationSeparator" w:id="0">
    <w:p w14:paraId="38AA0CA9" w14:textId="77777777" w:rsidR="00A21EF3" w:rsidRDefault="00A21EF3" w:rsidP="00863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5341317"/>
      <w:docPartObj>
        <w:docPartGallery w:val="Page Numbers (Bottom of Page)"/>
        <w:docPartUnique/>
      </w:docPartObj>
    </w:sdtPr>
    <w:sdtEndPr>
      <w:rPr>
        <w:color w:val="7F7F7F" w:themeColor="background1" w:themeShade="7F"/>
        <w:spacing w:val="60"/>
      </w:rPr>
    </w:sdtEndPr>
    <w:sdtContent>
      <w:p w14:paraId="05D46CEB" w14:textId="13B3A60F" w:rsidR="0086318F" w:rsidRDefault="0086318F">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0EEAAA3E" w14:textId="77777777" w:rsidR="0086318F" w:rsidRDefault="008631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1A984" w14:textId="77777777" w:rsidR="00A21EF3" w:rsidRDefault="00A21EF3" w:rsidP="0086318F">
      <w:pPr>
        <w:spacing w:after="0" w:line="240" w:lineRule="auto"/>
      </w:pPr>
      <w:r>
        <w:separator/>
      </w:r>
    </w:p>
  </w:footnote>
  <w:footnote w:type="continuationSeparator" w:id="0">
    <w:p w14:paraId="44AA1056" w14:textId="77777777" w:rsidR="00A21EF3" w:rsidRDefault="00A21EF3" w:rsidP="008631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D0A24"/>
    <w:multiLevelType w:val="multilevel"/>
    <w:tmpl w:val="82823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E7C57"/>
    <w:multiLevelType w:val="multilevel"/>
    <w:tmpl w:val="F4109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C4F4E"/>
    <w:multiLevelType w:val="hybridMultilevel"/>
    <w:tmpl w:val="607E2C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5E6184"/>
    <w:multiLevelType w:val="multilevel"/>
    <w:tmpl w:val="7ADAA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2A4C96"/>
    <w:multiLevelType w:val="hybridMultilevel"/>
    <w:tmpl w:val="950216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9413318">
    <w:abstractNumId w:val="0"/>
  </w:num>
  <w:num w:numId="2" w16cid:durableId="750199129">
    <w:abstractNumId w:val="3"/>
  </w:num>
  <w:num w:numId="3" w16cid:durableId="1073160961">
    <w:abstractNumId w:val="2"/>
  </w:num>
  <w:num w:numId="4" w16cid:durableId="984774460">
    <w:abstractNumId w:val="1"/>
  </w:num>
  <w:num w:numId="5" w16cid:durableId="2317388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2CF"/>
    <w:rsid w:val="00137209"/>
    <w:rsid w:val="001A4CFD"/>
    <w:rsid w:val="002F496F"/>
    <w:rsid w:val="00317CDC"/>
    <w:rsid w:val="003A5982"/>
    <w:rsid w:val="004F7245"/>
    <w:rsid w:val="005171CF"/>
    <w:rsid w:val="00567D0B"/>
    <w:rsid w:val="006470AF"/>
    <w:rsid w:val="006A5987"/>
    <w:rsid w:val="007132CF"/>
    <w:rsid w:val="008117A0"/>
    <w:rsid w:val="0086318F"/>
    <w:rsid w:val="00906729"/>
    <w:rsid w:val="00A21EF3"/>
    <w:rsid w:val="00AA57EB"/>
    <w:rsid w:val="00AF67A8"/>
    <w:rsid w:val="00B675F0"/>
    <w:rsid w:val="00D13E74"/>
    <w:rsid w:val="00D14568"/>
    <w:rsid w:val="00D30E23"/>
    <w:rsid w:val="00D70557"/>
    <w:rsid w:val="00E62C47"/>
    <w:rsid w:val="00E67E24"/>
    <w:rsid w:val="00FE7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4F50E"/>
  <w15:chartTrackingRefBased/>
  <w15:docId w15:val="{66DDBD18-A0C3-42B2-BAA3-D98CE30C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32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132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32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32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32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32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32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32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32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2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132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32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32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32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32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32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32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32CF"/>
    <w:rPr>
      <w:rFonts w:eastAsiaTheme="majorEastAsia" w:cstheme="majorBidi"/>
      <w:color w:val="272727" w:themeColor="text1" w:themeTint="D8"/>
    </w:rPr>
  </w:style>
  <w:style w:type="paragraph" w:styleId="Title">
    <w:name w:val="Title"/>
    <w:basedOn w:val="Normal"/>
    <w:next w:val="Normal"/>
    <w:link w:val="TitleChar"/>
    <w:uiPriority w:val="10"/>
    <w:qFormat/>
    <w:rsid w:val="007132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32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32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32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32CF"/>
    <w:pPr>
      <w:spacing w:before="160"/>
      <w:jc w:val="center"/>
    </w:pPr>
    <w:rPr>
      <w:i/>
      <w:iCs/>
      <w:color w:val="404040" w:themeColor="text1" w:themeTint="BF"/>
    </w:rPr>
  </w:style>
  <w:style w:type="character" w:customStyle="1" w:styleId="QuoteChar">
    <w:name w:val="Quote Char"/>
    <w:basedOn w:val="DefaultParagraphFont"/>
    <w:link w:val="Quote"/>
    <w:uiPriority w:val="29"/>
    <w:rsid w:val="007132CF"/>
    <w:rPr>
      <w:i/>
      <w:iCs/>
      <w:color w:val="404040" w:themeColor="text1" w:themeTint="BF"/>
    </w:rPr>
  </w:style>
  <w:style w:type="paragraph" w:styleId="ListParagraph">
    <w:name w:val="List Paragraph"/>
    <w:basedOn w:val="Normal"/>
    <w:uiPriority w:val="34"/>
    <w:qFormat/>
    <w:rsid w:val="007132CF"/>
    <w:pPr>
      <w:ind w:left="720"/>
      <w:contextualSpacing/>
    </w:pPr>
  </w:style>
  <w:style w:type="character" w:styleId="IntenseEmphasis">
    <w:name w:val="Intense Emphasis"/>
    <w:basedOn w:val="DefaultParagraphFont"/>
    <w:uiPriority w:val="21"/>
    <w:qFormat/>
    <w:rsid w:val="007132CF"/>
    <w:rPr>
      <w:i/>
      <w:iCs/>
      <w:color w:val="0F4761" w:themeColor="accent1" w:themeShade="BF"/>
    </w:rPr>
  </w:style>
  <w:style w:type="paragraph" w:styleId="IntenseQuote">
    <w:name w:val="Intense Quote"/>
    <w:basedOn w:val="Normal"/>
    <w:next w:val="Normal"/>
    <w:link w:val="IntenseQuoteChar"/>
    <w:uiPriority w:val="30"/>
    <w:qFormat/>
    <w:rsid w:val="007132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32CF"/>
    <w:rPr>
      <w:i/>
      <w:iCs/>
      <w:color w:val="0F4761" w:themeColor="accent1" w:themeShade="BF"/>
    </w:rPr>
  </w:style>
  <w:style w:type="character" w:styleId="IntenseReference">
    <w:name w:val="Intense Reference"/>
    <w:basedOn w:val="DefaultParagraphFont"/>
    <w:uiPriority w:val="32"/>
    <w:qFormat/>
    <w:rsid w:val="007132CF"/>
    <w:rPr>
      <w:b/>
      <w:bCs/>
      <w:smallCaps/>
      <w:color w:val="0F4761" w:themeColor="accent1" w:themeShade="BF"/>
      <w:spacing w:val="5"/>
    </w:rPr>
  </w:style>
  <w:style w:type="character" w:styleId="Hyperlink">
    <w:name w:val="Hyperlink"/>
    <w:basedOn w:val="DefaultParagraphFont"/>
    <w:uiPriority w:val="99"/>
    <w:unhideWhenUsed/>
    <w:rsid w:val="00137209"/>
    <w:rPr>
      <w:color w:val="467886" w:themeColor="hyperlink"/>
      <w:u w:val="single"/>
    </w:rPr>
  </w:style>
  <w:style w:type="character" w:styleId="UnresolvedMention">
    <w:name w:val="Unresolved Mention"/>
    <w:basedOn w:val="DefaultParagraphFont"/>
    <w:uiPriority w:val="99"/>
    <w:semiHidden/>
    <w:unhideWhenUsed/>
    <w:rsid w:val="00137209"/>
    <w:rPr>
      <w:color w:val="605E5C"/>
      <w:shd w:val="clear" w:color="auto" w:fill="E1DFDD"/>
    </w:rPr>
  </w:style>
  <w:style w:type="character" w:styleId="Strong">
    <w:name w:val="Strong"/>
    <w:basedOn w:val="DefaultParagraphFont"/>
    <w:uiPriority w:val="22"/>
    <w:qFormat/>
    <w:rsid w:val="00317CDC"/>
    <w:rPr>
      <w:b/>
      <w:bCs/>
    </w:rPr>
  </w:style>
  <w:style w:type="paragraph" w:styleId="NormalWeb">
    <w:name w:val="Normal (Web)"/>
    <w:basedOn w:val="Normal"/>
    <w:uiPriority w:val="99"/>
    <w:unhideWhenUsed/>
    <w:rsid w:val="00317CD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semiHidden/>
    <w:unhideWhenUsed/>
    <w:qFormat/>
    <w:rsid w:val="00D14568"/>
    <w:pPr>
      <w:spacing w:before="240" w:after="0"/>
      <w:outlineLvl w:val="9"/>
    </w:pPr>
    <w:rPr>
      <w:sz w:val="32"/>
      <w:szCs w:val="32"/>
    </w:rPr>
  </w:style>
  <w:style w:type="paragraph" w:styleId="TOC1">
    <w:name w:val="toc 1"/>
    <w:basedOn w:val="Normal"/>
    <w:next w:val="Normal"/>
    <w:autoRedefine/>
    <w:uiPriority w:val="39"/>
    <w:unhideWhenUsed/>
    <w:rsid w:val="00D14568"/>
    <w:pPr>
      <w:tabs>
        <w:tab w:val="right" w:leader="dot" w:pos="9016"/>
      </w:tabs>
      <w:spacing w:after="100"/>
    </w:pPr>
    <w:rPr>
      <w:rFonts w:cs="Segoe UI"/>
      <w:b/>
      <w:bCs/>
      <w:noProof/>
      <w:sz w:val="40"/>
      <w:szCs w:val="40"/>
    </w:rPr>
  </w:style>
  <w:style w:type="paragraph" w:styleId="Header">
    <w:name w:val="header"/>
    <w:basedOn w:val="Normal"/>
    <w:link w:val="HeaderChar"/>
    <w:uiPriority w:val="99"/>
    <w:unhideWhenUsed/>
    <w:rsid w:val="008631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18F"/>
  </w:style>
  <w:style w:type="paragraph" w:styleId="Footer">
    <w:name w:val="footer"/>
    <w:basedOn w:val="Normal"/>
    <w:link w:val="FooterChar"/>
    <w:uiPriority w:val="99"/>
    <w:unhideWhenUsed/>
    <w:rsid w:val="008631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1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D7EF754411A542AFD9DBE8690421D3" ma:contentTypeVersion="5" ma:contentTypeDescription="Create a new document." ma:contentTypeScope="" ma:versionID="aa2450bf31750a2e05747b6d169d2c41">
  <xsd:schema xmlns:xsd="http://www.w3.org/2001/XMLSchema" xmlns:xs="http://www.w3.org/2001/XMLSchema" xmlns:p="http://schemas.microsoft.com/office/2006/metadata/properties" xmlns:ns3="11aa0710-6065-45a4-8555-6680b95a1f9d" targetNamespace="http://schemas.microsoft.com/office/2006/metadata/properties" ma:root="true" ma:fieldsID="aa07381f5c74701c5d2033ada0c8b74b" ns3:_="">
    <xsd:import namespace="11aa0710-6065-45a4-8555-6680b95a1f9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a0710-6065-45a4-8555-6680b95a1f9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1aa0710-6065-45a4-8555-6680b95a1f9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C8F05-A0E1-4E2A-AAE7-6AD8FA27E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a0710-6065-45a4-8555-6680b95a1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F3E6C4-2230-44CD-82F2-E43007077826}">
  <ds:schemaRefs>
    <ds:schemaRef ds:uri="http://schemas.microsoft.com/sharepoint/v3/contenttype/forms"/>
  </ds:schemaRefs>
</ds:datastoreItem>
</file>

<file path=customXml/itemProps3.xml><?xml version="1.0" encoding="utf-8"?>
<ds:datastoreItem xmlns:ds="http://schemas.openxmlformats.org/officeDocument/2006/customXml" ds:itemID="{A245A7F8-27D7-4516-A7BD-53503F4A67D8}">
  <ds:schemaRefs>
    <ds:schemaRef ds:uri="http://schemas.microsoft.com/office/2006/metadata/properties"/>
    <ds:schemaRef ds:uri="http://schemas.microsoft.com/office/infopath/2007/PartnerControls"/>
    <ds:schemaRef ds:uri="11aa0710-6065-45a4-8555-6680b95a1f9d"/>
  </ds:schemaRefs>
</ds:datastoreItem>
</file>

<file path=customXml/itemProps4.xml><?xml version="1.0" encoding="utf-8"?>
<ds:datastoreItem xmlns:ds="http://schemas.openxmlformats.org/officeDocument/2006/customXml" ds:itemID="{A997A0F9-A500-4399-BD1C-09175A905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1391</Words>
  <Characters>8444</Characters>
  <Application>Microsoft Office Word</Application>
  <DocSecurity>0</DocSecurity>
  <Lines>179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Gisela Luz Arano Mayta (2510732)</dc:creator>
  <cp:keywords/>
  <dc:description/>
  <cp:lastModifiedBy>Gisela Arano</cp:lastModifiedBy>
  <cp:revision>2</cp:revision>
  <dcterms:created xsi:type="dcterms:W3CDTF">2026-04-17T22:07:00Z</dcterms:created>
  <dcterms:modified xsi:type="dcterms:W3CDTF">2026-04-17T22:07:00Z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0x0101009CD7EF754411A542AFD9DBE8690421D3</vt:lpwstr>
  </property>
</Properties>
</file>