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C5A40D" w14:textId="77777777" w:rsidR="001E6C9A" w:rsidRDefault="001E6C9A" w:rsidP="001E6C9A">
      <w:pPr>
        <w:rPr>
          <w:rFonts w:ascii="Times New Roman" w:eastAsia="Times New Roman" w:hAnsi="Times New Roman" w:cs="Times New Roman"/>
          <w:color w:val="000000"/>
          <w:sz w:val="28"/>
          <w:szCs w:val="28"/>
          <w:shd w:val="clear" w:color="auto" w:fill="FFFFFF"/>
          <w:lang w:eastAsia="en-GB"/>
        </w:rPr>
      </w:pPr>
      <w:r w:rsidRPr="00A10BDF">
        <w:rPr>
          <w:rFonts w:ascii="Times New Roman" w:eastAsia="Times New Roman" w:hAnsi="Times New Roman" w:cs="Times New Roman"/>
          <w:color w:val="000000"/>
          <w:sz w:val="28"/>
          <w:szCs w:val="28"/>
          <w:shd w:val="clear" w:color="auto" w:fill="FFFFFF"/>
          <w:lang w:eastAsia="en-GB"/>
        </w:rPr>
        <w:t xml:space="preserve">With at least three countries in mind, </w:t>
      </w:r>
      <w:proofErr w:type="gramStart"/>
      <w:r w:rsidRPr="00A10BDF">
        <w:rPr>
          <w:rFonts w:ascii="Times New Roman" w:eastAsia="Times New Roman" w:hAnsi="Times New Roman" w:cs="Times New Roman"/>
          <w:color w:val="000000"/>
          <w:sz w:val="28"/>
          <w:szCs w:val="28"/>
          <w:shd w:val="clear" w:color="auto" w:fill="FFFFFF"/>
          <w:lang w:eastAsia="en-GB"/>
        </w:rPr>
        <w:t>compare and contrast</w:t>
      </w:r>
      <w:proofErr w:type="gramEnd"/>
      <w:r w:rsidRPr="00A10BDF">
        <w:rPr>
          <w:rFonts w:ascii="Times New Roman" w:eastAsia="Times New Roman" w:hAnsi="Times New Roman" w:cs="Times New Roman"/>
          <w:color w:val="000000"/>
          <w:sz w:val="28"/>
          <w:szCs w:val="28"/>
          <w:shd w:val="clear" w:color="auto" w:fill="FFFFFF"/>
          <w:lang w:eastAsia="en-GB"/>
        </w:rPr>
        <w:t xml:space="preserve"> the decision-making process in 1939-1941 that chose conflict over peace. Your choice of countries should include examples from the liberal-democracies and the dictatorships. </w:t>
      </w:r>
    </w:p>
    <w:p w14:paraId="6333582B" w14:textId="77777777" w:rsidR="001E6C9A" w:rsidRDefault="001E6C9A" w:rsidP="001E6C9A">
      <w:pPr>
        <w:rPr>
          <w:rFonts w:ascii="Times New Roman" w:eastAsia="Times New Roman" w:hAnsi="Times New Roman" w:cs="Times New Roman"/>
          <w:color w:val="000000"/>
          <w:sz w:val="28"/>
          <w:szCs w:val="28"/>
          <w:shd w:val="clear" w:color="auto" w:fill="FFFFFF"/>
          <w:lang w:eastAsia="en-GB"/>
        </w:rPr>
      </w:pPr>
    </w:p>
    <w:p w14:paraId="43CA5478" w14:textId="77777777" w:rsidR="001E6C9A" w:rsidRPr="00BE135D" w:rsidRDefault="001E6C9A" w:rsidP="001E6C9A">
      <w:pPr>
        <w:rPr>
          <w:rFonts w:eastAsia="Times New Roman" w:cstheme="minorHAnsi"/>
          <w:color w:val="000000"/>
          <w:shd w:val="clear" w:color="auto" w:fill="FFFFFF"/>
          <w:lang w:eastAsia="en-GB"/>
        </w:rPr>
      </w:pPr>
    </w:p>
    <w:p w14:paraId="44175A2F"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The 1930s were a turbulent time for the world with the Great Depression followed by the rise of Nazi Germany and the imperial ambitions of Japan. The beginnings of rearmament from 1935 onwards pushed global tensions closer and closer to potential war. The German demands for the Sudetenland and the subsequent Munich Agreement were a false hope and led to the German Invasion of Poland that started the Second World War. </w:t>
      </w:r>
    </w:p>
    <w:p w14:paraId="4EEB87B4" w14:textId="77777777" w:rsidR="001E6C9A" w:rsidRPr="00BE135D" w:rsidRDefault="001E6C9A" w:rsidP="001E6C9A">
      <w:pPr>
        <w:rPr>
          <w:rFonts w:eastAsia="Times New Roman" w:cstheme="minorHAnsi"/>
          <w:color w:val="000000"/>
          <w:shd w:val="clear" w:color="auto" w:fill="FFFFFF"/>
          <w:lang w:eastAsia="en-GB"/>
        </w:rPr>
      </w:pPr>
    </w:p>
    <w:p w14:paraId="3CC1DAEF"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Great Britain had worked throughout the 1930s to try and avoid war but by 1935 it had become apparent that the British Armed Forces required immediate updating and so a rearmament program was started with the aim of procuring modern equipment for the military. Fortunately, Britain had the industrial, </w:t>
      </w:r>
      <w:proofErr w:type="gramStart"/>
      <w:r w:rsidRPr="00BE135D">
        <w:rPr>
          <w:rFonts w:eastAsia="Times New Roman" w:cstheme="minorHAnsi"/>
          <w:color w:val="000000"/>
          <w:shd w:val="clear" w:color="auto" w:fill="FFFFFF"/>
          <w:lang w:eastAsia="en-GB"/>
        </w:rPr>
        <w:t>economic</w:t>
      </w:r>
      <w:proofErr w:type="gramEnd"/>
      <w:r w:rsidRPr="00BE135D">
        <w:rPr>
          <w:rFonts w:eastAsia="Times New Roman" w:cstheme="minorHAnsi"/>
          <w:color w:val="000000"/>
          <w:shd w:val="clear" w:color="auto" w:fill="FFFFFF"/>
          <w:lang w:eastAsia="en-GB"/>
        </w:rPr>
        <w:t xml:space="preserve"> and scientific power for it to be possible for the level of rearmament that took place to occur.</w:t>
      </w:r>
      <w:r>
        <w:rPr>
          <w:rStyle w:val="FootnoteReference"/>
          <w:rFonts w:eastAsia="Times New Roman" w:cstheme="minorHAnsi"/>
          <w:color w:val="000000"/>
          <w:shd w:val="clear" w:color="auto" w:fill="FFFFFF"/>
          <w:lang w:eastAsia="en-GB"/>
        </w:rPr>
        <w:footnoteReference w:id="1"/>
      </w:r>
      <w:r w:rsidRPr="00BE135D">
        <w:rPr>
          <w:rFonts w:eastAsia="Times New Roman" w:cstheme="minorHAnsi"/>
          <w:color w:val="000000"/>
          <w:shd w:val="clear" w:color="auto" w:fill="FFFFFF"/>
          <w:lang w:eastAsia="en-GB"/>
        </w:rPr>
        <w:t xml:space="preserve"> </w:t>
      </w:r>
    </w:p>
    <w:p w14:paraId="73F8D4CB" w14:textId="77777777" w:rsidR="001E6C9A" w:rsidRPr="00BE135D" w:rsidRDefault="001E6C9A" w:rsidP="001E6C9A">
      <w:pPr>
        <w:rPr>
          <w:rFonts w:eastAsia="Times New Roman" w:cstheme="minorHAnsi"/>
          <w:color w:val="000000"/>
          <w:shd w:val="clear" w:color="auto" w:fill="FFFFFF"/>
          <w:lang w:eastAsia="en-GB"/>
        </w:rPr>
      </w:pPr>
    </w:p>
    <w:p w14:paraId="2C086503"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Germany had spent the post war era going through turbulent economic, </w:t>
      </w:r>
      <w:proofErr w:type="gramStart"/>
      <w:r w:rsidRPr="00BE135D">
        <w:rPr>
          <w:rFonts w:eastAsia="Times New Roman" w:cstheme="minorHAnsi"/>
          <w:color w:val="000000"/>
          <w:shd w:val="clear" w:color="auto" w:fill="FFFFFF"/>
          <w:lang w:eastAsia="en-GB"/>
        </w:rPr>
        <w:t>social</w:t>
      </w:r>
      <w:proofErr w:type="gramEnd"/>
      <w:r w:rsidRPr="00BE135D">
        <w:rPr>
          <w:rFonts w:eastAsia="Times New Roman" w:cstheme="minorHAnsi"/>
          <w:color w:val="000000"/>
          <w:shd w:val="clear" w:color="auto" w:fill="FFFFFF"/>
          <w:lang w:eastAsia="en-GB"/>
        </w:rPr>
        <w:t xml:space="preserve"> and political changes that culminated in the rise of the Nazi Party. Under the Nazis they began a period of rearmament that was intended to allow Germany to conquer the lands of eastern Europe and turn them into </w:t>
      </w:r>
      <w:r w:rsidRPr="00BE135D">
        <w:rPr>
          <w:rFonts w:eastAsia="Times New Roman" w:cstheme="minorHAnsi"/>
          <w:i/>
          <w:iCs/>
          <w:color w:val="000000"/>
          <w:shd w:val="clear" w:color="auto" w:fill="FFFFFF"/>
          <w:lang w:eastAsia="en-GB"/>
        </w:rPr>
        <w:t xml:space="preserve">Lebensraum </w:t>
      </w:r>
      <w:r w:rsidRPr="00BE135D">
        <w:rPr>
          <w:rFonts w:eastAsia="Times New Roman" w:cstheme="minorHAnsi"/>
          <w:color w:val="000000"/>
          <w:shd w:val="clear" w:color="auto" w:fill="FFFFFF"/>
          <w:lang w:eastAsia="en-GB"/>
        </w:rPr>
        <w:t>‘living space’ for Greater Germany.</w:t>
      </w:r>
      <w:r>
        <w:rPr>
          <w:rStyle w:val="FootnoteReference"/>
          <w:rFonts w:eastAsia="Times New Roman" w:cstheme="minorHAnsi"/>
          <w:color w:val="000000"/>
          <w:shd w:val="clear" w:color="auto" w:fill="FFFFFF"/>
          <w:lang w:eastAsia="en-GB"/>
        </w:rPr>
        <w:footnoteReference w:id="2"/>
      </w:r>
      <w:r w:rsidRPr="00BE135D">
        <w:rPr>
          <w:rFonts w:eastAsia="Times New Roman" w:cstheme="minorHAnsi"/>
          <w:color w:val="000000"/>
          <w:shd w:val="clear" w:color="auto" w:fill="FFFFFF"/>
          <w:lang w:eastAsia="en-GB"/>
        </w:rPr>
        <w:t xml:space="preserve"> </w:t>
      </w:r>
    </w:p>
    <w:p w14:paraId="5917E1E8" w14:textId="77777777" w:rsidR="001E6C9A" w:rsidRPr="00BE135D" w:rsidRDefault="001E6C9A" w:rsidP="001E6C9A">
      <w:pPr>
        <w:rPr>
          <w:rFonts w:eastAsia="Times New Roman" w:cstheme="minorHAnsi"/>
          <w:color w:val="000000"/>
          <w:shd w:val="clear" w:color="auto" w:fill="FFFFFF"/>
          <w:lang w:eastAsia="en-GB"/>
        </w:rPr>
      </w:pPr>
    </w:p>
    <w:p w14:paraId="04425581"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In the 1930s the Empire of Japan had been on the rise in both Asia and the Pacific. The 1931 Invasion of Manchuria triggered their withdrawal from the League of Nations who refused to recognise the puppet state of Manchuria. Japan faced threats to her growing power in the form of the Unites States. Japanese industrialisation and militarisation created a dependence on imports of oil and metals from the US, who were not supportive of her ambitions. </w:t>
      </w:r>
    </w:p>
    <w:p w14:paraId="7FD6EFA1" w14:textId="77777777" w:rsidR="001E6C9A" w:rsidRPr="00BE135D" w:rsidRDefault="001E6C9A" w:rsidP="001E6C9A">
      <w:pPr>
        <w:rPr>
          <w:rFonts w:eastAsia="Times New Roman" w:cstheme="minorHAnsi"/>
          <w:color w:val="000000"/>
          <w:shd w:val="clear" w:color="auto" w:fill="FFFFFF"/>
          <w:lang w:eastAsia="en-GB"/>
        </w:rPr>
      </w:pPr>
    </w:p>
    <w:p w14:paraId="73B3F569" w14:textId="77777777" w:rsidR="001E6C9A" w:rsidRPr="00BE135D" w:rsidRDefault="001E6C9A" w:rsidP="001E6C9A">
      <w:pPr>
        <w:rPr>
          <w:rFonts w:eastAsia="Times New Roman" w:cstheme="minorHAnsi"/>
          <w:color w:val="000000"/>
          <w:shd w:val="clear" w:color="auto" w:fill="FFFFFF"/>
          <w:lang w:eastAsia="en-GB"/>
        </w:rPr>
      </w:pPr>
      <w:proofErr w:type="gramStart"/>
      <w:r w:rsidRPr="00BE135D">
        <w:rPr>
          <w:rFonts w:eastAsia="Times New Roman" w:cstheme="minorHAnsi"/>
          <w:color w:val="000000"/>
          <w:shd w:val="clear" w:color="auto" w:fill="FFFFFF"/>
          <w:lang w:eastAsia="en-GB"/>
        </w:rPr>
        <w:t>At this time</w:t>
      </w:r>
      <w:proofErr w:type="gramEnd"/>
      <w:r w:rsidRPr="00BE135D">
        <w:rPr>
          <w:rFonts w:eastAsia="Times New Roman" w:cstheme="minorHAnsi"/>
          <w:color w:val="000000"/>
          <w:shd w:val="clear" w:color="auto" w:fill="FFFFFF"/>
          <w:lang w:eastAsia="en-GB"/>
        </w:rPr>
        <w:t xml:space="preserve"> the US itself was in the process of recovering from the Great Depression and was following a policy of isolationism. This policy was mostly maintained apart from embargoes on exports to Japan and the beginning of support to the European allies upon the start of the Second World War. </w:t>
      </w:r>
    </w:p>
    <w:p w14:paraId="59DABC26" w14:textId="77777777" w:rsidR="001E6C9A" w:rsidRPr="00BE135D" w:rsidRDefault="001E6C9A" w:rsidP="001E6C9A">
      <w:pPr>
        <w:rPr>
          <w:rFonts w:eastAsia="Times New Roman" w:cstheme="minorHAnsi"/>
          <w:color w:val="000000"/>
          <w:shd w:val="clear" w:color="auto" w:fill="FFFFFF"/>
          <w:lang w:eastAsia="en-GB"/>
        </w:rPr>
      </w:pPr>
    </w:p>
    <w:p w14:paraId="3770D326" w14:textId="77777777" w:rsidR="001E6C9A" w:rsidRPr="00BE135D" w:rsidRDefault="001E6C9A" w:rsidP="001E6C9A">
      <w:pPr>
        <w:rPr>
          <w:rStyle w:val="normaltextrun"/>
          <w:rFonts w:cstheme="minorHAnsi"/>
          <w:color w:val="000000"/>
        </w:rPr>
      </w:pPr>
      <w:r w:rsidRPr="00BE135D">
        <w:rPr>
          <w:rFonts w:eastAsia="Times New Roman" w:cstheme="minorHAnsi"/>
          <w:color w:val="000000"/>
          <w:shd w:val="clear" w:color="auto" w:fill="FFFFFF"/>
          <w:lang w:eastAsia="en-GB"/>
        </w:rPr>
        <w:t xml:space="preserve">Embarking on a war is not a decision for one to make lightly, particularly for those who have experience of one of the most horrific and deadly conflicts ever fought. In 1939 the Great War had only ended twenty-one years earlier and the whole of Europe was still traumatised and rebuilding. Britain worked hard to avoid war so what pushed Britain to declare war after trying to avoid it for so long? </w:t>
      </w:r>
      <w:r w:rsidRPr="00BE135D">
        <w:rPr>
          <w:rStyle w:val="eop"/>
          <w:rFonts w:cstheme="minorHAnsi"/>
          <w:color w:val="000000"/>
        </w:rPr>
        <w:t> </w:t>
      </w:r>
      <w:r w:rsidRPr="00BE135D">
        <w:rPr>
          <w:rStyle w:val="normaltextrun"/>
          <w:rFonts w:cstheme="minorHAnsi"/>
          <w:color w:val="000000" w:themeColor="text1"/>
        </w:rPr>
        <w:t xml:space="preserve">Was it that a line was crossed, and trust was broken when Hitler invaded Poland breaking the Munich Agreement that prompted Britain to join the war? </w:t>
      </w:r>
    </w:p>
    <w:p w14:paraId="7E612E5F" w14:textId="77777777" w:rsidR="001E6C9A" w:rsidRPr="00BE135D" w:rsidRDefault="001E6C9A" w:rsidP="001E6C9A">
      <w:pPr>
        <w:pStyle w:val="paragraph"/>
        <w:spacing w:before="0" w:beforeAutospacing="0" w:after="0" w:afterAutospacing="0"/>
        <w:textAlignment w:val="baseline"/>
        <w:rPr>
          <w:rStyle w:val="normaltextrun"/>
          <w:rFonts w:asciiTheme="minorHAnsi" w:hAnsiTheme="minorHAnsi" w:cstheme="minorHAnsi"/>
          <w:color w:val="000000"/>
        </w:rPr>
      </w:pPr>
    </w:p>
    <w:p w14:paraId="713CDCFB" w14:textId="77777777" w:rsidR="001E6C9A" w:rsidRPr="00BE135D" w:rsidRDefault="001E6C9A" w:rsidP="001E6C9A">
      <w:pPr>
        <w:pStyle w:val="paragraph"/>
        <w:spacing w:before="0" w:beforeAutospacing="0" w:after="0" w:afterAutospacing="0"/>
        <w:textAlignment w:val="baseline"/>
        <w:rPr>
          <w:rFonts w:asciiTheme="minorHAnsi" w:hAnsiTheme="minorHAnsi" w:cstheme="minorHAnsi"/>
        </w:rPr>
      </w:pPr>
      <w:r w:rsidRPr="00BE135D">
        <w:rPr>
          <w:rStyle w:val="normaltextrun"/>
          <w:rFonts w:asciiTheme="minorHAnsi" w:hAnsiTheme="minorHAnsi" w:cstheme="minorHAnsi"/>
          <w:color w:val="000000"/>
        </w:rPr>
        <w:lastRenderedPageBreak/>
        <w:t>Germany’s decision may have been prompted by a feeling of confidence and a determination to recognise their own ambitions</w:t>
      </w:r>
      <w:r w:rsidRPr="00BE135D">
        <w:rPr>
          <w:rStyle w:val="eop"/>
          <w:rFonts w:asciiTheme="minorHAnsi" w:hAnsiTheme="minorHAnsi" w:cstheme="minorHAnsi"/>
          <w:color w:val="000000"/>
        </w:rPr>
        <w:t>. Certainly, Japan appeared guided by its own imperial ambitions</w:t>
      </w:r>
      <w:r w:rsidRPr="00BE135D">
        <w:rPr>
          <w:rFonts w:asciiTheme="minorHAnsi" w:hAnsiTheme="minorHAnsi" w:cstheme="minorHAnsi"/>
        </w:rPr>
        <w:t>.</w:t>
      </w:r>
      <w:r w:rsidRPr="00BE135D">
        <w:rPr>
          <w:rStyle w:val="normaltextrun"/>
          <w:rFonts w:asciiTheme="minorHAnsi" w:hAnsiTheme="minorHAnsi" w:cstheme="minorHAnsi"/>
          <w:color w:val="000000"/>
        </w:rPr>
        <w:t xml:space="preserve"> Territorial threats and desire for expansion meant war with European colonial powers, who were enemies of Germany, could have seemed to be the right course of action. </w:t>
      </w:r>
    </w:p>
    <w:p w14:paraId="46F68DBB" w14:textId="77777777" w:rsidR="001E6C9A" w:rsidRPr="00BE135D" w:rsidRDefault="001E6C9A" w:rsidP="001E6C9A">
      <w:pPr>
        <w:pStyle w:val="paragraph"/>
        <w:spacing w:before="0" w:beforeAutospacing="0" w:after="0" w:afterAutospacing="0"/>
        <w:textAlignment w:val="baseline"/>
        <w:rPr>
          <w:rFonts w:asciiTheme="minorHAnsi" w:hAnsiTheme="minorHAnsi" w:cstheme="minorHAnsi"/>
        </w:rPr>
      </w:pPr>
      <w:r w:rsidRPr="00BE135D">
        <w:rPr>
          <w:rStyle w:val="eop"/>
          <w:rFonts w:asciiTheme="minorHAnsi" w:hAnsiTheme="minorHAnsi" w:cstheme="minorHAnsi"/>
          <w:color w:val="000000"/>
        </w:rPr>
        <w:t> </w:t>
      </w:r>
    </w:p>
    <w:p w14:paraId="7BA82535" w14:textId="77777777" w:rsidR="001E6C9A" w:rsidRPr="00BE135D" w:rsidRDefault="001E6C9A" w:rsidP="001E6C9A">
      <w:pPr>
        <w:pStyle w:val="paragraph"/>
        <w:spacing w:before="0" w:beforeAutospacing="0" w:after="0" w:afterAutospacing="0"/>
        <w:textAlignment w:val="baseline"/>
        <w:rPr>
          <w:rFonts w:asciiTheme="minorHAnsi" w:hAnsiTheme="minorHAnsi" w:cstheme="minorHAnsi"/>
        </w:rPr>
      </w:pPr>
      <w:r w:rsidRPr="00BE135D">
        <w:rPr>
          <w:rStyle w:val="normaltextrun"/>
          <w:rFonts w:asciiTheme="minorHAnsi" w:hAnsiTheme="minorHAnsi" w:cstheme="minorHAnsi"/>
          <w:color w:val="000000" w:themeColor="text1"/>
        </w:rPr>
        <w:t>The US wanted to stay out of the war entirely but did sell Britain supplies and warned Japan not to invade Asia. </w:t>
      </w:r>
      <w:r w:rsidRPr="00BE135D">
        <w:rPr>
          <w:rStyle w:val="eop"/>
          <w:rFonts w:asciiTheme="minorHAnsi" w:hAnsiTheme="minorHAnsi" w:cstheme="minorHAnsi"/>
          <w:color w:val="000000" w:themeColor="text1"/>
        </w:rPr>
        <w:t xml:space="preserve">Many consider the tipping point to be the attack on Pearl Harbor but were there other factors? </w:t>
      </w:r>
    </w:p>
    <w:p w14:paraId="7CA86021" w14:textId="77777777" w:rsidR="001E6C9A" w:rsidRPr="00BE135D" w:rsidRDefault="001E6C9A" w:rsidP="001E6C9A">
      <w:pPr>
        <w:rPr>
          <w:rFonts w:eastAsia="Times New Roman" w:cstheme="minorHAnsi"/>
          <w:color w:val="000000"/>
          <w:shd w:val="clear" w:color="auto" w:fill="FFFFFF"/>
          <w:lang w:eastAsia="en-GB"/>
        </w:rPr>
      </w:pPr>
    </w:p>
    <w:p w14:paraId="627CD82F"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The decisions to go to war were complex and related to </w:t>
      </w:r>
      <w:proofErr w:type="gramStart"/>
      <w:r w:rsidRPr="00BE135D">
        <w:rPr>
          <w:rFonts w:eastAsia="Times New Roman" w:cstheme="minorHAnsi"/>
          <w:color w:val="000000"/>
          <w:shd w:val="clear" w:color="auto" w:fill="FFFFFF"/>
          <w:lang w:eastAsia="en-GB"/>
        </w:rPr>
        <w:t>a number of</w:t>
      </w:r>
      <w:proofErr w:type="gramEnd"/>
      <w:r w:rsidRPr="00BE135D">
        <w:rPr>
          <w:rFonts w:eastAsia="Times New Roman" w:cstheme="minorHAnsi"/>
          <w:color w:val="000000"/>
          <w:shd w:val="clear" w:color="auto" w:fill="FFFFFF"/>
          <w:lang w:eastAsia="en-GB"/>
        </w:rPr>
        <w:t xml:space="preserve"> interconnecting factors and circumstances. At the root of all these decisions to go to war however was the fact of competing ideology in each respective power. For Britain and the US this was connected to ideas of sovereignty and independence and for the Axis powers, dreams of domination and supremacy and imperialism were a significant factor. </w:t>
      </w:r>
    </w:p>
    <w:p w14:paraId="6A7E6933" w14:textId="77777777" w:rsidR="001E6C9A" w:rsidRPr="00BE135D" w:rsidRDefault="001E6C9A" w:rsidP="001E6C9A">
      <w:pPr>
        <w:rPr>
          <w:rFonts w:eastAsia="Times New Roman" w:cstheme="minorHAnsi"/>
          <w:color w:val="000000" w:themeColor="text1"/>
          <w:lang w:eastAsia="en-GB"/>
        </w:rPr>
      </w:pPr>
    </w:p>
    <w:p w14:paraId="0E96B979"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This essay seeks to examine what the main reasons were for each of the above-mentioned countries to choose war over peace and to what extent they willingly chose to go to war. It also examines any link between the processes of the liberal democracies in the going to war and the authoritarian dictatorships in going to war. </w:t>
      </w:r>
    </w:p>
    <w:p w14:paraId="475618AB" w14:textId="77777777" w:rsidR="001E6C9A" w:rsidRPr="00BE135D" w:rsidRDefault="001E6C9A" w:rsidP="001E6C9A">
      <w:pPr>
        <w:rPr>
          <w:rFonts w:eastAsia="Times New Roman" w:cstheme="minorHAnsi"/>
          <w:color w:val="000000"/>
          <w:shd w:val="clear" w:color="auto" w:fill="FFFFFF"/>
          <w:lang w:eastAsia="en-GB"/>
        </w:rPr>
      </w:pPr>
    </w:p>
    <w:p w14:paraId="4CFD3D6C"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After Germany’s defeat in the First World War and the humiliation of the signing of the Treaty of Versailles, Germany faced widespread challenges that ultimately culminated in the rise of the Nazi Party. The Nazi were fervent in their belief of German racial superiority over pretty much everyone and pushed this hard in the German education system and through propaganda in regular German society. This created an atmosphere in Germany in 1939-41 in which the people were more accepting of war than the peoples of the nations around them. The Second World War began on September 1</w:t>
      </w:r>
      <w:r w:rsidRPr="00BE135D">
        <w:rPr>
          <w:rFonts w:eastAsia="Times New Roman" w:cstheme="minorHAnsi"/>
          <w:color w:val="000000"/>
          <w:shd w:val="clear" w:color="auto" w:fill="FFFFFF"/>
          <w:vertAlign w:val="superscript"/>
          <w:lang w:eastAsia="en-GB"/>
        </w:rPr>
        <w:t>st</w:t>
      </w:r>
      <w:proofErr w:type="gramStart"/>
      <w:r w:rsidRPr="00BE135D">
        <w:rPr>
          <w:rFonts w:eastAsia="Times New Roman" w:cstheme="minorHAnsi"/>
          <w:color w:val="000000"/>
          <w:shd w:val="clear" w:color="auto" w:fill="FFFFFF"/>
          <w:lang w:eastAsia="en-GB"/>
        </w:rPr>
        <w:t xml:space="preserve"> 1939</w:t>
      </w:r>
      <w:proofErr w:type="gramEnd"/>
      <w:r w:rsidRPr="00BE135D">
        <w:rPr>
          <w:rFonts w:eastAsia="Times New Roman" w:cstheme="minorHAnsi"/>
          <w:color w:val="000000"/>
          <w:shd w:val="clear" w:color="auto" w:fill="FFFFFF"/>
          <w:lang w:eastAsia="en-GB"/>
        </w:rPr>
        <w:t xml:space="preserve"> upon the German invasion of Poland and quickly spiralled out of control from there, eventually coming to encompass dozens of nations and saw combat on multiple continents. </w:t>
      </w:r>
    </w:p>
    <w:p w14:paraId="2A2A4841" w14:textId="77777777" w:rsidR="001E6C9A" w:rsidRPr="00BE135D" w:rsidRDefault="001E6C9A" w:rsidP="001E6C9A">
      <w:pPr>
        <w:rPr>
          <w:rFonts w:eastAsia="Times New Roman" w:cstheme="minorHAnsi"/>
          <w:color w:val="000000"/>
          <w:shd w:val="clear" w:color="auto" w:fill="FFFFFF"/>
          <w:lang w:eastAsia="en-GB"/>
        </w:rPr>
      </w:pPr>
    </w:p>
    <w:p w14:paraId="3322AE4B"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The lead up to the war saw the various </w:t>
      </w:r>
      <w:proofErr w:type="gramStart"/>
      <w:r w:rsidRPr="00BE135D">
        <w:rPr>
          <w:rFonts w:eastAsia="Times New Roman" w:cstheme="minorHAnsi"/>
          <w:color w:val="000000"/>
          <w:shd w:val="clear" w:color="auto" w:fill="FFFFFF"/>
          <w:lang w:eastAsia="en-GB"/>
        </w:rPr>
        <w:t>decision making</w:t>
      </w:r>
      <w:proofErr w:type="gramEnd"/>
      <w:r w:rsidRPr="00BE135D">
        <w:rPr>
          <w:rFonts w:eastAsia="Times New Roman" w:cstheme="minorHAnsi"/>
          <w:color w:val="000000"/>
          <w:shd w:val="clear" w:color="auto" w:fill="FFFFFF"/>
          <w:lang w:eastAsia="en-GB"/>
        </w:rPr>
        <w:t xml:space="preserve"> processes of each combatant come to the forefront. The </w:t>
      </w:r>
      <w:proofErr w:type="gramStart"/>
      <w:r w:rsidRPr="00BE135D">
        <w:rPr>
          <w:rFonts w:eastAsia="Times New Roman" w:cstheme="minorHAnsi"/>
          <w:color w:val="000000"/>
          <w:shd w:val="clear" w:color="auto" w:fill="FFFFFF"/>
          <w:lang w:eastAsia="en-GB"/>
        </w:rPr>
        <w:t>various different</w:t>
      </w:r>
      <w:proofErr w:type="gramEnd"/>
      <w:r w:rsidRPr="00BE135D">
        <w:rPr>
          <w:rFonts w:eastAsia="Times New Roman" w:cstheme="minorHAnsi"/>
          <w:color w:val="000000"/>
          <w:shd w:val="clear" w:color="auto" w:fill="FFFFFF"/>
          <w:lang w:eastAsia="en-GB"/>
        </w:rPr>
        <w:t xml:space="preserve"> ways that decisions were made and the varying values that each process took into account would ultimately either decide to go to war or would end up being effectively forced into going to war. </w:t>
      </w:r>
    </w:p>
    <w:p w14:paraId="5485546D" w14:textId="77777777" w:rsidR="001E6C9A" w:rsidRPr="00BE135D" w:rsidRDefault="001E6C9A" w:rsidP="001E6C9A">
      <w:pPr>
        <w:rPr>
          <w:rFonts w:eastAsia="Times New Roman" w:cstheme="minorHAnsi"/>
          <w:color w:val="000000"/>
          <w:shd w:val="clear" w:color="auto" w:fill="FFFFFF"/>
          <w:lang w:eastAsia="en-GB"/>
        </w:rPr>
      </w:pPr>
    </w:p>
    <w:p w14:paraId="1A04C9FE"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In Germany, the ‘stab in the back’ myth had persisted since the end of the First World War and was heavily pushed by the Nazis in their rhetoric of German racial superiority. The belief that Germany could have won the Great War had they not been stabbed in the back by the November Criminals, gave the German government and the German people the confidence to believe that war was both winnable and a good idea. </w:t>
      </w:r>
    </w:p>
    <w:p w14:paraId="44C5DA6F" w14:textId="77777777" w:rsidR="001E6C9A" w:rsidRPr="00BE135D" w:rsidRDefault="001E6C9A" w:rsidP="001E6C9A">
      <w:pPr>
        <w:rPr>
          <w:rFonts w:eastAsia="Times New Roman" w:cstheme="minorHAnsi"/>
          <w:color w:val="000000"/>
          <w:shd w:val="clear" w:color="auto" w:fill="FFFFFF"/>
          <w:lang w:eastAsia="en-GB"/>
        </w:rPr>
      </w:pPr>
    </w:p>
    <w:p w14:paraId="7559A0E6"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In Britain there was no desire for war as many still remembered the horrors of the First World War. This was coupled with the effects of the Great Depression which had caused widespread poverty in the British Isles and which the governments of the 1930’s </w:t>
      </w:r>
      <w:proofErr w:type="gramStart"/>
      <w:r w:rsidRPr="00BE135D">
        <w:rPr>
          <w:rFonts w:eastAsia="Times New Roman" w:cstheme="minorHAnsi"/>
          <w:color w:val="000000"/>
          <w:shd w:val="clear" w:color="auto" w:fill="FFFFFF"/>
          <w:lang w:eastAsia="en-GB"/>
        </w:rPr>
        <w:t>were</w:t>
      </w:r>
      <w:proofErr w:type="gramEnd"/>
      <w:r w:rsidRPr="00BE135D">
        <w:rPr>
          <w:rFonts w:eastAsia="Times New Roman" w:cstheme="minorHAnsi"/>
          <w:color w:val="000000"/>
          <w:shd w:val="clear" w:color="auto" w:fill="FFFFFF"/>
          <w:lang w:eastAsia="en-GB"/>
        </w:rPr>
        <w:t xml:space="preserve"> focused on dealing with. Britain was firm in the desire to avoid war up until Germany invaded Poland. This caused Britain and France to declare war on September 1</w:t>
      </w:r>
      <w:r w:rsidRPr="00BE135D">
        <w:rPr>
          <w:rFonts w:eastAsia="Times New Roman" w:cstheme="minorHAnsi"/>
          <w:color w:val="000000"/>
          <w:shd w:val="clear" w:color="auto" w:fill="FFFFFF"/>
          <w:vertAlign w:val="superscript"/>
          <w:lang w:eastAsia="en-GB"/>
        </w:rPr>
        <w:t>st</w:t>
      </w:r>
      <w:r w:rsidRPr="00BE135D">
        <w:rPr>
          <w:rFonts w:eastAsia="Times New Roman" w:cstheme="minorHAnsi"/>
          <w:color w:val="000000"/>
          <w:shd w:val="clear" w:color="auto" w:fill="FFFFFF"/>
          <w:lang w:eastAsia="en-GB"/>
        </w:rPr>
        <w:t xml:space="preserve">, 1939. </w:t>
      </w:r>
      <w:r w:rsidRPr="00BE135D">
        <w:rPr>
          <w:rFonts w:eastAsia="Times New Roman" w:cstheme="minorHAnsi"/>
          <w:color w:val="000000"/>
          <w:shd w:val="clear" w:color="auto" w:fill="FFFFFF"/>
          <w:lang w:eastAsia="en-GB"/>
        </w:rPr>
        <w:lastRenderedPageBreak/>
        <w:t xml:space="preserve">Initially this appeared to be a failure as they were unable to save Poland and it was not until April 1940 that active combat began. </w:t>
      </w:r>
    </w:p>
    <w:p w14:paraId="0A7E89D3" w14:textId="77777777" w:rsidR="001E6C9A" w:rsidRPr="00BE135D" w:rsidRDefault="001E6C9A" w:rsidP="001E6C9A">
      <w:pPr>
        <w:rPr>
          <w:rFonts w:eastAsia="Times New Roman" w:cstheme="minorHAnsi"/>
          <w:color w:val="000000"/>
          <w:shd w:val="clear" w:color="auto" w:fill="FFFFFF"/>
          <w:lang w:eastAsia="en-GB"/>
        </w:rPr>
      </w:pPr>
    </w:p>
    <w:p w14:paraId="337A1747"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Britain had several advantages unique to it that at the time would have guided British decision makers when the arguments for going to war raged.</w:t>
      </w:r>
      <w:r>
        <w:rPr>
          <w:rFonts w:eastAsia="Times New Roman" w:cstheme="minorHAnsi"/>
          <w:color w:val="000000"/>
          <w:shd w:val="clear" w:color="auto" w:fill="FFFFFF"/>
          <w:lang w:eastAsia="en-GB"/>
        </w:rPr>
        <w:t xml:space="preserve"> </w:t>
      </w:r>
      <w:r w:rsidRPr="00BE135D">
        <w:rPr>
          <w:rFonts w:eastAsia="Times New Roman" w:cstheme="minorHAnsi"/>
          <w:color w:val="000000"/>
          <w:shd w:val="clear" w:color="auto" w:fill="FFFFFF"/>
          <w:lang w:eastAsia="en-GB"/>
        </w:rPr>
        <w:t>Britain had the manpower and material resources of the British Empire to call on as well the industrial power to produce needed equipment as well as the technical and scientific knowledge for the war.</w:t>
      </w:r>
      <w:r>
        <w:rPr>
          <w:rStyle w:val="FootnoteReference"/>
          <w:rFonts w:eastAsia="Times New Roman" w:cstheme="minorHAnsi"/>
          <w:color w:val="000000"/>
          <w:shd w:val="clear" w:color="auto" w:fill="FFFFFF"/>
          <w:lang w:eastAsia="en-GB"/>
        </w:rPr>
        <w:footnoteReference w:id="3"/>
      </w:r>
      <w:r w:rsidRPr="00BE135D">
        <w:rPr>
          <w:rFonts w:eastAsia="Times New Roman" w:cstheme="minorHAnsi"/>
          <w:color w:val="000000"/>
          <w:shd w:val="clear" w:color="auto" w:fill="FFFFFF"/>
          <w:lang w:eastAsia="en-GB"/>
        </w:rPr>
        <w:t xml:space="preserve"> </w:t>
      </w:r>
    </w:p>
    <w:p w14:paraId="6DDBDE66" w14:textId="77777777" w:rsidR="001E6C9A" w:rsidRPr="00BE135D" w:rsidRDefault="001E6C9A" w:rsidP="001E6C9A">
      <w:pPr>
        <w:rPr>
          <w:rFonts w:eastAsia="Times New Roman" w:cstheme="minorHAnsi"/>
          <w:color w:val="000000" w:themeColor="text1"/>
          <w:lang w:eastAsia="en-GB"/>
        </w:rPr>
      </w:pPr>
    </w:p>
    <w:p w14:paraId="26EFE691" w14:textId="77777777" w:rsidR="001E6C9A" w:rsidRPr="00BE135D" w:rsidRDefault="001E6C9A" w:rsidP="001E6C9A">
      <w:pPr>
        <w:rPr>
          <w:rFonts w:eastAsia="Times New Roman" w:cstheme="minorHAnsi"/>
          <w:color w:val="000000" w:themeColor="text1"/>
          <w:lang w:eastAsia="en-GB"/>
        </w:rPr>
      </w:pPr>
      <w:r w:rsidRPr="00BE135D">
        <w:rPr>
          <w:rFonts w:eastAsia="Times New Roman" w:cstheme="minorHAnsi"/>
          <w:color w:val="000000" w:themeColor="text1"/>
          <w:lang w:eastAsia="en-GB"/>
        </w:rPr>
        <w:t xml:space="preserve">It should be noted that many in British political circles had served in the Great War and therefore were experienced in what war could entail. This includes both the dangers faced and the risks of not responding properly to a threat. The policy of appeasement that had reigned supreme under Neville Chamberlain’s government were realised to be a failure and the warnings of Winston Churchill appeared to be correct. </w:t>
      </w:r>
    </w:p>
    <w:p w14:paraId="5C6D17B9" w14:textId="77777777" w:rsidR="001E6C9A" w:rsidRPr="00BE135D" w:rsidRDefault="001E6C9A" w:rsidP="001E6C9A">
      <w:pPr>
        <w:rPr>
          <w:rFonts w:eastAsia="Times New Roman" w:cstheme="minorHAnsi"/>
          <w:color w:val="000000" w:themeColor="text1"/>
          <w:lang w:eastAsia="en-GB"/>
        </w:rPr>
      </w:pPr>
    </w:p>
    <w:p w14:paraId="6034063F" w14:textId="77777777" w:rsidR="001E6C9A" w:rsidRPr="00BE135D" w:rsidRDefault="001E6C9A" w:rsidP="001E6C9A">
      <w:pPr>
        <w:rPr>
          <w:rFonts w:eastAsia="Times New Roman" w:cstheme="minorHAnsi"/>
          <w:color w:val="000000" w:themeColor="text1"/>
          <w:lang w:eastAsia="en-GB"/>
        </w:rPr>
      </w:pPr>
      <w:r w:rsidRPr="00BE135D">
        <w:rPr>
          <w:rFonts w:eastAsia="Times New Roman" w:cstheme="minorHAnsi"/>
          <w:color w:val="000000" w:themeColor="text1"/>
          <w:lang w:eastAsia="en-GB"/>
        </w:rPr>
        <w:t xml:space="preserve">The social and political elite in Britain had links and had entertained thoughts of Nazism before the extremes of the ideology became apparent. This atmosphere of sympathy may have been a restraining factor on the impulse to go to war </w:t>
      </w:r>
      <w:r>
        <w:rPr>
          <w:rFonts w:eastAsia="Times New Roman" w:cstheme="minorHAnsi"/>
          <w:color w:val="000000" w:themeColor="text1"/>
          <w:lang w:eastAsia="en-GB"/>
        </w:rPr>
        <w:t xml:space="preserve">as even the Duke of Windsor was supportive of Nazism. </w:t>
      </w:r>
    </w:p>
    <w:p w14:paraId="46E08A42" w14:textId="77777777" w:rsidR="001E6C9A" w:rsidRPr="00BE135D" w:rsidRDefault="001E6C9A" w:rsidP="001E6C9A">
      <w:pPr>
        <w:rPr>
          <w:rFonts w:eastAsia="Times New Roman" w:cstheme="minorHAnsi"/>
          <w:color w:val="000000"/>
          <w:shd w:val="clear" w:color="auto" w:fill="FFFFFF"/>
          <w:lang w:eastAsia="en-GB"/>
        </w:rPr>
      </w:pPr>
    </w:p>
    <w:p w14:paraId="2F24EAFB" w14:textId="77777777" w:rsidR="001E6C9A" w:rsidRPr="00BE135D" w:rsidRDefault="001E6C9A" w:rsidP="001E6C9A">
      <w:pPr>
        <w:rPr>
          <w:rFonts w:eastAsia="Times New Roman" w:cstheme="minorHAnsi"/>
          <w:color w:val="000000"/>
          <w:shd w:val="clear" w:color="auto" w:fill="FFFFFF"/>
          <w:lang w:eastAsia="en-GB"/>
        </w:rPr>
      </w:pPr>
      <w:r w:rsidRPr="00BE135D">
        <w:rPr>
          <w:rFonts w:eastAsia="Times New Roman" w:cstheme="minorHAnsi"/>
          <w:color w:val="000000"/>
          <w:shd w:val="clear" w:color="auto" w:fill="FFFFFF"/>
          <w:lang w:eastAsia="en-GB"/>
        </w:rPr>
        <w:t xml:space="preserve">On top of this Britain also had close allies across Europe notably nations such as France, Poland, Belgium, the </w:t>
      </w:r>
      <w:proofErr w:type="gramStart"/>
      <w:r w:rsidRPr="00BE135D">
        <w:rPr>
          <w:rFonts w:eastAsia="Times New Roman" w:cstheme="minorHAnsi"/>
          <w:color w:val="000000"/>
          <w:shd w:val="clear" w:color="auto" w:fill="FFFFFF"/>
          <w:lang w:eastAsia="en-GB"/>
        </w:rPr>
        <w:t>Netherlands</w:t>
      </w:r>
      <w:proofErr w:type="gramEnd"/>
      <w:r w:rsidRPr="00BE135D">
        <w:rPr>
          <w:rFonts w:eastAsia="Times New Roman" w:cstheme="minorHAnsi"/>
          <w:color w:val="000000"/>
          <w:shd w:val="clear" w:color="auto" w:fill="FFFFFF"/>
          <w:lang w:eastAsia="en-GB"/>
        </w:rPr>
        <w:t xml:space="preserve"> and Scandinavia that gave a sense of security and support in the event of future European war. In addition to this there were defensive emplacements along the Franco-German border as well as the fact that the German Army was not as ready as they made it out to be.</w:t>
      </w:r>
      <w:r>
        <w:rPr>
          <w:rStyle w:val="FootnoteReference"/>
          <w:rFonts w:eastAsia="Times New Roman" w:cstheme="minorHAnsi"/>
          <w:color w:val="000000"/>
          <w:shd w:val="clear" w:color="auto" w:fill="FFFFFF"/>
          <w:lang w:eastAsia="en-GB"/>
        </w:rPr>
        <w:footnoteReference w:id="4"/>
      </w:r>
      <w:r w:rsidRPr="00BE135D">
        <w:rPr>
          <w:rFonts w:eastAsia="Times New Roman" w:cstheme="minorHAnsi"/>
          <w:color w:val="000000"/>
          <w:shd w:val="clear" w:color="auto" w:fill="FFFFFF"/>
          <w:lang w:eastAsia="en-GB"/>
        </w:rPr>
        <w:t xml:space="preserve"> </w:t>
      </w:r>
    </w:p>
    <w:p w14:paraId="36577354" w14:textId="77777777" w:rsidR="001E6C9A" w:rsidRPr="00BE135D" w:rsidRDefault="001E6C9A" w:rsidP="001E6C9A">
      <w:pPr>
        <w:rPr>
          <w:rFonts w:eastAsia="Times New Roman" w:cstheme="minorHAnsi"/>
          <w:color w:val="000000"/>
          <w:shd w:val="clear" w:color="auto" w:fill="FFFFFF"/>
          <w:lang w:eastAsia="en-GB"/>
        </w:rPr>
      </w:pPr>
    </w:p>
    <w:p w14:paraId="53F036AE" w14:textId="77777777" w:rsidR="001E6C9A" w:rsidRPr="00BE135D" w:rsidRDefault="001E6C9A" w:rsidP="001E6C9A">
      <w:pPr>
        <w:rPr>
          <w:rFonts w:eastAsia="Times New Roman" w:cstheme="minorHAnsi"/>
          <w:lang w:eastAsia="en-GB"/>
        </w:rPr>
      </w:pPr>
      <w:r w:rsidRPr="00BE135D">
        <w:rPr>
          <w:rFonts w:eastAsia="Times New Roman" w:cstheme="minorHAnsi"/>
          <w:color w:val="000000"/>
          <w:shd w:val="clear" w:color="auto" w:fill="FFFFFF"/>
          <w:lang w:eastAsia="en-GB"/>
        </w:rPr>
        <w:t xml:space="preserve">Edgerton (2011) argues that Britain quickly became a ‘Warfare State’ as </w:t>
      </w:r>
      <w:proofErr w:type="gramStart"/>
      <w:r w:rsidRPr="00BE135D">
        <w:rPr>
          <w:rFonts w:eastAsia="Times New Roman" w:cstheme="minorHAnsi"/>
          <w:color w:val="000000"/>
          <w:shd w:val="clear" w:color="auto" w:fill="FFFFFF"/>
          <w:lang w:eastAsia="en-GB"/>
        </w:rPr>
        <w:t>the majority of</w:t>
      </w:r>
      <w:proofErr w:type="gramEnd"/>
      <w:r w:rsidRPr="00BE135D">
        <w:rPr>
          <w:rFonts w:eastAsia="Times New Roman" w:cstheme="minorHAnsi"/>
          <w:color w:val="000000"/>
          <w:shd w:val="clear" w:color="auto" w:fill="FFFFFF"/>
          <w:lang w:eastAsia="en-GB"/>
        </w:rPr>
        <w:t xml:space="preserve"> its population and economy was mustered for war. This ability to muster the resources of the entire country as well as utilise </w:t>
      </w:r>
      <w:proofErr w:type="gramStart"/>
      <w:r w:rsidRPr="00BE135D">
        <w:rPr>
          <w:rFonts w:eastAsia="Times New Roman" w:cstheme="minorHAnsi"/>
          <w:color w:val="000000"/>
          <w:shd w:val="clear" w:color="auto" w:fill="FFFFFF"/>
          <w:lang w:eastAsia="en-GB"/>
        </w:rPr>
        <w:t>the majority of</w:t>
      </w:r>
      <w:proofErr w:type="gramEnd"/>
      <w:r w:rsidRPr="00BE135D">
        <w:rPr>
          <w:rFonts w:eastAsia="Times New Roman" w:cstheme="minorHAnsi"/>
          <w:color w:val="000000"/>
          <w:shd w:val="clear" w:color="auto" w:fill="FFFFFF"/>
          <w:lang w:eastAsia="en-GB"/>
        </w:rPr>
        <w:t xml:space="preserve"> its population for war without completely collapsing the domestic economy</w:t>
      </w:r>
      <w:r>
        <w:rPr>
          <w:rFonts w:eastAsia="Times New Roman" w:cstheme="minorHAnsi"/>
          <w:color w:val="000000"/>
          <w:shd w:val="clear" w:color="auto" w:fill="FFFFFF"/>
          <w:lang w:eastAsia="en-GB"/>
        </w:rPr>
        <w:t xml:space="preserve"> was an ability that Britain had used in the past both against Germany on the Great War and against a Napoleon a century earlier.</w:t>
      </w:r>
      <w:r>
        <w:rPr>
          <w:rStyle w:val="FootnoteReference"/>
          <w:rFonts w:eastAsia="Times New Roman" w:cstheme="minorHAnsi"/>
          <w:color w:val="000000"/>
          <w:shd w:val="clear" w:color="auto" w:fill="FFFFFF"/>
          <w:lang w:eastAsia="en-GB"/>
        </w:rPr>
        <w:footnoteReference w:id="5"/>
      </w:r>
      <w:r>
        <w:rPr>
          <w:rFonts w:eastAsia="Times New Roman" w:cstheme="minorHAnsi"/>
          <w:color w:val="000000"/>
          <w:shd w:val="clear" w:color="auto" w:fill="FFFFFF"/>
          <w:lang w:eastAsia="en-GB"/>
        </w:rPr>
        <w:t xml:space="preserve"> </w:t>
      </w:r>
    </w:p>
    <w:p w14:paraId="416E90E5" w14:textId="77777777" w:rsidR="001E6C9A" w:rsidRPr="00BE135D" w:rsidRDefault="001E6C9A" w:rsidP="001E6C9A">
      <w:pPr>
        <w:rPr>
          <w:rFonts w:cstheme="minorHAnsi"/>
        </w:rPr>
      </w:pPr>
    </w:p>
    <w:p w14:paraId="49B9794F" w14:textId="77777777" w:rsidR="001E6C9A" w:rsidRPr="00BE135D" w:rsidRDefault="001E6C9A" w:rsidP="001E6C9A">
      <w:pPr>
        <w:rPr>
          <w:rFonts w:cstheme="minorHAnsi"/>
        </w:rPr>
      </w:pPr>
      <w:r w:rsidRPr="00BE135D">
        <w:rPr>
          <w:rFonts w:cstheme="minorHAnsi"/>
        </w:rPr>
        <w:t xml:space="preserve"> The Empire of Japan had spent the post-war years undergoing vast industrialisation and increased militarisation that effectively turned it into a quasi-military dictatorship that had dreams of imperial expansion. </w:t>
      </w:r>
    </w:p>
    <w:p w14:paraId="6B6F968D" w14:textId="77777777" w:rsidR="001E6C9A" w:rsidRPr="00BE135D" w:rsidRDefault="001E6C9A" w:rsidP="001E6C9A">
      <w:pPr>
        <w:jc w:val="both"/>
        <w:rPr>
          <w:rFonts w:cstheme="minorHAnsi"/>
        </w:rPr>
      </w:pPr>
      <w:r w:rsidRPr="00BE135D">
        <w:rPr>
          <w:rFonts w:cstheme="minorHAnsi"/>
        </w:rPr>
        <w:t>Japan recognised that by entering the war they compromised Britain and the Allies trade with their Asian territories. They recognised that their entrance into the war on the side of Germany would compromise this territory to Japan’s advantage.</w:t>
      </w:r>
      <w:r>
        <w:rPr>
          <w:rStyle w:val="FootnoteReference"/>
          <w:rFonts w:cstheme="minorHAnsi"/>
        </w:rPr>
        <w:footnoteReference w:id="6"/>
      </w:r>
      <w:r w:rsidRPr="00BE135D">
        <w:rPr>
          <w:rFonts w:cstheme="minorHAnsi"/>
        </w:rPr>
        <w:t xml:space="preserve">  </w:t>
      </w:r>
    </w:p>
    <w:p w14:paraId="32EF8AAC" w14:textId="77777777" w:rsidR="001E6C9A" w:rsidRPr="00BE135D" w:rsidRDefault="001E6C9A" w:rsidP="001E6C9A">
      <w:pPr>
        <w:jc w:val="both"/>
        <w:rPr>
          <w:rFonts w:cstheme="minorHAnsi"/>
        </w:rPr>
      </w:pPr>
    </w:p>
    <w:p w14:paraId="2AA7AE3F" w14:textId="77777777" w:rsidR="001E6C9A" w:rsidRPr="00BE135D" w:rsidRDefault="001E6C9A" w:rsidP="001E6C9A">
      <w:pPr>
        <w:jc w:val="both"/>
        <w:rPr>
          <w:rFonts w:cstheme="minorHAnsi"/>
        </w:rPr>
      </w:pPr>
      <w:r w:rsidRPr="00BE135D">
        <w:rPr>
          <w:rFonts w:cstheme="minorHAnsi"/>
        </w:rPr>
        <w:t xml:space="preserve">The decision-making process in Japanese culture may have contributed to the decision to go to war. </w:t>
      </w:r>
      <w:proofErr w:type="spellStart"/>
      <w:r w:rsidRPr="00BE135D">
        <w:rPr>
          <w:rFonts w:cstheme="minorHAnsi"/>
        </w:rPr>
        <w:t>Spinks</w:t>
      </w:r>
      <w:proofErr w:type="spellEnd"/>
      <w:r w:rsidRPr="00BE135D">
        <w:rPr>
          <w:rFonts w:cstheme="minorHAnsi"/>
        </w:rPr>
        <w:t xml:space="preserve"> argues that it is their predilection for consensus that led them down the </w:t>
      </w:r>
      <w:r w:rsidRPr="00BE135D">
        <w:rPr>
          <w:rFonts w:cstheme="minorHAnsi"/>
        </w:rPr>
        <w:lastRenderedPageBreak/>
        <w:t xml:space="preserve">dangerous path that they took. In the pre-war period, Japan was codified by the Meiji Constitution and was oriented towards pluralism and consensus. This effectively meant that there was no one decision maker not even the </w:t>
      </w:r>
      <w:proofErr w:type="gramStart"/>
      <w:r w:rsidRPr="00BE135D">
        <w:rPr>
          <w:rFonts w:cstheme="minorHAnsi"/>
        </w:rPr>
        <w:t>Emperor</w:t>
      </w:r>
      <w:proofErr w:type="gramEnd"/>
      <w:r w:rsidRPr="00BE135D">
        <w:rPr>
          <w:rFonts w:cstheme="minorHAnsi"/>
        </w:rPr>
        <w:t xml:space="preserve">. The consensus had to be formed by the Cabinet of Prime Minister Hideki </w:t>
      </w:r>
      <w:proofErr w:type="spellStart"/>
      <w:r w:rsidRPr="00BE135D">
        <w:rPr>
          <w:rFonts w:cstheme="minorHAnsi"/>
        </w:rPr>
        <w:t>Tojo</w:t>
      </w:r>
      <w:proofErr w:type="spellEnd"/>
      <w:r w:rsidRPr="00BE135D">
        <w:rPr>
          <w:rFonts w:cstheme="minorHAnsi"/>
        </w:rPr>
        <w:t xml:space="preserve">, the Japanese Armed </w:t>
      </w:r>
      <w:proofErr w:type="gramStart"/>
      <w:r w:rsidRPr="00BE135D">
        <w:rPr>
          <w:rFonts w:cstheme="minorHAnsi"/>
        </w:rPr>
        <w:t>Forces</w:t>
      </w:r>
      <w:proofErr w:type="gramEnd"/>
      <w:r w:rsidRPr="00BE135D">
        <w:rPr>
          <w:rFonts w:cstheme="minorHAnsi"/>
        </w:rPr>
        <w:t xml:space="preserve"> and the </w:t>
      </w:r>
      <w:r w:rsidRPr="00BE135D">
        <w:rPr>
          <w:rFonts w:cstheme="minorHAnsi"/>
          <w:i/>
          <w:iCs/>
        </w:rPr>
        <w:t xml:space="preserve">Zaibatsu </w:t>
      </w:r>
      <w:r w:rsidRPr="00BE135D">
        <w:rPr>
          <w:rFonts w:cstheme="minorHAnsi"/>
        </w:rPr>
        <w:t>(Big Business). Upon consensus being reached the decision had to be ratified by the Emperor of Japan, the Emperor at this time was Hirohito.</w:t>
      </w:r>
      <w:r>
        <w:rPr>
          <w:rStyle w:val="FootnoteReference"/>
          <w:rFonts w:cstheme="minorHAnsi"/>
        </w:rPr>
        <w:footnoteReference w:id="7"/>
      </w:r>
    </w:p>
    <w:p w14:paraId="7DD45E7B" w14:textId="77777777" w:rsidR="001E6C9A" w:rsidRPr="00BE135D" w:rsidRDefault="001E6C9A" w:rsidP="001E6C9A">
      <w:pPr>
        <w:jc w:val="both"/>
        <w:rPr>
          <w:rFonts w:cstheme="minorHAnsi"/>
        </w:rPr>
      </w:pPr>
    </w:p>
    <w:p w14:paraId="57398C58" w14:textId="77777777" w:rsidR="001E6C9A" w:rsidRPr="00BE135D" w:rsidRDefault="001E6C9A" w:rsidP="001E6C9A">
      <w:pPr>
        <w:jc w:val="both"/>
        <w:rPr>
          <w:rFonts w:cstheme="minorHAnsi"/>
        </w:rPr>
      </w:pPr>
      <w:r w:rsidRPr="00BE135D">
        <w:rPr>
          <w:rFonts w:cstheme="minorHAnsi"/>
        </w:rPr>
        <w:t>Prior to the outbreak of the war most Japanese people saw ruling Asia as their ‘Manifest Destiny’. Japan also desired to create the Co-Prosperity Sphere across southeast Asia. This was an imperialist dream in Japan that sought to create an Asian power bloc out of nations that were occupied by the Japanese and the Asian colonies of the Europeans powers.</w:t>
      </w:r>
      <w:r>
        <w:rPr>
          <w:rStyle w:val="FootnoteReference"/>
          <w:rFonts w:cstheme="minorHAnsi"/>
        </w:rPr>
        <w:footnoteReference w:id="8"/>
      </w:r>
      <w:r w:rsidRPr="00BE135D">
        <w:rPr>
          <w:rFonts w:cstheme="minorHAnsi"/>
        </w:rPr>
        <w:t xml:space="preserve"> </w:t>
      </w:r>
    </w:p>
    <w:p w14:paraId="55C9E8F4" w14:textId="77777777" w:rsidR="001E6C9A" w:rsidRPr="00BE135D" w:rsidRDefault="001E6C9A" w:rsidP="001E6C9A">
      <w:pPr>
        <w:jc w:val="both"/>
        <w:rPr>
          <w:rFonts w:cstheme="minorHAnsi"/>
        </w:rPr>
      </w:pPr>
    </w:p>
    <w:p w14:paraId="3DFAC271" w14:textId="77777777" w:rsidR="001E6C9A" w:rsidRPr="00BE135D" w:rsidRDefault="001E6C9A" w:rsidP="001E6C9A">
      <w:pPr>
        <w:jc w:val="both"/>
        <w:rPr>
          <w:rFonts w:cstheme="minorHAnsi"/>
        </w:rPr>
      </w:pPr>
      <w:r w:rsidRPr="00BE135D">
        <w:rPr>
          <w:rFonts w:cstheme="minorHAnsi"/>
        </w:rPr>
        <w:t xml:space="preserve"> Unfortunately for Japan the US did not support these Japanese ambitions and embargoed the Empire. Due to this the Japanese were being pressured especially in their need for oil and metals. The Japanese had two main goals that quickly became incompatible. The first of these was to maintain the viability of the Co-Prosperity Sphere and the second was to avoid war with the Unites States. </w:t>
      </w:r>
    </w:p>
    <w:p w14:paraId="58022ECF" w14:textId="77777777" w:rsidR="001E6C9A" w:rsidRPr="00BE135D" w:rsidRDefault="001E6C9A" w:rsidP="001E6C9A">
      <w:pPr>
        <w:jc w:val="both"/>
        <w:rPr>
          <w:rFonts w:cstheme="minorHAnsi"/>
        </w:rPr>
      </w:pPr>
    </w:p>
    <w:p w14:paraId="66CA9928" w14:textId="77777777" w:rsidR="001E6C9A" w:rsidRPr="00BE135D" w:rsidRDefault="001E6C9A" w:rsidP="001E6C9A">
      <w:pPr>
        <w:jc w:val="both"/>
        <w:rPr>
          <w:rFonts w:cstheme="minorHAnsi"/>
        </w:rPr>
      </w:pPr>
      <w:r w:rsidRPr="00BE135D">
        <w:rPr>
          <w:rFonts w:cstheme="minorHAnsi"/>
        </w:rPr>
        <w:t xml:space="preserve">The decision to go to war was ultimately made more as an avoidance tactic to prevent losses in other areas especially industry and oil. It may also have had elements of opportunism as at this time the British Empire was divided between fighting Nazi Germany in Europe and Italy in the Mediterranean. </w:t>
      </w:r>
    </w:p>
    <w:p w14:paraId="05628B32" w14:textId="77777777" w:rsidR="001E6C9A" w:rsidRPr="00BE135D" w:rsidRDefault="001E6C9A" w:rsidP="001E6C9A">
      <w:pPr>
        <w:jc w:val="both"/>
        <w:rPr>
          <w:rFonts w:cstheme="minorHAnsi"/>
        </w:rPr>
      </w:pPr>
    </w:p>
    <w:p w14:paraId="3082B3B7" w14:textId="77777777" w:rsidR="001E6C9A" w:rsidRPr="00BE135D" w:rsidRDefault="001E6C9A" w:rsidP="001E6C9A">
      <w:pPr>
        <w:jc w:val="both"/>
        <w:rPr>
          <w:rFonts w:cstheme="minorHAnsi"/>
        </w:rPr>
      </w:pPr>
      <w:r w:rsidRPr="00BE135D">
        <w:rPr>
          <w:rFonts w:cstheme="minorHAnsi"/>
        </w:rPr>
        <w:t xml:space="preserve">The plan that was implemented as part of this decision to go to war led to the execution of Operation AI for the attack on Pearl Harbor. This attack may have been influenced by the Battle of Taranto in which British Royal Navy carrier planes destroyed half of Italy’s modern fleet of battleships whilst they were still in port. </w:t>
      </w:r>
    </w:p>
    <w:p w14:paraId="21352FF3" w14:textId="77777777" w:rsidR="001E6C9A" w:rsidRPr="00B13ADF" w:rsidRDefault="001E6C9A" w:rsidP="001E6C9A">
      <w:pPr>
        <w:rPr>
          <w:rFonts w:cstheme="minorHAnsi"/>
        </w:rPr>
      </w:pPr>
    </w:p>
    <w:p w14:paraId="107D4729" w14:textId="77777777" w:rsidR="001E6C9A" w:rsidRPr="00BE135D" w:rsidRDefault="001E6C9A" w:rsidP="001E6C9A">
      <w:pPr>
        <w:rPr>
          <w:rFonts w:cstheme="minorHAnsi"/>
        </w:rPr>
      </w:pPr>
      <w:r w:rsidRPr="00BE135D">
        <w:rPr>
          <w:rFonts w:cstheme="minorHAnsi"/>
        </w:rPr>
        <w:t xml:space="preserve">In the United States the process of deciding to go to war was ultimately taken out of their hands through the attack on Pearl Harbor. However, even with this attack there were practical reasons for going to war that are not immediately obvious. Due to the Great Depression the United States economy had spent the 1930’s in constant turmoil that was only really stabilised with the switch to wartime production through armaments, ships and other necessities of war. </w:t>
      </w:r>
    </w:p>
    <w:p w14:paraId="311FA71E" w14:textId="77777777" w:rsidR="001E6C9A" w:rsidRPr="00BE135D" w:rsidRDefault="001E6C9A" w:rsidP="001E6C9A">
      <w:pPr>
        <w:rPr>
          <w:rFonts w:cstheme="minorHAnsi"/>
        </w:rPr>
      </w:pPr>
    </w:p>
    <w:p w14:paraId="265AFEB8" w14:textId="77777777" w:rsidR="001E6C9A" w:rsidRPr="00BE135D" w:rsidRDefault="001E6C9A" w:rsidP="001E6C9A">
      <w:pPr>
        <w:rPr>
          <w:rFonts w:cstheme="minorHAnsi"/>
        </w:rPr>
      </w:pPr>
      <w:r w:rsidRPr="00BE135D">
        <w:rPr>
          <w:rFonts w:cstheme="minorHAnsi"/>
        </w:rPr>
        <w:t xml:space="preserve">This chance of economic recovery and even profiting financially from the war is a concept that is ingrained on the American psyche. The US </w:t>
      </w:r>
      <w:proofErr w:type="gramStart"/>
      <w:r w:rsidRPr="00BE135D">
        <w:rPr>
          <w:rFonts w:cstheme="minorHAnsi"/>
        </w:rPr>
        <w:t>actually came</w:t>
      </w:r>
      <w:proofErr w:type="gramEnd"/>
      <w:r w:rsidRPr="00BE135D">
        <w:rPr>
          <w:rFonts w:cstheme="minorHAnsi"/>
        </w:rPr>
        <w:t xml:space="preserve"> out of the war on a profit and as the world’s leading nation. Although it must be noted that the main reason for going to war was that Japan declared war on the US on the </w:t>
      </w:r>
      <w:proofErr w:type="gramStart"/>
      <w:r w:rsidRPr="00BE135D">
        <w:rPr>
          <w:rFonts w:cstheme="minorHAnsi"/>
        </w:rPr>
        <w:t>8</w:t>
      </w:r>
      <w:r w:rsidRPr="00BE135D">
        <w:rPr>
          <w:rFonts w:cstheme="minorHAnsi"/>
          <w:vertAlign w:val="superscript"/>
        </w:rPr>
        <w:t>th</w:t>
      </w:r>
      <w:proofErr w:type="gramEnd"/>
      <w:r w:rsidRPr="00BE135D">
        <w:rPr>
          <w:rFonts w:cstheme="minorHAnsi"/>
        </w:rPr>
        <w:t xml:space="preserve"> December 1941.</w:t>
      </w:r>
      <w:r>
        <w:rPr>
          <w:rStyle w:val="FootnoteReference"/>
          <w:rFonts w:cstheme="minorHAnsi"/>
        </w:rPr>
        <w:footnoteReference w:id="9"/>
      </w:r>
      <w:r w:rsidRPr="00BE135D">
        <w:rPr>
          <w:rFonts w:cstheme="minorHAnsi"/>
        </w:rPr>
        <w:t xml:space="preserve"> </w:t>
      </w:r>
    </w:p>
    <w:p w14:paraId="0BEAA400" w14:textId="77777777" w:rsidR="001E6C9A" w:rsidRPr="00BE135D" w:rsidRDefault="001E6C9A" w:rsidP="001E6C9A">
      <w:pPr>
        <w:rPr>
          <w:rFonts w:cstheme="minorHAnsi"/>
        </w:rPr>
      </w:pPr>
    </w:p>
    <w:p w14:paraId="43A24E98" w14:textId="77777777" w:rsidR="001E6C9A" w:rsidRDefault="001E6C9A" w:rsidP="001E6C9A">
      <w:pPr>
        <w:rPr>
          <w:rFonts w:cstheme="minorHAnsi"/>
        </w:rPr>
      </w:pPr>
      <w:r w:rsidRPr="00BE135D">
        <w:rPr>
          <w:rFonts w:cstheme="minorHAnsi"/>
        </w:rPr>
        <w:t>The outrage from the attack and the damage it inflicted on the US Pacific Fleet was part of the reason for such a quick response to the declaration of war</w:t>
      </w:r>
      <w:r>
        <w:rPr>
          <w:rFonts w:cstheme="minorHAnsi"/>
        </w:rPr>
        <w:t xml:space="preserve">. Mere hours after Roosevelt’s </w:t>
      </w:r>
      <w:r>
        <w:rPr>
          <w:rFonts w:cstheme="minorHAnsi"/>
        </w:rPr>
        <w:lastRenderedPageBreak/>
        <w:t>speech to the nation the 77</w:t>
      </w:r>
      <w:r w:rsidRPr="00287B02">
        <w:rPr>
          <w:rFonts w:cstheme="minorHAnsi"/>
          <w:vertAlign w:val="superscript"/>
        </w:rPr>
        <w:t>th</w:t>
      </w:r>
      <w:r>
        <w:rPr>
          <w:rFonts w:cstheme="minorHAnsi"/>
        </w:rPr>
        <w:t xml:space="preserve"> US Congress agreed to declare war on the Empire of Japan due to the act of unprovoked aggression that was committed against it. </w:t>
      </w:r>
    </w:p>
    <w:p w14:paraId="44ADF8B5" w14:textId="77777777" w:rsidR="001E6C9A" w:rsidRDefault="001E6C9A" w:rsidP="001E6C9A">
      <w:pPr>
        <w:rPr>
          <w:rFonts w:cstheme="minorHAnsi"/>
        </w:rPr>
      </w:pPr>
    </w:p>
    <w:p w14:paraId="612B0946" w14:textId="77777777" w:rsidR="001E6C9A" w:rsidRPr="00BE135D" w:rsidRDefault="001E6C9A" w:rsidP="001E6C9A">
      <w:pPr>
        <w:rPr>
          <w:rFonts w:cstheme="minorHAnsi"/>
        </w:rPr>
      </w:pPr>
      <w:r>
        <w:rPr>
          <w:rFonts w:cstheme="minorHAnsi"/>
        </w:rPr>
        <w:t xml:space="preserve">This declaration of war also overtly ended the US stance of neutrality and opened the door to their domination of the both the West and the world for the remainder of the twentieth century and arguably the start of the twenty-first century. Even today the US is still the most dominant of the Superpowers of the world and will likely remain so for the foreseeable future. </w:t>
      </w:r>
    </w:p>
    <w:p w14:paraId="4B0FB43F" w14:textId="77777777" w:rsidR="001E6C9A" w:rsidRPr="00BE135D" w:rsidRDefault="001E6C9A" w:rsidP="001E6C9A">
      <w:pPr>
        <w:rPr>
          <w:rFonts w:cstheme="minorHAnsi"/>
        </w:rPr>
      </w:pPr>
    </w:p>
    <w:p w14:paraId="3482AB5B" w14:textId="77777777" w:rsidR="001E6C9A" w:rsidRPr="00BE135D" w:rsidRDefault="001E6C9A" w:rsidP="001E6C9A">
      <w:pPr>
        <w:rPr>
          <w:rFonts w:cstheme="minorHAnsi"/>
        </w:rPr>
      </w:pPr>
      <w:r w:rsidRPr="00BE135D">
        <w:rPr>
          <w:rFonts w:cstheme="minorHAnsi"/>
        </w:rPr>
        <w:t xml:space="preserve">It can be concluded that the causes and reasons that a country may go to war are varied, complex and quite often unique. These reasons can vary from what in a modern perspective we would call good reasons to what we would now refer to as bad and possibly even outright evil reasons. </w:t>
      </w:r>
    </w:p>
    <w:p w14:paraId="13F48D11" w14:textId="77777777" w:rsidR="001E6C9A" w:rsidRPr="00BE135D" w:rsidRDefault="001E6C9A" w:rsidP="001E6C9A">
      <w:pPr>
        <w:rPr>
          <w:rFonts w:cstheme="minorHAnsi"/>
        </w:rPr>
      </w:pPr>
    </w:p>
    <w:p w14:paraId="27D471D6" w14:textId="77777777" w:rsidR="001E6C9A" w:rsidRDefault="001E6C9A" w:rsidP="001E6C9A">
      <w:pPr>
        <w:rPr>
          <w:rFonts w:cstheme="minorHAnsi"/>
        </w:rPr>
      </w:pPr>
      <w:r w:rsidRPr="00BE135D">
        <w:rPr>
          <w:rFonts w:cstheme="minorHAnsi"/>
        </w:rPr>
        <w:t xml:space="preserve">From imperialism, genocide, racism and irredentism to freedom, democracy, justice, honour and basic survival the reasons for Nazi Germany, the Empire of Japan and the Kingdom of Great Britain and Northern Ireland deciding to go to war between 1939 and 1941 are many but all can be linked to ideology, creed and the interests of the nations at the time, whether this be for a small group of authoritarians, members of the party elite or for the average citizen or even the citizens of multiple nations across the world. In some cases, economic reasons existed for going to war as did revenge. </w:t>
      </w:r>
    </w:p>
    <w:p w14:paraId="1C1FDC1C" w14:textId="77777777" w:rsidR="001E6C9A" w:rsidRDefault="001E6C9A" w:rsidP="001E6C9A">
      <w:pPr>
        <w:rPr>
          <w:rFonts w:cstheme="minorHAnsi"/>
        </w:rPr>
      </w:pPr>
    </w:p>
    <w:p w14:paraId="0D4BEEF3" w14:textId="77777777" w:rsidR="001E6C9A" w:rsidRDefault="001E6C9A" w:rsidP="001E6C9A">
      <w:pPr>
        <w:rPr>
          <w:rFonts w:cstheme="minorHAnsi"/>
        </w:rPr>
      </w:pPr>
    </w:p>
    <w:p w14:paraId="351A8C69" w14:textId="77777777" w:rsidR="001E6C9A" w:rsidRDefault="001E6C9A" w:rsidP="001E6C9A">
      <w:pPr>
        <w:rPr>
          <w:rFonts w:cstheme="minorHAnsi"/>
        </w:rPr>
      </w:pPr>
    </w:p>
    <w:p w14:paraId="56897175" w14:textId="77777777" w:rsidR="001E6C9A" w:rsidRDefault="001E6C9A" w:rsidP="001E6C9A">
      <w:pPr>
        <w:rPr>
          <w:rFonts w:cstheme="minorHAnsi"/>
        </w:rPr>
      </w:pPr>
    </w:p>
    <w:p w14:paraId="71D2831F" w14:textId="77777777" w:rsidR="001E6C9A" w:rsidRDefault="001E6C9A" w:rsidP="001E6C9A">
      <w:pPr>
        <w:rPr>
          <w:rFonts w:cstheme="minorHAnsi"/>
        </w:rPr>
      </w:pPr>
    </w:p>
    <w:p w14:paraId="33FD3280" w14:textId="77777777" w:rsidR="001E6C9A" w:rsidRDefault="001E6C9A" w:rsidP="001E6C9A">
      <w:pPr>
        <w:rPr>
          <w:rFonts w:cstheme="minorHAnsi"/>
        </w:rPr>
      </w:pPr>
    </w:p>
    <w:p w14:paraId="13872441" w14:textId="77777777" w:rsidR="001E6C9A" w:rsidRDefault="001E6C9A" w:rsidP="001E6C9A">
      <w:pPr>
        <w:rPr>
          <w:rFonts w:cstheme="minorHAnsi"/>
        </w:rPr>
      </w:pPr>
    </w:p>
    <w:p w14:paraId="42869D97" w14:textId="77777777" w:rsidR="001E6C9A" w:rsidRDefault="001E6C9A" w:rsidP="001E6C9A">
      <w:pPr>
        <w:rPr>
          <w:rFonts w:cstheme="minorHAnsi"/>
        </w:rPr>
      </w:pPr>
    </w:p>
    <w:p w14:paraId="41588ABD" w14:textId="77777777" w:rsidR="001E6C9A" w:rsidRDefault="001E6C9A" w:rsidP="001E6C9A">
      <w:pPr>
        <w:rPr>
          <w:rFonts w:cstheme="minorHAnsi"/>
        </w:rPr>
      </w:pPr>
    </w:p>
    <w:p w14:paraId="7CCF492D" w14:textId="77777777" w:rsidR="001E6C9A" w:rsidRDefault="001E6C9A" w:rsidP="001E6C9A">
      <w:pPr>
        <w:rPr>
          <w:rFonts w:cstheme="minorHAnsi"/>
        </w:rPr>
      </w:pPr>
    </w:p>
    <w:p w14:paraId="37373F5B" w14:textId="77777777" w:rsidR="001E6C9A" w:rsidRDefault="001E6C9A" w:rsidP="001E6C9A">
      <w:pPr>
        <w:rPr>
          <w:rFonts w:cstheme="minorHAnsi"/>
        </w:rPr>
      </w:pPr>
    </w:p>
    <w:p w14:paraId="5D865136" w14:textId="77777777" w:rsidR="001E6C9A" w:rsidRDefault="001E6C9A" w:rsidP="001E6C9A">
      <w:pPr>
        <w:rPr>
          <w:rFonts w:cstheme="minorHAnsi"/>
        </w:rPr>
      </w:pPr>
    </w:p>
    <w:p w14:paraId="04E66594" w14:textId="77777777" w:rsidR="001E6C9A" w:rsidRDefault="001E6C9A" w:rsidP="001E6C9A">
      <w:pPr>
        <w:rPr>
          <w:rFonts w:cstheme="minorHAnsi"/>
        </w:rPr>
      </w:pPr>
    </w:p>
    <w:p w14:paraId="15D393E5" w14:textId="77777777" w:rsidR="001E6C9A" w:rsidRDefault="001E6C9A" w:rsidP="001E6C9A">
      <w:pPr>
        <w:rPr>
          <w:rFonts w:cstheme="minorHAnsi"/>
        </w:rPr>
      </w:pPr>
    </w:p>
    <w:p w14:paraId="70DD6359" w14:textId="77777777" w:rsidR="001E6C9A" w:rsidRDefault="001E6C9A" w:rsidP="001E6C9A">
      <w:pPr>
        <w:rPr>
          <w:rFonts w:cstheme="minorHAnsi"/>
        </w:rPr>
      </w:pPr>
    </w:p>
    <w:p w14:paraId="78393F25" w14:textId="77777777" w:rsidR="001E6C9A" w:rsidRDefault="001E6C9A" w:rsidP="001E6C9A">
      <w:pPr>
        <w:rPr>
          <w:rFonts w:cstheme="minorHAnsi"/>
        </w:rPr>
      </w:pPr>
    </w:p>
    <w:p w14:paraId="47386B59" w14:textId="77777777" w:rsidR="001E6C9A" w:rsidRDefault="001E6C9A" w:rsidP="001E6C9A">
      <w:pPr>
        <w:rPr>
          <w:rFonts w:cstheme="minorHAnsi"/>
        </w:rPr>
      </w:pPr>
    </w:p>
    <w:p w14:paraId="5A7B0761" w14:textId="77777777" w:rsidR="001E6C9A" w:rsidRDefault="001E6C9A" w:rsidP="001E6C9A">
      <w:pPr>
        <w:rPr>
          <w:rFonts w:cstheme="minorHAnsi"/>
        </w:rPr>
      </w:pPr>
    </w:p>
    <w:p w14:paraId="3CD6EA1B" w14:textId="77777777" w:rsidR="001E6C9A" w:rsidRDefault="001E6C9A" w:rsidP="001E6C9A">
      <w:pPr>
        <w:rPr>
          <w:rFonts w:cstheme="minorHAnsi"/>
        </w:rPr>
      </w:pPr>
    </w:p>
    <w:p w14:paraId="1BDFEDCB" w14:textId="77777777" w:rsidR="001E6C9A" w:rsidRDefault="001E6C9A" w:rsidP="001E6C9A">
      <w:pPr>
        <w:rPr>
          <w:rFonts w:cstheme="minorHAnsi"/>
        </w:rPr>
      </w:pPr>
    </w:p>
    <w:p w14:paraId="78B2525E" w14:textId="77777777" w:rsidR="001E6C9A" w:rsidRDefault="001E6C9A" w:rsidP="001E6C9A">
      <w:pPr>
        <w:rPr>
          <w:rFonts w:cstheme="minorHAnsi"/>
        </w:rPr>
      </w:pPr>
    </w:p>
    <w:p w14:paraId="6C0EE73E" w14:textId="77777777" w:rsidR="001E6C9A" w:rsidRDefault="001E6C9A" w:rsidP="001E6C9A">
      <w:pPr>
        <w:rPr>
          <w:rFonts w:cstheme="minorHAnsi"/>
        </w:rPr>
      </w:pPr>
    </w:p>
    <w:p w14:paraId="12CA228C" w14:textId="77777777" w:rsidR="001E6C9A" w:rsidRDefault="001E6C9A" w:rsidP="001E6C9A">
      <w:pPr>
        <w:rPr>
          <w:rFonts w:cstheme="minorHAnsi"/>
        </w:rPr>
      </w:pPr>
    </w:p>
    <w:p w14:paraId="6F9C136C" w14:textId="77777777" w:rsidR="001E6C9A" w:rsidRDefault="001E6C9A" w:rsidP="001E6C9A">
      <w:pPr>
        <w:rPr>
          <w:rFonts w:cstheme="minorHAnsi"/>
        </w:rPr>
      </w:pPr>
    </w:p>
    <w:p w14:paraId="51A209C6" w14:textId="77777777" w:rsidR="001E6C9A" w:rsidRDefault="001E6C9A" w:rsidP="001E6C9A">
      <w:pPr>
        <w:rPr>
          <w:rFonts w:cstheme="minorHAnsi"/>
        </w:rPr>
      </w:pPr>
    </w:p>
    <w:p w14:paraId="505DCE5D" w14:textId="77777777" w:rsidR="001E6C9A" w:rsidRDefault="001E6C9A" w:rsidP="001E6C9A">
      <w:pPr>
        <w:rPr>
          <w:rFonts w:cstheme="minorHAnsi"/>
        </w:rPr>
      </w:pPr>
    </w:p>
    <w:p w14:paraId="39C2B308" w14:textId="77777777" w:rsidR="001E6C9A" w:rsidRDefault="001E6C9A" w:rsidP="001E6C9A">
      <w:pPr>
        <w:rPr>
          <w:rFonts w:cstheme="minorHAnsi"/>
          <w:u w:val="single"/>
        </w:rPr>
      </w:pPr>
      <w:r>
        <w:rPr>
          <w:rFonts w:cstheme="minorHAnsi"/>
          <w:u w:val="single"/>
        </w:rPr>
        <w:lastRenderedPageBreak/>
        <w:t>Bibliography</w:t>
      </w:r>
    </w:p>
    <w:p w14:paraId="7D5B0D4C" w14:textId="77777777" w:rsidR="001E6C9A" w:rsidRDefault="001E6C9A" w:rsidP="001E6C9A">
      <w:pPr>
        <w:rPr>
          <w:rFonts w:cstheme="minorHAnsi"/>
          <w:u w:val="single"/>
        </w:rPr>
      </w:pPr>
    </w:p>
    <w:p w14:paraId="291A232F" w14:textId="77777777" w:rsidR="001E6C9A" w:rsidRPr="007A47DC" w:rsidRDefault="001E6C9A" w:rsidP="001E6C9A">
      <w:pPr>
        <w:ind w:hanging="480"/>
        <w:rPr>
          <w:rFonts w:ascii="Times New Roman" w:eastAsia="Times New Roman" w:hAnsi="Times New Roman" w:cs="Times New Roman"/>
          <w:lang w:eastAsia="en-GB"/>
        </w:rPr>
      </w:pPr>
      <w:r w:rsidRPr="007A47DC">
        <w:rPr>
          <w:rFonts w:ascii="Times New Roman" w:eastAsia="Times New Roman" w:hAnsi="Times New Roman" w:cs="Times New Roman"/>
          <w:lang w:eastAsia="en-GB"/>
        </w:rPr>
        <w:t xml:space="preserve">Edgerton, David, </w:t>
      </w:r>
      <w:r w:rsidRPr="007A47DC">
        <w:rPr>
          <w:rFonts w:ascii="Times New Roman" w:eastAsia="Times New Roman" w:hAnsi="Times New Roman" w:cs="Times New Roman"/>
          <w:i/>
          <w:iCs/>
          <w:lang w:eastAsia="en-GB"/>
        </w:rPr>
        <w:t>Britain’s War Machine: Weapons, Resources, and Experts in the Second World War</w:t>
      </w:r>
      <w:r w:rsidRPr="007A47DC">
        <w:rPr>
          <w:rFonts w:ascii="Times New Roman" w:eastAsia="Times New Roman" w:hAnsi="Times New Roman" w:cs="Times New Roman"/>
          <w:lang w:eastAsia="en-GB"/>
        </w:rPr>
        <w:t xml:space="preserve"> (Oxford University Press, USA, 2011)</w:t>
      </w:r>
    </w:p>
    <w:p w14:paraId="6AC47E3D" w14:textId="77777777" w:rsidR="001E6C9A" w:rsidRPr="007A47DC" w:rsidRDefault="001E6C9A" w:rsidP="001E6C9A">
      <w:pPr>
        <w:ind w:hanging="480"/>
        <w:rPr>
          <w:rFonts w:ascii="Times New Roman" w:eastAsia="Times New Roman" w:hAnsi="Times New Roman" w:cs="Times New Roman"/>
          <w:lang w:eastAsia="en-GB"/>
        </w:rPr>
      </w:pPr>
      <w:r w:rsidRPr="007A47DC">
        <w:rPr>
          <w:rFonts w:ascii="Times New Roman" w:eastAsia="Times New Roman" w:hAnsi="Times New Roman" w:cs="Times New Roman"/>
          <w:lang w:eastAsia="en-GB"/>
        </w:rPr>
        <w:t xml:space="preserve">Kawamura, Noriko, ‘Emperor Hirohito and Japan’s Decision to Go to War with the United States: </w:t>
      </w:r>
      <w:proofErr w:type="spellStart"/>
      <w:r w:rsidRPr="007A47DC">
        <w:rPr>
          <w:rFonts w:ascii="Times New Roman" w:eastAsia="Times New Roman" w:hAnsi="Times New Roman" w:cs="Times New Roman"/>
          <w:lang w:eastAsia="en-GB"/>
        </w:rPr>
        <w:t>Reexamined</w:t>
      </w:r>
      <w:proofErr w:type="spellEnd"/>
      <w:r w:rsidRPr="007A47DC">
        <w:rPr>
          <w:rFonts w:ascii="Times New Roman" w:eastAsia="Times New Roman" w:hAnsi="Times New Roman" w:cs="Times New Roman"/>
          <w:lang w:eastAsia="en-GB"/>
        </w:rPr>
        <w:t xml:space="preserve">*’, </w:t>
      </w:r>
      <w:r w:rsidRPr="007A47DC">
        <w:rPr>
          <w:rFonts w:ascii="Times New Roman" w:eastAsia="Times New Roman" w:hAnsi="Times New Roman" w:cs="Times New Roman"/>
          <w:i/>
          <w:iCs/>
          <w:lang w:eastAsia="en-GB"/>
        </w:rPr>
        <w:t>Diplomatic History</w:t>
      </w:r>
      <w:r w:rsidRPr="007A47DC">
        <w:rPr>
          <w:rFonts w:ascii="Times New Roman" w:eastAsia="Times New Roman" w:hAnsi="Times New Roman" w:cs="Times New Roman"/>
          <w:lang w:eastAsia="en-GB"/>
        </w:rPr>
        <w:t>, 31.1 (2007), 51–79 &lt;</w:t>
      </w:r>
      <w:hyperlink r:id="rId6" w:history="1">
        <w:r w:rsidRPr="007A47DC">
          <w:rPr>
            <w:rFonts w:ascii="Times New Roman" w:eastAsia="Times New Roman" w:hAnsi="Times New Roman" w:cs="Times New Roman"/>
            <w:color w:val="0000FF"/>
            <w:u w:val="single"/>
            <w:lang w:eastAsia="en-GB"/>
          </w:rPr>
          <w:t>https://doi.org/10.1111/j.1467-7709.2007.00591.x</w:t>
        </w:r>
      </w:hyperlink>
      <w:r w:rsidRPr="007A47DC">
        <w:rPr>
          <w:rFonts w:ascii="Times New Roman" w:eastAsia="Times New Roman" w:hAnsi="Times New Roman" w:cs="Times New Roman"/>
          <w:lang w:eastAsia="en-GB"/>
        </w:rPr>
        <w:t>&gt;</w:t>
      </w:r>
    </w:p>
    <w:p w14:paraId="0F2BE4E5" w14:textId="77777777" w:rsidR="001E6C9A" w:rsidRPr="007A47DC" w:rsidRDefault="001E6C9A" w:rsidP="001E6C9A">
      <w:pPr>
        <w:ind w:hanging="480"/>
        <w:rPr>
          <w:rFonts w:ascii="Times New Roman" w:eastAsia="Times New Roman" w:hAnsi="Times New Roman" w:cs="Times New Roman"/>
          <w:lang w:eastAsia="en-GB"/>
        </w:rPr>
      </w:pPr>
      <w:r w:rsidRPr="007A47DC">
        <w:rPr>
          <w:rFonts w:ascii="Times New Roman" w:eastAsia="Times New Roman" w:hAnsi="Times New Roman" w:cs="Times New Roman"/>
          <w:lang w:eastAsia="en-GB"/>
        </w:rPr>
        <w:t xml:space="preserve">Smith, Woodruff D., </w:t>
      </w:r>
      <w:r w:rsidRPr="007A47DC">
        <w:rPr>
          <w:rFonts w:ascii="Times New Roman" w:eastAsia="Times New Roman" w:hAnsi="Times New Roman" w:cs="Times New Roman"/>
          <w:i/>
          <w:iCs/>
          <w:lang w:eastAsia="en-GB"/>
        </w:rPr>
        <w:t>The Ideological Origins of Nazi Imperialism</w:t>
      </w:r>
      <w:r w:rsidRPr="007A47DC">
        <w:rPr>
          <w:rFonts w:ascii="Times New Roman" w:eastAsia="Times New Roman" w:hAnsi="Times New Roman" w:cs="Times New Roman"/>
          <w:lang w:eastAsia="en-GB"/>
        </w:rPr>
        <w:t xml:space="preserve"> (Oxford University Press, 1989)</w:t>
      </w:r>
    </w:p>
    <w:p w14:paraId="21F8ECE6" w14:textId="77777777" w:rsidR="001E6C9A" w:rsidRPr="007A47DC" w:rsidRDefault="001E6C9A" w:rsidP="001E6C9A">
      <w:pPr>
        <w:ind w:hanging="480"/>
        <w:rPr>
          <w:rFonts w:ascii="Times New Roman" w:eastAsia="Times New Roman" w:hAnsi="Times New Roman" w:cs="Times New Roman"/>
          <w:lang w:eastAsia="en-GB"/>
        </w:rPr>
      </w:pPr>
      <w:r w:rsidRPr="007A47DC">
        <w:rPr>
          <w:rFonts w:ascii="Times New Roman" w:eastAsia="Times New Roman" w:hAnsi="Times New Roman" w:cs="Times New Roman"/>
          <w:lang w:eastAsia="en-GB"/>
        </w:rPr>
        <w:t xml:space="preserve">‘World War II | Great Depression and World War II, 1929-1945 | U.S. History Primary Source Timeline | Classroom Materials at the Library of Congress | Library of Congress’, </w:t>
      </w:r>
      <w:r w:rsidRPr="007A47DC">
        <w:rPr>
          <w:rFonts w:ascii="Times New Roman" w:eastAsia="Times New Roman" w:hAnsi="Times New Roman" w:cs="Times New Roman"/>
          <w:i/>
          <w:iCs/>
          <w:lang w:eastAsia="en-GB"/>
        </w:rPr>
        <w:t>Library of Congress, Washington, D.C. 20540 USA</w:t>
      </w:r>
      <w:r w:rsidRPr="007A47DC">
        <w:rPr>
          <w:rFonts w:ascii="Times New Roman" w:eastAsia="Times New Roman" w:hAnsi="Times New Roman" w:cs="Times New Roman"/>
          <w:lang w:eastAsia="en-GB"/>
        </w:rPr>
        <w:t xml:space="preserve"> &lt;</w:t>
      </w:r>
      <w:hyperlink r:id="rId7" w:history="1">
        <w:r w:rsidRPr="007A47DC">
          <w:rPr>
            <w:rFonts w:ascii="Times New Roman" w:eastAsia="Times New Roman" w:hAnsi="Times New Roman" w:cs="Times New Roman"/>
            <w:color w:val="0000FF"/>
            <w:u w:val="single"/>
            <w:lang w:eastAsia="en-GB"/>
          </w:rPr>
          <w:t>https://www.loc.gov/classroom-materials/united-states-history-primary-source-timeline/great-depression-and-world-war-ii-1929-1945/world-war-ii/</w:t>
        </w:r>
      </w:hyperlink>
      <w:r w:rsidRPr="007A47DC">
        <w:rPr>
          <w:rFonts w:ascii="Times New Roman" w:eastAsia="Times New Roman" w:hAnsi="Times New Roman" w:cs="Times New Roman"/>
          <w:lang w:eastAsia="en-GB"/>
        </w:rPr>
        <w:t>&gt; [accessed 5 June 2022]</w:t>
      </w:r>
    </w:p>
    <w:p w14:paraId="65A506DF" w14:textId="77777777" w:rsidR="001E6C9A" w:rsidRPr="007A47DC" w:rsidRDefault="001E6C9A" w:rsidP="001E6C9A">
      <w:pPr>
        <w:ind w:hanging="480"/>
        <w:rPr>
          <w:rFonts w:ascii="Times New Roman" w:eastAsia="Times New Roman" w:hAnsi="Times New Roman" w:cs="Times New Roman"/>
          <w:lang w:eastAsia="en-GB"/>
        </w:rPr>
      </w:pPr>
      <w:r w:rsidRPr="007A47DC">
        <w:rPr>
          <w:rFonts w:ascii="Times New Roman" w:eastAsia="Times New Roman" w:hAnsi="Times New Roman" w:cs="Times New Roman"/>
          <w:lang w:eastAsia="en-GB"/>
        </w:rPr>
        <w:t>‘World War II in the Pacific’ &lt;</w:t>
      </w:r>
      <w:hyperlink r:id="rId8" w:history="1">
        <w:r w:rsidRPr="007A47DC">
          <w:rPr>
            <w:rFonts w:ascii="Times New Roman" w:eastAsia="Times New Roman" w:hAnsi="Times New Roman" w:cs="Times New Roman"/>
            <w:color w:val="0000FF"/>
            <w:u w:val="single"/>
            <w:lang w:eastAsia="en-GB"/>
          </w:rPr>
          <w:t>https://encyclopedia.ushmm.org/content/en/article/world-war-ii-in-the-pacific</w:t>
        </w:r>
      </w:hyperlink>
      <w:r w:rsidRPr="007A47DC">
        <w:rPr>
          <w:rFonts w:ascii="Times New Roman" w:eastAsia="Times New Roman" w:hAnsi="Times New Roman" w:cs="Times New Roman"/>
          <w:lang w:eastAsia="en-GB"/>
        </w:rPr>
        <w:t>&gt; [accessed 30 May 2022]</w:t>
      </w:r>
    </w:p>
    <w:p w14:paraId="0705989E" w14:textId="77777777" w:rsidR="001E6C9A" w:rsidRPr="007A47DC" w:rsidRDefault="001E6C9A" w:rsidP="001E6C9A">
      <w:pPr>
        <w:ind w:hanging="480"/>
        <w:rPr>
          <w:rFonts w:ascii="Times New Roman" w:eastAsia="Times New Roman" w:hAnsi="Times New Roman" w:cs="Times New Roman"/>
          <w:lang w:eastAsia="en-GB"/>
        </w:rPr>
      </w:pPr>
      <w:r w:rsidRPr="007A47DC">
        <w:rPr>
          <w:rFonts w:ascii="Times New Roman" w:eastAsia="Times New Roman" w:hAnsi="Times New Roman" w:cs="Times New Roman"/>
          <w:lang w:eastAsia="en-GB"/>
        </w:rPr>
        <w:t>‘———’ &lt;</w:t>
      </w:r>
      <w:hyperlink r:id="rId9" w:history="1">
        <w:r w:rsidRPr="007A47DC">
          <w:rPr>
            <w:rFonts w:ascii="Times New Roman" w:eastAsia="Times New Roman" w:hAnsi="Times New Roman" w:cs="Times New Roman"/>
            <w:color w:val="0000FF"/>
            <w:u w:val="single"/>
            <w:lang w:eastAsia="en-GB"/>
          </w:rPr>
          <w:t>https://encyclopedia.ushmm.org/content/en/article/world-war-ii-in-the-pacific</w:t>
        </w:r>
      </w:hyperlink>
      <w:r w:rsidRPr="007A47DC">
        <w:rPr>
          <w:rFonts w:ascii="Times New Roman" w:eastAsia="Times New Roman" w:hAnsi="Times New Roman" w:cs="Times New Roman"/>
          <w:lang w:eastAsia="en-GB"/>
        </w:rPr>
        <w:t>&gt; [accessed 5 June 2022]</w:t>
      </w:r>
    </w:p>
    <w:p w14:paraId="7CBCA5AF"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Edgerton, David, </w:t>
      </w:r>
      <w:r w:rsidRPr="00270EE6">
        <w:rPr>
          <w:rFonts w:ascii="Times New Roman" w:eastAsia="Times New Roman" w:hAnsi="Times New Roman" w:cs="Times New Roman"/>
          <w:i/>
          <w:iCs/>
          <w:lang w:eastAsia="en-GB"/>
        </w:rPr>
        <w:t>Britain’s War Machine: Weapons, Resources, and Experts in the Second World War</w:t>
      </w:r>
      <w:r w:rsidRPr="00270EE6">
        <w:rPr>
          <w:rFonts w:ascii="Times New Roman" w:eastAsia="Times New Roman" w:hAnsi="Times New Roman" w:cs="Times New Roman"/>
          <w:lang w:eastAsia="en-GB"/>
        </w:rPr>
        <w:t xml:space="preserve"> (Oxford University Press, USA, 2011)</w:t>
      </w:r>
    </w:p>
    <w:p w14:paraId="6C2D24EE"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Kawamura, Noriko, ‘Emperor Hirohito and Japan’s Decision to Go to War with the United States: </w:t>
      </w:r>
      <w:proofErr w:type="spellStart"/>
      <w:r w:rsidRPr="00270EE6">
        <w:rPr>
          <w:rFonts w:ascii="Times New Roman" w:eastAsia="Times New Roman" w:hAnsi="Times New Roman" w:cs="Times New Roman"/>
          <w:lang w:eastAsia="en-GB"/>
        </w:rPr>
        <w:t>Reexamined</w:t>
      </w:r>
      <w:proofErr w:type="spellEnd"/>
      <w:r w:rsidRPr="00270EE6">
        <w:rPr>
          <w:rFonts w:ascii="Times New Roman" w:eastAsia="Times New Roman" w:hAnsi="Times New Roman" w:cs="Times New Roman"/>
          <w:lang w:eastAsia="en-GB"/>
        </w:rPr>
        <w:t xml:space="preserve">*’, </w:t>
      </w:r>
      <w:r w:rsidRPr="00270EE6">
        <w:rPr>
          <w:rFonts w:ascii="Times New Roman" w:eastAsia="Times New Roman" w:hAnsi="Times New Roman" w:cs="Times New Roman"/>
          <w:i/>
          <w:iCs/>
          <w:lang w:eastAsia="en-GB"/>
        </w:rPr>
        <w:t>Diplomatic History</w:t>
      </w:r>
      <w:r w:rsidRPr="00270EE6">
        <w:rPr>
          <w:rFonts w:ascii="Times New Roman" w:eastAsia="Times New Roman" w:hAnsi="Times New Roman" w:cs="Times New Roman"/>
          <w:lang w:eastAsia="en-GB"/>
        </w:rPr>
        <w:t>, 31.1 (2007), 51–79 &lt;</w:t>
      </w:r>
      <w:hyperlink r:id="rId10" w:history="1">
        <w:r w:rsidRPr="00270EE6">
          <w:rPr>
            <w:rFonts w:ascii="Times New Roman" w:eastAsia="Times New Roman" w:hAnsi="Times New Roman" w:cs="Times New Roman"/>
            <w:color w:val="0000FF"/>
            <w:u w:val="single"/>
            <w:lang w:eastAsia="en-GB"/>
          </w:rPr>
          <w:t>https://doi.org/10.1111/j.1467-7709.2007.00591.x</w:t>
        </w:r>
      </w:hyperlink>
      <w:r w:rsidRPr="00270EE6">
        <w:rPr>
          <w:rFonts w:ascii="Times New Roman" w:eastAsia="Times New Roman" w:hAnsi="Times New Roman" w:cs="Times New Roman"/>
          <w:lang w:eastAsia="en-GB"/>
        </w:rPr>
        <w:t>&gt;</w:t>
      </w:r>
    </w:p>
    <w:p w14:paraId="1AEEB021"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Smith, Woodruff D., </w:t>
      </w:r>
      <w:r w:rsidRPr="00270EE6">
        <w:rPr>
          <w:rFonts w:ascii="Times New Roman" w:eastAsia="Times New Roman" w:hAnsi="Times New Roman" w:cs="Times New Roman"/>
          <w:i/>
          <w:iCs/>
          <w:lang w:eastAsia="en-GB"/>
        </w:rPr>
        <w:t>The Ideological Origins of Nazi Imperialism</w:t>
      </w:r>
      <w:r w:rsidRPr="00270EE6">
        <w:rPr>
          <w:rFonts w:ascii="Times New Roman" w:eastAsia="Times New Roman" w:hAnsi="Times New Roman" w:cs="Times New Roman"/>
          <w:lang w:eastAsia="en-GB"/>
        </w:rPr>
        <w:t xml:space="preserve"> (Oxford University Press, 1989)</w:t>
      </w:r>
    </w:p>
    <w:p w14:paraId="51E7AA98"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‘World War II | Great Depression and World War II, 1929-1945 | U.S. History Primary Source Timeline | Classroom Materials at the Library of Congress | Library of Congress’, </w:t>
      </w:r>
      <w:r w:rsidRPr="00270EE6">
        <w:rPr>
          <w:rFonts w:ascii="Times New Roman" w:eastAsia="Times New Roman" w:hAnsi="Times New Roman" w:cs="Times New Roman"/>
          <w:i/>
          <w:iCs/>
          <w:lang w:eastAsia="en-GB"/>
        </w:rPr>
        <w:t>Library of Congress, Washington, D.C. 20540 USA</w:t>
      </w:r>
      <w:r w:rsidRPr="00270EE6">
        <w:rPr>
          <w:rFonts w:ascii="Times New Roman" w:eastAsia="Times New Roman" w:hAnsi="Times New Roman" w:cs="Times New Roman"/>
          <w:lang w:eastAsia="en-GB"/>
        </w:rPr>
        <w:t xml:space="preserve"> &lt;</w:t>
      </w:r>
      <w:hyperlink r:id="rId11" w:history="1">
        <w:r w:rsidRPr="00270EE6">
          <w:rPr>
            <w:rFonts w:ascii="Times New Roman" w:eastAsia="Times New Roman" w:hAnsi="Times New Roman" w:cs="Times New Roman"/>
            <w:color w:val="0000FF"/>
            <w:u w:val="single"/>
            <w:lang w:eastAsia="en-GB"/>
          </w:rPr>
          <w:t>https://www.loc.gov/classroom-materials/united-states-history-primary-source-timeline/great-depression-and-world-war-ii-1929-1945/world-war-ii/</w:t>
        </w:r>
      </w:hyperlink>
      <w:r w:rsidRPr="00270EE6">
        <w:rPr>
          <w:rFonts w:ascii="Times New Roman" w:eastAsia="Times New Roman" w:hAnsi="Times New Roman" w:cs="Times New Roman"/>
          <w:lang w:eastAsia="en-GB"/>
        </w:rPr>
        <w:t>&gt; [accessed 5 June 2022]</w:t>
      </w:r>
    </w:p>
    <w:p w14:paraId="3F88636F"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‘World War II in the Pacific’ &lt;</w:t>
      </w:r>
      <w:hyperlink r:id="rId12" w:history="1">
        <w:r w:rsidRPr="00270EE6">
          <w:rPr>
            <w:rFonts w:ascii="Times New Roman" w:eastAsia="Times New Roman" w:hAnsi="Times New Roman" w:cs="Times New Roman"/>
            <w:color w:val="0000FF"/>
            <w:u w:val="single"/>
            <w:lang w:eastAsia="en-GB"/>
          </w:rPr>
          <w:t>https://encyclopedia.ushmm.org/content/en/article/world-war-ii-in-the-pacific</w:t>
        </w:r>
      </w:hyperlink>
      <w:r w:rsidRPr="00270EE6">
        <w:rPr>
          <w:rFonts w:ascii="Times New Roman" w:eastAsia="Times New Roman" w:hAnsi="Times New Roman" w:cs="Times New Roman"/>
          <w:lang w:eastAsia="en-GB"/>
        </w:rPr>
        <w:t>&gt; [accessed 30 May 2022]</w:t>
      </w:r>
    </w:p>
    <w:p w14:paraId="6E5B6779"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&lt;</w:t>
      </w:r>
      <w:hyperlink r:id="rId13" w:history="1">
        <w:r w:rsidRPr="00270EE6">
          <w:rPr>
            <w:rFonts w:ascii="Times New Roman" w:eastAsia="Times New Roman" w:hAnsi="Times New Roman" w:cs="Times New Roman"/>
            <w:color w:val="0000FF"/>
            <w:u w:val="single"/>
            <w:lang w:eastAsia="en-GB"/>
          </w:rPr>
          <w:t>https://encyclopedia.ushmm.org/content/en/article/world-war-ii-in-the-pacific</w:t>
        </w:r>
      </w:hyperlink>
      <w:r w:rsidRPr="00270EE6">
        <w:rPr>
          <w:rFonts w:ascii="Times New Roman" w:eastAsia="Times New Roman" w:hAnsi="Times New Roman" w:cs="Times New Roman"/>
          <w:lang w:eastAsia="en-GB"/>
        </w:rPr>
        <w:t>&gt; [accessed 5 June 2022]</w:t>
      </w:r>
    </w:p>
    <w:p w14:paraId="439D781B"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Edgerton, David, </w:t>
      </w:r>
      <w:r w:rsidRPr="00270EE6">
        <w:rPr>
          <w:rFonts w:ascii="Times New Roman" w:eastAsia="Times New Roman" w:hAnsi="Times New Roman" w:cs="Times New Roman"/>
          <w:i/>
          <w:iCs/>
          <w:lang w:eastAsia="en-GB"/>
        </w:rPr>
        <w:t>Britain’s War Machine: Weapons, Resources, and Experts in the Second World War</w:t>
      </w:r>
      <w:r w:rsidRPr="00270EE6">
        <w:rPr>
          <w:rFonts w:ascii="Times New Roman" w:eastAsia="Times New Roman" w:hAnsi="Times New Roman" w:cs="Times New Roman"/>
          <w:lang w:eastAsia="en-GB"/>
        </w:rPr>
        <w:t xml:space="preserve"> (Oxford University Press, USA, 2011)</w:t>
      </w:r>
    </w:p>
    <w:p w14:paraId="0B15740F"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Kawamura, Noriko, ‘Emperor Hirohito and Japan’s Decision to Go to War with the United States: </w:t>
      </w:r>
      <w:proofErr w:type="spellStart"/>
      <w:r w:rsidRPr="00270EE6">
        <w:rPr>
          <w:rFonts w:ascii="Times New Roman" w:eastAsia="Times New Roman" w:hAnsi="Times New Roman" w:cs="Times New Roman"/>
          <w:lang w:eastAsia="en-GB"/>
        </w:rPr>
        <w:t>Reexamined</w:t>
      </w:r>
      <w:proofErr w:type="spellEnd"/>
      <w:r w:rsidRPr="00270EE6">
        <w:rPr>
          <w:rFonts w:ascii="Times New Roman" w:eastAsia="Times New Roman" w:hAnsi="Times New Roman" w:cs="Times New Roman"/>
          <w:lang w:eastAsia="en-GB"/>
        </w:rPr>
        <w:t xml:space="preserve">*’, </w:t>
      </w:r>
      <w:r w:rsidRPr="00270EE6">
        <w:rPr>
          <w:rFonts w:ascii="Times New Roman" w:eastAsia="Times New Roman" w:hAnsi="Times New Roman" w:cs="Times New Roman"/>
          <w:i/>
          <w:iCs/>
          <w:lang w:eastAsia="en-GB"/>
        </w:rPr>
        <w:t>Diplomatic History</w:t>
      </w:r>
      <w:r w:rsidRPr="00270EE6">
        <w:rPr>
          <w:rFonts w:ascii="Times New Roman" w:eastAsia="Times New Roman" w:hAnsi="Times New Roman" w:cs="Times New Roman"/>
          <w:lang w:eastAsia="en-GB"/>
        </w:rPr>
        <w:t>, 31.1 (2007), 51–79 &lt;</w:t>
      </w:r>
      <w:hyperlink r:id="rId14" w:history="1">
        <w:r w:rsidRPr="00270EE6">
          <w:rPr>
            <w:rFonts w:ascii="Times New Roman" w:eastAsia="Times New Roman" w:hAnsi="Times New Roman" w:cs="Times New Roman"/>
            <w:color w:val="0000FF"/>
            <w:u w:val="single"/>
            <w:lang w:eastAsia="en-GB"/>
          </w:rPr>
          <w:t>https://doi.org/10.1111/j.1467-7709.2007.00591.x</w:t>
        </w:r>
      </w:hyperlink>
      <w:r w:rsidRPr="00270EE6">
        <w:rPr>
          <w:rFonts w:ascii="Times New Roman" w:eastAsia="Times New Roman" w:hAnsi="Times New Roman" w:cs="Times New Roman"/>
          <w:lang w:eastAsia="en-GB"/>
        </w:rPr>
        <w:t>&gt;</w:t>
      </w:r>
    </w:p>
    <w:p w14:paraId="51122B88"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Smith, Woodruff D., </w:t>
      </w:r>
      <w:r w:rsidRPr="00270EE6">
        <w:rPr>
          <w:rFonts w:ascii="Times New Roman" w:eastAsia="Times New Roman" w:hAnsi="Times New Roman" w:cs="Times New Roman"/>
          <w:i/>
          <w:iCs/>
          <w:lang w:eastAsia="en-GB"/>
        </w:rPr>
        <w:t>The Ideological Origins of Nazi Imperialism</w:t>
      </w:r>
      <w:r w:rsidRPr="00270EE6">
        <w:rPr>
          <w:rFonts w:ascii="Times New Roman" w:eastAsia="Times New Roman" w:hAnsi="Times New Roman" w:cs="Times New Roman"/>
          <w:lang w:eastAsia="en-GB"/>
        </w:rPr>
        <w:t xml:space="preserve"> (Oxford University Press, 1989)</w:t>
      </w:r>
    </w:p>
    <w:p w14:paraId="411CD035"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xml:space="preserve">‘World War II | Great Depression and World War II, 1929-1945 | U.S. History Primary Source Timeline | Classroom Materials at the Library of Congress | Library of Congress’, </w:t>
      </w:r>
      <w:r w:rsidRPr="00270EE6">
        <w:rPr>
          <w:rFonts w:ascii="Times New Roman" w:eastAsia="Times New Roman" w:hAnsi="Times New Roman" w:cs="Times New Roman"/>
          <w:i/>
          <w:iCs/>
          <w:lang w:eastAsia="en-GB"/>
        </w:rPr>
        <w:t>Library of Congress, Washington, D.C. 20540 USA</w:t>
      </w:r>
      <w:r w:rsidRPr="00270EE6">
        <w:rPr>
          <w:rFonts w:ascii="Times New Roman" w:eastAsia="Times New Roman" w:hAnsi="Times New Roman" w:cs="Times New Roman"/>
          <w:lang w:eastAsia="en-GB"/>
        </w:rPr>
        <w:t xml:space="preserve"> &lt;</w:t>
      </w:r>
      <w:hyperlink r:id="rId15" w:history="1">
        <w:r w:rsidRPr="00270EE6">
          <w:rPr>
            <w:rFonts w:ascii="Times New Roman" w:eastAsia="Times New Roman" w:hAnsi="Times New Roman" w:cs="Times New Roman"/>
            <w:color w:val="0000FF"/>
            <w:u w:val="single"/>
            <w:lang w:eastAsia="en-GB"/>
          </w:rPr>
          <w:t>https://www.loc.gov/classroom-materials/united-states-history-primary-source-timeline/great-depression-and-world-war-ii-1929-1945/world-war-ii/</w:t>
        </w:r>
      </w:hyperlink>
      <w:r w:rsidRPr="00270EE6">
        <w:rPr>
          <w:rFonts w:ascii="Times New Roman" w:eastAsia="Times New Roman" w:hAnsi="Times New Roman" w:cs="Times New Roman"/>
          <w:lang w:eastAsia="en-GB"/>
        </w:rPr>
        <w:t>&gt; [accessed 5 June 2022]</w:t>
      </w:r>
    </w:p>
    <w:p w14:paraId="096C45E4"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‘World War II in the Pacific’ &lt;</w:t>
      </w:r>
      <w:hyperlink r:id="rId16" w:history="1">
        <w:r w:rsidRPr="00270EE6">
          <w:rPr>
            <w:rFonts w:ascii="Times New Roman" w:eastAsia="Times New Roman" w:hAnsi="Times New Roman" w:cs="Times New Roman"/>
            <w:color w:val="0000FF"/>
            <w:u w:val="single"/>
            <w:lang w:eastAsia="en-GB"/>
          </w:rPr>
          <w:t>https://encyclopedia.ushmm.org/content/en/article/world-war-ii-in-the-pacific</w:t>
        </w:r>
      </w:hyperlink>
      <w:r w:rsidRPr="00270EE6">
        <w:rPr>
          <w:rFonts w:ascii="Times New Roman" w:eastAsia="Times New Roman" w:hAnsi="Times New Roman" w:cs="Times New Roman"/>
          <w:lang w:eastAsia="en-GB"/>
        </w:rPr>
        <w:t>&gt; [accessed 30 May 2022]</w:t>
      </w:r>
    </w:p>
    <w:p w14:paraId="19C1FDFE" w14:textId="77777777" w:rsidR="001E6C9A" w:rsidRPr="00270EE6" w:rsidRDefault="001E6C9A" w:rsidP="001E6C9A">
      <w:pPr>
        <w:ind w:hanging="480"/>
        <w:rPr>
          <w:rFonts w:ascii="Times New Roman" w:eastAsia="Times New Roman" w:hAnsi="Times New Roman" w:cs="Times New Roman"/>
          <w:lang w:eastAsia="en-GB"/>
        </w:rPr>
      </w:pPr>
      <w:r w:rsidRPr="00270EE6">
        <w:rPr>
          <w:rFonts w:ascii="Times New Roman" w:eastAsia="Times New Roman" w:hAnsi="Times New Roman" w:cs="Times New Roman"/>
          <w:lang w:eastAsia="en-GB"/>
        </w:rPr>
        <w:t>‘———’ &lt;</w:t>
      </w:r>
      <w:hyperlink r:id="rId17" w:history="1">
        <w:r w:rsidRPr="00270EE6">
          <w:rPr>
            <w:rFonts w:ascii="Times New Roman" w:eastAsia="Times New Roman" w:hAnsi="Times New Roman" w:cs="Times New Roman"/>
            <w:color w:val="0000FF"/>
            <w:u w:val="single"/>
            <w:lang w:eastAsia="en-GB"/>
          </w:rPr>
          <w:t>https://encyclopedia.ushmm.org/content/en/article/world-war-ii-in-the-pacific</w:t>
        </w:r>
      </w:hyperlink>
      <w:r w:rsidRPr="00270EE6">
        <w:rPr>
          <w:rFonts w:ascii="Times New Roman" w:eastAsia="Times New Roman" w:hAnsi="Times New Roman" w:cs="Times New Roman"/>
          <w:lang w:eastAsia="en-GB"/>
        </w:rPr>
        <w:t>&gt; [accessed 5 June 2022]</w:t>
      </w:r>
    </w:p>
    <w:p w14:paraId="4239BBA9" w14:textId="77777777" w:rsidR="001E6C9A" w:rsidRPr="007A47DC" w:rsidRDefault="001E6C9A" w:rsidP="001E6C9A">
      <w:pPr>
        <w:rPr>
          <w:rFonts w:cstheme="minorHAnsi"/>
        </w:rPr>
      </w:pPr>
    </w:p>
    <w:p w14:paraId="12393AF9" w14:textId="77777777" w:rsidR="00663EC0" w:rsidRDefault="009F2D9E"/>
    <w:sectPr w:rsidR="00663EC0" w:rsidSect="00A461BD">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513472" w14:textId="77777777" w:rsidR="009F2D9E" w:rsidRDefault="009F2D9E" w:rsidP="001E6C9A">
      <w:r>
        <w:separator/>
      </w:r>
    </w:p>
  </w:endnote>
  <w:endnote w:type="continuationSeparator" w:id="0">
    <w:p w14:paraId="57FB93C4" w14:textId="77777777" w:rsidR="009F2D9E" w:rsidRDefault="009F2D9E" w:rsidP="001E6C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CA623" w14:textId="77777777" w:rsidR="009F2D9E" w:rsidRDefault="009F2D9E" w:rsidP="001E6C9A">
      <w:r>
        <w:separator/>
      </w:r>
    </w:p>
  </w:footnote>
  <w:footnote w:type="continuationSeparator" w:id="0">
    <w:p w14:paraId="010DF686" w14:textId="77777777" w:rsidR="009F2D9E" w:rsidRDefault="009F2D9E" w:rsidP="001E6C9A">
      <w:r>
        <w:continuationSeparator/>
      </w:r>
    </w:p>
  </w:footnote>
  <w:footnote w:id="1">
    <w:p w14:paraId="3BE119B0" w14:textId="77777777" w:rsidR="001E6C9A" w:rsidRPr="00534835" w:rsidRDefault="001E6C9A" w:rsidP="001E6C9A">
      <w:pPr>
        <w:pStyle w:val="FootnoteText"/>
      </w:pPr>
      <w:r>
        <w:rPr>
          <w:rStyle w:val="FootnoteReference"/>
        </w:rPr>
        <w:footnoteRef/>
      </w:r>
      <w:r>
        <w:t xml:space="preserve"> Edgerton, David, </w:t>
      </w:r>
      <w:r>
        <w:rPr>
          <w:i/>
          <w:iCs/>
        </w:rPr>
        <w:t xml:space="preserve">Britain’s War Machine: Weapons, Resources and, Experts in the Second World War, </w:t>
      </w:r>
      <w:r>
        <w:t xml:space="preserve">(2011), Oxford University Press, ch-3, p-3. </w:t>
      </w:r>
    </w:p>
  </w:footnote>
  <w:footnote w:id="2">
    <w:p w14:paraId="45A33FDE" w14:textId="77777777" w:rsidR="001E6C9A" w:rsidRPr="00BA7AC6" w:rsidRDefault="001E6C9A" w:rsidP="001E6C9A">
      <w:pPr>
        <w:pStyle w:val="FootnoteText"/>
      </w:pPr>
      <w:r>
        <w:rPr>
          <w:rStyle w:val="FootnoteReference"/>
        </w:rPr>
        <w:footnoteRef/>
      </w:r>
      <w:r>
        <w:t xml:space="preserve"> Woodruff, </w:t>
      </w:r>
      <w:r>
        <w:rPr>
          <w:i/>
          <w:iCs/>
        </w:rPr>
        <w:t xml:space="preserve">The Ideological Origins of Nazi Imperialism, </w:t>
      </w:r>
      <w:r>
        <w:t xml:space="preserve">(1989), Oxford University Press, ch-5, p-84. </w:t>
      </w:r>
    </w:p>
  </w:footnote>
  <w:footnote w:id="3">
    <w:p w14:paraId="22D5F3B4" w14:textId="77777777" w:rsidR="001E6C9A" w:rsidRPr="00542CFA" w:rsidRDefault="001E6C9A" w:rsidP="001E6C9A">
      <w:pPr>
        <w:pStyle w:val="FootnoteText"/>
      </w:pPr>
      <w:r>
        <w:rPr>
          <w:rStyle w:val="FootnoteReference"/>
        </w:rPr>
        <w:footnoteRef/>
      </w:r>
      <w:r>
        <w:t xml:space="preserve"> Edgerton, David, </w:t>
      </w:r>
      <w:r w:rsidRPr="00542CFA">
        <w:rPr>
          <w:i/>
          <w:iCs/>
        </w:rPr>
        <w:t>Britain’s War Machine: Weapons, Resources, and Experts in the Second World Wa</w:t>
      </w:r>
      <w:r>
        <w:rPr>
          <w:i/>
          <w:iCs/>
        </w:rPr>
        <w:t xml:space="preserve">r, </w:t>
      </w:r>
      <w:r>
        <w:t xml:space="preserve">(2011), Oxford University Press, ch-1, p-2. </w:t>
      </w:r>
    </w:p>
  </w:footnote>
  <w:footnote w:id="4">
    <w:p w14:paraId="04F301E2" w14:textId="77777777" w:rsidR="001E6C9A" w:rsidRPr="00F67B30" w:rsidRDefault="001E6C9A" w:rsidP="001E6C9A">
      <w:pPr>
        <w:pStyle w:val="FootnoteText"/>
      </w:pPr>
      <w:r>
        <w:rPr>
          <w:rStyle w:val="FootnoteReference"/>
        </w:rPr>
        <w:footnoteRef/>
      </w:r>
      <w:r>
        <w:t xml:space="preserve"> Edgerton, David, </w:t>
      </w:r>
      <w:r>
        <w:rPr>
          <w:i/>
          <w:iCs/>
        </w:rPr>
        <w:t xml:space="preserve">Britain’s War Machine: Weapons, Resources and Experts in the Second World War, </w:t>
      </w:r>
      <w:r>
        <w:t xml:space="preserve">(2011), Oxford University Press, ch-1, p-3. </w:t>
      </w:r>
    </w:p>
  </w:footnote>
  <w:footnote w:id="5">
    <w:p w14:paraId="799BE522" w14:textId="77777777" w:rsidR="001E6C9A" w:rsidRPr="00BB498B" w:rsidRDefault="001E6C9A" w:rsidP="001E6C9A">
      <w:pPr>
        <w:pStyle w:val="FootnoteText"/>
      </w:pPr>
      <w:r>
        <w:rPr>
          <w:rStyle w:val="FootnoteReference"/>
        </w:rPr>
        <w:footnoteRef/>
      </w:r>
      <w:r>
        <w:t xml:space="preserve"> Edgerton, David, </w:t>
      </w:r>
      <w:r>
        <w:rPr>
          <w:i/>
          <w:iCs/>
        </w:rPr>
        <w:t xml:space="preserve">Britain’s War Machine: Weapons, Resources and Experts in the Second World War, </w:t>
      </w:r>
      <w:r>
        <w:t xml:space="preserve">(2011), ch-1, p-3. </w:t>
      </w:r>
    </w:p>
  </w:footnote>
  <w:footnote w:id="6">
    <w:p w14:paraId="6CB245BB" w14:textId="77777777" w:rsidR="001E6C9A" w:rsidRPr="008B0686" w:rsidRDefault="001E6C9A" w:rsidP="001E6C9A">
      <w:pPr>
        <w:pStyle w:val="FootnoteText"/>
      </w:pPr>
      <w:r>
        <w:rPr>
          <w:rStyle w:val="FootnoteReference"/>
        </w:rPr>
        <w:footnoteRef/>
      </w:r>
      <w:r>
        <w:t xml:space="preserve"> </w:t>
      </w:r>
      <w:proofErr w:type="spellStart"/>
      <w:r>
        <w:t>Spinks</w:t>
      </w:r>
      <w:proofErr w:type="spellEnd"/>
      <w:r>
        <w:t xml:space="preserve">, </w:t>
      </w:r>
      <w:r>
        <w:rPr>
          <w:i/>
          <w:iCs/>
        </w:rPr>
        <w:t xml:space="preserve">Japan’s Entrance into the World War, </w:t>
      </w:r>
      <w:r>
        <w:t xml:space="preserve">Pacific Historical Review, (1936), Vol 5, No4, p-297) </w:t>
      </w:r>
    </w:p>
  </w:footnote>
  <w:footnote w:id="7">
    <w:p w14:paraId="0E2A04DB" w14:textId="77777777" w:rsidR="001E6C9A" w:rsidRPr="00403A1C" w:rsidRDefault="001E6C9A" w:rsidP="001E6C9A">
      <w:pPr>
        <w:pStyle w:val="FootnoteText"/>
      </w:pPr>
      <w:r>
        <w:rPr>
          <w:rStyle w:val="FootnoteReference"/>
        </w:rPr>
        <w:footnoteRef/>
      </w:r>
      <w:r>
        <w:t xml:space="preserve"> Levi and Whyte, </w:t>
      </w:r>
      <w:r>
        <w:rPr>
          <w:i/>
          <w:iCs/>
        </w:rPr>
        <w:t xml:space="preserve">A Cross-Cultural Exploration of the Reference Dependence of Crucial Group Decisions under Risk: Japan’s 1941 Decision for War, </w:t>
      </w:r>
      <w:r>
        <w:t xml:space="preserve">The Journal of Conflict Resolution, (1997), Vol 41, No 6, p-798. </w:t>
      </w:r>
    </w:p>
  </w:footnote>
  <w:footnote w:id="8">
    <w:p w14:paraId="7D090B04" w14:textId="77777777" w:rsidR="001E6C9A" w:rsidRPr="005C17FF" w:rsidRDefault="001E6C9A" w:rsidP="001E6C9A">
      <w:pPr>
        <w:pStyle w:val="FootnoteText"/>
      </w:pPr>
      <w:r>
        <w:rPr>
          <w:rStyle w:val="FootnoteReference"/>
        </w:rPr>
        <w:footnoteRef/>
      </w:r>
      <w:r>
        <w:t xml:space="preserve"> Levi and Whyte, </w:t>
      </w:r>
      <w:r>
        <w:rPr>
          <w:i/>
          <w:iCs/>
        </w:rPr>
        <w:t xml:space="preserve">A Cross-Cultural Exploration of the Reference Dependence of Crucial Group Decisions under Risk: Japan’s 1941 Decision for War, </w:t>
      </w:r>
      <w:r>
        <w:t xml:space="preserve">The Journal of Conflict Resolution, (1997), Vol 41, No 6, p-799. </w:t>
      </w:r>
    </w:p>
  </w:footnote>
  <w:footnote w:id="9">
    <w:p w14:paraId="5EF880E7" w14:textId="77777777" w:rsidR="001E6C9A" w:rsidRDefault="001E6C9A" w:rsidP="001E6C9A">
      <w:pPr>
        <w:pStyle w:val="FootnoteText"/>
      </w:pPr>
      <w:r>
        <w:rPr>
          <w:rStyle w:val="FootnoteReference"/>
        </w:rPr>
        <w:footnoteRef/>
      </w:r>
      <w:r>
        <w:t xml:space="preserve"> Library of Congress, World War II.com, (Accessed 26</w:t>
      </w:r>
      <w:r w:rsidRPr="002B55A5">
        <w:rPr>
          <w:vertAlign w:val="superscript"/>
        </w:rPr>
        <w:t>th</w:t>
      </w:r>
      <w:r>
        <w:t xml:space="preserve"> May 2022)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C9A"/>
    <w:rsid w:val="001E6C9A"/>
    <w:rsid w:val="002004DC"/>
    <w:rsid w:val="00762F6C"/>
    <w:rsid w:val="009F2D9E"/>
    <w:rsid w:val="00A461BD"/>
    <w:rsid w:val="00C11B1A"/>
    <w:rsid w:val="00D14A75"/>
    <w:rsid w:val="00E82F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D8A91D"/>
  <w14:defaultImageDpi w14:val="32767"/>
  <w15:chartTrackingRefBased/>
  <w15:docId w15:val="{FB168B16-E6A2-0F48-B224-F16430C0B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E6C9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E6C9A"/>
    <w:rPr>
      <w:color w:val="0000FF"/>
      <w:u w:val="single"/>
    </w:rPr>
  </w:style>
  <w:style w:type="character" w:customStyle="1" w:styleId="normaltextrun">
    <w:name w:val="normaltextrun"/>
    <w:basedOn w:val="DefaultParagraphFont"/>
    <w:rsid w:val="001E6C9A"/>
  </w:style>
  <w:style w:type="character" w:customStyle="1" w:styleId="eop">
    <w:name w:val="eop"/>
    <w:basedOn w:val="DefaultParagraphFont"/>
    <w:rsid w:val="001E6C9A"/>
  </w:style>
  <w:style w:type="paragraph" w:customStyle="1" w:styleId="paragraph">
    <w:name w:val="paragraph"/>
    <w:basedOn w:val="Normal"/>
    <w:rsid w:val="001E6C9A"/>
    <w:pPr>
      <w:spacing w:before="100" w:beforeAutospacing="1" w:after="100" w:afterAutospacing="1"/>
    </w:pPr>
    <w:rPr>
      <w:rFonts w:ascii="Times New Roman" w:eastAsia="Times New Roman" w:hAnsi="Times New Roman" w:cs="Times New Roman"/>
      <w:lang w:eastAsia="en-GB"/>
    </w:rPr>
  </w:style>
  <w:style w:type="paragraph" w:styleId="FootnoteText">
    <w:name w:val="footnote text"/>
    <w:basedOn w:val="Normal"/>
    <w:link w:val="FootnoteTextChar"/>
    <w:uiPriority w:val="99"/>
    <w:semiHidden/>
    <w:unhideWhenUsed/>
    <w:rsid w:val="001E6C9A"/>
    <w:rPr>
      <w:sz w:val="20"/>
      <w:szCs w:val="20"/>
    </w:rPr>
  </w:style>
  <w:style w:type="character" w:customStyle="1" w:styleId="FootnoteTextChar">
    <w:name w:val="Footnote Text Char"/>
    <w:basedOn w:val="DefaultParagraphFont"/>
    <w:link w:val="FootnoteText"/>
    <w:uiPriority w:val="99"/>
    <w:semiHidden/>
    <w:rsid w:val="001E6C9A"/>
    <w:rPr>
      <w:sz w:val="20"/>
      <w:szCs w:val="20"/>
    </w:rPr>
  </w:style>
  <w:style w:type="character" w:styleId="FootnoteReference">
    <w:name w:val="footnote reference"/>
    <w:basedOn w:val="DefaultParagraphFont"/>
    <w:uiPriority w:val="99"/>
    <w:semiHidden/>
    <w:unhideWhenUsed/>
    <w:rsid w:val="001E6C9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4960174">
      <w:bodyDiv w:val="1"/>
      <w:marLeft w:val="0"/>
      <w:marRight w:val="0"/>
      <w:marTop w:val="0"/>
      <w:marBottom w:val="0"/>
      <w:divBdr>
        <w:top w:val="none" w:sz="0" w:space="0" w:color="auto"/>
        <w:left w:val="none" w:sz="0" w:space="0" w:color="auto"/>
        <w:bottom w:val="none" w:sz="0" w:space="0" w:color="auto"/>
        <w:right w:val="none" w:sz="0" w:space="0" w:color="auto"/>
      </w:divBdr>
      <w:divsChild>
        <w:div w:id="1514497139">
          <w:marLeft w:val="480"/>
          <w:marRight w:val="0"/>
          <w:marTop w:val="0"/>
          <w:marBottom w:val="0"/>
          <w:divBdr>
            <w:top w:val="none" w:sz="0" w:space="0" w:color="auto"/>
            <w:left w:val="none" w:sz="0" w:space="0" w:color="auto"/>
            <w:bottom w:val="none" w:sz="0" w:space="0" w:color="auto"/>
            <w:right w:val="none" w:sz="0" w:space="0" w:color="auto"/>
          </w:divBdr>
          <w:divsChild>
            <w:div w:id="904337651">
              <w:marLeft w:val="0"/>
              <w:marRight w:val="0"/>
              <w:marTop w:val="0"/>
              <w:marBottom w:val="240"/>
              <w:divBdr>
                <w:top w:val="none" w:sz="0" w:space="0" w:color="auto"/>
                <w:left w:val="none" w:sz="0" w:space="0" w:color="auto"/>
                <w:bottom w:val="none" w:sz="0" w:space="0" w:color="auto"/>
                <w:right w:val="none" w:sz="0" w:space="0" w:color="auto"/>
              </w:divBdr>
            </w:div>
            <w:div w:id="1042706354">
              <w:marLeft w:val="0"/>
              <w:marRight w:val="0"/>
              <w:marTop w:val="0"/>
              <w:marBottom w:val="240"/>
              <w:divBdr>
                <w:top w:val="none" w:sz="0" w:space="0" w:color="auto"/>
                <w:left w:val="none" w:sz="0" w:space="0" w:color="auto"/>
                <w:bottom w:val="none" w:sz="0" w:space="0" w:color="auto"/>
                <w:right w:val="none" w:sz="0" w:space="0" w:color="auto"/>
              </w:divBdr>
            </w:div>
            <w:div w:id="677467768">
              <w:marLeft w:val="0"/>
              <w:marRight w:val="0"/>
              <w:marTop w:val="0"/>
              <w:marBottom w:val="240"/>
              <w:divBdr>
                <w:top w:val="none" w:sz="0" w:space="0" w:color="auto"/>
                <w:left w:val="none" w:sz="0" w:space="0" w:color="auto"/>
                <w:bottom w:val="none" w:sz="0" w:space="0" w:color="auto"/>
                <w:right w:val="none" w:sz="0" w:space="0" w:color="auto"/>
              </w:divBdr>
            </w:div>
            <w:div w:id="1699236025">
              <w:marLeft w:val="0"/>
              <w:marRight w:val="0"/>
              <w:marTop w:val="0"/>
              <w:marBottom w:val="240"/>
              <w:divBdr>
                <w:top w:val="none" w:sz="0" w:space="0" w:color="auto"/>
                <w:left w:val="none" w:sz="0" w:space="0" w:color="auto"/>
                <w:bottom w:val="none" w:sz="0" w:space="0" w:color="auto"/>
                <w:right w:val="none" w:sz="0" w:space="0" w:color="auto"/>
              </w:divBdr>
            </w:div>
            <w:div w:id="1892301054">
              <w:marLeft w:val="0"/>
              <w:marRight w:val="0"/>
              <w:marTop w:val="0"/>
              <w:marBottom w:val="240"/>
              <w:divBdr>
                <w:top w:val="none" w:sz="0" w:space="0" w:color="auto"/>
                <w:left w:val="none" w:sz="0" w:space="0" w:color="auto"/>
                <w:bottom w:val="none" w:sz="0" w:space="0" w:color="auto"/>
                <w:right w:val="none" w:sz="0" w:space="0" w:color="auto"/>
              </w:divBdr>
            </w:div>
            <w:div w:id="335890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cyclopedia.ushmm.org/content/en/article/world-war-ii-in-the-pacific" TargetMode="External"/><Relationship Id="rId13" Type="http://schemas.openxmlformats.org/officeDocument/2006/relationships/hyperlink" Target="https://encyclopedia.ushmm.org/content/en/article/world-war-ii-in-the-pacific"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oc.gov/classroom-materials/united-states-history-primary-source-timeline/great-depression-and-world-war-ii-1929-1945/world-war-ii/" TargetMode="External"/><Relationship Id="rId12" Type="http://schemas.openxmlformats.org/officeDocument/2006/relationships/hyperlink" Target="https://encyclopedia.ushmm.org/content/en/article/world-war-ii-in-the-pacific" TargetMode="External"/><Relationship Id="rId17" Type="http://schemas.openxmlformats.org/officeDocument/2006/relationships/hyperlink" Target="https://encyclopedia.ushmm.org/content/en/article/world-war-ii-in-the-pacific" TargetMode="External"/><Relationship Id="rId2" Type="http://schemas.openxmlformats.org/officeDocument/2006/relationships/settings" Target="settings.xml"/><Relationship Id="rId16" Type="http://schemas.openxmlformats.org/officeDocument/2006/relationships/hyperlink" Target="https://encyclopedia.ushmm.org/content/en/article/world-war-ii-in-the-pacific" TargetMode="External"/><Relationship Id="rId1" Type="http://schemas.openxmlformats.org/officeDocument/2006/relationships/styles" Target="styles.xml"/><Relationship Id="rId6" Type="http://schemas.openxmlformats.org/officeDocument/2006/relationships/hyperlink" Target="https://doi.org/10.1111/j.1467-7709.2007.00591.x" TargetMode="External"/><Relationship Id="rId11" Type="http://schemas.openxmlformats.org/officeDocument/2006/relationships/hyperlink" Target="https://www.loc.gov/classroom-materials/united-states-history-primary-source-timeline/great-depression-and-world-war-ii-1929-1945/world-war-ii/" TargetMode="External"/><Relationship Id="rId5" Type="http://schemas.openxmlformats.org/officeDocument/2006/relationships/endnotes" Target="endnotes.xml"/><Relationship Id="rId15" Type="http://schemas.openxmlformats.org/officeDocument/2006/relationships/hyperlink" Target="https://www.loc.gov/classroom-materials/united-states-history-primary-source-timeline/great-depression-and-world-war-ii-1929-1945/world-war-ii/" TargetMode="External"/><Relationship Id="rId10" Type="http://schemas.openxmlformats.org/officeDocument/2006/relationships/hyperlink" Target="https://doi.org/10.1111/j.1467-7709.2007.00591.x"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encyclopedia.ushmm.org/content/en/article/world-war-ii-in-the-pacific" TargetMode="External"/><Relationship Id="rId14" Type="http://schemas.openxmlformats.org/officeDocument/2006/relationships/hyperlink" Target="https://doi.org/10.1111/j.1467-7709.2007.0059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2591</Words>
  <Characters>14771</Characters>
  <Application>Microsoft Office Word</Application>
  <DocSecurity>0</DocSecurity>
  <Lines>123</Lines>
  <Paragraphs>34</Paragraphs>
  <ScaleCrop>false</ScaleCrop>
  <Company/>
  <LinksUpToDate>false</LinksUpToDate>
  <CharactersWithSpaces>17328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Steed</dc:creator>
  <cp:keywords/>
  <dc:description/>
  <cp:lastModifiedBy>Sam Steed</cp:lastModifiedBy>
  <cp:revision>1</cp:revision>
  <dcterms:created xsi:type="dcterms:W3CDTF">2022-06-05T13:40:00Z</dcterms:created>
  <dcterms:modified xsi:type="dcterms:W3CDTF">2022-06-05T13:41:00Z</dcterms:modified>
</cp:coreProperties>
</file>