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B0778" w14:textId="5A0CCC51" w:rsidR="00EB74E2" w:rsidRDefault="00883154" w:rsidP="006917B9">
      <w:pPr>
        <w:jc w:val="center"/>
        <w:rPr>
          <w:lang w:val="en-IN"/>
        </w:rPr>
      </w:pPr>
      <w:r w:rsidRPr="00883154">
        <w:rPr>
          <w:noProof/>
          <w:lang w:val="en-IN"/>
        </w:rPr>
        <w:drawing>
          <wp:inline distT="0" distB="0" distL="0" distR="0" wp14:anchorId="3807325E" wp14:editId="0E07BE77">
            <wp:extent cx="2324424" cy="1095528"/>
            <wp:effectExtent l="0" t="0" r="0" b="9525"/>
            <wp:docPr id="1634436577"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36577" name="Picture 1" descr="A logo with black text&#10;&#10;AI-generated content may be incorrect."/>
                    <pic:cNvPicPr/>
                  </pic:nvPicPr>
                  <pic:blipFill>
                    <a:blip r:embed="rId8"/>
                    <a:stretch>
                      <a:fillRect/>
                    </a:stretch>
                  </pic:blipFill>
                  <pic:spPr>
                    <a:xfrm>
                      <a:off x="0" y="0"/>
                      <a:ext cx="2324424" cy="1095528"/>
                    </a:xfrm>
                    <a:prstGeom prst="rect">
                      <a:avLst/>
                    </a:prstGeom>
                  </pic:spPr>
                </pic:pic>
              </a:graphicData>
            </a:graphic>
          </wp:inline>
        </w:drawing>
      </w:r>
    </w:p>
    <w:p w14:paraId="53EA5963" w14:textId="77777777" w:rsidR="00EB74E2" w:rsidRDefault="00EB74E2" w:rsidP="006917B9">
      <w:pPr>
        <w:rPr>
          <w:lang w:val="en-IN"/>
        </w:rPr>
      </w:pPr>
    </w:p>
    <w:p w14:paraId="60742027" w14:textId="77777777" w:rsidR="00EB74E2" w:rsidRDefault="00EB74E2" w:rsidP="006917B9">
      <w:pPr>
        <w:rPr>
          <w:lang w:val="en-IN"/>
        </w:rPr>
      </w:pPr>
    </w:p>
    <w:p w14:paraId="1A0DD5CD" w14:textId="77777777" w:rsidR="00034D31" w:rsidRPr="00034D31" w:rsidRDefault="00034D31" w:rsidP="006917B9">
      <w:pPr>
        <w:pStyle w:val="Title"/>
        <w:spacing w:before="240" w:after="240"/>
        <w:contextualSpacing w:val="0"/>
        <w:jc w:val="center"/>
        <w:rPr>
          <w:lang w:val="en-IN"/>
        </w:rPr>
      </w:pPr>
      <w:r w:rsidRPr="00034D31">
        <w:rPr>
          <w:lang w:val="en-IN"/>
        </w:rPr>
        <w:t>Master of Business Administration</w:t>
      </w:r>
    </w:p>
    <w:p w14:paraId="6202554D" w14:textId="38A17D24" w:rsidR="00EB74E2" w:rsidRDefault="00034D31" w:rsidP="006917B9">
      <w:pPr>
        <w:pStyle w:val="Title"/>
        <w:spacing w:before="240" w:after="240"/>
        <w:contextualSpacing w:val="0"/>
        <w:jc w:val="center"/>
        <w:rPr>
          <w:lang w:val="en-IN"/>
        </w:rPr>
      </w:pPr>
      <w:r w:rsidRPr="00034D31">
        <w:rPr>
          <w:lang w:val="en-IN"/>
        </w:rPr>
        <w:t>Financial Management</w:t>
      </w:r>
    </w:p>
    <w:p w14:paraId="7549024B" w14:textId="3EAAA0C7" w:rsidR="00034D31" w:rsidRDefault="00034D31" w:rsidP="006917B9">
      <w:pPr>
        <w:pStyle w:val="Title"/>
        <w:spacing w:before="240" w:after="240"/>
        <w:contextualSpacing w:val="0"/>
        <w:jc w:val="center"/>
        <w:rPr>
          <w:lang w:val="en-IN"/>
        </w:rPr>
      </w:pPr>
      <w:r w:rsidRPr="00034D31">
        <w:rPr>
          <w:lang w:val="en-IN"/>
        </w:rPr>
        <w:t>LCMB7002</w:t>
      </w:r>
    </w:p>
    <w:p w14:paraId="0E8F62B6" w14:textId="77777777" w:rsidR="00EB74E2" w:rsidRDefault="00EB74E2" w:rsidP="006917B9">
      <w:pPr>
        <w:rPr>
          <w:lang w:val="en-IN"/>
        </w:rPr>
      </w:pPr>
    </w:p>
    <w:p w14:paraId="646099CB" w14:textId="515FCFB7" w:rsidR="00AF7879" w:rsidRDefault="00AE10AA" w:rsidP="006917B9">
      <w:pPr>
        <w:jc w:val="center"/>
        <w:rPr>
          <w:b/>
          <w:bCs/>
          <w:i/>
          <w:iCs/>
          <w:sz w:val="36"/>
          <w:szCs w:val="32"/>
          <w:lang w:val="en-IN"/>
        </w:rPr>
      </w:pPr>
      <w:r>
        <w:rPr>
          <w:b/>
          <w:bCs/>
          <w:i/>
          <w:iCs/>
          <w:sz w:val="36"/>
          <w:szCs w:val="32"/>
          <w:lang w:val="en-IN"/>
        </w:rPr>
        <w:t>Title:</w:t>
      </w:r>
      <w:r w:rsidR="008B5AF5">
        <w:rPr>
          <w:b/>
          <w:bCs/>
          <w:i/>
          <w:iCs/>
          <w:sz w:val="36"/>
          <w:szCs w:val="32"/>
          <w:lang w:val="en-IN"/>
        </w:rPr>
        <w:t xml:space="preserve"> </w:t>
      </w:r>
      <w:r w:rsidR="00F039E1" w:rsidRPr="003B4767">
        <w:rPr>
          <w:b/>
          <w:bCs/>
          <w:i/>
          <w:iCs/>
          <w:sz w:val="36"/>
          <w:szCs w:val="32"/>
          <w:lang w:val="en-IN"/>
        </w:rPr>
        <w:t xml:space="preserve">Financial performance and management at General Electronics </w:t>
      </w:r>
    </w:p>
    <w:p w14:paraId="6EC537BD" w14:textId="77777777" w:rsidR="000D4FF2" w:rsidRDefault="000D4FF2" w:rsidP="006917B9">
      <w:pPr>
        <w:rPr>
          <w:lang w:val="en-IN"/>
        </w:rPr>
      </w:pPr>
    </w:p>
    <w:p w14:paraId="369F0B4E" w14:textId="77777777" w:rsidR="000D4FF2" w:rsidRDefault="000D4FF2" w:rsidP="006917B9">
      <w:pPr>
        <w:rPr>
          <w:lang w:val="en-IN"/>
        </w:rPr>
      </w:pPr>
    </w:p>
    <w:p w14:paraId="2D5BCCCF" w14:textId="50E4FC95" w:rsidR="00BC4BA5" w:rsidRDefault="00BC4BA5" w:rsidP="006917B9">
      <w:pPr>
        <w:jc w:val="center"/>
        <w:rPr>
          <w:lang w:val="en-IN"/>
        </w:rPr>
      </w:pPr>
      <w:r w:rsidRPr="008F52E8">
        <w:rPr>
          <w:b/>
          <w:bCs/>
          <w:lang w:val="en-IN"/>
        </w:rPr>
        <w:t>Lecturer’s Name:</w:t>
      </w:r>
      <w:r>
        <w:rPr>
          <w:lang w:val="en-IN"/>
        </w:rPr>
        <w:t xml:space="preserve"> </w:t>
      </w:r>
      <w:proofErr w:type="spellStart"/>
      <w:r w:rsidR="008F52E8" w:rsidRPr="00667A77">
        <w:rPr>
          <w:b/>
          <w:bCs/>
          <w:lang w:val="en-IN"/>
        </w:rPr>
        <w:t>Shengfeng</w:t>
      </w:r>
      <w:proofErr w:type="spellEnd"/>
      <w:r w:rsidR="008F52E8" w:rsidRPr="00667A77">
        <w:rPr>
          <w:b/>
          <w:bCs/>
          <w:lang w:val="en-IN"/>
        </w:rPr>
        <w:t xml:space="preserve"> Mei </w:t>
      </w:r>
    </w:p>
    <w:p w14:paraId="0ED6126A" w14:textId="78E83589" w:rsidR="00BC4BA5" w:rsidRPr="008F52E8" w:rsidRDefault="00BC4BA5" w:rsidP="006917B9">
      <w:pPr>
        <w:jc w:val="center"/>
        <w:rPr>
          <w:b/>
          <w:bCs/>
          <w:lang w:val="en-IN"/>
        </w:rPr>
      </w:pPr>
      <w:r w:rsidRPr="008F52E8">
        <w:rPr>
          <w:b/>
          <w:bCs/>
          <w:lang w:val="en-IN"/>
        </w:rPr>
        <w:t>Student Name:</w:t>
      </w:r>
      <w:r w:rsidR="00667A77">
        <w:rPr>
          <w:b/>
          <w:bCs/>
          <w:lang w:val="en-IN"/>
        </w:rPr>
        <w:t xml:space="preserve"> Divyesh Desai</w:t>
      </w:r>
    </w:p>
    <w:p w14:paraId="2499FDAE" w14:textId="4B4F0457" w:rsidR="00BC4BA5" w:rsidRPr="008F52E8" w:rsidRDefault="009E28EE" w:rsidP="006917B9">
      <w:pPr>
        <w:jc w:val="center"/>
        <w:rPr>
          <w:b/>
          <w:bCs/>
          <w:lang w:val="en-IN"/>
        </w:rPr>
      </w:pPr>
      <w:r w:rsidRPr="008F52E8">
        <w:rPr>
          <w:b/>
          <w:bCs/>
          <w:lang w:val="en-IN"/>
        </w:rPr>
        <w:t>Student</w:t>
      </w:r>
      <w:r w:rsidR="00BC4BA5" w:rsidRPr="008F52E8">
        <w:rPr>
          <w:b/>
          <w:bCs/>
          <w:lang w:val="en-IN"/>
        </w:rPr>
        <w:t xml:space="preserve"> ID:</w:t>
      </w:r>
      <w:r w:rsidR="00667A77">
        <w:rPr>
          <w:b/>
          <w:bCs/>
          <w:lang w:val="en-IN"/>
        </w:rPr>
        <w:t xml:space="preserve"> 2510655</w:t>
      </w:r>
    </w:p>
    <w:p w14:paraId="7B49B13C" w14:textId="474E6642" w:rsidR="00EB74E2" w:rsidRPr="003B4767" w:rsidRDefault="00667A77" w:rsidP="006917B9">
      <w:pPr>
        <w:jc w:val="center"/>
        <w:rPr>
          <w:lang w:val="en-IN"/>
        </w:rPr>
      </w:pPr>
      <w:r>
        <w:rPr>
          <w:b/>
          <w:bCs/>
          <w:lang w:val="en-IN"/>
        </w:rPr>
        <w:t xml:space="preserve">Term: 1 </w:t>
      </w:r>
      <w:r w:rsidR="00EB74E2" w:rsidRPr="003B4767">
        <w:rPr>
          <w:lang w:val="en-IN"/>
        </w:rPr>
        <w:br w:type="page"/>
      </w:r>
    </w:p>
    <w:sdt>
      <w:sdtPr>
        <w:rPr>
          <w:rFonts w:ascii="Times New Roman" w:eastAsiaTheme="minorHAnsi" w:hAnsi="Times New Roman" w:cstheme="minorBidi"/>
          <w:color w:val="auto"/>
          <w:kern w:val="2"/>
          <w:sz w:val="24"/>
          <w:szCs w:val="22"/>
          <w:lang w:val="en-GB"/>
          <w14:ligatures w14:val="standardContextual"/>
        </w:rPr>
        <w:id w:val="1168673154"/>
        <w:docPartObj>
          <w:docPartGallery w:val="Table of Contents"/>
          <w:docPartUnique/>
        </w:docPartObj>
      </w:sdtPr>
      <w:sdtEndPr>
        <w:rPr>
          <w:rFonts w:ascii="Arial" w:hAnsi="Arial"/>
          <w:b/>
          <w:bCs/>
          <w:noProof/>
        </w:rPr>
      </w:sdtEndPr>
      <w:sdtContent>
        <w:p w14:paraId="55213E43" w14:textId="77777777" w:rsidR="00EB74E2" w:rsidRPr="00EB74E2" w:rsidRDefault="00EB74E2" w:rsidP="006917B9">
          <w:pPr>
            <w:pStyle w:val="TOCHeading"/>
            <w:spacing w:after="240" w:line="360" w:lineRule="auto"/>
            <w:rPr>
              <w:rFonts w:ascii="Times New Roman" w:hAnsi="Times New Roman" w:cs="Times New Roman"/>
              <w:b/>
              <w:bCs/>
              <w:color w:val="auto"/>
            </w:rPr>
          </w:pPr>
          <w:r w:rsidRPr="00EB74E2">
            <w:rPr>
              <w:rFonts w:ascii="Times New Roman" w:hAnsi="Times New Roman" w:cs="Times New Roman"/>
              <w:b/>
              <w:bCs/>
              <w:color w:val="auto"/>
            </w:rPr>
            <w:t>Table of Contents</w:t>
          </w:r>
        </w:p>
        <w:p w14:paraId="73D50B02" w14:textId="1DD6E1DA" w:rsidR="00435FE4" w:rsidRDefault="00EB74E2">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15057619" w:history="1">
            <w:r w:rsidR="00435FE4" w:rsidRPr="00543909">
              <w:rPr>
                <w:rStyle w:val="Hyperlink"/>
                <w:noProof/>
                <w:lang w:val="en-IN"/>
              </w:rPr>
              <w:t>Financial Health Analysis</w:t>
            </w:r>
            <w:r w:rsidR="00435FE4">
              <w:rPr>
                <w:noProof/>
                <w:webHidden/>
              </w:rPr>
              <w:tab/>
            </w:r>
            <w:r w:rsidR="00435FE4">
              <w:rPr>
                <w:noProof/>
                <w:webHidden/>
              </w:rPr>
              <w:fldChar w:fldCharType="begin"/>
            </w:r>
            <w:r w:rsidR="00435FE4">
              <w:rPr>
                <w:noProof/>
                <w:webHidden/>
              </w:rPr>
              <w:instrText xml:space="preserve"> PAGEREF _Toc215057619 \h </w:instrText>
            </w:r>
            <w:r w:rsidR="00435FE4">
              <w:rPr>
                <w:noProof/>
                <w:webHidden/>
              </w:rPr>
            </w:r>
            <w:r w:rsidR="00435FE4">
              <w:rPr>
                <w:noProof/>
                <w:webHidden/>
              </w:rPr>
              <w:fldChar w:fldCharType="separate"/>
            </w:r>
            <w:r w:rsidR="00435FE4">
              <w:rPr>
                <w:noProof/>
                <w:webHidden/>
              </w:rPr>
              <w:t>3</w:t>
            </w:r>
            <w:r w:rsidR="00435FE4">
              <w:rPr>
                <w:noProof/>
                <w:webHidden/>
              </w:rPr>
              <w:fldChar w:fldCharType="end"/>
            </w:r>
          </w:hyperlink>
        </w:p>
        <w:p w14:paraId="4F145106" w14:textId="278625DD"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20" w:history="1">
            <w:r w:rsidRPr="00543909">
              <w:rPr>
                <w:rStyle w:val="Hyperlink"/>
                <w:noProof/>
                <w:lang w:val="en-IN"/>
              </w:rPr>
              <w:t>Profitability Ratios</w:t>
            </w:r>
            <w:r>
              <w:rPr>
                <w:noProof/>
                <w:webHidden/>
              </w:rPr>
              <w:tab/>
            </w:r>
            <w:r>
              <w:rPr>
                <w:noProof/>
                <w:webHidden/>
              </w:rPr>
              <w:fldChar w:fldCharType="begin"/>
            </w:r>
            <w:r>
              <w:rPr>
                <w:noProof/>
                <w:webHidden/>
              </w:rPr>
              <w:instrText xml:space="preserve"> PAGEREF _Toc215057620 \h </w:instrText>
            </w:r>
            <w:r>
              <w:rPr>
                <w:noProof/>
                <w:webHidden/>
              </w:rPr>
            </w:r>
            <w:r>
              <w:rPr>
                <w:noProof/>
                <w:webHidden/>
              </w:rPr>
              <w:fldChar w:fldCharType="separate"/>
            </w:r>
            <w:r>
              <w:rPr>
                <w:noProof/>
                <w:webHidden/>
              </w:rPr>
              <w:t>3</w:t>
            </w:r>
            <w:r>
              <w:rPr>
                <w:noProof/>
                <w:webHidden/>
              </w:rPr>
              <w:fldChar w:fldCharType="end"/>
            </w:r>
          </w:hyperlink>
        </w:p>
        <w:p w14:paraId="5975326A" w14:textId="79BA47FC"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21" w:history="1">
            <w:r w:rsidRPr="00543909">
              <w:rPr>
                <w:rStyle w:val="Hyperlink"/>
                <w:noProof/>
                <w:lang w:val="en-IN"/>
              </w:rPr>
              <w:t>Liquidity Ratios</w:t>
            </w:r>
            <w:r>
              <w:rPr>
                <w:noProof/>
                <w:webHidden/>
              </w:rPr>
              <w:tab/>
            </w:r>
            <w:r>
              <w:rPr>
                <w:noProof/>
                <w:webHidden/>
              </w:rPr>
              <w:fldChar w:fldCharType="begin"/>
            </w:r>
            <w:r>
              <w:rPr>
                <w:noProof/>
                <w:webHidden/>
              </w:rPr>
              <w:instrText xml:space="preserve"> PAGEREF _Toc215057621 \h </w:instrText>
            </w:r>
            <w:r>
              <w:rPr>
                <w:noProof/>
                <w:webHidden/>
              </w:rPr>
            </w:r>
            <w:r>
              <w:rPr>
                <w:noProof/>
                <w:webHidden/>
              </w:rPr>
              <w:fldChar w:fldCharType="separate"/>
            </w:r>
            <w:r>
              <w:rPr>
                <w:noProof/>
                <w:webHidden/>
              </w:rPr>
              <w:t>4</w:t>
            </w:r>
            <w:r>
              <w:rPr>
                <w:noProof/>
                <w:webHidden/>
              </w:rPr>
              <w:fldChar w:fldCharType="end"/>
            </w:r>
          </w:hyperlink>
        </w:p>
        <w:p w14:paraId="001BE12E" w14:textId="16958062"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22" w:history="1">
            <w:r w:rsidRPr="00543909">
              <w:rPr>
                <w:rStyle w:val="Hyperlink"/>
                <w:noProof/>
                <w:lang w:val="en-IN"/>
              </w:rPr>
              <w:t>Efficiency Ratios</w:t>
            </w:r>
            <w:r>
              <w:rPr>
                <w:noProof/>
                <w:webHidden/>
              </w:rPr>
              <w:tab/>
            </w:r>
            <w:r>
              <w:rPr>
                <w:noProof/>
                <w:webHidden/>
              </w:rPr>
              <w:fldChar w:fldCharType="begin"/>
            </w:r>
            <w:r>
              <w:rPr>
                <w:noProof/>
                <w:webHidden/>
              </w:rPr>
              <w:instrText xml:space="preserve"> PAGEREF _Toc215057622 \h </w:instrText>
            </w:r>
            <w:r>
              <w:rPr>
                <w:noProof/>
                <w:webHidden/>
              </w:rPr>
            </w:r>
            <w:r>
              <w:rPr>
                <w:noProof/>
                <w:webHidden/>
              </w:rPr>
              <w:fldChar w:fldCharType="separate"/>
            </w:r>
            <w:r>
              <w:rPr>
                <w:noProof/>
                <w:webHidden/>
              </w:rPr>
              <w:t>5</w:t>
            </w:r>
            <w:r>
              <w:rPr>
                <w:noProof/>
                <w:webHidden/>
              </w:rPr>
              <w:fldChar w:fldCharType="end"/>
            </w:r>
          </w:hyperlink>
        </w:p>
        <w:p w14:paraId="489A5EED" w14:textId="1EC19183"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23" w:history="1">
            <w:r w:rsidRPr="00543909">
              <w:rPr>
                <w:rStyle w:val="Hyperlink"/>
                <w:noProof/>
                <w:lang w:val="en-IN"/>
              </w:rPr>
              <w:t>Gearing Ratios</w:t>
            </w:r>
            <w:r>
              <w:rPr>
                <w:noProof/>
                <w:webHidden/>
              </w:rPr>
              <w:tab/>
            </w:r>
            <w:r>
              <w:rPr>
                <w:noProof/>
                <w:webHidden/>
              </w:rPr>
              <w:fldChar w:fldCharType="begin"/>
            </w:r>
            <w:r>
              <w:rPr>
                <w:noProof/>
                <w:webHidden/>
              </w:rPr>
              <w:instrText xml:space="preserve"> PAGEREF _Toc215057623 \h </w:instrText>
            </w:r>
            <w:r>
              <w:rPr>
                <w:noProof/>
                <w:webHidden/>
              </w:rPr>
            </w:r>
            <w:r>
              <w:rPr>
                <w:noProof/>
                <w:webHidden/>
              </w:rPr>
              <w:fldChar w:fldCharType="separate"/>
            </w:r>
            <w:r>
              <w:rPr>
                <w:noProof/>
                <w:webHidden/>
              </w:rPr>
              <w:t>6</w:t>
            </w:r>
            <w:r>
              <w:rPr>
                <w:noProof/>
                <w:webHidden/>
              </w:rPr>
              <w:fldChar w:fldCharType="end"/>
            </w:r>
          </w:hyperlink>
        </w:p>
        <w:p w14:paraId="6538934C" w14:textId="7F18277C"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24" w:history="1">
            <w:r w:rsidRPr="00543909">
              <w:rPr>
                <w:rStyle w:val="Hyperlink"/>
                <w:noProof/>
                <w:lang w:val="en-IN"/>
              </w:rPr>
              <w:t>Investment Ratios</w:t>
            </w:r>
            <w:r>
              <w:rPr>
                <w:noProof/>
                <w:webHidden/>
              </w:rPr>
              <w:tab/>
            </w:r>
            <w:r>
              <w:rPr>
                <w:noProof/>
                <w:webHidden/>
              </w:rPr>
              <w:fldChar w:fldCharType="begin"/>
            </w:r>
            <w:r>
              <w:rPr>
                <w:noProof/>
                <w:webHidden/>
              </w:rPr>
              <w:instrText xml:space="preserve"> PAGEREF _Toc215057624 \h </w:instrText>
            </w:r>
            <w:r>
              <w:rPr>
                <w:noProof/>
                <w:webHidden/>
              </w:rPr>
            </w:r>
            <w:r>
              <w:rPr>
                <w:noProof/>
                <w:webHidden/>
              </w:rPr>
              <w:fldChar w:fldCharType="separate"/>
            </w:r>
            <w:r>
              <w:rPr>
                <w:noProof/>
                <w:webHidden/>
              </w:rPr>
              <w:t>7</w:t>
            </w:r>
            <w:r>
              <w:rPr>
                <w:noProof/>
                <w:webHidden/>
              </w:rPr>
              <w:fldChar w:fldCharType="end"/>
            </w:r>
          </w:hyperlink>
        </w:p>
        <w:p w14:paraId="4677B3BC" w14:textId="5C541CB3"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25" w:history="1">
            <w:r w:rsidRPr="00543909">
              <w:rPr>
                <w:rStyle w:val="Hyperlink"/>
                <w:noProof/>
                <w:lang w:val="en-IN"/>
              </w:rPr>
              <w:t>Cash Flow Ratios</w:t>
            </w:r>
            <w:r>
              <w:rPr>
                <w:noProof/>
                <w:webHidden/>
              </w:rPr>
              <w:tab/>
            </w:r>
            <w:r>
              <w:rPr>
                <w:noProof/>
                <w:webHidden/>
              </w:rPr>
              <w:fldChar w:fldCharType="begin"/>
            </w:r>
            <w:r>
              <w:rPr>
                <w:noProof/>
                <w:webHidden/>
              </w:rPr>
              <w:instrText xml:space="preserve"> PAGEREF _Toc215057625 \h </w:instrText>
            </w:r>
            <w:r>
              <w:rPr>
                <w:noProof/>
                <w:webHidden/>
              </w:rPr>
            </w:r>
            <w:r>
              <w:rPr>
                <w:noProof/>
                <w:webHidden/>
              </w:rPr>
              <w:fldChar w:fldCharType="separate"/>
            </w:r>
            <w:r>
              <w:rPr>
                <w:noProof/>
                <w:webHidden/>
              </w:rPr>
              <w:t>8</w:t>
            </w:r>
            <w:r>
              <w:rPr>
                <w:noProof/>
                <w:webHidden/>
              </w:rPr>
              <w:fldChar w:fldCharType="end"/>
            </w:r>
          </w:hyperlink>
        </w:p>
        <w:p w14:paraId="79370710" w14:textId="59455241"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26" w:history="1">
            <w:r w:rsidRPr="00543909">
              <w:rPr>
                <w:rStyle w:val="Hyperlink"/>
                <w:noProof/>
                <w:lang w:val="en-IN"/>
              </w:rPr>
              <w:t>Corporate Failure Prediction Model</w:t>
            </w:r>
            <w:r>
              <w:rPr>
                <w:noProof/>
                <w:webHidden/>
              </w:rPr>
              <w:tab/>
            </w:r>
            <w:r>
              <w:rPr>
                <w:noProof/>
                <w:webHidden/>
              </w:rPr>
              <w:fldChar w:fldCharType="begin"/>
            </w:r>
            <w:r>
              <w:rPr>
                <w:noProof/>
                <w:webHidden/>
              </w:rPr>
              <w:instrText xml:space="preserve"> PAGEREF _Toc215057626 \h </w:instrText>
            </w:r>
            <w:r>
              <w:rPr>
                <w:noProof/>
                <w:webHidden/>
              </w:rPr>
            </w:r>
            <w:r>
              <w:rPr>
                <w:noProof/>
                <w:webHidden/>
              </w:rPr>
              <w:fldChar w:fldCharType="separate"/>
            </w:r>
            <w:r>
              <w:rPr>
                <w:noProof/>
                <w:webHidden/>
              </w:rPr>
              <w:t>9</w:t>
            </w:r>
            <w:r>
              <w:rPr>
                <w:noProof/>
                <w:webHidden/>
              </w:rPr>
              <w:fldChar w:fldCharType="end"/>
            </w:r>
          </w:hyperlink>
        </w:p>
        <w:p w14:paraId="4F16F3DD" w14:textId="4399E3F0" w:rsidR="00435FE4" w:rsidRDefault="00435FE4">
          <w:pPr>
            <w:pStyle w:val="TOC1"/>
            <w:tabs>
              <w:tab w:val="right" w:leader="dot" w:pos="9016"/>
            </w:tabs>
            <w:rPr>
              <w:rFonts w:asciiTheme="minorHAnsi" w:eastAsiaTheme="minorEastAsia" w:hAnsiTheme="minorHAnsi"/>
              <w:noProof/>
              <w:szCs w:val="24"/>
              <w:lang w:val="en-IN" w:eastAsia="en-IN"/>
            </w:rPr>
          </w:pPr>
          <w:hyperlink w:anchor="_Toc215057627" w:history="1">
            <w:r w:rsidRPr="00543909">
              <w:rPr>
                <w:rStyle w:val="Hyperlink"/>
                <w:noProof/>
                <w:lang w:val="en-IN"/>
              </w:rPr>
              <w:t>Working Capital Management Analysis</w:t>
            </w:r>
            <w:r>
              <w:rPr>
                <w:noProof/>
                <w:webHidden/>
              </w:rPr>
              <w:tab/>
            </w:r>
            <w:r>
              <w:rPr>
                <w:noProof/>
                <w:webHidden/>
              </w:rPr>
              <w:fldChar w:fldCharType="begin"/>
            </w:r>
            <w:r>
              <w:rPr>
                <w:noProof/>
                <w:webHidden/>
              </w:rPr>
              <w:instrText xml:space="preserve"> PAGEREF _Toc215057627 \h </w:instrText>
            </w:r>
            <w:r>
              <w:rPr>
                <w:noProof/>
                <w:webHidden/>
              </w:rPr>
            </w:r>
            <w:r>
              <w:rPr>
                <w:noProof/>
                <w:webHidden/>
              </w:rPr>
              <w:fldChar w:fldCharType="separate"/>
            </w:r>
            <w:r>
              <w:rPr>
                <w:noProof/>
                <w:webHidden/>
              </w:rPr>
              <w:t>10</w:t>
            </w:r>
            <w:r>
              <w:rPr>
                <w:noProof/>
                <w:webHidden/>
              </w:rPr>
              <w:fldChar w:fldCharType="end"/>
            </w:r>
          </w:hyperlink>
        </w:p>
        <w:p w14:paraId="3E963349" w14:textId="4693793A"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28" w:history="1">
            <w:r w:rsidRPr="00543909">
              <w:rPr>
                <w:rStyle w:val="Hyperlink"/>
                <w:noProof/>
              </w:rPr>
              <w:t>Recommendations</w:t>
            </w:r>
            <w:r>
              <w:rPr>
                <w:noProof/>
                <w:webHidden/>
              </w:rPr>
              <w:tab/>
            </w:r>
            <w:r>
              <w:rPr>
                <w:noProof/>
                <w:webHidden/>
              </w:rPr>
              <w:fldChar w:fldCharType="begin"/>
            </w:r>
            <w:r>
              <w:rPr>
                <w:noProof/>
                <w:webHidden/>
              </w:rPr>
              <w:instrText xml:space="preserve"> PAGEREF _Toc215057628 \h </w:instrText>
            </w:r>
            <w:r>
              <w:rPr>
                <w:noProof/>
                <w:webHidden/>
              </w:rPr>
            </w:r>
            <w:r>
              <w:rPr>
                <w:noProof/>
                <w:webHidden/>
              </w:rPr>
              <w:fldChar w:fldCharType="separate"/>
            </w:r>
            <w:r>
              <w:rPr>
                <w:noProof/>
                <w:webHidden/>
              </w:rPr>
              <w:t>11</w:t>
            </w:r>
            <w:r>
              <w:rPr>
                <w:noProof/>
                <w:webHidden/>
              </w:rPr>
              <w:fldChar w:fldCharType="end"/>
            </w:r>
          </w:hyperlink>
        </w:p>
        <w:p w14:paraId="233A54BB" w14:textId="345924EF"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29" w:history="1">
            <w:r w:rsidRPr="00543909">
              <w:rPr>
                <w:rStyle w:val="Hyperlink"/>
                <w:noProof/>
              </w:rPr>
              <w:t>Short-term and Long-term Financing</w:t>
            </w:r>
            <w:r>
              <w:rPr>
                <w:noProof/>
                <w:webHidden/>
              </w:rPr>
              <w:tab/>
            </w:r>
            <w:r>
              <w:rPr>
                <w:noProof/>
                <w:webHidden/>
              </w:rPr>
              <w:fldChar w:fldCharType="begin"/>
            </w:r>
            <w:r>
              <w:rPr>
                <w:noProof/>
                <w:webHidden/>
              </w:rPr>
              <w:instrText xml:space="preserve"> PAGEREF _Toc215057629 \h </w:instrText>
            </w:r>
            <w:r>
              <w:rPr>
                <w:noProof/>
                <w:webHidden/>
              </w:rPr>
            </w:r>
            <w:r>
              <w:rPr>
                <w:noProof/>
                <w:webHidden/>
              </w:rPr>
              <w:fldChar w:fldCharType="separate"/>
            </w:r>
            <w:r>
              <w:rPr>
                <w:noProof/>
                <w:webHidden/>
              </w:rPr>
              <w:t>12</w:t>
            </w:r>
            <w:r>
              <w:rPr>
                <w:noProof/>
                <w:webHidden/>
              </w:rPr>
              <w:fldChar w:fldCharType="end"/>
            </w:r>
          </w:hyperlink>
        </w:p>
        <w:p w14:paraId="0FD16247" w14:textId="7A0058AB" w:rsidR="00435FE4" w:rsidRDefault="00435FE4">
          <w:pPr>
            <w:pStyle w:val="TOC3"/>
            <w:tabs>
              <w:tab w:val="right" w:leader="dot" w:pos="9016"/>
            </w:tabs>
            <w:rPr>
              <w:rFonts w:asciiTheme="minorHAnsi" w:eastAsiaTheme="minorEastAsia" w:hAnsiTheme="minorHAnsi"/>
              <w:noProof/>
              <w:szCs w:val="24"/>
              <w:lang w:val="en-IN" w:eastAsia="en-IN"/>
            </w:rPr>
          </w:pPr>
          <w:hyperlink w:anchor="_Toc215057630" w:history="1">
            <w:r w:rsidRPr="00543909">
              <w:rPr>
                <w:rStyle w:val="Hyperlink"/>
                <w:noProof/>
              </w:rPr>
              <w:t>Short-Term Financing</w:t>
            </w:r>
            <w:r>
              <w:rPr>
                <w:noProof/>
                <w:webHidden/>
              </w:rPr>
              <w:tab/>
            </w:r>
            <w:r>
              <w:rPr>
                <w:noProof/>
                <w:webHidden/>
              </w:rPr>
              <w:fldChar w:fldCharType="begin"/>
            </w:r>
            <w:r>
              <w:rPr>
                <w:noProof/>
                <w:webHidden/>
              </w:rPr>
              <w:instrText xml:space="preserve"> PAGEREF _Toc215057630 \h </w:instrText>
            </w:r>
            <w:r>
              <w:rPr>
                <w:noProof/>
                <w:webHidden/>
              </w:rPr>
            </w:r>
            <w:r>
              <w:rPr>
                <w:noProof/>
                <w:webHidden/>
              </w:rPr>
              <w:fldChar w:fldCharType="separate"/>
            </w:r>
            <w:r>
              <w:rPr>
                <w:noProof/>
                <w:webHidden/>
              </w:rPr>
              <w:t>12</w:t>
            </w:r>
            <w:r>
              <w:rPr>
                <w:noProof/>
                <w:webHidden/>
              </w:rPr>
              <w:fldChar w:fldCharType="end"/>
            </w:r>
          </w:hyperlink>
        </w:p>
        <w:p w14:paraId="6EB3F72F" w14:textId="672439A3" w:rsidR="00435FE4" w:rsidRDefault="00435FE4">
          <w:pPr>
            <w:pStyle w:val="TOC3"/>
            <w:tabs>
              <w:tab w:val="right" w:leader="dot" w:pos="9016"/>
            </w:tabs>
            <w:rPr>
              <w:rFonts w:asciiTheme="minorHAnsi" w:eastAsiaTheme="minorEastAsia" w:hAnsiTheme="minorHAnsi"/>
              <w:noProof/>
              <w:szCs w:val="24"/>
              <w:lang w:val="en-IN" w:eastAsia="en-IN"/>
            </w:rPr>
          </w:pPr>
          <w:hyperlink w:anchor="_Toc215057631" w:history="1">
            <w:r w:rsidRPr="00543909">
              <w:rPr>
                <w:rStyle w:val="Hyperlink"/>
                <w:noProof/>
              </w:rPr>
              <w:t>Long-Term Financing</w:t>
            </w:r>
            <w:r>
              <w:rPr>
                <w:noProof/>
                <w:webHidden/>
              </w:rPr>
              <w:tab/>
            </w:r>
            <w:r>
              <w:rPr>
                <w:noProof/>
                <w:webHidden/>
              </w:rPr>
              <w:fldChar w:fldCharType="begin"/>
            </w:r>
            <w:r>
              <w:rPr>
                <w:noProof/>
                <w:webHidden/>
              </w:rPr>
              <w:instrText xml:space="preserve"> PAGEREF _Toc215057631 \h </w:instrText>
            </w:r>
            <w:r>
              <w:rPr>
                <w:noProof/>
                <w:webHidden/>
              </w:rPr>
            </w:r>
            <w:r>
              <w:rPr>
                <w:noProof/>
                <w:webHidden/>
              </w:rPr>
              <w:fldChar w:fldCharType="separate"/>
            </w:r>
            <w:r>
              <w:rPr>
                <w:noProof/>
                <w:webHidden/>
              </w:rPr>
              <w:t>12</w:t>
            </w:r>
            <w:r>
              <w:rPr>
                <w:noProof/>
                <w:webHidden/>
              </w:rPr>
              <w:fldChar w:fldCharType="end"/>
            </w:r>
          </w:hyperlink>
        </w:p>
        <w:p w14:paraId="091ECB86" w14:textId="4629F763" w:rsidR="00435FE4" w:rsidRDefault="00435FE4">
          <w:pPr>
            <w:pStyle w:val="TOC1"/>
            <w:tabs>
              <w:tab w:val="right" w:leader="dot" w:pos="9016"/>
            </w:tabs>
            <w:rPr>
              <w:rFonts w:asciiTheme="minorHAnsi" w:eastAsiaTheme="minorEastAsia" w:hAnsiTheme="minorHAnsi"/>
              <w:noProof/>
              <w:szCs w:val="24"/>
              <w:lang w:val="en-IN" w:eastAsia="en-IN"/>
            </w:rPr>
          </w:pPr>
          <w:hyperlink w:anchor="_Toc215057632" w:history="1">
            <w:r w:rsidRPr="00543909">
              <w:rPr>
                <w:rStyle w:val="Hyperlink"/>
                <w:noProof/>
                <w:lang w:val="en-IN"/>
              </w:rPr>
              <w:t>References</w:t>
            </w:r>
            <w:r>
              <w:rPr>
                <w:noProof/>
                <w:webHidden/>
              </w:rPr>
              <w:tab/>
            </w:r>
            <w:r>
              <w:rPr>
                <w:noProof/>
                <w:webHidden/>
              </w:rPr>
              <w:fldChar w:fldCharType="begin"/>
            </w:r>
            <w:r>
              <w:rPr>
                <w:noProof/>
                <w:webHidden/>
              </w:rPr>
              <w:instrText xml:space="preserve"> PAGEREF _Toc215057632 \h </w:instrText>
            </w:r>
            <w:r>
              <w:rPr>
                <w:noProof/>
                <w:webHidden/>
              </w:rPr>
            </w:r>
            <w:r>
              <w:rPr>
                <w:noProof/>
                <w:webHidden/>
              </w:rPr>
              <w:fldChar w:fldCharType="separate"/>
            </w:r>
            <w:r>
              <w:rPr>
                <w:noProof/>
                <w:webHidden/>
              </w:rPr>
              <w:t>13</w:t>
            </w:r>
            <w:r>
              <w:rPr>
                <w:noProof/>
                <w:webHidden/>
              </w:rPr>
              <w:fldChar w:fldCharType="end"/>
            </w:r>
          </w:hyperlink>
        </w:p>
        <w:p w14:paraId="7D729A7C" w14:textId="6D879B3A" w:rsidR="00435FE4" w:rsidRDefault="00435FE4">
          <w:pPr>
            <w:pStyle w:val="TOC1"/>
            <w:tabs>
              <w:tab w:val="right" w:leader="dot" w:pos="9016"/>
            </w:tabs>
            <w:rPr>
              <w:rFonts w:asciiTheme="minorHAnsi" w:eastAsiaTheme="minorEastAsia" w:hAnsiTheme="minorHAnsi"/>
              <w:noProof/>
              <w:szCs w:val="24"/>
              <w:lang w:val="en-IN" w:eastAsia="en-IN"/>
            </w:rPr>
          </w:pPr>
          <w:hyperlink w:anchor="_Toc215057633" w:history="1">
            <w:r w:rsidRPr="00543909">
              <w:rPr>
                <w:rStyle w:val="Hyperlink"/>
                <w:noProof/>
                <w:lang w:val="en-IN"/>
              </w:rPr>
              <w:t>Appendix</w:t>
            </w:r>
            <w:r>
              <w:rPr>
                <w:noProof/>
                <w:webHidden/>
              </w:rPr>
              <w:tab/>
            </w:r>
            <w:r>
              <w:rPr>
                <w:noProof/>
                <w:webHidden/>
              </w:rPr>
              <w:fldChar w:fldCharType="begin"/>
            </w:r>
            <w:r>
              <w:rPr>
                <w:noProof/>
                <w:webHidden/>
              </w:rPr>
              <w:instrText xml:space="preserve"> PAGEREF _Toc215057633 \h </w:instrText>
            </w:r>
            <w:r>
              <w:rPr>
                <w:noProof/>
                <w:webHidden/>
              </w:rPr>
            </w:r>
            <w:r>
              <w:rPr>
                <w:noProof/>
                <w:webHidden/>
              </w:rPr>
              <w:fldChar w:fldCharType="separate"/>
            </w:r>
            <w:r>
              <w:rPr>
                <w:noProof/>
                <w:webHidden/>
              </w:rPr>
              <w:t>15</w:t>
            </w:r>
            <w:r>
              <w:rPr>
                <w:noProof/>
                <w:webHidden/>
              </w:rPr>
              <w:fldChar w:fldCharType="end"/>
            </w:r>
          </w:hyperlink>
        </w:p>
        <w:p w14:paraId="309D79D7" w14:textId="6A26A632"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34" w:history="1">
            <w:r w:rsidRPr="00543909">
              <w:rPr>
                <w:rStyle w:val="Hyperlink"/>
                <w:noProof/>
                <w:lang w:val="en-IN"/>
              </w:rPr>
              <w:t>Ratios</w:t>
            </w:r>
            <w:r>
              <w:rPr>
                <w:noProof/>
                <w:webHidden/>
              </w:rPr>
              <w:tab/>
            </w:r>
            <w:r>
              <w:rPr>
                <w:noProof/>
                <w:webHidden/>
              </w:rPr>
              <w:fldChar w:fldCharType="begin"/>
            </w:r>
            <w:r>
              <w:rPr>
                <w:noProof/>
                <w:webHidden/>
              </w:rPr>
              <w:instrText xml:space="preserve"> PAGEREF _Toc215057634 \h </w:instrText>
            </w:r>
            <w:r>
              <w:rPr>
                <w:noProof/>
                <w:webHidden/>
              </w:rPr>
            </w:r>
            <w:r>
              <w:rPr>
                <w:noProof/>
                <w:webHidden/>
              </w:rPr>
              <w:fldChar w:fldCharType="separate"/>
            </w:r>
            <w:r>
              <w:rPr>
                <w:noProof/>
                <w:webHidden/>
              </w:rPr>
              <w:t>15</w:t>
            </w:r>
            <w:r>
              <w:rPr>
                <w:noProof/>
                <w:webHidden/>
              </w:rPr>
              <w:fldChar w:fldCharType="end"/>
            </w:r>
          </w:hyperlink>
        </w:p>
        <w:p w14:paraId="2457EB13" w14:textId="331392C4" w:rsidR="00435FE4" w:rsidRDefault="00435FE4">
          <w:pPr>
            <w:pStyle w:val="TOC2"/>
            <w:tabs>
              <w:tab w:val="right" w:leader="dot" w:pos="9016"/>
            </w:tabs>
            <w:rPr>
              <w:rFonts w:asciiTheme="minorHAnsi" w:eastAsiaTheme="minorEastAsia" w:hAnsiTheme="minorHAnsi"/>
              <w:noProof/>
              <w:szCs w:val="24"/>
              <w:lang w:val="en-IN" w:eastAsia="en-IN"/>
            </w:rPr>
          </w:pPr>
          <w:hyperlink w:anchor="_Toc215057635" w:history="1">
            <w:r w:rsidRPr="00543909">
              <w:rPr>
                <w:rStyle w:val="Hyperlink"/>
                <w:noProof/>
                <w:lang w:val="en-IN"/>
              </w:rPr>
              <w:t>Cash Operating Cycle</w:t>
            </w:r>
            <w:r>
              <w:rPr>
                <w:noProof/>
                <w:webHidden/>
              </w:rPr>
              <w:tab/>
            </w:r>
            <w:r>
              <w:rPr>
                <w:noProof/>
                <w:webHidden/>
              </w:rPr>
              <w:fldChar w:fldCharType="begin"/>
            </w:r>
            <w:r>
              <w:rPr>
                <w:noProof/>
                <w:webHidden/>
              </w:rPr>
              <w:instrText xml:space="preserve"> PAGEREF _Toc215057635 \h </w:instrText>
            </w:r>
            <w:r>
              <w:rPr>
                <w:noProof/>
                <w:webHidden/>
              </w:rPr>
            </w:r>
            <w:r>
              <w:rPr>
                <w:noProof/>
                <w:webHidden/>
              </w:rPr>
              <w:fldChar w:fldCharType="separate"/>
            </w:r>
            <w:r>
              <w:rPr>
                <w:noProof/>
                <w:webHidden/>
              </w:rPr>
              <w:t>16</w:t>
            </w:r>
            <w:r>
              <w:rPr>
                <w:noProof/>
                <w:webHidden/>
              </w:rPr>
              <w:fldChar w:fldCharType="end"/>
            </w:r>
          </w:hyperlink>
        </w:p>
        <w:p w14:paraId="1104DA06" w14:textId="5BE1F3B2" w:rsidR="00EB74E2" w:rsidRDefault="00EB74E2" w:rsidP="006917B9">
          <w:r>
            <w:rPr>
              <w:b/>
              <w:bCs/>
              <w:noProof/>
            </w:rPr>
            <w:fldChar w:fldCharType="end"/>
          </w:r>
        </w:p>
      </w:sdtContent>
    </w:sdt>
    <w:p w14:paraId="0B79F61F" w14:textId="77777777" w:rsidR="001D4FA8" w:rsidRDefault="001D4FA8" w:rsidP="006917B9">
      <w:pPr>
        <w:rPr>
          <w:lang w:val="en-IN"/>
        </w:rPr>
      </w:pPr>
    </w:p>
    <w:p w14:paraId="1D3C276F" w14:textId="41DEEDCE" w:rsidR="00286B3D" w:rsidRDefault="00286B3D">
      <w:pPr>
        <w:rPr>
          <w:lang w:val="en-IN"/>
        </w:rPr>
      </w:pPr>
      <w:r>
        <w:rPr>
          <w:lang w:val="en-IN"/>
        </w:rPr>
        <w:br w:type="page"/>
      </w:r>
    </w:p>
    <w:p w14:paraId="2055BFFF" w14:textId="2A61E99F" w:rsidR="001D4FA8" w:rsidRDefault="00286B3D" w:rsidP="006917B9">
      <w:pPr>
        <w:rPr>
          <w:b/>
          <w:bCs/>
          <w:lang w:val="en-IN"/>
        </w:rPr>
      </w:pPr>
      <w:r>
        <w:rPr>
          <w:b/>
          <w:bCs/>
          <w:lang w:val="en-IN"/>
        </w:rPr>
        <w:lastRenderedPageBreak/>
        <w:t>Table of Figures</w:t>
      </w:r>
    </w:p>
    <w:p w14:paraId="7950D47F" w14:textId="64D58618" w:rsidR="00601BDC" w:rsidRPr="00601BDC" w:rsidRDefault="00601BDC">
      <w:pPr>
        <w:pStyle w:val="TableofFigures"/>
        <w:tabs>
          <w:tab w:val="right" w:leader="dot" w:pos="9016"/>
        </w:tabs>
        <w:rPr>
          <w:noProof/>
        </w:rPr>
      </w:pPr>
      <w:r w:rsidRPr="00601BDC">
        <w:rPr>
          <w:lang w:val="en-IN"/>
        </w:rPr>
        <w:fldChar w:fldCharType="begin"/>
      </w:r>
      <w:r w:rsidRPr="00601BDC">
        <w:rPr>
          <w:lang w:val="en-IN"/>
        </w:rPr>
        <w:instrText xml:space="preserve"> TOC \h \z \c "Figure" </w:instrText>
      </w:r>
      <w:r w:rsidRPr="00601BDC">
        <w:rPr>
          <w:lang w:val="en-IN"/>
        </w:rPr>
        <w:fldChar w:fldCharType="separate"/>
      </w:r>
      <w:hyperlink w:anchor="_Toc215060435" w:history="1">
        <w:r w:rsidRPr="00601BDC">
          <w:rPr>
            <w:rStyle w:val="Hyperlink"/>
            <w:noProof/>
          </w:rPr>
          <w:t>Figure 1: Profitability Ratios of GE</w:t>
        </w:r>
        <w:r w:rsidRPr="00601BDC">
          <w:rPr>
            <w:noProof/>
            <w:webHidden/>
          </w:rPr>
          <w:tab/>
        </w:r>
        <w:r w:rsidRPr="00601BDC">
          <w:rPr>
            <w:noProof/>
            <w:webHidden/>
          </w:rPr>
          <w:fldChar w:fldCharType="begin"/>
        </w:r>
        <w:r w:rsidRPr="00601BDC">
          <w:rPr>
            <w:noProof/>
            <w:webHidden/>
          </w:rPr>
          <w:instrText xml:space="preserve"> PAGEREF _Toc215060435 \h </w:instrText>
        </w:r>
        <w:r w:rsidRPr="00601BDC">
          <w:rPr>
            <w:noProof/>
            <w:webHidden/>
          </w:rPr>
        </w:r>
        <w:r w:rsidRPr="00601BDC">
          <w:rPr>
            <w:noProof/>
            <w:webHidden/>
          </w:rPr>
          <w:fldChar w:fldCharType="separate"/>
        </w:r>
        <w:r w:rsidRPr="00601BDC">
          <w:rPr>
            <w:noProof/>
            <w:webHidden/>
          </w:rPr>
          <w:t>5</w:t>
        </w:r>
        <w:r w:rsidRPr="00601BDC">
          <w:rPr>
            <w:noProof/>
            <w:webHidden/>
          </w:rPr>
          <w:fldChar w:fldCharType="end"/>
        </w:r>
      </w:hyperlink>
    </w:p>
    <w:p w14:paraId="2CF4FC75" w14:textId="2F75A7C1" w:rsidR="00601BDC" w:rsidRPr="00601BDC" w:rsidRDefault="00601BDC">
      <w:pPr>
        <w:pStyle w:val="TableofFigures"/>
        <w:tabs>
          <w:tab w:val="right" w:leader="dot" w:pos="9016"/>
        </w:tabs>
        <w:rPr>
          <w:noProof/>
        </w:rPr>
      </w:pPr>
      <w:hyperlink w:anchor="_Toc215060436" w:history="1">
        <w:r w:rsidRPr="00601BDC">
          <w:rPr>
            <w:rStyle w:val="Hyperlink"/>
            <w:noProof/>
          </w:rPr>
          <w:t>Figure 2: Liquidity Ratios of GE</w:t>
        </w:r>
        <w:r w:rsidRPr="00601BDC">
          <w:rPr>
            <w:noProof/>
            <w:webHidden/>
          </w:rPr>
          <w:tab/>
        </w:r>
        <w:r w:rsidRPr="00601BDC">
          <w:rPr>
            <w:noProof/>
            <w:webHidden/>
          </w:rPr>
          <w:fldChar w:fldCharType="begin"/>
        </w:r>
        <w:r w:rsidRPr="00601BDC">
          <w:rPr>
            <w:noProof/>
            <w:webHidden/>
          </w:rPr>
          <w:instrText xml:space="preserve"> PAGEREF _Toc215060436 \h </w:instrText>
        </w:r>
        <w:r w:rsidRPr="00601BDC">
          <w:rPr>
            <w:noProof/>
            <w:webHidden/>
          </w:rPr>
        </w:r>
        <w:r w:rsidRPr="00601BDC">
          <w:rPr>
            <w:noProof/>
            <w:webHidden/>
          </w:rPr>
          <w:fldChar w:fldCharType="separate"/>
        </w:r>
        <w:r w:rsidRPr="00601BDC">
          <w:rPr>
            <w:noProof/>
            <w:webHidden/>
          </w:rPr>
          <w:t>6</w:t>
        </w:r>
        <w:r w:rsidRPr="00601BDC">
          <w:rPr>
            <w:noProof/>
            <w:webHidden/>
          </w:rPr>
          <w:fldChar w:fldCharType="end"/>
        </w:r>
      </w:hyperlink>
    </w:p>
    <w:p w14:paraId="4D85D2C5" w14:textId="62E5ADBA" w:rsidR="00601BDC" w:rsidRPr="00601BDC" w:rsidRDefault="00601BDC">
      <w:pPr>
        <w:pStyle w:val="TableofFigures"/>
        <w:tabs>
          <w:tab w:val="right" w:leader="dot" w:pos="9016"/>
        </w:tabs>
        <w:rPr>
          <w:noProof/>
        </w:rPr>
      </w:pPr>
      <w:hyperlink w:anchor="_Toc215060437" w:history="1">
        <w:r w:rsidRPr="00601BDC">
          <w:rPr>
            <w:rStyle w:val="Hyperlink"/>
            <w:noProof/>
          </w:rPr>
          <w:t>Figure 3: Efficiency Ratios of GE</w:t>
        </w:r>
        <w:r w:rsidRPr="00601BDC">
          <w:rPr>
            <w:noProof/>
            <w:webHidden/>
          </w:rPr>
          <w:tab/>
        </w:r>
        <w:r w:rsidRPr="00601BDC">
          <w:rPr>
            <w:noProof/>
            <w:webHidden/>
          </w:rPr>
          <w:fldChar w:fldCharType="begin"/>
        </w:r>
        <w:r w:rsidRPr="00601BDC">
          <w:rPr>
            <w:noProof/>
            <w:webHidden/>
          </w:rPr>
          <w:instrText xml:space="preserve"> PAGEREF _Toc215060437 \h </w:instrText>
        </w:r>
        <w:r w:rsidRPr="00601BDC">
          <w:rPr>
            <w:noProof/>
            <w:webHidden/>
          </w:rPr>
        </w:r>
        <w:r w:rsidRPr="00601BDC">
          <w:rPr>
            <w:noProof/>
            <w:webHidden/>
          </w:rPr>
          <w:fldChar w:fldCharType="separate"/>
        </w:r>
        <w:r w:rsidRPr="00601BDC">
          <w:rPr>
            <w:noProof/>
            <w:webHidden/>
          </w:rPr>
          <w:t>7</w:t>
        </w:r>
        <w:r w:rsidRPr="00601BDC">
          <w:rPr>
            <w:noProof/>
            <w:webHidden/>
          </w:rPr>
          <w:fldChar w:fldCharType="end"/>
        </w:r>
      </w:hyperlink>
    </w:p>
    <w:p w14:paraId="21F3A73C" w14:textId="52CCA561" w:rsidR="00601BDC" w:rsidRPr="00601BDC" w:rsidRDefault="00601BDC">
      <w:pPr>
        <w:pStyle w:val="TableofFigures"/>
        <w:tabs>
          <w:tab w:val="right" w:leader="dot" w:pos="9016"/>
        </w:tabs>
        <w:rPr>
          <w:noProof/>
        </w:rPr>
      </w:pPr>
      <w:hyperlink w:anchor="_Toc215060438" w:history="1">
        <w:r w:rsidRPr="00601BDC">
          <w:rPr>
            <w:rStyle w:val="Hyperlink"/>
            <w:noProof/>
          </w:rPr>
          <w:t>Figure 4: Geering Ratios of GE</w:t>
        </w:r>
        <w:r w:rsidRPr="00601BDC">
          <w:rPr>
            <w:noProof/>
            <w:webHidden/>
          </w:rPr>
          <w:tab/>
        </w:r>
        <w:r w:rsidRPr="00601BDC">
          <w:rPr>
            <w:noProof/>
            <w:webHidden/>
          </w:rPr>
          <w:fldChar w:fldCharType="begin"/>
        </w:r>
        <w:r w:rsidRPr="00601BDC">
          <w:rPr>
            <w:noProof/>
            <w:webHidden/>
          </w:rPr>
          <w:instrText xml:space="preserve"> PAGEREF _Toc215060438 \h </w:instrText>
        </w:r>
        <w:r w:rsidRPr="00601BDC">
          <w:rPr>
            <w:noProof/>
            <w:webHidden/>
          </w:rPr>
        </w:r>
        <w:r w:rsidRPr="00601BDC">
          <w:rPr>
            <w:noProof/>
            <w:webHidden/>
          </w:rPr>
          <w:fldChar w:fldCharType="separate"/>
        </w:r>
        <w:r w:rsidRPr="00601BDC">
          <w:rPr>
            <w:noProof/>
            <w:webHidden/>
          </w:rPr>
          <w:t>8</w:t>
        </w:r>
        <w:r w:rsidRPr="00601BDC">
          <w:rPr>
            <w:noProof/>
            <w:webHidden/>
          </w:rPr>
          <w:fldChar w:fldCharType="end"/>
        </w:r>
      </w:hyperlink>
    </w:p>
    <w:p w14:paraId="1B637035" w14:textId="38BD4EBB" w:rsidR="00601BDC" w:rsidRPr="00601BDC" w:rsidRDefault="00601BDC">
      <w:pPr>
        <w:pStyle w:val="TableofFigures"/>
        <w:tabs>
          <w:tab w:val="right" w:leader="dot" w:pos="9016"/>
        </w:tabs>
        <w:rPr>
          <w:noProof/>
        </w:rPr>
      </w:pPr>
      <w:hyperlink w:anchor="_Toc215060439" w:history="1">
        <w:r w:rsidRPr="00601BDC">
          <w:rPr>
            <w:rStyle w:val="Hyperlink"/>
            <w:noProof/>
          </w:rPr>
          <w:t>Figure 5: Investment Ratios of GE</w:t>
        </w:r>
        <w:r w:rsidRPr="00601BDC">
          <w:rPr>
            <w:noProof/>
            <w:webHidden/>
          </w:rPr>
          <w:tab/>
        </w:r>
        <w:r w:rsidRPr="00601BDC">
          <w:rPr>
            <w:noProof/>
            <w:webHidden/>
          </w:rPr>
          <w:fldChar w:fldCharType="begin"/>
        </w:r>
        <w:r w:rsidRPr="00601BDC">
          <w:rPr>
            <w:noProof/>
            <w:webHidden/>
          </w:rPr>
          <w:instrText xml:space="preserve"> PAGEREF _Toc215060439 \h </w:instrText>
        </w:r>
        <w:r w:rsidRPr="00601BDC">
          <w:rPr>
            <w:noProof/>
            <w:webHidden/>
          </w:rPr>
        </w:r>
        <w:r w:rsidRPr="00601BDC">
          <w:rPr>
            <w:noProof/>
            <w:webHidden/>
          </w:rPr>
          <w:fldChar w:fldCharType="separate"/>
        </w:r>
        <w:r w:rsidRPr="00601BDC">
          <w:rPr>
            <w:noProof/>
            <w:webHidden/>
          </w:rPr>
          <w:t>9</w:t>
        </w:r>
        <w:r w:rsidRPr="00601BDC">
          <w:rPr>
            <w:noProof/>
            <w:webHidden/>
          </w:rPr>
          <w:fldChar w:fldCharType="end"/>
        </w:r>
      </w:hyperlink>
    </w:p>
    <w:p w14:paraId="50D458B3" w14:textId="0A5E89BA" w:rsidR="00601BDC" w:rsidRPr="00601BDC" w:rsidRDefault="00601BDC">
      <w:pPr>
        <w:pStyle w:val="TableofFigures"/>
        <w:tabs>
          <w:tab w:val="right" w:leader="dot" w:pos="9016"/>
        </w:tabs>
        <w:rPr>
          <w:noProof/>
        </w:rPr>
      </w:pPr>
      <w:hyperlink w:anchor="_Toc215060440" w:history="1">
        <w:r w:rsidRPr="00601BDC">
          <w:rPr>
            <w:rStyle w:val="Hyperlink"/>
            <w:noProof/>
          </w:rPr>
          <w:t>Figure 6: Cash Flow Ratios of GE</w:t>
        </w:r>
        <w:r w:rsidRPr="00601BDC">
          <w:rPr>
            <w:noProof/>
            <w:webHidden/>
          </w:rPr>
          <w:tab/>
        </w:r>
        <w:r w:rsidRPr="00601BDC">
          <w:rPr>
            <w:noProof/>
            <w:webHidden/>
          </w:rPr>
          <w:fldChar w:fldCharType="begin"/>
        </w:r>
        <w:r w:rsidRPr="00601BDC">
          <w:rPr>
            <w:noProof/>
            <w:webHidden/>
          </w:rPr>
          <w:instrText xml:space="preserve"> PAGEREF _Toc215060440 \h </w:instrText>
        </w:r>
        <w:r w:rsidRPr="00601BDC">
          <w:rPr>
            <w:noProof/>
            <w:webHidden/>
          </w:rPr>
        </w:r>
        <w:r w:rsidRPr="00601BDC">
          <w:rPr>
            <w:noProof/>
            <w:webHidden/>
          </w:rPr>
          <w:fldChar w:fldCharType="separate"/>
        </w:r>
        <w:r w:rsidRPr="00601BDC">
          <w:rPr>
            <w:noProof/>
            <w:webHidden/>
          </w:rPr>
          <w:t>10</w:t>
        </w:r>
        <w:r w:rsidRPr="00601BDC">
          <w:rPr>
            <w:noProof/>
            <w:webHidden/>
          </w:rPr>
          <w:fldChar w:fldCharType="end"/>
        </w:r>
      </w:hyperlink>
    </w:p>
    <w:p w14:paraId="7D5BB4BF" w14:textId="264A0708" w:rsidR="00601BDC" w:rsidRPr="00601BDC" w:rsidRDefault="00601BDC">
      <w:pPr>
        <w:pStyle w:val="TableofFigures"/>
        <w:tabs>
          <w:tab w:val="right" w:leader="dot" w:pos="9016"/>
        </w:tabs>
        <w:rPr>
          <w:noProof/>
        </w:rPr>
      </w:pPr>
      <w:hyperlink w:anchor="_Toc215060441" w:history="1">
        <w:r w:rsidRPr="00601BDC">
          <w:rPr>
            <w:rStyle w:val="Hyperlink"/>
            <w:noProof/>
          </w:rPr>
          <w:t>Figure 7: Altman Z Score of GE</w:t>
        </w:r>
        <w:r w:rsidRPr="00601BDC">
          <w:rPr>
            <w:noProof/>
            <w:webHidden/>
          </w:rPr>
          <w:tab/>
        </w:r>
        <w:r w:rsidRPr="00601BDC">
          <w:rPr>
            <w:noProof/>
            <w:webHidden/>
          </w:rPr>
          <w:fldChar w:fldCharType="begin"/>
        </w:r>
        <w:r w:rsidRPr="00601BDC">
          <w:rPr>
            <w:noProof/>
            <w:webHidden/>
          </w:rPr>
          <w:instrText xml:space="preserve"> PAGEREF _Toc215060441 \h </w:instrText>
        </w:r>
        <w:r w:rsidRPr="00601BDC">
          <w:rPr>
            <w:noProof/>
            <w:webHidden/>
          </w:rPr>
        </w:r>
        <w:r w:rsidRPr="00601BDC">
          <w:rPr>
            <w:noProof/>
            <w:webHidden/>
          </w:rPr>
          <w:fldChar w:fldCharType="separate"/>
        </w:r>
        <w:r w:rsidRPr="00601BDC">
          <w:rPr>
            <w:noProof/>
            <w:webHidden/>
          </w:rPr>
          <w:t>11</w:t>
        </w:r>
        <w:r w:rsidRPr="00601BDC">
          <w:rPr>
            <w:noProof/>
            <w:webHidden/>
          </w:rPr>
          <w:fldChar w:fldCharType="end"/>
        </w:r>
      </w:hyperlink>
    </w:p>
    <w:p w14:paraId="42320EE7" w14:textId="729EAB5A" w:rsidR="00601BDC" w:rsidRPr="00601BDC" w:rsidRDefault="00601BDC">
      <w:pPr>
        <w:pStyle w:val="TableofFigures"/>
        <w:tabs>
          <w:tab w:val="right" w:leader="dot" w:pos="9016"/>
        </w:tabs>
        <w:rPr>
          <w:noProof/>
        </w:rPr>
      </w:pPr>
      <w:hyperlink w:anchor="_Toc215060442" w:history="1">
        <w:r w:rsidRPr="00601BDC">
          <w:rPr>
            <w:rStyle w:val="Hyperlink"/>
            <w:noProof/>
          </w:rPr>
          <w:t>Figure 8: Cash Operating Cycle</w:t>
        </w:r>
        <w:r w:rsidRPr="00601BDC">
          <w:rPr>
            <w:noProof/>
            <w:webHidden/>
          </w:rPr>
          <w:tab/>
        </w:r>
        <w:r w:rsidRPr="00601BDC">
          <w:rPr>
            <w:noProof/>
            <w:webHidden/>
          </w:rPr>
          <w:fldChar w:fldCharType="begin"/>
        </w:r>
        <w:r w:rsidRPr="00601BDC">
          <w:rPr>
            <w:noProof/>
            <w:webHidden/>
          </w:rPr>
          <w:instrText xml:space="preserve"> PAGEREF _Toc215060442 \h </w:instrText>
        </w:r>
        <w:r w:rsidRPr="00601BDC">
          <w:rPr>
            <w:noProof/>
            <w:webHidden/>
          </w:rPr>
        </w:r>
        <w:r w:rsidRPr="00601BDC">
          <w:rPr>
            <w:noProof/>
            <w:webHidden/>
          </w:rPr>
          <w:fldChar w:fldCharType="separate"/>
        </w:r>
        <w:r w:rsidRPr="00601BDC">
          <w:rPr>
            <w:noProof/>
            <w:webHidden/>
          </w:rPr>
          <w:t>12</w:t>
        </w:r>
        <w:r w:rsidRPr="00601BDC">
          <w:rPr>
            <w:noProof/>
            <w:webHidden/>
          </w:rPr>
          <w:fldChar w:fldCharType="end"/>
        </w:r>
      </w:hyperlink>
    </w:p>
    <w:p w14:paraId="15729627" w14:textId="19F2A4E1" w:rsidR="00601BDC" w:rsidRPr="00601BDC" w:rsidRDefault="00601BDC">
      <w:pPr>
        <w:pStyle w:val="TableofFigures"/>
        <w:tabs>
          <w:tab w:val="right" w:leader="dot" w:pos="9016"/>
        </w:tabs>
        <w:rPr>
          <w:noProof/>
        </w:rPr>
      </w:pPr>
      <w:hyperlink w:anchor="_Toc215060443" w:history="1">
        <w:r w:rsidRPr="00601BDC">
          <w:rPr>
            <w:rStyle w:val="Hyperlink"/>
            <w:noProof/>
          </w:rPr>
          <w:t>Figure 9: Cash Operating Cycle of GE</w:t>
        </w:r>
        <w:r w:rsidRPr="00601BDC">
          <w:rPr>
            <w:noProof/>
            <w:webHidden/>
          </w:rPr>
          <w:tab/>
        </w:r>
        <w:r w:rsidRPr="00601BDC">
          <w:rPr>
            <w:noProof/>
            <w:webHidden/>
          </w:rPr>
          <w:fldChar w:fldCharType="begin"/>
        </w:r>
        <w:r w:rsidRPr="00601BDC">
          <w:rPr>
            <w:noProof/>
            <w:webHidden/>
          </w:rPr>
          <w:instrText xml:space="preserve"> PAGEREF _Toc215060443 \h </w:instrText>
        </w:r>
        <w:r w:rsidRPr="00601BDC">
          <w:rPr>
            <w:noProof/>
            <w:webHidden/>
          </w:rPr>
        </w:r>
        <w:r w:rsidRPr="00601BDC">
          <w:rPr>
            <w:noProof/>
            <w:webHidden/>
          </w:rPr>
          <w:fldChar w:fldCharType="separate"/>
        </w:r>
        <w:r w:rsidRPr="00601BDC">
          <w:rPr>
            <w:noProof/>
            <w:webHidden/>
          </w:rPr>
          <w:t>12</w:t>
        </w:r>
        <w:r w:rsidRPr="00601BDC">
          <w:rPr>
            <w:noProof/>
            <w:webHidden/>
          </w:rPr>
          <w:fldChar w:fldCharType="end"/>
        </w:r>
      </w:hyperlink>
    </w:p>
    <w:p w14:paraId="67F70EA9" w14:textId="3D6D9286" w:rsidR="00601BDC" w:rsidRPr="00601BDC" w:rsidRDefault="00601BDC">
      <w:pPr>
        <w:pStyle w:val="TableofFigures"/>
        <w:tabs>
          <w:tab w:val="right" w:leader="dot" w:pos="9016"/>
        </w:tabs>
        <w:rPr>
          <w:noProof/>
        </w:rPr>
      </w:pPr>
      <w:hyperlink w:anchor="_Toc215060444" w:history="1">
        <w:r w:rsidRPr="00601BDC">
          <w:rPr>
            <w:rStyle w:val="Hyperlink"/>
            <w:noProof/>
          </w:rPr>
          <w:t>Figure 10: Investment Appraisals of Projects A, B, and C</w:t>
        </w:r>
        <w:r w:rsidRPr="00601BDC">
          <w:rPr>
            <w:noProof/>
            <w:webHidden/>
          </w:rPr>
          <w:tab/>
        </w:r>
        <w:r w:rsidRPr="00601BDC">
          <w:rPr>
            <w:noProof/>
            <w:webHidden/>
          </w:rPr>
          <w:fldChar w:fldCharType="begin"/>
        </w:r>
        <w:r w:rsidRPr="00601BDC">
          <w:rPr>
            <w:noProof/>
            <w:webHidden/>
          </w:rPr>
          <w:instrText xml:space="preserve"> PAGEREF _Toc215060444 \h </w:instrText>
        </w:r>
        <w:r w:rsidRPr="00601BDC">
          <w:rPr>
            <w:noProof/>
            <w:webHidden/>
          </w:rPr>
        </w:r>
        <w:r w:rsidRPr="00601BDC">
          <w:rPr>
            <w:noProof/>
            <w:webHidden/>
          </w:rPr>
          <w:fldChar w:fldCharType="separate"/>
        </w:r>
        <w:r w:rsidRPr="00601BDC">
          <w:rPr>
            <w:noProof/>
            <w:webHidden/>
          </w:rPr>
          <w:t>21</w:t>
        </w:r>
        <w:r w:rsidRPr="00601BDC">
          <w:rPr>
            <w:noProof/>
            <w:webHidden/>
          </w:rPr>
          <w:fldChar w:fldCharType="end"/>
        </w:r>
      </w:hyperlink>
    </w:p>
    <w:p w14:paraId="4C049DEA" w14:textId="0BFA67F4" w:rsidR="00286B3D" w:rsidRPr="00286B3D" w:rsidRDefault="00601BDC" w:rsidP="006917B9">
      <w:pPr>
        <w:rPr>
          <w:b/>
          <w:bCs/>
          <w:lang w:val="en-IN"/>
        </w:rPr>
      </w:pPr>
      <w:r w:rsidRPr="00601BDC">
        <w:rPr>
          <w:lang w:val="en-IN"/>
        </w:rPr>
        <w:fldChar w:fldCharType="end"/>
      </w:r>
    </w:p>
    <w:p w14:paraId="3D2C4883" w14:textId="77777777" w:rsidR="00286B3D" w:rsidRDefault="00286B3D">
      <w:pPr>
        <w:rPr>
          <w:rFonts w:eastAsiaTheme="majorEastAsia" w:cs="Arial"/>
          <w:b/>
          <w:szCs w:val="24"/>
          <w:lang w:val="en-IN"/>
        </w:rPr>
      </w:pPr>
      <w:bookmarkStart w:id="0" w:name="_Toc215057619"/>
      <w:r>
        <w:rPr>
          <w:rFonts w:cs="Arial"/>
          <w:szCs w:val="24"/>
          <w:lang w:val="en-IN"/>
        </w:rPr>
        <w:br w:type="page"/>
      </w:r>
    </w:p>
    <w:p w14:paraId="4565A15E" w14:textId="14B34A0B" w:rsidR="00482E02" w:rsidRPr="00D86F4E" w:rsidRDefault="00482E02" w:rsidP="00482E02">
      <w:pPr>
        <w:pStyle w:val="Heading1"/>
        <w:spacing w:after="240"/>
        <w:rPr>
          <w:rFonts w:cs="Arial"/>
          <w:color w:val="auto"/>
          <w:szCs w:val="24"/>
          <w:lang w:val="en-IN"/>
        </w:rPr>
      </w:pPr>
      <w:r w:rsidRPr="00D86F4E">
        <w:rPr>
          <w:rFonts w:cs="Arial"/>
          <w:color w:val="auto"/>
          <w:szCs w:val="24"/>
          <w:lang w:val="en-IN"/>
        </w:rPr>
        <w:lastRenderedPageBreak/>
        <w:t>Introduction</w:t>
      </w:r>
    </w:p>
    <w:p w14:paraId="66EC7DD8" w14:textId="77777777" w:rsidR="00482E02" w:rsidRPr="00D86F4E" w:rsidRDefault="00482E02" w:rsidP="00482E02">
      <w:pPr>
        <w:rPr>
          <w:rFonts w:cs="Arial"/>
          <w:szCs w:val="24"/>
        </w:rPr>
      </w:pPr>
      <w:r w:rsidRPr="00D86F4E">
        <w:rPr>
          <w:rFonts w:cs="Arial"/>
          <w:szCs w:val="24"/>
          <w:lang w:val="en-IN"/>
        </w:rPr>
        <w:t xml:space="preserve">Financial management is the strategic planning and management of an organisation’s finances to better align with its financial status. The report aims to assess the financial position of General Electronics over a five-year period and evaluate the challenges impacting the long-term viability. It incorporates financial management tools like ratio analysis, corporate failure prediction, working capital evaluation, and investment appraisal techniques to assess the weaknesses and identify opportunities for improvement. Based on these findings, the report provides a strategic financial restructuring plan aiming at restoring profitability, strengthening liquidity, and enhancing shareholder value. The report also considers ethical, governance, and international implications relevant to financial decision-making. </w:t>
      </w:r>
    </w:p>
    <w:p w14:paraId="2E95D6FE" w14:textId="77777777" w:rsidR="00482E02" w:rsidRDefault="00482E02">
      <w:pPr>
        <w:rPr>
          <w:rFonts w:eastAsiaTheme="majorEastAsia" w:cstheme="majorBidi"/>
          <w:b/>
          <w:color w:val="000000" w:themeColor="text1"/>
          <w:szCs w:val="32"/>
          <w:lang w:val="en-IN"/>
        </w:rPr>
      </w:pPr>
      <w:r>
        <w:rPr>
          <w:lang w:val="en-IN"/>
        </w:rPr>
        <w:br w:type="page"/>
      </w:r>
    </w:p>
    <w:p w14:paraId="0CFDAD27" w14:textId="3508D310" w:rsidR="00EB74E2" w:rsidRDefault="00E558CC" w:rsidP="006917B9">
      <w:pPr>
        <w:pStyle w:val="Heading1"/>
        <w:spacing w:after="240"/>
        <w:rPr>
          <w:lang w:val="en-IN"/>
        </w:rPr>
      </w:pPr>
      <w:r>
        <w:rPr>
          <w:lang w:val="en-IN"/>
        </w:rPr>
        <w:lastRenderedPageBreak/>
        <w:t>Financial Health Analysis</w:t>
      </w:r>
      <w:bookmarkEnd w:id="0"/>
      <w:r>
        <w:rPr>
          <w:lang w:val="en-IN"/>
        </w:rPr>
        <w:t xml:space="preserve"> </w:t>
      </w:r>
    </w:p>
    <w:p w14:paraId="4D7B458F" w14:textId="2383007B" w:rsidR="00E558CC" w:rsidRDefault="003E11AC" w:rsidP="006917B9">
      <w:pPr>
        <w:pStyle w:val="Heading2"/>
        <w:spacing w:before="240" w:after="240"/>
        <w:rPr>
          <w:lang w:val="en-IN"/>
        </w:rPr>
      </w:pPr>
      <w:bookmarkStart w:id="1" w:name="_Toc215057620"/>
      <w:r>
        <w:rPr>
          <w:lang w:val="en-IN"/>
        </w:rPr>
        <w:t>Profitability Ratios</w:t>
      </w:r>
      <w:bookmarkEnd w:id="1"/>
      <w:r>
        <w:rPr>
          <w:lang w:val="en-IN"/>
        </w:rPr>
        <w:t xml:space="preserve"> </w:t>
      </w:r>
    </w:p>
    <w:p w14:paraId="68117089" w14:textId="77777777" w:rsidR="00152826" w:rsidRPr="00B919CA" w:rsidRDefault="00152826" w:rsidP="006917B9">
      <w:pPr>
        <w:jc w:val="center"/>
        <w:rPr>
          <w:b/>
          <w:bCs/>
          <w:i/>
          <w:iCs/>
        </w:rPr>
      </w:pPr>
      <w:r w:rsidRPr="00B919CA">
        <w:rPr>
          <w:b/>
          <w:bCs/>
          <w:i/>
          <w:iCs/>
          <w:noProof/>
          <w:lang w:val="en-IN"/>
        </w:rPr>
        <w:drawing>
          <wp:inline distT="0" distB="0" distL="0" distR="0" wp14:anchorId="7F39C51B" wp14:editId="22A420E3">
            <wp:extent cx="5731510" cy="3159760"/>
            <wp:effectExtent l="0" t="0" r="2540" b="2540"/>
            <wp:docPr id="588013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013071" name=""/>
                    <pic:cNvPicPr/>
                  </pic:nvPicPr>
                  <pic:blipFill>
                    <a:blip r:embed="rId9"/>
                    <a:stretch>
                      <a:fillRect/>
                    </a:stretch>
                  </pic:blipFill>
                  <pic:spPr>
                    <a:xfrm>
                      <a:off x="0" y="0"/>
                      <a:ext cx="5731510" cy="3159760"/>
                    </a:xfrm>
                    <a:prstGeom prst="rect">
                      <a:avLst/>
                    </a:prstGeom>
                  </pic:spPr>
                </pic:pic>
              </a:graphicData>
            </a:graphic>
          </wp:inline>
        </w:drawing>
      </w:r>
    </w:p>
    <w:p w14:paraId="20F8B116" w14:textId="0189F693" w:rsidR="00152826" w:rsidRPr="00B919CA" w:rsidRDefault="00152826" w:rsidP="006917B9">
      <w:pPr>
        <w:jc w:val="center"/>
        <w:rPr>
          <w:b/>
          <w:bCs/>
          <w:i/>
          <w:iCs/>
        </w:rPr>
      </w:pPr>
      <w:bookmarkStart w:id="2" w:name="_Toc215060435"/>
      <w:r w:rsidRPr="00B919CA">
        <w:rPr>
          <w:b/>
          <w:bCs/>
          <w:i/>
          <w:iCs/>
        </w:rPr>
        <w:t xml:space="preserve">Figure </w:t>
      </w:r>
      <w:r w:rsidRPr="00B919CA">
        <w:rPr>
          <w:b/>
          <w:bCs/>
          <w:i/>
          <w:iCs/>
        </w:rPr>
        <w:fldChar w:fldCharType="begin"/>
      </w:r>
      <w:r w:rsidRPr="00B919CA">
        <w:rPr>
          <w:b/>
          <w:bCs/>
          <w:i/>
          <w:iCs/>
        </w:rPr>
        <w:instrText xml:space="preserve"> SEQ Figure \* ARABIC </w:instrText>
      </w:r>
      <w:r w:rsidRPr="00B919CA">
        <w:rPr>
          <w:b/>
          <w:bCs/>
          <w:i/>
          <w:iCs/>
        </w:rPr>
        <w:fldChar w:fldCharType="separate"/>
      </w:r>
      <w:r w:rsidR="00DA7FEC">
        <w:rPr>
          <w:b/>
          <w:bCs/>
          <w:i/>
          <w:iCs/>
          <w:noProof/>
        </w:rPr>
        <w:t>1</w:t>
      </w:r>
      <w:r w:rsidRPr="00B919CA">
        <w:rPr>
          <w:b/>
          <w:bCs/>
          <w:i/>
          <w:iCs/>
        </w:rPr>
        <w:fldChar w:fldCharType="end"/>
      </w:r>
      <w:r w:rsidRPr="00B919CA">
        <w:rPr>
          <w:b/>
          <w:bCs/>
          <w:i/>
          <w:iCs/>
        </w:rPr>
        <w:t>: Profitability Ratios of GE</w:t>
      </w:r>
      <w:bookmarkEnd w:id="2"/>
    </w:p>
    <w:p w14:paraId="40AB6D32" w14:textId="278CAF95" w:rsidR="00082B8D" w:rsidRPr="006A24D0" w:rsidRDefault="00FE72BD" w:rsidP="006917B9">
      <w:pPr>
        <w:rPr>
          <w:shd w:val="clear" w:color="auto" w:fill="FFFFFF"/>
        </w:rPr>
      </w:pPr>
      <w:r>
        <w:rPr>
          <w:lang w:val="en-IN"/>
        </w:rPr>
        <w:t xml:space="preserve">Ratios such as gross profit and net profit </w:t>
      </w:r>
      <w:r w:rsidR="00BA23B1">
        <w:rPr>
          <w:lang w:val="en-IN"/>
        </w:rPr>
        <w:t>define</w:t>
      </w:r>
      <w:r>
        <w:rPr>
          <w:lang w:val="en-IN"/>
        </w:rPr>
        <w:t xml:space="preserve"> a </w:t>
      </w:r>
      <w:r w:rsidR="00BA23B1">
        <w:rPr>
          <w:lang w:val="en-IN"/>
        </w:rPr>
        <w:t>business's</w:t>
      </w:r>
      <w:r>
        <w:rPr>
          <w:lang w:val="en-IN"/>
        </w:rPr>
        <w:t xml:space="preserve"> profitability by revealing the profits after direct costs or profits after all the associated expenses</w:t>
      </w:r>
      <w:r w:rsidR="00BA23B1">
        <w:rPr>
          <w:lang w:val="en-IN"/>
        </w:rPr>
        <w:t>,</w:t>
      </w:r>
      <w:r>
        <w:rPr>
          <w:lang w:val="en-IN"/>
        </w:rPr>
        <w:t xml:space="preserve"> respectively (</w:t>
      </w:r>
      <w:proofErr w:type="spellStart"/>
      <w:r w:rsidR="005833A3">
        <w:rPr>
          <w:shd w:val="clear" w:color="auto" w:fill="FFFFFF"/>
        </w:rPr>
        <w:t>Heliani</w:t>
      </w:r>
      <w:proofErr w:type="spellEnd"/>
      <w:r w:rsidR="005833A3">
        <w:rPr>
          <w:shd w:val="clear" w:color="auto" w:fill="FFFFFF"/>
        </w:rPr>
        <w:t xml:space="preserve">, </w:t>
      </w:r>
      <w:r w:rsidR="00C54020">
        <w:rPr>
          <w:shd w:val="clear" w:color="auto" w:fill="FFFFFF"/>
        </w:rPr>
        <w:t>et al.,</w:t>
      </w:r>
      <w:r w:rsidR="005833A3">
        <w:rPr>
          <w:shd w:val="clear" w:color="auto" w:fill="FFFFFF"/>
        </w:rPr>
        <w:t>2023).</w:t>
      </w:r>
      <w:r w:rsidR="006A24D0">
        <w:rPr>
          <w:shd w:val="clear" w:color="auto" w:fill="FFFFFF"/>
        </w:rPr>
        <w:t xml:space="preserve"> </w:t>
      </w:r>
      <w:r w:rsidR="00082B8D">
        <w:t xml:space="preserve">The gross profit ratio of General Electronics has been generally strong, and there has also been a significant improvement in the ratio to 28.9% in 2024 as compared to 23.2% in 2023, which means that it has better production costs </w:t>
      </w:r>
      <w:r w:rsidR="006A24D0">
        <w:t xml:space="preserve">and </w:t>
      </w:r>
      <w:r w:rsidR="00082B8D">
        <w:t xml:space="preserve">is able to sell at higher prices. </w:t>
      </w:r>
      <w:r w:rsidR="00F844D2">
        <w:t>H</w:t>
      </w:r>
      <w:r w:rsidR="00082B8D">
        <w:t>owever</w:t>
      </w:r>
      <w:r w:rsidR="00F844D2">
        <w:t xml:space="preserve">, there is a dip </w:t>
      </w:r>
      <w:r w:rsidR="00082B8D">
        <w:t>in 2023 which demonstrates the difficulties in cost management</w:t>
      </w:r>
      <w:r w:rsidR="00F844D2">
        <w:t xml:space="preserve"> </w:t>
      </w:r>
      <w:r w:rsidR="00082B8D">
        <w:t xml:space="preserve">caused by the increase in the cost of raw materials or </w:t>
      </w:r>
      <w:r w:rsidR="001338CE">
        <w:t>labour</w:t>
      </w:r>
      <w:r w:rsidR="00082B8D">
        <w:t>. The net profit ratio</w:t>
      </w:r>
      <w:r w:rsidR="001338CE">
        <w:t xml:space="preserve"> </w:t>
      </w:r>
      <w:r w:rsidR="00FF182B">
        <w:t xml:space="preserve">was analysed as dropping significantly, </w:t>
      </w:r>
      <w:r w:rsidR="003E0F5A">
        <w:t>decreasing</w:t>
      </w:r>
      <w:r w:rsidR="00FF182B">
        <w:t xml:space="preserve"> to -6.09% in 2024 compared to 6.28% in 2020, but still better than -23.2% in 2023, as during the period, its operation costs were high, which </w:t>
      </w:r>
      <w:r w:rsidR="00082B8D">
        <w:t>reduced its profitability. The net profit decreases in terms of inefficiency in cost control</w:t>
      </w:r>
      <w:r w:rsidR="00FF182B">
        <w:t xml:space="preserve"> </w:t>
      </w:r>
      <w:r w:rsidR="00082B8D">
        <w:t xml:space="preserve">due to a rise in the cost of debt or a decline in the revenues of operations. Although the gross profit margins are stable, the negative net profit show that the company is not able to record profits out of the revenue earned. To </w:t>
      </w:r>
      <w:r w:rsidR="00820C92">
        <w:t>maintain</w:t>
      </w:r>
      <w:r w:rsidR="00082B8D">
        <w:t xml:space="preserve"> profitability in the future, the rise in cost control and </w:t>
      </w:r>
      <w:r w:rsidR="00A92DDE">
        <w:t xml:space="preserve">the decrease in </w:t>
      </w:r>
      <w:r w:rsidR="00082B8D">
        <w:t>debt costs will be essential.</w:t>
      </w:r>
    </w:p>
    <w:p w14:paraId="2EFE3CE9" w14:textId="59077978" w:rsidR="003E11AC" w:rsidRDefault="00594C71" w:rsidP="006917B9">
      <w:pPr>
        <w:pStyle w:val="Heading2"/>
        <w:spacing w:before="240" w:after="240"/>
        <w:rPr>
          <w:lang w:val="en-IN"/>
        </w:rPr>
      </w:pPr>
      <w:bookmarkStart w:id="3" w:name="_Toc215057621"/>
      <w:r>
        <w:rPr>
          <w:lang w:val="en-IN"/>
        </w:rPr>
        <w:lastRenderedPageBreak/>
        <w:t>Liquidity Ratios</w:t>
      </w:r>
      <w:bookmarkEnd w:id="3"/>
      <w:r>
        <w:rPr>
          <w:lang w:val="en-IN"/>
        </w:rPr>
        <w:t xml:space="preserve"> </w:t>
      </w:r>
    </w:p>
    <w:p w14:paraId="579FEE7F" w14:textId="77777777" w:rsidR="0029628B" w:rsidRPr="00FB0DCD" w:rsidRDefault="0029628B" w:rsidP="006917B9">
      <w:pPr>
        <w:jc w:val="center"/>
        <w:rPr>
          <w:b/>
          <w:bCs/>
          <w:i/>
          <w:iCs/>
        </w:rPr>
      </w:pPr>
      <w:r w:rsidRPr="00FB0DCD">
        <w:rPr>
          <w:b/>
          <w:bCs/>
          <w:i/>
          <w:iCs/>
          <w:noProof/>
        </w:rPr>
        <w:drawing>
          <wp:inline distT="0" distB="0" distL="0" distR="0" wp14:anchorId="522DB556" wp14:editId="13C5AA50">
            <wp:extent cx="4924425" cy="2990850"/>
            <wp:effectExtent l="0" t="0" r="9525" b="0"/>
            <wp:docPr id="2089737059" name="Chart 1">
              <a:extLst xmlns:a="http://schemas.openxmlformats.org/drawingml/2006/main">
                <a:ext uri="{FF2B5EF4-FFF2-40B4-BE49-F238E27FC236}">
                  <a16:creationId xmlns:a16="http://schemas.microsoft.com/office/drawing/2014/main" id="{564FD1D2-39E8-3C4D-0413-5BDAA86456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88E760" w14:textId="0438A2FC" w:rsidR="0029628B" w:rsidRPr="000C594E" w:rsidRDefault="0029628B" w:rsidP="006917B9">
      <w:pPr>
        <w:jc w:val="center"/>
        <w:rPr>
          <w:b/>
          <w:bCs/>
          <w:i/>
          <w:iCs/>
        </w:rPr>
      </w:pPr>
      <w:bookmarkStart w:id="4" w:name="_Toc215060436"/>
      <w:r w:rsidRPr="00FB0DCD">
        <w:rPr>
          <w:b/>
          <w:bCs/>
          <w:i/>
          <w:iCs/>
        </w:rPr>
        <w:t xml:space="preserve">Figure </w:t>
      </w:r>
      <w:r w:rsidRPr="00FB0DCD">
        <w:rPr>
          <w:b/>
          <w:bCs/>
          <w:i/>
          <w:iCs/>
        </w:rPr>
        <w:fldChar w:fldCharType="begin"/>
      </w:r>
      <w:r w:rsidRPr="00FB0DCD">
        <w:rPr>
          <w:b/>
          <w:bCs/>
          <w:i/>
          <w:iCs/>
        </w:rPr>
        <w:instrText xml:space="preserve"> SEQ Figure \* ARABIC </w:instrText>
      </w:r>
      <w:r w:rsidRPr="00FB0DCD">
        <w:rPr>
          <w:b/>
          <w:bCs/>
          <w:i/>
          <w:iCs/>
        </w:rPr>
        <w:fldChar w:fldCharType="separate"/>
      </w:r>
      <w:r w:rsidR="00DA7FEC">
        <w:rPr>
          <w:b/>
          <w:bCs/>
          <w:i/>
          <w:iCs/>
          <w:noProof/>
        </w:rPr>
        <w:t>2</w:t>
      </w:r>
      <w:r w:rsidRPr="00FB0DCD">
        <w:rPr>
          <w:b/>
          <w:bCs/>
          <w:i/>
          <w:iCs/>
        </w:rPr>
        <w:fldChar w:fldCharType="end"/>
      </w:r>
      <w:r w:rsidRPr="00FB0DCD">
        <w:rPr>
          <w:b/>
          <w:bCs/>
          <w:i/>
          <w:iCs/>
        </w:rPr>
        <w:t>: Liquidity Rati</w:t>
      </w:r>
      <w:r w:rsidR="003A6B1A" w:rsidRPr="00FB0DCD">
        <w:rPr>
          <w:b/>
          <w:bCs/>
          <w:i/>
          <w:iCs/>
        </w:rPr>
        <w:t>os</w:t>
      </w:r>
      <w:r w:rsidRPr="00FB0DCD">
        <w:rPr>
          <w:b/>
          <w:bCs/>
          <w:i/>
          <w:iCs/>
        </w:rPr>
        <w:t xml:space="preserve"> of GE</w:t>
      </w:r>
      <w:bookmarkEnd w:id="4"/>
    </w:p>
    <w:p w14:paraId="5222D466" w14:textId="0AE2C248" w:rsidR="00082B8D" w:rsidRPr="00E01B73" w:rsidRDefault="00A25F18" w:rsidP="006917B9">
      <w:pPr>
        <w:rPr>
          <w:lang w:val="en-IN"/>
        </w:rPr>
      </w:pPr>
      <w:r>
        <w:rPr>
          <w:lang w:val="en-IN"/>
        </w:rPr>
        <w:t xml:space="preserve">Liquidity ratios such as current ratios </w:t>
      </w:r>
      <w:r w:rsidR="00A920AE">
        <w:rPr>
          <w:lang w:val="en-IN"/>
        </w:rPr>
        <w:t>define</w:t>
      </w:r>
      <w:r>
        <w:rPr>
          <w:lang w:val="en-IN"/>
        </w:rPr>
        <w:t xml:space="preserve"> </w:t>
      </w:r>
      <w:r w:rsidR="00A920AE">
        <w:rPr>
          <w:lang w:val="en-IN"/>
        </w:rPr>
        <w:t>the</w:t>
      </w:r>
      <w:r>
        <w:rPr>
          <w:lang w:val="en-IN"/>
        </w:rPr>
        <w:t xml:space="preserve"> efficiency of a company to effectively pay its </w:t>
      </w:r>
      <w:r w:rsidR="003A395C">
        <w:rPr>
          <w:lang w:val="en-IN"/>
        </w:rPr>
        <w:t>short-term</w:t>
      </w:r>
      <w:r>
        <w:rPr>
          <w:lang w:val="en-IN"/>
        </w:rPr>
        <w:t xml:space="preserve"> debt </w:t>
      </w:r>
      <w:r w:rsidR="003C70B1">
        <w:rPr>
          <w:lang w:val="en-IN"/>
        </w:rPr>
        <w:t xml:space="preserve">using current </w:t>
      </w:r>
      <w:r w:rsidR="00A920AE">
        <w:rPr>
          <w:lang w:val="en-IN"/>
        </w:rPr>
        <w:t>assets</w:t>
      </w:r>
      <w:r w:rsidR="003C70B1">
        <w:rPr>
          <w:lang w:val="en-IN"/>
        </w:rPr>
        <w:t xml:space="preserve"> (</w:t>
      </w:r>
      <w:r w:rsidR="002A3480">
        <w:rPr>
          <w:lang w:val="en-IN"/>
        </w:rPr>
        <w:t xml:space="preserve">CFI, 2025). </w:t>
      </w:r>
      <w:r w:rsidR="00E01B73">
        <w:rPr>
          <w:lang w:val="en-IN"/>
        </w:rPr>
        <w:t xml:space="preserve"> </w:t>
      </w:r>
      <w:r w:rsidR="00082B8D">
        <w:t xml:space="preserve">The current ratio of </w:t>
      </w:r>
      <w:r w:rsidR="00FF0E67">
        <w:t>General Electronics ranged between 1.532 in 2024 and 1.821 in 2020,</w:t>
      </w:r>
      <w:r w:rsidR="00165A96">
        <w:t xml:space="preserve"> which is </w:t>
      </w:r>
      <w:r w:rsidR="00082B8D">
        <w:t xml:space="preserve">above </w:t>
      </w:r>
      <w:r w:rsidR="0099752E">
        <w:t>one</w:t>
      </w:r>
      <w:r w:rsidR="00082B8D">
        <w:t xml:space="preserve"> every year, indicat</w:t>
      </w:r>
      <w:r w:rsidR="00DB69C4">
        <w:t xml:space="preserve">ing </w:t>
      </w:r>
      <w:r w:rsidR="00082B8D">
        <w:t xml:space="preserve">that the firm has sufficient assets to meet its short-term obligations. </w:t>
      </w:r>
      <w:r w:rsidR="00FF0E67">
        <w:t>However</w:t>
      </w:r>
      <w:r w:rsidR="00082B8D">
        <w:t xml:space="preserve">, the decrease is minimal over </w:t>
      </w:r>
      <w:r w:rsidR="0099752E">
        <w:t>time,</w:t>
      </w:r>
      <w:r w:rsidR="00FF0E67">
        <w:t xml:space="preserve"> which </w:t>
      </w:r>
      <w:r w:rsidR="00082B8D">
        <w:t>reflect</w:t>
      </w:r>
      <w:r w:rsidR="00FF0E67">
        <w:t xml:space="preserve">s </w:t>
      </w:r>
      <w:r w:rsidR="00082B8D">
        <w:t>a more restrictive liquidity. A more conservative measure of liquidity expressed through the acid test ratio decrease</w:t>
      </w:r>
      <w:r w:rsidR="0099752E">
        <w:t>d</w:t>
      </w:r>
      <w:r w:rsidR="00082B8D">
        <w:t xml:space="preserve"> </w:t>
      </w:r>
      <w:r w:rsidR="0099752E">
        <w:t xml:space="preserve">from </w:t>
      </w:r>
      <w:r w:rsidR="00082B8D">
        <w:t xml:space="preserve">1.150 in 2020 to 1.031 in 2024. Even though the company is at a value above the critical threshold of 1, the downward trend implies that the company is increasingly relying on inventory to settle its obligations, which may be dangerous in case the inventory turns less liquid or less marketable. </w:t>
      </w:r>
      <w:r w:rsidR="0099752E">
        <w:t xml:space="preserve">It can be said that </w:t>
      </w:r>
      <w:r w:rsidR="00082B8D">
        <w:t>liquidity position is not excellent, and, as the ratios are going down, it is necessary that the company should become more efficient in using its working capital and making sure that the liquid assets can meet the liabilities without excessive dependence on stock.</w:t>
      </w:r>
    </w:p>
    <w:p w14:paraId="3B895157" w14:textId="33FCEDD6" w:rsidR="00594C71" w:rsidRDefault="00594C71" w:rsidP="006917B9">
      <w:pPr>
        <w:pStyle w:val="Heading2"/>
        <w:spacing w:before="240" w:after="240"/>
        <w:rPr>
          <w:lang w:val="en-IN"/>
        </w:rPr>
      </w:pPr>
      <w:bookmarkStart w:id="5" w:name="_Toc215057622"/>
      <w:r>
        <w:rPr>
          <w:lang w:val="en-IN"/>
        </w:rPr>
        <w:lastRenderedPageBreak/>
        <w:t>Efficiency Ratios</w:t>
      </w:r>
      <w:bookmarkEnd w:id="5"/>
      <w:r>
        <w:rPr>
          <w:lang w:val="en-IN"/>
        </w:rPr>
        <w:t xml:space="preserve"> </w:t>
      </w:r>
    </w:p>
    <w:p w14:paraId="52EAD417" w14:textId="77777777" w:rsidR="000C594E" w:rsidRPr="00C508CE" w:rsidRDefault="000C594E" w:rsidP="006917B9">
      <w:pPr>
        <w:jc w:val="center"/>
        <w:rPr>
          <w:b/>
          <w:bCs/>
          <w:i/>
          <w:iCs/>
        </w:rPr>
      </w:pPr>
      <w:r w:rsidRPr="00C508CE">
        <w:rPr>
          <w:b/>
          <w:bCs/>
          <w:i/>
          <w:iCs/>
          <w:noProof/>
        </w:rPr>
        <w:drawing>
          <wp:inline distT="0" distB="0" distL="0" distR="0" wp14:anchorId="0800F38D" wp14:editId="5B025035">
            <wp:extent cx="5731510" cy="2736215"/>
            <wp:effectExtent l="0" t="0" r="2540" b="6985"/>
            <wp:docPr id="1804978630" name="Chart 1">
              <a:extLst xmlns:a="http://schemas.openxmlformats.org/drawingml/2006/main">
                <a:ext uri="{FF2B5EF4-FFF2-40B4-BE49-F238E27FC236}">
                  <a16:creationId xmlns:a16="http://schemas.microsoft.com/office/drawing/2014/main" id="{A5065E56-8EA0-73B9-7BEA-A8174DC76C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751504" w14:textId="5E87F3DA" w:rsidR="000C594E" w:rsidRPr="00C508CE" w:rsidRDefault="000C594E" w:rsidP="006917B9">
      <w:pPr>
        <w:jc w:val="center"/>
        <w:rPr>
          <w:b/>
          <w:bCs/>
          <w:i/>
          <w:iCs/>
        </w:rPr>
      </w:pPr>
      <w:bookmarkStart w:id="6" w:name="_Toc215060437"/>
      <w:r w:rsidRPr="00C508CE">
        <w:rPr>
          <w:b/>
          <w:bCs/>
          <w:i/>
          <w:iCs/>
        </w:rPr>
        <w:t xml:space="preserve">Figure </w:t>
      </w:r>
      <w:r w:rsidRPr="00C508CE">
        <w:rPr>
          <w:b/>
          <w:bCs/>
          <w:i/>
          <w:iCs/>
        </w:rPr>
        <w:fldChar w:fldCharType="begin"/>
      </w:r>
      <w:r w:rsidRPr="00C508CE">
        <w:rPr>
          <w:b/>
          <w:bCs/>
          <w:i/>
          <w:iCs/>
        </w:rPr>
        <w:instrText xml:space="preserve"> SEQ Figure \* ARABIC </w:instrText>
      </w:r>
      <w:r w:rsidRPr="00C508CE">
        <w:rPr>
          <w:b/>
          <w:bCs/>
          <w:i/>
          <w:iCs/>
        </w:rPr>
        <w:fldChar w:fldCharType="separate"/>
      </w:r>
      <w:r w:rsidR="00DA7FEC">
        <w:rPr>
          <w:b/>
          <w:bCs/>
          <w:i/>
          <w:iCs/>
          <w:noProof/>
        </w:rPr>
        <w:t>3</w:t>
      </w:r>
      <w:r w:rsidRPr="00C508CE">
        <w:rPr>
          <w:b/>
          <w:bCs/>
          <w:i/>
          <w:iCs/>
        </w:rPr>
        <w:fldChar w:fldCharType="end"/>
      </w:r>
      <w:r w:rsidRPr="00C508CE">
        <w:rPr>
          <w:b/>
          <w:bCs/>
          <w:i/>
          <w:iCs/>
        </w:rPr>
        <w:t>: Efficiency Ratios of GE</w:t>
      </w:r>
      <w:bookmarkEnd w:id="6"/>
    </w:p>
    <w:p w14:paraId="4407C645" w14:textId="2A67FBC5" w:rsidR="00082B8D" w:rsidRPr="0099752E" w:rsidRDefault="00976D07" w:rsidP="006917B9">
      <w:pPr>
        <w:rPr>
          <w:shd w:val="clear" w:color="auto" w:fill="FFFFFF"/>
        </w:rPr>
      </w:pPr>
      <w:r>
        <w:rPr>
          <w:lang w:val="en-IN"/>
        </w:rPr>
        <w:t>The receivables</w:t>
      </w:r>
      <w:r w:rsidR="008A7570">
        <w:rPr>
          <w:lang w:val="en-IN"/>
        </w:rPr>
        <w:t xml:space="preserve"> </w:t>
      </w:r>
      <w:r w:rsidR="00125BC5">
        <w:rPr>
          <w:lang w:val="en-IN"/>
        </w:rPr>
        <w:t>turnover</w:t>
      </w:r>
      <w:r w:rsidR="008A7570">
        <w:rPr>
          <w:lang w:val="en-IN"/>
        </w:rPr>
        <w:t xml:space="preserve"> ratio </w:t>
      </w:r>
      <w:r w:rsidR="00CB549E">
        <w:rPr>
          <w:lang w:val="en-IN"/>
        </w:rPr>
        <w:t>reflects the collection efficiency of an organisation</w:t>
      </w:r>
      <w:r w:rsidR="00A50CCE">
        <w:rPr>
          <w:lang w:val="en-IN"/>
        </w:rPr>
        <w:t>,</w:t>
      </w:r>
      <w:r w:rsidR="00CB549E">
        <w:rPr>
          <w:lang w:val="en-IN"/>
        </w:rPr>
        <w:t xml:space="preserve"> while the </w:t>
      </w:r>
      <w:r w:rsidR="004D57E1">
        <w:rPr>
          <w:lang w:val="en-IN"/>
        </w:rPr>
        <w:t>inventory receivables</w:t>
      </w:r>
      <w:r w:rsidR="00CB549E">
        <w:rPr>
          <w:lang w:val="en-IN"/>
        </w:rPr>
        <w:t xml:space="preserve"> ratios </w:t>
      </w:r>
      <w:r w:rsidR="002B768C">
        <w:rPr>
          <w:lang w:val="en-IN"/>
        </w:rPr>
        <w:t>reflect</w:t>
      </w:r>
      <w:r w:rsidR="009A1FA2">
        <w:rPr>
          <w:lang w:val="en-IN"/>
        </w:rPr>
        <w:t xml:space="preserve"> the number of times a firm sells and </w:t>
      </w:r>
      <w:r w:rsidR="0099752E">
        <w:rPr>
          <w:lang w:val="en-IN"/>
        </w:rPr>
        <w:t>replaces its inventory over a period (</w:t>
      </w:r>
      <w:proofErr w:type="spellStart"/>
      <w:r w:rsidR="0099752E">
        <w:rPr>
          <w:lang w:val="en-IN"/>
        </w:rPr>
        <w:t>Binsaddig</w:t>
      </w:r>
      <w:proofErr w:type="spellEnd"/>
      <w:r w:rsidR="0099752E">
        <w:rPr>
          <w:lang w:val="en-IN"/>
        </w:rPr>
        <w:t>,</w:t>
      </w:r>
      <w:r w:rsidR="009510A4">
        <w:rPr>
          <w:shd w:val="clear" w:color="auto" w:fill="FFFFFF"/>
        </w:rPr>
        <w:t xml:space="preserve"> et al., 2023). </w:t>
      </w:r>
      <w:r w:rsidR="00082B8D">
        <w:t xml:space="preserve">The receivables turnover days </w:t>
      </w:r>
      <w:r w:rsidR="0099752E">
        <w:t xml:space="preserve">amounted to </w:t>
      </w:r>
      <w:r w:rsidR="00082B8D">
        <w:t xml:space="preserve">106 days </w:t>
      </w:r>
      <w:r w:rsidR="0099752E">
        <w:t xml:space="preserve">in 2024 </w:t>
      </w:r>
      <w:r w:rsidR="00082B8D">
        <w:t xml:space="preserve">as compared to 77 days in 2020, indicating that General Electronics is taking a longer time to collect its payments. This </w:t>
      </w:r>
      <w:r w:rsidR="0099752E">
        <w:t xml:space="preserve">even shows </w:t>
      </w:r>
      <w:r w:rsidR="00082B8D">
        <w:t xml:space="preserve">that the </w:t>
      </w:r>
      <w:r w:rsidR="0099752E">
        <w:t xml:space="preserve">firm's credit policies and </w:t>
      </w:r>
      <w:r w:rsidR="00A40C65">
        <w:t>efficiency to collect payments from</w:t>
      </w:r>
      <w:r w:rsidR="0099752E">
        <w:t xml:space="preserve"> their customers effectively may be declining, as it </w:t>
      </w:r>
      <w:r w:rsidR="00082B8D">
        <w:t>caus</w:t>
      </w:r>
      <w:r w:rsidR="0099752E">
        <w:t xml:space="preserve">ed </w:t>
      </w:r>
      <w:r w:rsidR="00082B8D">
        <w:t xml:space="preserve">cash inflows to slow down. The inventory turnover days </w:t>
      </w:r>
      <w:r w:rsidR="0099752E">
        <w:t>have been fluctuating, which was highest in 2022 with 131 days and then dropped to 103 days in 2024, which can be seen as an improvement in</w:t>
      </w:r>
      <w:r w:rsidR="00082B8D">
        <w:t xml:space="preserve"> inventory management. An increase in inventory turnover in 2022 indicates that there could be a problem with overstocking or a fall in demand, whereas a decrease in 2024 indicates increased efficiency in terms of inventory turnover. </w:t>
      </w:r>
      <w:r w:rsidR="0074190D">
        <w:t xml:space="preserve">It can be reflected that the firm showed </w:t>
      </w:r>
      <w:r w:rsidR="00082B8D">
        <w:t>progress in inventory management</w:t>
      </w:r>
      <w:r w:rsidR="0074190D">
        <w:t xml:space="preserve">, but </w:t>
      </w:r>
      <w:r w:rsidR="00082B8D">
        <w:t xml:space="preserve">the growth in the number of days in receivable demonstrates that the company </w:t>
      </w:r>
      <w:r w:rsidR="0074190D">
        <w:t xml:space="preserve">need to improve </w:t>
      </w:r>
      <w:r w:rsidR="00082B8D">
        <w:t>the management of the credit terms and quicker payments of the outstanding ones to prevent the issue of cash flow.</w:t>
      </w:r>
    </w:p>
    <w:p w14:paraId="7724BDE0" w14:textId="14D868A4" w:rsidR="002A7546" w:rsidRDefault="002A7546" w:rsidP="006917B9">
      <w:pPr>
        <w:pStyle w:val="Heading2"/>
        <w:spacing w:before="240" w:after="240"/>
        <w:rPr>
          <w:lang w:val="en-IN"/>
        </w:rPr>
      </w:pPr>
      <w:bookmarkStart w:id="7" w:name="_Toc215057623"/>
      <w:r>
        <w:rPr>
          <w:lang w:val="en-IN"/>
        </w:rPr>
        <w:lastRenderedPageBreak/>
        <w:t>Gearing Ratios</w:t>
      </w:r>
      <w:bookmarkEnd w:id="7"/>
      <w:r>
        <w:rPr>
          <w:lang w:val="en-IN"/>
        </w:rPr>
        <w:t xml:space="preserve"> </w:t>
      </w:r>
    </w:p>
    <w:p w14:paraId="499D9DD2" w14:textId="77777777" w:rsidR="00BC2FB4" w:rsidRPr="005945ED" w:rsidRDefault="00BC2FB4" w:rsidP="006917B9">
      <w:pPr>
        <w:jc w:val="center"/>
        <w:rPr>
          <w:b/>
          <w:bCs/>
          <w:i/>
          <w:iCs/>
        </w:rPr>
      </w:pPr>
      <w:r w:rsidRPr="005945ED">
        <w:rPr>
          <w:b/>
          <w:bCs/>
          <w:i/>
          <w:iCs/>
          <w:noProof/>
        </w:rPr>
        <w:drawing>
          <wp:inline distT="0" distB="0" distL="0" distR="0" wp14:anchorId="057AF477" wp14:editId="5FFB6534">
            <wp:extent cx="5731510" cy="3268980"/>
            <wp:effectExtent l="0" t="0" r="2540" b="7620"/>
            <wp:docPr id="1734690376" name="Chart 1">
              <a:extLst xmlns:a="http://schemas.openxmlformats.org/drawingml/2006/main">
                <a:ext uri="{FF2B5EF4-FFF2-40B4-BE49-F238E27FC236}">
                  <a16:creationId xmlns:a16="http://schemas.microsoft.com/office/drawing/2014/main" id="{AD37A1E4-0C04-030F-E6E4-60EC42356F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963CEB" w14:textId="797F0309" w:rsidR="00BC2FB4" w:rsidRPr="005945ED" w:rsidRDefault="00BC2FB4" w:rsidP="006917B9">
      <w:pPr>
        <w:jc w:val="center"/>
        <w:rPr>
          <w:b/>
          <w:bCs/>
          <w:i/>
          <w:iCs/>
        </w:rPr>
      </w:pPr>
      <w:bookmarkStart w:id="8" w:name="_Toc215060438"/>
      <w:r w:rsidRPr="005945ED">
        <w:rPr>
          <w:b/>
          <w:bCs/>
          <w:i/>
          <w:iCs/>
        </w:rPr>
        <w:t xml:space="preserve">Figure </w:t>
      </w:r>
      <w:r w:rsidRPr="005945ED">
        <w:rPr>
          <w:b/>
          <w:bCs/>
          <w:i/>
          <w:iCs/>
        </w:rPr>
        <w:fldChar w:fldCharType="begin"/>
      </w:r>
      <w:r w:rsidRPr="005945ED">
        <w:rPr>
          <w:b/>
          <w:bCs/>
          <w:i/>
          <w:iCs/>
        </w:rPr>
        <w:instrText xml:space="preserve"> SEQ Figure \* ARABIC </w:instrText>
      </w:r>
      <w:r w:rsidRPr="005945ED">
        <w:rPr>
          <w:b/>
          <w:bCs/>
          <w:i/>
          <w:iCs/>
        </w:rPr>
        <w:fldChar w:fldCharType="separate"/>
      </w:r>
      <w:r w:rsidR="00DA7FEC">
        <w:rPr>
          <w:b/>
          <w:bCs/>
          <w:i/>
          <w:iCs/>
          <w:noProof/>
        </w:rPr>
        <w:t>4</w:t>
      </w:r>
      <w:r w:rsidRPr="005945ED">
        <w:rPr>
          <w:b/>
          <w:bCs/>
          <w:i/>
          <w:iCs/>
        </w:rPr>
        <w:fldChar w:fldCharType="end"/>
      </w:r>
      <w:r w:rsidRPr="005945ED">
        <w:rPr>
          <w:b/>
          <w:bCs/>
          <w:i/>
          <w:iCs/>
        </w:rPr>
        <w:t xml:space="preserve">: </w:t>
      </w:r>
      <w:r w:rsidR="005945ED">
        <w:rPr>
          <w:b/>
          <w:bCs/>
          <w:i/>
          <w:iCs/>
        </w:rPr>
        <w:t>Geering</w:t>
      </w:r>
      <w:r w:rsidRPr="005945ED">
        <w:rPr>
          <w:b/>
          <w:bCs/>
          <w:i/>
          <w:iCs/>
        </w:rPr>
        <w:t xml:space="preserve"> Ratios of GE</w:t>
      </w:r>
      <w:bookmarkEnd w:id="8"/>
    </w:p>
    <w:p w14:paraId="57D90746" w14:textId="7E14B7FC" w:rsidR="00082B8D" w:rsidRPr="00217E3B" w:rsidRDefault="00C13134" w:rsidP="006917B9">
      <w:pPr>
        <w:rPr>
          <w:lang w:val="en-IN"/>
        </w:rPr>
      </w:pPr>
      <w:r>
        <w:rPr>
          <w:lang w:val="en-IN"/>
        </w:rPr>
        <w:t xml:space="preserve">Debt to equity ratios </w:t>
      </w:r>
      <w:proofErr w:type="gramStart"/>
      <w:r w:rsidR="00E774BA">
        <w:rPr>
          <w:lang w:val="en-IN"/>
        </w:rPr>
        <w:t>are</w:t>
      </w:r>
      <w:proofErr w:type="gramEnd"/>
      <w:r>
        <w:rPr>
          <w:lang w:val="en-IN"/>
        </w:rPr>
        <w:t xml:space="preserve"> </w:t>
      </w:r>
      <w:r w:rsidR="00A17EC5">
        <w:rPr>
          <w:lang w:val="en-IN"/>
        </w:rPr>
        <w:t>a</w:t>
      </w:r>
      <w:r>
        <w:rPr>
          <w:lang w:val="en-IN"/>
        </w:rPr>
        <w:t xml:space="preserve"> type of gearing ratios which </w:t>
      </w:r>
      <w:r w:rsidR="00D42EB9">
        <w:rPr>
          <w:lang w:val="en-IN"/>
        </w:rPr>
        <w:t>help</w:t>
      </w:r>
      <w:r>
        <w:rPr>
          <w:lang w:val="en-IN"/>
        </w:rPr>
        <w:t xml:space="preserve"> the firm make </w:t>
      </w:r>
      <w:r w:rsidR="008147B0">
        <w:rPr>
          <w:lang w:val="en-IN"/>
        </w:rPr>
        <w:t>decisions</w:t>
      </w:r>
      <w:r>
        <w:rPr>
          <w:lang w:val="en-IN"/>
        </w:rPr>
        <w:t xml:space="preserve"> based on </w:t>
      </w:r>
      <w:r w:rsidR="008147B0">
        <w:rPr>
          <w:lang w:val="en-IN"/>
        </w:rPr>
        <w:t>comparing</w:t>
      </w:r>
      <w:r>
        <w:rPr>
          <w:lang w:val="en-IN"/>
        </w:rPr>
        <w:t xml:space="preserve"> the debt and financial liabilities against the </w:t>
      </w:r>
      <w:r w:rsidR="008147B0">
        <w:rPr>
          <w:lang w:val="en-IN"/>
        </w:rPr>
        <w:t xml:space="preserve">shareholders’ </w:t>
      </w:r>
      <w:r>
        <w:rPr>
          <w:lang w:val="en-IN"/>
        </w:rPr>
        <w:t>equity (</w:t>
      </w:r>
      <w:r w:rsidR="00A17EC5">
        <w:rPr>
          <w:lang w:val="en-IN"/>
        </w:rPr>
        <w:t xml:space="preserve">British Business Bank, 2025).  </w:t>
      </w:r>
      <w:r w:rsidR="00082B8D">
        <w:t xml:space="preserve">The debt-equity ratio </w:t>
      </w:r>
      <w:r w:rsidR="004E72FD">
        <w:t xml:space="preserve">of GE </w:t>
      </w:r>
      <w:r w:rsidR="00082B8D">
        <w:t>was not high</w:t>
      </w:r>
      <w:r w:rsidR="004E72FD">
        <w:t xml:space="preserve"> and increased insignificantly between 0.056 in 2020 and 0.078 in 2024, indicating</w:t>
      </w:r>
      <w:r w:rsidR="00082B8D">
        <w:t xml:space="preserve"> a low risk of using debt financing. This low leverage is good in </w:t>
      </w:r>
      <w:r w:rsidR="004E72FD">
        <w:t xml:space="preserve">minimising the financial risk during uncertain market </w:t>
      </w:r>
      <w:r w:rsidR="00217E3B">
        <w:t>situations</w:t>
      </w:r>
      <w:r w:rsidR="00082B8D">
        <w:t xml:space="preserve">. </w:t>
      </w:r>
      <w:r w:rsidR="00526E9D">
        <w:rPr>
          <w:lang w:val="en-IN"/>
        </w:rPr>
        <w:t xml:space="preserve">On the other hand, </w:t>
      </w:r>
      <w:r w:rsidR="00DA052A">
        <w:rPr>
          <w:lang w:val="en-IN"/>
        </w:rPr>
        <w:t xml:space="preserve">Interest coverage ratios show the ability to cover the interest payments associated with the current debts (CFI, 2025). </w:t>
      </w:r>
      <w:r w:rsidR="00526E9D">
        <w:t>T</w:t>
      </w:r>
      <w:r w:rsidR="00082B8D">
        <w:t>h</w:t>
      </w:r>
      <w:r w:rsidR="00526E9D">
        <w:t xml:space="preserve">is </w:t>
      </w:r>
      <w:r w:rsidR="00082B8D">
        <w:t xml:space="preserve">ratio of </w:t>
      </w:r>
      <w:r w:rsidR="00526E9D">
        <w:t xml:space="preserve">GE </w:t>
      </w:r>
      <w:r w:rsidR="00082B8D">
        <w:t xml:space="preserve">is much worse, as in 2020, it stood at 26.207, but it </w:t>
      </w:r>
      <w:r w:rsidR="00217E3B">
        <w:t>amounted to</w:t>
      </w:r>
      <w:r w:rsidR="00082B8D">
        <w:t xml:space="preserve"> -4.551 in 2024, indicating that the company is no longer able to meet its interest bill through operating profits. This sharp reduction is </w:t>
      </w:r>
      <w:r w:rsidR="00217E3B">
        <w:t>challenging and</w:t>
      </w:r>
      <w:r w:rsidR="00082B8D">
        <w:t xml:space="preserve"> hence</w:t>
      </w:r>
      <w:r w:rsidR="00217E3B">
        <w:t xml:space="preserve"> indicates</w:t>
      </w:r>
      <w:r w:rsidR="00082B8D">
        <w:t xml:space="preserve"> that the company is struggling hard to service the debt. The poor coverage ratio </w:t>
      </w:r>
      <w:r w:rsidR="00217E3B">
        <w:t>even shows that</w:t>
      </w:r>
      <w:r w:rsidR="00082B8D">
        <w:t xml:space="preserve"> the company might not be performing well with regard to a high debt ratio in relation to its earnings before interest and taxes (EBIT). To prevent financial distress</w:t>
      </w:r>
      <w:r w:rsidR="00217E3B">
        <w:t xml:space="preserve">, the company needs to act to lower the interest rates </w:t>
      </w:r>
      <w:r w:rsidR="00082B8D">
        <w:t xml:space="preserve">so that it can increase its profitability. </w:t>
      </w:r>
    </w:p>
    <w:p w14:paraId="3E957290" w14:textId="46A5A4B0" w:rsidR="002A7546" w:rsidRDefault="002A7546" w:rsidP="006917B9">
      <w:pPr>
        <w:pStyle w:val="Heading2"/>
        <w:spacing w:before="240" w:after="240"/>
        <w:rPr>
          <w:lang w:val="en-IN"/>
        </w:rPr>
      </w:pPr>
      <w:bookmarkStart w:id="9" w:name="_Toc215057624"/>
      <w:r>
        <w:rPr>
          <w:lang w:val="en-IN"/>
        </w:rPr>
        <w:lastRenderedPageBreak/>
        <w:t>Investment Ratios</w:t>
      </w:r>
      <w:bookmarkEnd w:id="9"/>
      <w:r>
        <w:rPr>
          <w:lang w:val="en-IN"/>
        </w:rPr>
        <w:t xml:space="preserve"> </w:t>
      </w:r>
    </w:p>
    <w:p w14:paraId="26682A08" w14:textId="77777777" w:rsidR="00A5325B" w:rsidRPr="00D26435" w:rsidRDefault="00A5325B" w:rsidP="006917B9">
      <w:pPr>
        <w:jc w:val="center"/>
        <w:rPr>
          <w:b/>
          <w:bCs/>
          <w:i/>
          <w:iCs/>
        </w:rPr>
      </w:pPr>
      <w:r w:rsidRPr="00D26435">
        <w:rPr>
          <w:b/>
          <w:bCs/>
          <w:i/>
          <w:iCs/>
          <w:noProof/>
        </w:rPr>
        <w:drawing>
          <wp:inline distT="0" distB="0" distL="0" distR="0" wp14:anchorId="56064104" wp14:editId="48F9172F">
            <wp:extent cx="4709160" cy="3166110"/>
            <wp:effectExtent l="0" t="0" r="15240" b="15240"/>
            <wp:docPr id="1812153973" name="Chart 1">
              <a:extLst xmlns:a="http://schemas.openxmlformats.org/drawingml/2006/main">
                <a:ext uri="{FF2B5EF4-FFF2-40B4-BE49-F238E27FC236}">
                  <a16:creationId xmlns:a16="http://schemas.microsoft.com/office/drawing/2014/main" id="{1DB884EA-EE81-717C-AC28-36F1AEAB32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279F28" w14:textId="06259716" w:rsidR="00A5325B" w:rsidRPr="00D26435" w:rsidRDefault="00A5325B" w:rsidP="006917B9">
      <w:pPr>
        <w:jc w:val="center"/>
        <w:rPr>
          <w:b/>
          <w:bCs/>
          <w:i/>
          <w:iCs/>
        </w:rPr>
      </w:pPr>
      <w:bookmarkStart w:id="10" w:name="_Toc215060439"/>
      <w:r w:rsidRPr="00D26435">
        <w:rPr>
          <w:b/>
          <w:bCs/>
          <w:i/>
          <w:iCs/>
        </w:rPr>
        <w:t xml:space="preserve">Figure </w:t>
      </w:r>
      <w:r w:rsidRPr="00D26435">
        <w:rPr>
          <w:b/>
          <w:bCs/>
          <w:i/>
          <w:iCs/>
        </w:rPr>
        <w:fldChar w:fldCharType="begin"/>
      </w:r>
      <w:r w:rsidRPr="00D26435">
        <w:rPr>
          <w:b/>
          <w:bCs/>
          <w:i/>
          <w:iCs/>
        </w:rPr>
        <w:instrText xml:space="preserve"> SEQ Figure \* ARABIC </w:instrText>
      </w:r>
      <w:r w:rsidRPr="00D26435">
        <w:rPr>
          <w:b/>
          <w:bCs/>
          <w:i/>
          <w:iCs/>
        </w:rPr>
        <w:fldChar w:fldCharType="separate"/>
      </w:r>
      <w:r w:rsidR="00DA7FEC">
        <w:rPr>
          <w:b/>
          <w:bCs/>
          <w:i/>
          <w:iCs/>
          <w:noProof/>
        </w:rPr>
        <w:t>5</w:t>
      </w:r>
      <w:r w:rsidRPr="00D26435">
        <w:rPr>
          <w:b/>
          <w:bCs/>
          <w:i/>
          <w:iCs/>
        </w:rPr>
        <w:fldChar w:fldCharType="end"/>
      </w:r>
      <w:r w:rsidRPr="00D26435">
        <w:rPr>
          <w:b/>
          <w:bCs/>
          <w:i/>
          <w:iCs/>
        </w:rPr>
        <w:t>: Investment Ratios of GE</w:t>
      </w:r>
      <w:bookmarkEnd w:id="10"/>
    </w:p>
    <w:p w14:paraId="4BCA3FD7" w14:textId="7B0BE0DA" w:rsidR="005D0915" w:rsidRPr="00553494" w:rsidRDefault="005E1E3F" w:rsidP="006917B9">
      <w:pPr>
        <w:rPr>
          <w:shd w:val="clear" w:color="auto" w:fill="FFFFFF"/>
        </w:rPr>
      </w:pPr>
      <w:r>
        <w:rPr>
          <w:lang w:val="en-IN"/>
        </w:rPr>
        <w:t>Investment ratios are important for investors</w:t>
      </w:r>
      <w:r w:rsidR="0015366D">
        <w:rPr>
          <w:lang w:val="en-IN"/>
        </w:rPr>
        <w:t xml:space="preserve"> as </w:t>
      </w:r>
      <w:r w:rsidR="00147CB6">
        <w:rPr>
          <w:lang w:val="en-IN"/>
        </w:rPr>
        <w:t xml:space="preserve">they </w:t>
      </w:r>
      <w:r w:rsidR="0015366D">
        <w:rPr>
          <w:lang w:val="en-IN"/>
        </w:rPr>
        <w:t xml:space="preserve">help them in investment </w:t>
      </w:r>
      <w:r w:rsidR="0014661C">
        <w:rPr>
          <w:lang w:val="en-IN"/>
        </w:rPr>
        <w:t>decision-making</w:t>
      </w:r>
      <w:r w:rsidR="00147CB6">
        <w:rPr>
          <w:lang w:val="en-IN"/>
        </w:rPr>
        <w:t>,</w:t>
      </w:r>
      <w:r w:rsidR="0015366D">
        <w:rPr>
          <w:lang w:val="en-IN"/>
        </w:rPr>
        <w:t xml:space="preserve"> with </w:t>
      </w:r>
      <w:r w:rsidR="006C0FB8">
        <w:rPr>
          <w:lang w:val="en-IN"/>
        </w:rPr>
        <w:t xml:space="preserve">return on equity </w:t>
      </w:r>
      <w:r w:rsidR="005023BD">
        <w:rPr>
          <w:lang w:val="en-IN"/>
        </w:rPr>
        <w:t xml:space="preserve">reflecting </w:t>
      </w:r>
      <w:r w:rsidR="00862972">
        <w:rPr>
          <w:lang w:val="en-IN"/>
        </w:rPr>
        <w:t>efficiency to generate profits from shareholders’ equity</w:t>
      </w:r>
      <w:r w:rsidR="009A3BA4">
        <w:rPr>
          <w:lang w:val="en-IN"/>
        </w:rPr>
        <w:t xml:space="preserve"> (</w:t>
      </w:r>
      <w:proofErr w:type="spellStart"/>
      <w:r w:rsidR="00D53D6E">
        <w:rPr>
          <w:shd w:val="clear" w:color="auto" w:fill="FFFFFF"/>
        </w:rPr>
        <w:t>Mudzakar</w:t>
      </w:r>
      <w:proofErr w:type="spellEnd"/>
      <w:r w:rsidR="00D53D6E">
        <w:rPr>
          <w:shd w:val="clear" w:color="auto" w:fill="FFFFFF"/>
        </w:rPr>
        <w:t xml:space="preserve"> and </w:t>
      </w:r>
      <w:proofErr w:type="spellStart"/>
      <w:r w:rsidR="00D53D6E">
        <w:rPr>
          <w:shd w:val="clear" w:color="auto" w:fill="FFFFFF"/>
        </w:rPr>
        <w:t>Wardanny</w:t>
      </w:r>
      <w:proofErr w:type="spellEnd"/>
      <w:r w:rsidR="00D53D6E">
        <w:rPr>
          <w:shd w:val="clear" w:color="auto" w:fill="FFFFFF"/>
        </w:rPr>
        <w:t xml:space="preserve">, 2021). </w:t>
      </w:r>
      <w:r w:rsidR="00553494">
        <w:t>General Electric has seen a sharp decline in the turnover of equity (ROE) from</w:t>
      </w:r>
      <w:r w:rsidR="005D0915">
        <w:t xml:space="preserve"> 12.31% in 2020 to -15.69% in 2024, </w:t>
      </w:r>
      <w:r w:rsidR="00553494">
        <w:t xml:space="preserve">stating </w:t>
      </w:r>
      <w:r w:rsidR="005D0915">
        <w:t xml:space="preserve">that the entities are not yielding profit to the shareholders and </w:t>
      </w:r>
      <w:r w:rsidR="00553494">
        <w:t>there has been a destruction of</w:t>
      </w:r>
      <w:r w:rsidR="005D0915">
        <w:t xml:space="preserve"> shareholder value. This adverse growth trend outlines a serious problem in terms of profitability and </w:t>
      </w:r>
      <w:r w:rsidR="00FB6832">
        <w:t>capitalisation</w:t>
      </w:r>
      <w:r w:rsidR="005D0915">
        <w:t>. The earnings per share (EPS) have also reduced significantly</w:t>
      </w:r>
      <w:r w:rsidR="00FB6832">
        <w:t>,</w:t>
      </w:r>
      <w:r w:rsidR="005D0915">
        <w:t xml:space="preserve"> with -1.85 in 2024, compared to the return of 2.78 in 2020, which indicates that the company is failing to </w:t>
      </w:r>
      <w:r w:rsidR="00FB6832">
        <w:t>offer a</w:t>
      </w:r>
      <w:r w:rsidR="005D0915">
        <w:t xml:space="preserve"> good payback to the shareholders. The fall in EPS and ROE is an indicator of the general poor financial performance of the firm</w:t>
      </w:r>
      <w:r w:rsidR="00FB6832">
        <w:t>,</w:t>
      </w:r>
      <w:r w:rsidR="005D0915">
        <w:t xml:space="preserve"> and shareholders are experiencing a negative pay-off. </w:t>
      </w:r>
      <w:r w:rsidR="00FB6832">
        <w:t xml:space="preserve">This even </w:t>
      </w:r>
      <w:r w:rsidR="00CA3347">
        <w:t>indicates the need to focus more on boosting profitability, ensuring costs are well managed, and also making</w:t>
      </w:r>
      <w:r w:rsidR="005D0915">
        <w:t xml:space="preserve"> efforts to rebuild investor confidence</w:t>
      </w:r>
      <w:r w:rsidR="00FB6832">
        <w:t xml:space="preserve">. </w:t>
      </w:r>
    </w:p>
    <w:p w14:paraId="10A28641" w14:textId="102E414D" w:rsidR="002A7546" w:rsidRDefault="002A7546" w:rsidP="006917B9">
      <w:pPr>
        <w:pStyle w:val="Heading2"/>
        <w:spacing w:before="240" w:after="240"/>
        <w:rPr>
          <w:lang w:val="en-IN"/>
        </w:rPr>
      </w:pPr>
      <w:bookmarkStart w:id="11" w:name="_Toc215057625"/>
      <w:r>
        <w:rPr>
          <w:lang w:val="en-IN"/>
        </w:rPr>
        <w:lastRenderedPageBreak/>
        <w:t>Cash Flow</w:t>
      </w:r>
      <w:r w:rsidR="0064637E">
        <w:rPr>
          <w:lang w:val="en-IN"/>
        </w:rPr>
        <w:t xml:space="preserve"> Ratios</w:t>
      </w:r>
      <w:bookmarkEnd w:id="11"/>
      <w:r w:rsidR="0064637E">
        <w:rPr>
          <w:lang w:val="en-IN"/>
        </w:rPr>
        <w:t xml:space="preserve"> </w:t>
      </w:r>
    </w:p>
    <w:p w14:paraId="77AC8A30" w14:textId="77777777" w:rsidR="00D26435" w:rsidRPr="00792C81" w:rsidRDefault="00D26435" w:rsidP="006917B9">
      <w:pPr>
        <w:jc w:val="center"/>
        <w:rPr>
          <w:b/>
          <w:bCs/>
          <w:i/>
          <w:iCs/>
        </w:rPr>
      </w:pPr>
      <w:r w:rsidRPr="00792C81">
        <w:rPr>
          <w:b/>
          <w:bCs/>
          <w:i/>
          <w:iCs/>
          <w:noProof/>
        </w:rPr>
        <w:drawing>
          <wp:inline distT="0" distB="0" distL="0" distR="0" wp14:anchorId="6BACBE66" wp14:editId="7D294A9D">
            <wp:extent cx="5731510" cy="2825115"/>
            <wp:effectExtent l="0" t="0" r="2540" b="13335"/>
            <wp:docPr id="1081693037" name="Chart 1">
              <a:extLst xmlns:a="http://schemas.openxmlformats.org/drawingml/2006/main">
                <a:ext uri="{FF2B5EF4-FFF2-40B4-BE49-F238E27FC236}">
                  <a16:creationId xmlns:a16="http://schemas.microsoft.com/office/drawing/2014/main" id="{2E41EE4E-7CCC-245E-6A97-DF921923F1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130346F" w14:textId="5D4A547A" w:rsidR="00D26435" w:rsidRPr="00792C81" w:rsidRDefault="00D26435" w:rsidP="006917B9">
      <w:pPr>
        <w:jc w:val="center"/>
        <w:rPr>
          <w:b/>
          <w:bCs/>
          <w:i/>
          <w:iCs/>
        </w:rPr>
      </w:pPr>
      <w:bookmarkStart w:id="12" w:name="_Toc215060440"/>
      <w:r w:rsidRPr="00792C81">
        <w:rPr>
          <w:b/>
          <w:bCs/>
          <w:i/>
          <w:iCs/>
        </w:rPr>
        <w:t xml:space="preserve">Figure </w:t>
      </w:r>
      <w:r w:rsidRPr="00792C81">
        <w:rPr>
          <w:b/>
          <w:bCs/>
          <w:i/>
          <w:iCs/>
        </w:rPr>
        <w:fldChar w:fldCharType="begin"/>
      </w:r>
      <w:r w:rsidRPr="00792C81">
        <w:rPr>
          <w:b/>
          <w:bCs/>
          <w:i/>
          <w:iCs/>
        </w:rPr>
        <w:instrText xml:space="preserve"> SEQ Figure \* ARABIC </w:instrText>
      </w:r>
      <w:r w:rsidRPr="00792C81">
        <w:rPr>
          <w:b/>
          <w:bCs/>
          <w:i/>
          <w:iCs/>
        </w:rPr>
        <w:fldChar w:fldCharType="separate"/>
      </w:r>
      <w:r w:rsidR="00DA7FEC">
        <w:rPr>
          <w:b/>
          <w:bCs/>
          <w:i/>
          <w:iCs/>
          <w:noProof/>
        </w:rPr>
        <w:t>6</w:t>
      </w:r>
      <w:r w:rsidRPr="00792C81">
        <w:rPr>
          <w:b/>
          <w:bCs/>
          <w:i/>
          <w:iCs/>
        </w:rPr>
        <w:fldChar w:fldCharType="end"/>
      </w:r>
      <w:r w:rsidRPr="00792C81">
        <w:rPr>
          <w:b/>
          <w:bCs/>
          <w:i/>
          <w:iCs/>
        </w:rPr>
        <w:t>: Cash Flow Ratios of GE</w:t>
      </w:r>
      <w:bookmarkEnd w:id="12"/>
    </w:p>
    <w:p w14:paraId="56362E67" w14:textId="3DF73CA0" w:rsidR="005D0915" w:rsidRPr="00966F73" w:rsidRDefault="00ED5A53" w:rsidP="006917B9">
      <w:pPr>
        <w:rPr>
          <w:lang w:val="en-IN"/>
        </w:rPr>
      </w:pPr>
      <w:r>
        <w:rPr>
          <w:lang w:val="en-IN"/>
        </w:rPr>
        <w:t>Cash flow ratios include operating cash flow and cash flow margin</w:t>
      </w:r>
      <w:r w:rsidR="001011BB">
        <w:rPr>
          <w:lang w:val="en-IN"/>
        </w:rPr>
        <w:t>,</w:t>
      </w:r>
      <w:r>
        <w:rPr>
          <w:lang w:val="en-IN"/>
        </w:rPr>
        <w:t xml:space="preserve"> which </w:t>
      </w:r>
      <w:r w:rsidR="001011BB">
        <w:rPr>
          <w:lang w:val="en-IN"/>
        </w:rPr>
        <w:t>reveal</w:t>
      </w:r>
      <w:r>
        <w:rPr>
          <w:lang w:val="en-IN"/>
        </w:rPr>
        <w:t xml:space="preserve"> the amount of cash generated by a company from its business operations and the efficiency to </w:t>
      </w:r>
      <w:r w:rsidR="0083553F">
        <w:rPr>
          <w:lang w:val="en-IN"/>
        </w:rPr>
        <w:t>convert</w:t>
      </w:r>
      <w:r>
        <w:rPr>
          <w:lang w:val="en-IN"/>
        </w:rPr>
        <w:t xml:space="preserve"> revenue into cash (</w:t>
      </w:r>
      <w:r w:rsidR="008D6470">
        <w:rPr>
          <w:lang w:val="en-IN"/>
        </w:rPr>
        <w:t>Gurung, 2024).</w:t>
      </w:r>
      <w:r w:rsidR="00966F73">
        <w:rPr>
          <w:lang w:val="en-IN"/>
        </w:rPr>
        <w:t xml:space="preserve"> </w:t>
      </w:r>
      <w:r w:rsidR="005D0915">
        <w:t xml:space="preserve">The operating cash flow ratio indicates that the company decreased </w:t>
      </w:r>
      <w:r w:rsidR="007916A1">
        <w:t xml:space="preserve">its </w:t>
      </w:r>
      <w:r w:rsidR="00B70138">
        <w:t xml:space="preserve">ability to </w:t>
      </w:r>
      <w:r w:rsidR="005D0915">
        <w:t>cover</w:t>
      </w:r>
      <w:r w:rsidR="00B70138">
        <w:t xml:space="preserve"> </w:t>
      </w:r>
      <w:r w:rsidR="005D0915">
        <w:t>short-term liabilities by the operating cash flow</w:t>
      </w:r>
      <w:r w:rsidR="007916A1">
        <w:t xml:space="preserve">, as </w:t>
      </w:r>
      <w:r w:rsidR="005D0915">
        <w:t>depicted by the value of 0.409 in 2020 and 0.094 in 2024. This decline indicates an inefficient operation</w:t>
      </w:r>
      <w:r w:rsidR="007916A1">
        <w:t xml:space="preserve"> and cash generation, which is caused by the worsening </w:t>
      </w:r>
      <w:r w:rsidR="005D0915">
        <w:t>profitability and a higher financial burden. The cash flow margin is also lowering drastically when compared to 11.94% in 2020 to 3.75% in 2024</w:t>
      </w:r>
      <w:r w:rsidR="007916A1">
        <w:t>,</w:t>
      </w:r>
      <w:r w:rsidR="005D0915">
        <w:t xml:space="preserve"> </w:t>
      </w:r>
      <w:r w:rsidR="007916A1">
        <w:t xml:space="preserve">showcasing that GE </w:t>
      </w:r>
      <w:r w:rsidR="005D0915">
        <w:t xml:space="preserve">is not earning as much cash as compared to its sales. Such a decline in the ratios of cash flow is an indication that </w:t>
      </w:r>
      <w:r w:rsidR="007916A1">
        <w:t>the firm</w:t>
      </w:r>
      <w:r w:rsidR="005D0915">
        <w:t xml:space="preserve"> might have some problems paying </w:t>
      </w:r>
      <w:r w:rsidR="007916A1">
        <w:t xml:space="preserve">for </w:t>
      </w:r>
      <w:r w:rsidR="005D0915">
        <w:t>operations or maintenance of debt in the future.</w:t>
      </w:r>
      <w:r w:rsidR="007916A1">
        <w:t xml:space="preserve"> Therefore, it </w:t>
      </w:r>
      <w:r w:rsidR="005D0915">
        <w:t>should emphasi</w:t>
      </w:r>
      <w:r w:rsidR="007916A1">
        <w:t>s</w:t>
      </w:r>
      <w:r w:rsidR="005D0915">
        <w:t xml:space="preserve">e enhancing its cash flow by improving profitability and management of working capital </w:t>
      </w:r>
      <w:r w:rsidR="007916A1">
        <w:t xml:space="preserve">to </w:t>
      </w:r>
      <w:r w:rsidR="005D0915">
        <w:t>continue with its operations without having to heavily depend on external financing.</w:t>
      </w:r>
    </w:p>
    <w:p w14:paraId="13E0ADDC" w14:textId="77777777" w:rsidR="00D910FD" w:rsidRDefault="00F6788D" w:rsidP="006917B9">
      <w:pPr>
        <w:pStyle w:val="Heading2"/>
        <w:spacing w:before="240" w:after="240"/>
        <w:rPr>
          <w:lang w:val="en-IN"/>
        </w:rPr>
      </w:pPr>
      <w:bookmarkStart w:id="13" w:name="_Toc215057626"/>
      <w:r>
        <w:rPr>
          <w:lang w:val="en-IN"/>
        </w:rPr>
        <w:lastRenderedPageBreak/>
        <w:t>Corporate Failure Prediction Model</w:t>
      </w:r>
      <w:bookmarkEnd w:id="13"/>
      <w:r>
        <w:rPr>
          <w:lang w:val="en-IN"/>
        </w:rPr>
        <w:t xml:space="preserve"> </w:t>
      </w:r>
    </w:p>
    <w:p w14:paraId="4B694682" w14:textId="77777777" w:rsidR="00906D43" w:rsidRPr="00843BBF" w:rsidRDefault="00906D43" w:rsidP="006917B9">
      <w:pPr>
        <w:jc w:val="center"/>
        <w:rPr>
          <w:b/>
          <w:bCs/>
          <w:i/>
          <w:iCs/>
        </w:rPr>
      </w:pPr>
      <w:r w:rsidRPr="00843BBF">
        <w:rPr>
          <w:b/>
          <w:bCs/>
          <w:i/>
          <w:iCs/>
          <w:noProof/>
          <w:lang w:val="en-IN"/>
        </w:rPr>
        <w:drawing>
          <wp:inline distT="0" distB="0" distL="0" distR="0" wp14:anchorId="6C94519E" wp14:editId="4ACC6C0C">
            <wp:extent cx="5731510" cy="1855470"/>
            <wp:effectExtent l="0" t="0" r="2540" b="0"/>
            <wp:docPr id="322068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068607" name=""/>
                    <pic:cNvPicPr/>
                  </pic:nvPicPr>
                  <pic:blipFill>
                    <a:blip r:embed="rId15"/>
                    <a:stretch>
                      <a:fillRect/>
                    </a:stretch>
                  </pic:blipFill>
                  <pic:spPr>
                    <a:xfrm>
                      <a:off x="0" y="0"/>
                      <a:ext cx="5731510" cy="1855470"/>
                    </a:xfrm>
                    <a:prstGeom prst="rect">
                      <a:avLst/>
                    </a:prstGeom>
                  </pic:spPr>
                </pic:pic>
              </a:graphicData>
            </a:graphic>
          </wp:inline>
        </w:drawing>
      </w:r>
    </w:p>
    <w:p w14:paraId="2FF174BA" w14:textId="10F0ED64" w:rsidR="00906D43" w:rsidRPr="00843BBF" w:rsidRDefault="00906D43" w:rsidP="006917B9">
      <w:pPr>
        <w:jc w:val="center"/>
        <w:rPr>
          <w:b/>
          <w:bCs/>
          <w:i/>
          <w:iCs/>
        </w:rPr>
      </w:pPr>
      <w:bookmarkStart w:id="14" w:name="_Toc215060441"/>
      <w:r w:rsidRPr="00843BBF">
        <w:rPr>
          <w:b/>
          <w:bCs/>
          <w:i/>
          <w:iCs/>
        </w:rPr>
        <w:t xml:space="preserve">Figure </w:t>
      </w:r>
      <w:r w:rsidRPr="00843BBF">
        <w:rPr>
          <w:b/>
          <w:bCs/>
          <w:i/>
          <w:iCs/>
        </w:rPr>
        <w:fldChar w:fldCharType="begin"/>
      </w:r>
      <w:r w:rsidRPr="00843BBF">
        <w:rPr>
          <w:b/>
          <w:bCs/>
          <w:i/>
          <w:iCs/>
        </w:rPr>
        <w:instrText xml:space="preserve"> SEQ Figure \* ARABIC </w:instrText>
      </w:r>
      <w:r w:rsidRPr="00843BBF">
        <w:rPr>
          <w:b/>
          <w:bCs/>
          <w:i/>
          <w:iCs/>
        </w:rPr>
        <w:fldChar w:fldCharType="separate"/>
      </w:r>
      <w:r w:rsidR="00DA7FEC">
        <w:rPr>
          <w:b/>
          <w:bCs/>
          <w:i/>
          <w:iCs/>
          <w:noProof/>
        </w:rPr>
        <w:t>7</w:t>
      </w:r>
      <w:r w:rsidRPr="00843BBF">
        <w:rPr>
          <w:b/>
          <w:bCs/>
          <w:i/>
          <w:iCs/>
        </w:rPr>
        <w:fldChar w:fldCharType="end"/>
      </w:r>
      <w:r w:rsidRPr="00843BBF">
        <w:rPr>
          <w:b/>
          <w:bCs/>
          <w:i/>
          <w:iCs/>
        </w:rPr>
        <w:t>: Altman Z Score of GE</w:t>
      </w:r>
      <w:bookmarkEnd w:id="14"/>
    </w:p>
    <w:p w14:paraId="415613C2" w14:textId="141A52B8" w:rsidR="00616050" w:rsidRPr="00616050" w:rsidRDefault="00F40A40" w:rsidP="006917B9">
      <w:pPr>
        <w:rPr>
          <w:lang w:val="en-IN"/>
        </w:rPr>
      </w:pPr>
      <w:r>
        <w:rPr>
          <w:lang w:val="en-IN"/>
        </w:rPr>
        <w:t>Altman Z Score is a popular corporate failure prediction model which measures the chances of a company going bankrupt in the next two years, and it uses five different ratios for this measurement</w:t>
      </w:r>
      <w:r w:rsidR="00FE6B6B">
        <w:rPr>
          <w:lang w:val="en-IN"/>
        </w:rPr>
        <w:t xml:space="preserve">, where </w:t>
      </w:r>
      <w:r w:rsidR="00010B7B">
        <w:rPr>
          <w:lang w:val="en-IN"/>
        </w:rPr>
        <w:t xml:space="preserve">a </w:t>
      </w:r>
      <w:r w:rsidR="00FE6B6B">
        <w:rPr>
          <w:lang w:val="en-IN"/>
        </w:rPr>
        <w:t xml:space="preserve">score above 3 reflects </w:t>
      </w:r>
      <w:r w:rsidR="00010B7B">
        <w:rPr>
          <w:lang w:val="en-IN"/>
        </w:rPr>
        <w:t>good</w:t>
      </w:r>
      <w:r w:rsidR="00FE6B6B">
        <w:rPr>
          <w:lang w:val="en-IN"/>
        </w:rPr>
        <w:t xml:space="preserve"> financial health (</w:t>
      </w:r>
      <w:r w:rsidR="000D0488">
        <w:rPr>
          <w:lang w:val="en-IN"/>
        </w:rPr>
        <w:t>Gurung, 2024)</w:t>
      </w:r>
      <w:r w:rsidR="00143974">
        <w:rPr>
          <w:lang w:val="en-IN"/>
        </w:rPr>
        <w:t xml:space="preserve">. </w:t>
      </w:r>
      <w:r w:rsidR="00616050">
        <w:rPr>
          <w:lang w:val="en-IN"/>
        </w:rPr>
        <w:t xml:space="preserve">GE </w:t>
      </w:r>
      <w:r w:rsidR="00616050" w:rsidRPr="00616050">
        <w:rPr>
          <w:lang w:val="en-IN"/>
        </w:rPr>
        <w:t xml:space="preserve">has a </w:t>
      </w:r>
      <w:r w:rsidR="00616050">
        <w:rPr>
          <w:lang w:val="en-IN"/>
        </w:rPr>
        <w:t>Z-score of 3.49 in 2024</w:t>
      </w:r>
      <w:r w:rsidR="00C67EED">
        <w:rPr>
          <w:lang w:val="en-IN"/>
        </w:rPr>
        <w:t>, which</w:t>
      </w:r>
      <w:r w:rsidR="00616050">
        <w:rPr>
          <w:lang w:val="en-IN"/>
        </w:rPr>
        <w:t xml:space="preserve"> positions it in a safe zone as per the lower chances </w:t>
      </w:r>
      <w:r w:rsidR="00616050" w:rsidRPr="00616050">
        <w:rPr>
          <w:lang w:val="en-IN"/>
        </w:rPr>
        <w:t xml:space="preserve">of bankruptcy. It </w:t>
      </w:r>
      <w:r w:rsidR="006E2C89">
        <w:rPr>
          <w:lang w:val="en-IN"/>
        </w:rPr>
        <w:t xml:space="preserve">amounted to </w:t>
      </w:r>
      <w:r w:rsidR="00616050" w:rsidRPr="00616050">
        <w:rPr>
          <w:lang w:val="en-IN"/>
        </w:rPr>
        <w:t xml:space="preserve">3.60 in 2020 and is indicative of a drop in financial health. </w:t>
      </w:r>
      <w:r w:rsidR="007F0DE9">
        <w:rPr>
          <w:lang w:val="en-IN"/>
        </w:rPr>
        <w:t>T</w:t>
      </w:r>
      <w:r w:rsidR="00616050" w:rsidRPr="00616050">
        <w:rPr>
          <w:lang w:val="en-IN"/>
        </w:rPr>
        <w:t>he score reduced to 2.78 in 2023</w:t>
      </w:r>
      <w:r w:rsidR="0077359B">
        <w:rPr>
          <w:lang w:val="en-IN"/>
        </w:rPr>
        <w:t>,</w:t>
      </w:r>
      <w:r w:rsidR="00616050" w:rsidRPr="00616050">
        <w:rPr>
          <w:lang w:val="en-IN"/>
        </w:rPr>
        <w:t xml:space="preserve"> </w:t>
      </w:r>
      <w:r w:rsidR="0077359B">
        <w:rPr>
          <w:lang w:val="en-IN"/>
        </w:rPr>
        <w:t>which was</w:t>
      </w:r>
      <w:r w:rsidR="00616050" w:rsidRPr="00616050">
        <w:rPr>
          <w:lang w:val="en-IN"/>
        </w:rPr>
        <w:t xml:space="preserve"> 3.32 in 2021</w:t>
      </w:r>
      <w:r w:rsidR="007F0DE9">
        <w:rPr>
          <w:lang w:val="en-IN"/>
        </w:rPr>
        <w:t xml:space="preserve">, which is </w:t>
      </w:r>
      <w:r w:rsidR="00616050" w:rsidRPr="00616050">
        <w:rPr>
          <w:lang w:val="en-IN"/>
        </w:rPr>
        <w:t xml:space="preserve">more </w:t>
      </w:r>
      <w:r w:rsidR="0077359B">
        <w:rPr>
          <w:lang w:val="en-IN"/>
        </w:rPr>
        <w:t xml:space="preserve">cautious and </w:t>
      </w:r>
      <w:r w:rsidR="00616050" w:rsidRPr="00616050">
        <w:rPr>
          <w:lang w:val="en-IN"/>
        </w:rPr>
        <w:t xml:space="preserve">caused by the fact that the EBIT to total assets (C) ratio has decreased significantly, and </w:t>
      </w:r>
      <w:r w:rsidR="00EB028F">
        <w:rPr>
          <w:lang w:val="en-IN"/>
        </w:rPr>
        <w:t>in 2024,</w:t>
      </w:r>
      <w:r w:rsidR="00616050" w:rsidRPr="00616050">
        <w:rPr>
          <w:lang w:val="en-IN"/>
        </w:rPr>
        <w:t xml:space="preserve"> it is -0.047</w:t>
      </w:r>
      <w:r w:rsidR="00A23687">
        <w:rPr>
          <w:lang w:val="en-IN"/>
        </w:rPr>
        <w:t>,</w:t>
      </w:r>
      <w:r w:rsidR="00616050" w:rsidRPr="00616050">
        <w:rPr>
          <w:lang w:val="en-IN"/>
        </w:rPr>
        <w:t xml:space="preserve"> which indicates that the company is making </w:t>
      </w:r>
      <w:r w:rsidR="00A23687">
        <w:rPr>
          <w:lang w:val="en-IN"/>
        </w:rPr>
        <w:t xml:space="preserve">ineffective </w:t>
      </w:r>
      <w:r w:rsidR="00616050" w:rsidRPr="00616050">
        <w:rPr>
          <w:lang w:val="en-IN"/>
        </w:rPr>
        <w:t xml:space="preserve">use of its assets to generate profit. Also, the </w:t>
      </w:r>
      <w:r w:rsidR="00762581">
        <w:rPr>
          <w:lang w:val="en-IN"/>
        </w:rPr>
        <w:t>working capital to total asset ratio</w:t>
      </w:r>
      <w:r w:rsidR="003044ED">
        <w:rPr>
          <w:lang w:val="en-IN"/>
        </w:rPr>
        <w:t xml:space="preserve"> (A)</w:t>
      </w:r>
      <w:r w:rsidR="00616050" w:rsidRPr="00616050">
        <w:rPr>
          <w:lang w:val="en-IN"/>
        </w:rPr>
        <w:t xml:space="preserve"> has diminished</w:t>
      </w:r>
      <w:r w:rsidR="00B255AF">
        <w:rPr>
          <w:lang w:val="en-IN"/>
        </w:rPr>
        <w:t xml:space="preserve"> </w:t>
      </w:r>
      <w:r w:rsidR="00762581">
        <w:rPr>
          <w:lang w:val="en-IN"/>
        </w:rPr>
        <w:t>from 0.289 in</w:t>
      </w:r>
      <w:r w:rsidR="00616050" w:rsidRPr="00616050">
        <w:rPr>
          <w:lang w:val="en-IN"/>
        </w:rPr>
        <w:t xml:space="preserve"> 2020</w:t>
      </w:r>
      <w:r w:rsidR="00762581">
        <w:rPr>
          <w:lang w:val="en-IN"/>
        </w:rPr>
        <w:t xml:space="preserve">to </w:t>
      </w:r>
      <w:r w:rsidR="0077359B">
        <w:rPr>
          <w:lang w:val="en-IN"/>
        </w:rPr>
        <w:t>0.260 in 2024,</w:t>
      </w:r>
      <w:r w:rsidR="00616050" w:rsidRPr="00616050">
        <w:rPr>
          <w:lang w:val="en-IN"/>
        </w:rPr>
        <w:t xml:space="preserve"> respectively, which </w:t>
      </w:r>
      <w:r w:rsidR="00762581">
        <w:rPr>
          <w:lang w:val="en-IN"/>
        </w:rPr>
        <w:t xml:space="preserve">highlights </w:t>
      </w:r>
      <w:r w:rsidR="00A23687">
        <w:rPr>
          <w:lang w:val="en-IN"/>
        </w:rPr>
        <w:t xml:space="preserve">a slight liquidity </w:t>
      </w:r>
      <w:r w:rsidR="00F73CC0">
        <w:rPr>
          <w:lang w:val="en-IN"/>
        </w:rPr>
        <w:t>fall</w:t>
      </w:r>
      <w:r w:rsidR="00616050" w:rsidRPr="00616050">
        <w:rPr>
          <w:lang w:val="en-IN"/>
        </w:rPr>
        <w:t xml:space="preserve">. The retained earnings to total assets ratio (B) is </w:t>
      </w:r>
      <w:r w:rsidR="00F73CC0">
        <w:rPr>
          <w:lang w:val="en-IN"/>
        </w:rPr>
        <w:t xml:space="preserve">still </w:t>
      </w:r>
      <w:r w:rsidR="00616050" w:rsidRPr="00616050">
        <w:rPr>
          <w:lang w:val="en-IN"/>
        </w:rPr>
        <w:t>good at 0.645 in 2024, and this indicates that the company has retained earnings that are large in terms of its asset base, which is a good indicator.</w:t>
      </w:r>
    </w:p>
    <w:p w14:paraId="42147F76" w14:textId="3B04C48F" w:rsidR="00C608D8" w:rsidRDefault="00F73CC0" w:rsidP="006917B9">
      <w:pPr>
        <w:rPr>
          <w:lang w:val="en-IN"/>
        </w:rPr>
      </w:pPr>
      <w:r>
        <w:rPr>
          <w:lang w:val="en-IN"/>
        </w:rPr>
        <w:t>Therefore, it can be said that</w:t>
      </w:r>
      <w:r w:rsidRPr="00616050">
        <w:rPr>
          <w:lang w:val="en-IN"/>
        </w:rPr>
        <w:t xml:space="preserve"> the</w:t>
      </w:r>
      <w:r w:rsidR="00616050" w:rsidRPr="00616050">
        <w:rPr>
          <w:lang w:val="en-IN"/>
        </w:rPr>
        <w:t xml:space="preserve"> Z-Score of General Electronics indicat</w:t>
      </w:r>
      <w:r>
        <w:rPr>
          <w:lang w:val="en-IN"/>
        </w:rPr>
        <w:t xml:space="preserve">es </w:t>
      </w:r>
      <w:r w:rsidR="00616050" w:rsidRPr="00616050">
        <w:rPr>
          <w:lang w:val="en-IN"/>
        </w:rPr>
        <w:t>a moderately low probability of bankruptcy</w:t>
      </w:r>
      <w:r>
        <w:rPr>
          <w:lang w:val="en-IN"/>
        </w:rPr>
        <w:t xml:space="preserve"> but</w:t>
      </w:r>
      <w:r w:rsidR="00616050" w:rsidRPr="00616050">
        <w:rPr>
          <w:lang w:val="en-IN"/>
        </w:rPr>
        <w:t xml:space="preserve"> the decrease in the past years could be attributed to increasing financial strains and profitability and liquidity problems. It is </w:t>
      </w:r>
      <w:r>
        <w:rPr>
          <w:lang w:val="en-IN"/>
        </w:rPr>
        <w:t xml:space="preserve">important to deal with </w:t>
      </w:r>
      <w:r w:rsidR="00616050" w:rsidRPr="00616050">
        <w:rPr>
          <w:lang w:val="en-IN"/>
        </w:rPr>
        <w:t xml:space="preserve">the underlying problems of its business </w:t>
      </w:r>
      <w:r>
        <w:rPr>
          <w:lang w:val="en-IN"/>
        </w:rPr>
        <w:t>to</w:t>
      </w:r>
      <w:r w:rsidR="00616050" w:rsidRPr="00616050">
        <w:rPr>
          <w:lang w:val="en-IN"/>
        </w:rPr>
        <w:t xml:space="preserve"> have a healthy Z-score and reduce the chances of financial distress in the future.</w:t>
      </w:r>
    </w:p>
    <w:p w14:paraId="40F572DF" w14:textId="77777777" w:rsidR="00C608D8" w:rsidRDefault="00C608D8" w:rsidP="006917B9">
      <w:pPr>
        <w:rPr>
          <w:lang w:val="en-IN"/>
        </w:rPr>
      </w:pPr>
      <w:r>
        <w:rPr>
          <w:lang w:val="en-IN"/>
        </w:rPr>
        <w:br w:type="page"/>
      </w:r>
    </w:p>
    <w:p w14:paraId="31F910C3" w14:textId="446A71D5" w:rsidR="00616050" w:rsidRDefault="00705964" w:rsidP="006917B9">
      <w:pPr>
        <w:pStyle w:val="Heading1"/>
        <w:spacing w:after="240"/>
        <w:rPr>
          <w:lang w:val="en-IN"/>
        </w:rPr>
      </w:pPr>
      <w:bookmarkStart w:id="15" w:name="_Toc215057627"/>
      <w:r>
        <w:rPr>
          <w:lang w:val="en-IN"/>
        </w:rPr>
        <w:lastRenderedPageBreak/>
        <w:t>Working Capital Management Analysis</w:t>
      </w:r>
      <w:bookmarkEnd w:id="15"/>
      <w:r>
        <w:rPr>
          <w:lang w:val="en-IN"/>
        </w:rPr>
        <w:t xml:space="preserve"> </w:t>
      </w:r>
    </w:p>
    <w:p w14:paraId="466D9B8C" w14:textId="77777777" w:rsidR="00FD1725" w:rsidRPr="00956BDB" w:rsidRDefault="00FD1725" w:rsidP="006917B9">
      <w:pPr>
        <w:jc w:val="center"/>
        <w:rPr>
          <w:b/>
          <w:bCs/>
          <w:i/>
          <w:iCs/>
        </w:rPr>
      </w:pPr>
      <w:r w:rsidRPr="00956BDB">
        <w:rPr>
          <w:b/>
          <w:bCs/>
          <w:i/>
          <w:iCs/>
          <w:noProof/>
          <w:lang w:val="en-IN"/>
        </w:rPr>
        <w:drawing>
          <wp:inline distT="0" distB="0" distL="0" distR="0" wp14:anchorId="14211944" wp14:editId="54D307A4">
            <wp:extent cx="4791744" cy="1857634"/>
            <wp:effectExtent l="0" t="0" r="8890" b="9525"/>
            <wp:docPr id="67059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9504" name=""/>
                    <pic:cNvPicPr/>
                  </pic:nvPicPr>
                  <pic:blipFill>
                    <a:blip r:embed="rId16"/>
                    <a:stretch>
                      <a:fillRect/>
                    </a:stretch>
                  </pic:blipFill>
                  <pic:spPr>
                    <a:xfrm>
                      <a:off x="0" y="0"/>
                      <a:ext cx="4791744" cy="1857634"/>
                    </a:xfrm>
                    <a:prstGeom prst="rect">
                      <a:avLst/>
                    </a:prstGeom>
                  </pic:spPr>
                </pic:pic>
              </a:graphicData>
            </a:graphic>
          </wp:inline>
        </w:drawing>
      </w:r>
    </w:p>
    <w:p w14:paraId="7957CB97" w14:textId="1422A978" w:rsidR="00FD1725" w:rsidRPr="00956BDB" w:rsidRDefault="00FD1725" w:rsidP="006917B9">
      <w:pPr>
        <w:jc w:val="center"/>
        <w:rPr>
          <w:b/>
          <w:bCs/>
          <w:i/>
          <w:iCs/>
        </w:rPr>
      </w:pPr>
      <w:bookmarkStart w:id="16" w:name="_Toc215060442"/>
      <w:r w:rsidRPr="00956BDB">
        <w:rPr>
          <w:b/>
          <w:bCs/>
          <w:i/>
          <w:iCs/>
        </w:rPr>
        <w:t xml:space="preserve">Figure </w:t>
      </w:r>
      <w:r w:rsidRPr="00956BDB">
        <w:rPr>
          <w:b/>
          <w:bCs/>
          <w:i/>
          <w:iCs/>
        </w:rPr>
        <w:fldChar w:fldCharType="begin"/>
      </w:r>
      <w:r w:rsidRPr="00956BDB">
        <w:rPr>
          <w:b/>
          <w:bCs/>
          <w:i/>
          <w:iCs/>
        </w:rPr>
        <w:instrText xml:space="preserve"> SEQ Figure \* ARABIC </w:instrText>
      </w:r>
      <w:r w:rsidRPr="00956BDB">
        <w:rPr>
          <w:b/>
          <w:bCs/>
          <w:i/>
          <w:iCs/>
        </w:rPr>
        <w:fldChar w:fldCharType="separate"/>
      </w:r>
      <w:r w:rsidR="00DA7FEC">
        <w:rPr>
          <w:b/>
          <w:bCs/>
          <w:i/>
          <w:iCs/>
          <w:noProof/>
        </w:rPr>
        <w:t>8</w:t>
      </w:r>
      <w:r w:rsidRPr="00956BDB">
        <w:rPr>
          <w:b/>
          <w:bCs/>
          <w:i/>
          <w:iCs/>
        </w:rPr>
        <w:fldChar w:fldCharType="end"/>
      </w:r>
      <w:r w:rsidRPr="00956BDB">
        <w:rPr>
          <w:b/>
          <w:bCs/>
          <w:i/>
          <w:iCs/>
        </w:rPr>
        <w:t>: Cash Operating Cycle</w:t>
      </w:r>
      <w:bookmarkEnd w:id="16"/>
    </w:p>
    <w:p w14:paraId="13F3607A" w14:textId="7A1B1B85" w:rsidR="00AF67F2" w:rsidRPr="00956BDB" w:rsidRDefault="00AF67F2" w:rsidP="006917B9">
      <w:pPr>
        <w:jc w:val="center"/>
        <w:rPr>
          <w:b/>
          <w:bCs/>
          <w:i/>
          <w:iCs/>
          <w:lang w:val="en-IN"/>
        </w:rPr>
      </w:pPr>
      <w:r w:rsidRPr="00956BDB">
        <w:rPr>
          <w:b/>
          <w:bCs/>
          <w:i/>
          <w:iCs/>
          <w:lang w:val="en-IN"/>
        </w:rPr>
        <w:t>(Source: CFI, 2025)</w:t>
      </w:r>
    </w:p>
    <w:p w14:paraId="3C2BF94B" w14:textId="25FC137C" w:rsidR="00705964" w:rsidRDefault="008F7CDC" w:rsidP="006917B9">
      <w:pPr>
        <w:rPr>
          <w:lang w:val="en-IN"/>
        </w:rPr>
      </w:pPr>
      <w:r>
        <w:rPr>
          <w:lang w:val="en-IN"/>
        </w:rPr>
        <w:t xml:space="preserve">Working capital management is </w:t>
      </w:r>
      <w:r w:rsidR="00AD2330">
        <w:rPr>
          <w:lang w:val="en-IN"/>
        </w:rPr>
        <w:t xml:space="preserve">a critical business area which requires a strong focus in order to maintain </w:t>
      </w:r>
      <w:r>
        <w:rPr>
          <w:lang w:val="en-IN"/>
        </w:rPr>
        <w:t xml:space="preserve">stability in the present as well as in future. </w:t>
      </w:r>
      <w:r w:rsidR="00BB35F9">
        <w:rPr>
          <w:lang w:val="en-IN"/>
        </w:rPr>
        <w:t xml:space="preserve">Managing working capital involves using the </w:t>
      </w:r>
      <w:r w:rsidR="009671D2">
        <w:rPr>
          <w:lang w:val="en-IN"/>
        </w:rPr>
        <w:t>short-term</w:t>
      </w:r>
      <w:r w:rsidR="00BB35F9">
        <w:rPr>
          <w:lang w:val="en-IN"/>
        </w:rPr>
        <w:t xml:space="preserve"> assets of an organisation in order to ensure that </w:t>
      </w:r>
      <w:r w:rsidR="009671D2">
        <w:rPr>
          <w:lang w:val="en-IN"/>
        </w:rPr>
        <w:t>day-to-day</w:t>
      </w:r>
      <w:r w:rsidR="00BB35F9">
        <w:rPr>
          <w:lang w:val="en-IN"/>
        </w:rPr>
        <w:t xml:space="preserve"> operational expenses</w:t>
      </w:r>
      <w:r w:rsidR="009671D2">
        <w:rPr>
          <w:lang w:val="en-IN"/>
        </w:rPr>
        <w:t>,</w:t>
      </w:r>
      <w:r w:rsidR="00BB35F9">
        <w:rPr>
          <w:lang w:val="en-IN"/>
        </w:rPr>
        <w:t xml:space="preserve"> along with </w:t>
      </w:r>
      <w:r w:rsidR="009671D2">
        <w:rPr>
          <w:lang w:val="en-IN"/>
        </w:rPr>
        <w:t>short-term</w:t>
      </w:r>
      <w:r w:rsidR="00BB35F9">
        <w:rPr>
          <w:lang w:val="en-IN"/>
        </w:rPr>
        <w:t xml:space="preserve"> debts</w:t>
      </w:r>
      <w:r w:rsidR="009671D2">
        <w:rPr>
          <w:lang w:val="en-IN"/>
        </w:rPr>
        <w:t>,</w:t>
      </w:r>
      <w:r w:rsidR="00BB35F9">
        <w:rPr>
          <w:lang w:val="en-IN"/>
        </w:rPr>
        <w:t xml:space="preserve"> can be managed</w:t>
      </w:r>
      <w:r w:rsidR="007F28C6">
        <w:rPr>
          <w:lang w:val="en-IN"/>
        </w:rPr>
        <w:t xml:space="preserve"> (</w:t>
      </w:r>
      <w:r w:rsidR="00F25C24">
        <w:rPr>
          <w:lang w:val="en-IN"/>
        </w:rPr>
        <w:t>ACCA Global, 2025).</w:t>
      </w:r>
      <w:r w:rsidR="00146D5B">
        <w:rPr>
          <w:lang w:val="en-IN"/>
        </w:rPr>
        <w:t xml:space="preserve"> Further, </w:t>
      </w:r>
      <w:r w:rsidR="00DE017B">
        <w:rPr>
          <w:lang w:val="en-IN"/>
        </w:rPr>
        <w:t xml:space="preserve">the </w:t>
      </w:r>
      <w:r w:rsidR="00146D5B">
        <w:rPr>
          <w:lang w:val="en-IN"/>
        </w:rPr>
        <w:t>cash operating cycle is one of the most important aspects associated with the process of working capital management</w:t>
      </w:r>
      <w:r w:rsidR="00F37E94">
        <w:rPr>
          <w:lang w:val="en-IN"/>
        </w:rPr>
        <w:t>,</w:t>
      </w:r>
      <w:r w:rsidR="00146D5B">
        <w:rPr>
          <w:lang w:val="en-IN"/>
        </w:rPr>
        <w:t xml:space="preserve"> </w:t>
      </w:r>
      <w:r w:rsidR="008901EB">
        <w:rPr>
          <w:lang w:val="en-IN"/>
        </w:rPr>
        <w:t xml:space="preserve">as it </w:t>
      </w:r>
      <w:r w:rsidR="00F37E94">
        <w:rPr>
          <w:lang w:val="en-IN"/>
        </w:rPr>
        <w:t xml:space="preserve">reflects the number of days taken by an organisation to </w:t>
      </w:r>
      <w:r w:rsidR="00387A39">
        <w:rPr>
          <w:lang w:val="en-IN"/>
        </w:rPr>
        <w:t xml:space="preserve">convert the investments made in inventory and other resources into </w:t>
      </w:r>
      <w:r w:rsidR="00022B8F">
        <w:rPr>
          <w:lang w:val="en-IN"/>
        </w:rPr>
        <w:t>cash</w:t>
      </w:r>
      <w:r w:rsidR="00F37E94">
        <w:rPr>
          <w:lang w:val="en-IN"/>
        </w:rPr>
        <w:t xml:space="preserve"> from sales</w:t>
      </w:r>
      <w:r w:rsidR="009A3CEB">
        <w:rPr>
          <w:lang w:val="en-IN"/>
        </w:rPr>
        <w:t xml:space="preserve">. In other words, it evaluates the number of days a business takes to </w:t>
      </w:r>
      <w:r w:rsidR="00FA2FA0">
        <w:rPr>
          <w:lang w:val="en-IN"/>
        </w:rPr>
        <w:t>receive</w:t>
      </w:r>
      <w:r w:rsidR="009A3CEB">
        <w:rPr>
          <w:lang w:val="en-IN"/>
        </w:rPr>
        <w:t xml:space="preserve"> </w:t>
      </w:r>
      <w:r w:rsidR="00641A46">
        <w:rPr>
          <w:lang w:val="en-IN"/>
        </w:rPr>
        <w:t>inventory</w:t>
      </w:r>
      <w:r w:rsidR="009A3CEB">
        <w:rPr>
          <w:lang w:val="en-IN"/>
        </w:rPr>
        <w:t>, sell it and collect the cash (</w:t>
      </w:r>
      <w:r w:rsidR="00FA2FA0">
        <w:rPr>
          <w:lang w:val="en-IN"/>
        </w:rPr>
        <w:t xml:space="preserve">CFI, 2025). </w:t>
      </w:r>
      <w:r w:rsidR="009E08BE">
        <w:rPr>
          <w:lang w:val="en-IN"/>
        </w:rPr>
        <w:t xml:space="preserve">The </w:t>
      </w:r>
      <w:r w:rsidR="006A5C5C">
        <w:rPr>
          <w:lang w:val="en-IN"/>
        </w:rPr>
        <w:t>chart below</w:t>
      </w:r>
      <w:r w:rsidR="009E08BE">
        <w:rPr>
          <w:lang w:val="en-IN"/>
        </w:rPr>
        <w:t xml:space="preserve"> </w:t>
      </w:r>
      <w:r w:rsidR="00EF10D7">
        <w:rPr>
          <w:lang w:val="en-IN"/>
        </w:rPr>
        <w:t>shows GE's effectiveness in managing</w:t>
      </w:r>
      <w:r w:rsidR="009E08BE">
        <w:rPr>
          <w:lang w:val="en-IN"/>
        </w:rPr>
        <w:t xml:space="preserve"> its working capital</w:t>
      </w:r>
      <w:r w:rsidR="00AE1E19">
        <w:rPr>
          <w:lang w:val="en-IN"/>
        </w:rPr>
        <w:t xml:space="preserve"> over a period. </w:t>
      </w:r>
    </w:p>
    <w:p w14:paraId="3E82EF35" w14:textId="77777777" w:rsidR="00FA2025" w:rsidRPr="0095040C" w:rsidRDefault="00FA2025" w:rsidP="006917B9">
      <w:pPr>
        <w:jc w:val="center"/>
        <w:rPr>
          <w:b/>
          <w:bCs/>
          <w:i/>
          <w:iCs/>
        </w:rPr>
      </w:pPr>
      <w:r w:rsidRPr="0095040C">
        <w:rPr>
          <w:b/>
          <w:bCs/>
          <w:i/>
          <w:iCs/>
          <w:noProof/>
        </w:rPr>
        <w:drawing>
          <wp:inline distT="0" distB="0" distL="0" distR="0" wp14:anchorId="161F07A7" wp14:editId="4D6BCC96">
            <wp:extent cx="4200525" cy="2181225"/>
            <wp:effectExtent l="0" t="0" r="9525" b="9525"/>
            <wp:docPr id="488015290" name="Chart 1">
              <a:extLst xmlns:a="http://schemas.openxmlformats.org/drawingml/2006/main">
                <a:ext uri="{FF2B5EF4-FFF2-40B4-BE49-F238E27FC236}">
                  <a16:creationId xmlns:a16="http://schemas.microsoft.com/office/drawing/2014/main" id="{0761FEB0-AE1C-AE84-9602-40159A4C94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B24AE9D" w14:textId="2556A98A" w:rsidR="00693DD4" w:rsidRPr="0095040C" w:rsidRDefault="00FA2025" w:rsidP="006917B9">
      <w:pPr>
        <w:jc w:val="center"/>
        <w:rPr>
          <w:b/>
          <w:bCs/>
          <w:i/>
          <w:iCs/>
        </w:rPr>
      </w:pPr>
      <w:bookmarkStart w:id="17" w:name="_Toc215060443"/>
      <w:r w:rsidRPr="0095040C">
        <w:rPr>
          <w:b/>
          <w:bCs/>
          <w:i/>
          <w:iCs/>
        </w:rPr>
        <w:t xml:space="preserve">Figure </w:t>
      </w:r>
      <w:r w:rsidRPr="0095040C">
        <w:rPr>
          <w:b/>
          <w:bCs/>
          <w:i/>
          <w:iCs/>
        </w:rPr>
        <w:fldChar w:fldCharType="begin"/>
      </w:r>
      <w:r w:rsidRPr="0095040C">
        <w:rPr>
          <w:b/>
          <w:bCs/>
          <w:i/>
          <w:iCs/>
        </w:rPr>
        <w:instrText xml:space="preserve"> SEQ Figure \* ARABIC </w:instrText>
      </w:r>
      <w:r w:rsidRPr="0095040C">
        <w:rPr>
          <w:b/>
          <w:bCs/>
          <w:i/>
          <w:iCs/>
        </w:rPr>
        <w:fldChar w:fldCharType="separate"/>
      </w:r>
      <w:r w:rsidR="00DA7FEC">
        <w:rPr>
          <w:b/>
          <w:bCs/>
          <w:i/>
          <w:iCs/>
          <w:noProof/>
        </w:rPr>
        <w:t>9</w:t>
      </w:r>
      <w:r w:rsidRPr="0095040C">
        <w:rPr>
          <w:b/>
          <w:bCs/>
          <w:i/>
          <w:iCs/>
        </w:rPr>
        <w:fldChar w:fldCharType="end"/>
      </w:r>
      <w:r w:rsidRPr="0095040C">
        <w:rPr>
          <w:b/>
          <w:bCs/>
          <w:i/>
          <w:iCs/>
        </w:rPr>
        <w:t>: Cash Operating Cycle of GE</w:t>
      </w:r>
      <w:bookmarkEnd w:id="17"/>
    </w:p>
    <w:p w14:paraId="633A7B25" w14:textId="1EC81FD8" w:rsidR="00625922" w:rsidRDefault="00314BD0" w:rsidP="006917B9">
      <w:r>
        <w:lastRenderedPageBreak/>
        <w:t xml:space="preserve">It has been analysed that </w:t>
      </w:r>
      <w:r w:rsidR="006B4F00">
        <w:t>the cash operating cycle is 115 days in 2024, which is better than 140 days in</w:t>
      </w:r>
      <w:r w:rsidR="00625922">
        <w:t xml:space="preserve"> 2022</w:t>
      </w:r>
      <w:r w:rsidR="006B4F00">
        <w:t xml:space="preserve">, </w:t>
      </w:r>
      <w:r w:rsidR="00625922">
        <w:t>show</w:t>
      </w:r>
      <w:r w:rsidR="006B4F00">
        <w:t xml:space="preserve">ing </w:t>
      </w:r>
      <w:r w:rsidR="00625922">
        <w:t xml:space="preserve">that the company has been able to reduce its cycle through a better inventory turnover and lessening the time taken to receive payments. In 2024, </w:t>
      </w:r>
      <w:r w:rsidR="00F632A4">
        <w:t>days inventory outstanding</w:t>
      </w:r>
      <w:r w:rsidR="00625922">
        <w:t xml:space="preserve"> came down by a few days to 103 days, which is a positive indication of improved inventory control and turnover. However, the </w:t>
      </w:r>
      <w:r w:rsidR="00F632A4">
        <w:t>days' sales outstanding have</w:t>
      </w:r>
      <w:r w:rsidR="00625922">
        <w:t xml:space="preserve"> risen</w:t>
      </w:r>
      <w:r w:rsidR="001D7BFC">
        <w:t xml:space="preserve"> </w:t>
      </w:r>
      <w:r w:rsidR="00625922">
        <w:t xml:space="preserve">to 106 days in 2024 compared to 98 days in 2023, </w:t>
      </w:r>
      <w:r w:rsidR="001D7BFC">
        <w:t>indicating that</w:t>
      </w:r>
      <w:r w:rsidR="00625922">
        <w:t xml:space="preserve"> </w:t>
      </w:r>
      <w:r w:rsidR="0046467D">
        <w:t>the rate of receivables collection has slowed down, and the liquidity has come</w:t>
      </w:r>
      <w:r w:rsidR="00625922">
        <w:t xml:space="preserve"> under </w:t>
      </w:r>
      <w:r w:rsidR="0046467D">
        <w:t>pressure</w:t>
      </w:r>
      <w:r w:rsidR="00625922">
        <w:t xml:space="preserve">. The longer </w:t>
      </w:r>
      <w:r w:rsidR="0046467D">
        <w:t xml:space="preserve">days' sales outstanding show that GE is getting slower in receiving money from customers due to a </w:t>
      </w:r>
      <w:r w:rsidR="00625922">
        <w:t xml:space="preserve">more lenient credit policy or inefficiencies with the collection process. </w:t>
      </w:r>
      <w:r w:rsidR="0046467D">
        <w:t>Also, days payable outstanding</w:t>
      </w:r>
      <w:r w:rsidR="00625922">
        <w:t xml:space="preserve"> rose to 94 days in 2024 compared to 64 days in 2023</w:t>
      </w:r>
      <w:r w:rsidR="0046467D">
        <w:t>,</w:t>
      </w:r>
      <w:r w:rsidR="00625922">
        <w:t xml:space="preserve"> indicating that the company takes more time to pay its suppliers</w:t>
      </w:r>
      <w:r w:rsidR="003C373E">
        <w:t xml:space="preserve"> (Refer to Appendix). </w:t>
      </w:r>
      <w:r w:rsidR="00625922">
        <w:t>This may help in the short term to give the company more time to pay its bills</w:t>
      </w:r>
      <w:r w:rsidR="00996559">
        <w:t>,</w:t>
      </w:r>
      <w:r w:rsidR="00625922">
        <w:t xml:space="preserve"> but </w:t>
      </w:r>
      <w:r w:rsidR="00543ED5">
        <w:t xml:space="preserve">it </w:t>
      </w:r>
      <w:r w:rsidR="008D1ED9">
        <w:t>may</w:t>
      </w:r>
      <w:r w:rsidR="00996559">
        <w:t xml:space="preserve"> impact </w:t>
      </w:r>
      <w:r w:rsidR="00625922">
        <w:t>its relationship with suppliers</w:t>
      </w:r>
      <w:r w:rsidR="00996559">
        <w:t xml:space="preserve"> in the long run. </w:t>
      </w:r>
    </w:p>
    <w:p w14:paraId="3CD40010" w14:textId="3F42622C" w:rsidR="00625922" w:rsidRDefault="00EC6BB0" w:rsidP="006917B9">
      <w:pPr>
        <w:pStyle w:val="Heading2"/>
        <w:spacing w:before="240" w:after="240"/>
      </w:pPr>
      <w:bookmarkStart w:id="18" w:name="_Toc215057628"/>
      <w:r>
        <w:t>Recommendations</w:t>
      </w:r>
      <w:bookmarkEnd w:id="18"/>
      <w:r>
        <w:t xml:space="preserve"> </w:t>
      </w:r>
    </w:p>
    <w:p w14:paraId="78A904E8" w14:textId="29551583" w:rsidR="00625922" w:rsidRPr="00D36FCC" w:rsidRDefault="00625922" w:rsidP="006917B9">
      <w:pPr>
        <w:pStyle w:val="ListParagraph"/>
        <w:numPr>
          <w:ilvl w:val="0"/>
          <w:numId w:val="1"/>
        </w:numPr>
        <w:contextualSpacing w:val="0"/>
      </w:pPr>
      <w:r w:rsidRPr="00BE0734">
        <w:rPr>
          <w:b/>
          <w:bCs/>
          <w:i/>
          <w:iCs/>
        </w:rPr>
        <w:t>Enhance Inventory Control:</w:t>
      </w:r>
      <w:r w:rsidR="00A67BD4" w:rsidRPr="00BE0734">
        <w:rPr>
          <w:b/>
          <w:bCs/>
          <w:i/>
          <w:iCs/>
        </w:rPr>
        <w:t xml:space="preserve"> </w:t>
      </w:r>
      <w:r>
        <w:t xml:space="preserve">The company </w:t>
      </w:r>
      <w:r w:rsidR="0046189D">
        <w:t xml:space="preserve">need </w:t>
      </w:r>
      <w:r>
        <w:t xml:space="preserve">to </w:t>
      </w:r>
      <w:r w:rsidR="0046189D">
        <w:t>improve</w:t>
      </w:r>
      <w:r>
        <w:t xml:space="preserve"> the Days Inventory Outstanding (DIO) based on the high rates in 2022</w:t>
      </w:r>
      <w:r w:rsidR="0046189D">
        <w:t xml:space="preserve"> (Refer to Appendix). Therefore, the </w:t>
      </w:r>
      <w:r>
        <w:t>application of Just-in-time (JIT) inventory systems</w:t>
      </w:r>
      <w:r w:rsidR="009B3B91">
        <w:t xml:space="preserve"> is suggested as it helps </w:t>
      </w:r>
      <w:r w:rsidR="008B719F">
        <w:t>keep</w:t>
      </w:r>
      <w:r w:rsidR="009B3B91">
        <w:t xml:space="preserve"> inventory aligned with the actual demand, </w:t>
      </w:r>
      <w:r w:rsidR="008B719F">
        <w:t xml:space="preserve">which will reduce the </w:t>
      </w:r>
      <w:r>
        <w:t>holding periods and resultant costs</w:t>
      </w:r>
      <w:r w:rsidR="00727F82">
        <w:t xml:space="preserve"> (</w:t>
      </w:r>
      <w:r w:rsidR="00727F82" w:rsidRPr="00BE0734">
        <w:rPr>
          <w:shd w:val="clear" w:color="auto" w:fill="FFFFFF"/>
        </w:rPr>
        <w:t xml:space="preserve">Choi, et al., 2023). </w:t>
      </w:r>
      <w:r>
        <w:t xml:space="preserve">Also, the company would be able to </w:t>
      </w:r>
      <w:r w:rsidR="00BA05F8">
        <w:t xml:space="preserve">adjust the </w:t>
      </w:r>
      <w:r>
        <w:t xml:space="preserve">inventory </w:t>
      </w:r>
      <w:r w:rsidR="00BA05F8">
        <w:t xml:space="preserve">proactively by enhancing demand forecasting and </w:t>
      </w:r>
      <w:r>
        <w:t>keep</w:t>
      </w:r>
      <w:r w:rsidR="00BA05F8">
        <w:t xml:space="preserve">ing </w:t>
      </w:r>
      <w:r>
        <w:t>the necessary volume of stocks in use.</w:t>
      </w:r>
    </w:p>
    <w:p w14:paraId="608C159A" w14:textId="11653D32" w:rsidR="00625922" w:rsidRPr="00F07ACC" w:rsidRDefault="00625922" w:rsidP="006917B9">
      <w:pPr>
        <w:pStyle w:val="ListParagraph"/>
        <w:numPr>
          <w:ilvl w:val="0"/>
          <w:numId w:val="1"/>
        </w:numPr>
        <w:contextualSpacing w:val="0"/>
      </w:pPr>
      <w:r w:rsidRPr="00BE0734">
        <w:rPr>
          <w:b/>
          <w:bCs/>
          <w:i/>
          <w:iCs/>
        </w:rPr>
        <w:t>Fast Track Receivables Collection:</w:t>
      </w:r>
      <w:r w:rsidR="00A67BD4" w:rsidRPr="00BE0734">
        <w:rPr>
          <w:b/>
          <w:bCs/>
          <w:i/>
          <w:iCs/>
        </w:rPr>
        <w:t xml:space="preserve"> </w:t>
      </w:r>
      <w:r>
        <w:t xml:space="preserve">General Electronics is experiencing difficulties in </w:t>
      </w:r>
      <w:r w:rsidR="00D36FCC">
        <w:t xml:space="preserve">collecting payments from customers effectively, and hence, it needs to restrict its credit </w:t>
      </w:r>
      <w:r w:rsidR="00D94E16">
        <w:t xml:space="preserve">policy and require a review of </w:t>
      </w:r>
      <w:r>
        <w:t xml:space="preserve">the terms of payment. Moreover, on-time </w:t>
      </w:r>
      <w:r w:rsidR="00E9719A">
        <w:t xml:space="preserve">or early </w:t>
      </w:r>
      <w:r>
        <w:t>payments would be encouraged with the help of discounts to receive better cash flows</w:t>
      </w:r>
      <w:r w:rsidR="00B8726D">
        <w:t xml:space="preserve"> (</w:t>
      </w:r>
      <w:r w:rsidR="0037180F">
        <w:t>Allianz, 2025).</w:t>
      </w:r>
      <w:r w:rsidR="00F07ACC">
        <w:t xml:space="preserve"> </w:t>
      </w:r>
      <w:r>
        <w:t xml:space="preserve">Automated invoicing and reminders would also make the process less time-consuming and </w:t>
      </w:r>
      <w:r w:rsidR="002F384D">
        <w:t>minimise</w:t>
      </w:r>
      <w:r>
        <w:t xml:space="preserve"> waiting time when collecting payments, which would enhance liquidity</w:t>
      </w:r>
      <w:r w:rsidR="00CD7D89">
        <w:t xml:space="preserve">. </w:t>
      </w:r>
    </w:p>
    <w:p w14:paraId="4EC1CA2A" w14:textId="4862D09C" w:rsidR="00625922" w:rsidRPr="00BE0734" w:rsidRDefault="00625922" w:rsidP="006917B9">
      <w:pPr>
        <w:pStyle w:val="ListParagraph"/>
        <w:numPr>
          <w:ilvl w:val="0"/>
          <w:numId w:val="1"/>
        </w:numPr>
        <w:contextualSpacing w:val="0"/>
        <w:rPr>
          <w:b/>
          <w:bCs/>
          <w:i/>
          <w:iCs/>
        </w:rPr>
      </w:pPr>
      <w:r w:rsidRPr="00BE0734">
        <w:rPr>
          <w:b/>
          <w:bCs/>
          <w:i/>
          <w:iCs/>
        </w:rPr>
        <w:t>Optimi</w:t>
      </w:r>
      <w:r w:rsidR="00317CDC" w:rsidRPr="00BE0734">
        <w:rPr>
          <w:b/>
          <w:bCs/>
          <w:i/>
          <w:iCs/>
        </w:rPr>
        <w:t>s</w:t>
      </w:r>
      <w:r w:rsidRPr="00BE0734">
        <w:rPr>
          <w:b/>
          <w:bCs/>
          <w:i/>
          <w:iCs/>
        </w:rPr>
        <w:t>e Payables Management:</w:t>
      </w:r>
      <w:r w:rsidR="0068523A" w:rsidRPr="00BE0734">
        <w:rPr>
          <w:b/>
          <w:bCs/>
          <w:i/>
          <w:iCs/>
        </w:rPr>
        <w:t xml:space="preserve"> </w:t>
      </w:r>
      <w:r>
        <w:t xml:space="preserve">Days Payable Outstanding </w:t>
      </w:r>
      <w:r w:rsidR="00A6685B">
        <w:t xml:space="preserve">needs to be </w:t>
      </w:r>
      <w:r>
        <w:t>increased to enhance liquidity in the short run</w:t>
      </w:r>
      <w:r w:rsidR="00826837">
        <w:t>,</w:t>
      </w:r>
      <w:r w:rsidR="00A6685B">
        <w:t xml:space="preserve"> and hence, </w:t>
      </w:r>
      <w:r w:rsidR="00E349DB">
        <w:t>requires maintaining</w:t>
      </w:r>
      <w:r w:rsidR="00A6685B">
        <w:t xml:space="preserve"> </w:t>
      </w:r>
      <w:r>
        <w:t xml:space="preserve">a </w:t>
      </w:r>
      <w:r>
        <w:lastRenderedPageBreak/>
        <w:t xml:space="preserve">balance between this and healthy supplier relationships. General Electronics </w:t>
      </w:r>
      <w:r w:rsidR="001A4411">
        <w:t>is suggested</w:t>
      </w:r>
      <w:r>
        <w:t xml:space="preserve"> to re-negotiate the terms of payment with suppliers to find a balance between good cash flow and good relationships. </w:t>
      </w:r>
      <w:r w:rsidR="00DA302C">
        <w:t>Utilising the case of early payment discounts</w:t>
      </w:r>
      <w:r w:rsidR="006B4A6D">
        <w:t xml:space="preserve"> </w:t>
      </w:r>
      <w:r w:rsidR="00DA302C">
        <w:t xml:space="preserve">may assist the company in cutting costs and enhancing the </w:t>
      </w:r>
      <w:r>
        <w:t>goodwill of suppliers so that operations are not hampered.</w:t>
      </w:r>
    </w:p>
    <w:p w14:paraId="072BA7B4" w14:textId="3741BC00" w:rsidR="00625922" w:rsidRDefault="002F384D" w:rsidP="006917B9">
      <w:pPr>
        <w:pStyle w:val="Heading2"/>
        <w:spacing w:before="240" w:after="240"/>
      </w:pPr>
      <w:bookmarkStart w:id="19" w:name="_Toc215057629"/>
      <w:r>
        <w:t>Short-term</w:t>
      </w:r>
      <w:r w:rsidR="00625922">
        <w:t xml:space="preserve"> and Long-term Financing</w:t>
      </w:r>
      <w:bookmarkEnd w:id="19"/>
    </w:p>
    <w:p w14:paraId="30CD480F" w14:textId="6FD620AB" w:rsidR="00625922" w:rsidRDefault="00625922" w:rsidP="006917B9">
      <w:pPr>
        <w:pStyle w:val="Heading3"/>
        <w:spacing w:before="240" w:after="240"/>
      </w:pPr>
      <w:bookmarkStart w:id="20" w:name="_Toc215057630"/>
      <w:r>
        <w:t>Short-Term Financing</w:t>
      </w:r>
      <w:bookmarkEnd w:id="20"/>
    </w:p>
    <w:p w14:paraId="5A81DA15" w14:textId="4F0D1AE6" w:rsidR="00625922" w:rsidRPr="00080EC5" w:rsidRDefault="00625922" w:rsidP="006917B9">
      <w:pPr>
        <w:rPr>
          <w:lang w:val="en-IN"/>
        </w:rPr>
      </w:pPr>
      <w:r>
        <w:t xml:space="preserve">The </w:t>
      </w:r>
      <w:r w:rsidR="00574208">
        <w:t>most effective solution to liquidity problems is</w:t>
      </w:r>
      <w:r>
        <w:t xml:space="preserve"> </w:t>
      </w:r>
      <w:r w:rsidRPr="004B06FB">
        <w:rPr>
          <w:b/>
          <w:bCs/>
          <w:i/>
          <w:iCs/>
        </w:rPr>
        <w:t>short-term bank loans</w:t>
      </w:r>
      <w:r>
        <w:t xml:space="preserve"> that have ready access to funds. They are</w:t>
      </w:r>
      <w:r w:rsidR="004B325D">
        <w:t xml:space="preserve"> associated with higher interest rates, and due to that,</w:t>
      </w:r>
      <w:r>
        <w:t xml:space="preserve"> they are very costly when used on a regular basis</w:t>
      </w:r>
      <w:r w:rsidR="0014049E">
        <w:t xml:space="preserve"> (</w:t>
      </w:r>
      <w:r w:rsidR="00325AB2">
        <w:t xml:space="preserve">ACCA Global, 2025). </w:t>
      </w:r>
      <w:r>
        <w:t xml:space="preserve">Another </w:t>
      </w:r>
      <w:r w:rsidR="004B06FB">
        <w:t xml:space="preserve">viable </w:t>
      </w:r>
      <w:r>
        <w:t xml:space="preserve">option that the firm may adopt is </w:t>
      </w:r>
      <w:r w:rsidRPr="004B06FB">
        <w:rPr>
          <w:b/>
          <w:bCs/>
          <w:i/>
          <w:iCs/>
        </w:rPr>
        <w:t>invoice discounting</w:t>
      </w:r>
      <w:r w:rsidR="00837FEC">
        <w:t>,</w:t>
      </w:r>
      <w:r>
        <w:t xml:space="preserve"> in which it sells its invoices to a third-party financier at a discount to receive instant cash. This alternative has the potential to enhance liquidity without incurring any </w:t>
      </w:r>
      <w:r w:rsidR="004B325D">
        <w:t>long-term debt,</w:t>
      </w:r>
      <w:r>
        <w:t xml:space="preserve"> although it reduces profitability</w:t>
      </w:r>
      <w:r w:rsidR="004B06FB">
        <w:t xml:space="preserve"> (</w:t>
      </w:r>
      <w:r w:rsidR="00AA2EDD">
        <w:t>Tradewind, 2025)</w:t>
      </w:r>
      <w:r w:rsidR="0072044B">
        <w:t>.</w:t>
      </w:r>
      <w:r w:rsidR="00067AC1">
        <w:t xml:space="preserve"> </w:t>
      </w:r>
      <w:r>
        <w:t xml:space="preserve">Also, </w:t>
      </w:r>
      <w:r w:rsidRPr="00563574">
        <w:rPr>
          <w:b/>
          <w:bCs/>
          <w:i/>
          <w:iCs/>
        </w:rPr>
        <w:t>supplier trade credit</w:t>
      </w:r>
      <w:r>
        <w:t xml:space="preserve"> enables the company to pay later</w:t>
      </w:r>
      <w:r w:rsidR="00563574">
        <w:t>,</w:t>
      </w:r>
      <w:r>
        <w:t xml:space="preserve"> hence releasing short-term cash</w:t>
      </w:r>
      <w:r w:rsidR="00563574">
        <w:t xml:space="preserve"> (</w:t>
      </w:r>
      <w:r w:rsidR="00D92A79">
        <w:t xml:space="preserve">ACCA Global, 2025). </w:t>
      </w:r>
      <w:r>
        <w:t xml:space="preserve"> </w:t>
      </w:r>
      <w:r w:rsidR="00BB232E">
        <w:t>However</w:t>
      </w:r>
      <w:r>
        <w:t xml:space="preserve">, making these terms of payment </w:t>
      </w:r>
      <w:r w:rsidR="00BB232E">
        <w:t xml:space="preserve">for a long period </w:t>
      </w:r>
      <w:r>
        <w:t xml:space="preserve">might harm relations with suppliers and become a drawback in further </w:t>
      </w:r>
      <w:r w:rsidR="00EF6CA4">
        <w:t>negotiations</w:t>
      </w:r>
      <w:r>
        <w:t xml:space="preserve">. </w:t>
      </w:r>
      <w:r w:rsidR="00787039">
        <w:t>The</w:t>
      </w:r>
      <w:r>
        <w:t xml:space="preserve"> short-term funds are good in filling temporary cash flow gaps, </w:t>
      </w:r>
      <w:r w:rsidR="00787039">
        <w:t xml:space="preserve">but </w:t>
      </w:r>
      <w:r w:rsidR="00271158">
        <w:t>they</w:t>
      </w:r>
      <w:r>
        <w:t xml:space="preserve"> may cause increased financial expenses and eventual dependence on external debt.</w:t>
      </w:r>
    </w:p>
    <w:p w14:paraId="42983045" w14:textId="342DB4C2" w:rsidR="00625922" w:rsidRDefault="00625922" w:rsidP="00435FE4">
      <w:pPr>
        <w:pStyle w:val="Heading3"/>
      </w:pPr>
      <w:bookmarkStart w:id="21" w:name="_Toc215057631"/>
      <w:r>
        <w:t>Long-Term Financing</w:t>
      </w:r>
      <w:bookmarkEnd w:id="21"/>
    </w:p>
    <w:p w14:paraId="46F8AFF8" w14:textId="23711F53" w:rsidR="00625922" w:rsidRDefault="00625922" w:rsidP="006917B9">
      <w:r>
        <w:t xml:space="preserve">The </w:t>
      </w:r>
      <w:r w:rsidR="00F06855" w:rsidRPr="009C1F73">
        <w:rPr>
          <w:b/>
          <w:bCs/>
          <w:i/>
          <w:iCs/>
        </w:rPr>
        <w:t>long-term loans</w:t>
      </w:r>
      <w:r w:rsidR="00F06855">
        <w:t xml:space="preserve"> may give General Electronics the stability it needs when investing more and making improvements in its</w:t>
      </w:r>
      <w:r>
        <w:t xml:space="preserve"> operations. These loans have lower rates of interest as compared to </w:t>
      </w:r>
      <w:r w:rsidR="00F06855">
        <w:t xml:space="preserve">short-term financing and offer the company a </w:t>
      </w:r>
      <w:r>
        <w:t>longer time to repayment</w:t>
      </w:r>
      <w:r w:rsidR="00FB7777">
        <w:t xml:space="preserve"> (</w:t>
      </w:r>
      <w:r w:rsidR="00296681">
        <w:t xml:space="preserve">Experian, 2025). </w:t>
      </w:r>
      <w:r w:rsidR="00A405B8">
        <w:t>H</w:t>
      </w:r>
      <w:r w:rsidR="00F06855">
        <w:t xml:space="preserve">owever, </w:t>
      </w:r>
      <w:r w:rsidR="00A405B8">
        <w:t xml:space="preserve">they </w:t>
      </w:r>
      <w:r w:rsidR="00F06855">
        <w:t>add to the long-term debt burden of the firm,</w:t>
      </w:r>
      <w:r>
        <w:t xml:space="preserve"> which may put strain on the profitability of the company should the company fail to enhance efficiencies in </w:t>
      </w:r>
      <w:r w:rsidR="002A3058">
        <w:t>its</w:t>
      </w:r>
      <w:r>
        <w:t xml:space="preserve"> operations.</w:t>
      </w:r>
      <w:r w:rsidR="00DD5D07">
        <w:t xml:space="preserve"> </w:t>
      </w:r>
      <w:r>
        <w:t xml:space="preserve">The </w:t>
      </w:r>
      <w:r w:rsidRPr="00DD5D07">
        <w:rPr>
          <w:b/>
          <w:bCs/>
          <w:i/>
          <w:iCs/>
        </w:rPr>
        <w:t xml:space="preserve">equity </w:t>
      </w:r>
      <w:r w:rsidR="00AF3A10">
        <w:rPr>
          <w:b/>
          <w:bCs/>
          <w:i/>
          <w:iCs/>
        </w:rPr>
        <w:t>financing</w:t>
      </w:r>
      <w:r w:rsidR="00DD5D07">
        <w:t xml:space="preserve"> </w:t>
      </w:r>
      <w:r>
        <w:t>by issuing shares may bring in a huge amount of capital without the issue of debt</w:t>
      </w:r>
      <w:r w:rsidR="00396E6F">
        <w:t>, but it is accompanied by the disadvantage of weakening</w:t>
      </w:r>
      <w:r>
        <w:t xml:space="preserve"> the equity of the existing shareholders</w:t>
      </w:r>
      <w:r w:rsidR="003828B1">
        <w:t xml:space="preserve"> (</w:t>
      </w:r>
      <w:r w:rsidR="00026BA1">
        <w:t>Capstone</w:t>
      </w:r>
      <w:r w:rsidR="0061526D">
        <w:t xml:space="preserve"> Partners</w:t>
      </w:r>
      <w:r w:rsidR="00026BA1">
        <w:t xml:space="preserve">, 2023). </w:t>
      </w:r>
      <w:r>
        <w:t xml:space="preserve">The other </w:t>
      </w:r>
      <w:r w:rsidR="00E05F3E">
        <w:t xml:space="preserve">option </w:t>
      </w:r>
      <w:r>
        <w:t xml:space="preserve">would be to use </w:t>
      </w:r>
      <w:r w:rsidRPr="003D3D2B">
        <w:rPr>
          <w:b/>
          <w:bCs/>
          <w:i/>
          <w:iCs/>
        </w:rPr>
        <w:t>retained earnings</w:t>
      </w:r>
      <w:r w:rsidR="00396E6F">
        <w:t>,</w:t>
      </w:r>
      <w:r>
        <w:t xml:space="preserve"> which would not increase debt or dilution of ownership. </w:t>
      </w:r>
      <w:r w:rsidR="00DA3961">
        <w:t>T</w:t>
      </w:r>
      <w:r>
        <w:t xml:space="preserve">he retained earnings of the company are </w:t>
      </w:r>
      <w:r>
        <w:lastRenderedPageBreak/>
        <w:t xml:space="preserve">large and can be invested back </w:t>
      </w:r>
      <w:r w:rsidR="00E05F3E">
        <w:t>into</w:t>
      </w:r>
      <w:r>
        <w:t xml:space="preserve"> the operations, enhancing liquidity without attracting extra financing expenses.</w:t>
      </w:r>
    </w:p>
    <w:p w14:paraId="59DD1FFC" w14:textId="1320E5EF" w:rsidR="00066D7F" w:rsidRDefault="00066D7F">
      <w:r>
        <w:br w:type="page"/>
      </w:r>
    </w:p>
    <w:p w14:paraId="62DC1449" w14:textId="77777777" w:rsidR="00066D7F" w:rsidRPr="00D86F4E" w:rsidRDefault="00066D7F" w:rsidP="00066D7F">
      <w:pPr>
        <w:pStyle w:val="Heading1"/>
        <w:spacing w:after="240"/>
        <w:rPr>
          <w:rFonts w:cs="Arial"/>
          <w:color w:val="auto"/>
          <w:szCs w:val="24"/>
          <w:lang w:val="en-IN"/>
        </w:rPr>
      </w:pPr>
      <w:r w:rsidRPr="00D86F4E">
        <w:rPr>
          <w:rFonts w:cs="Arial"/>
          <w:color w:val="auto"/>
          <w:szCs w:val="24"/>
          <w:lang w:val="en-IN"/>
        </w:rPr>
        <w:lastRenderedPageBreak/>
        <w:t xml:space="preserve">Strategic Financial Restructuring </w:t>
      </w:r>
    </w:p>
    <w:p w14:paraId="30031BD9" w14:textId="77777777" w:rsidR="00066D7F" w:rsidRPr="00D86F4E" w:rsidRDefault="00066D7F" w:rsidP="00066D7F">
      <w:pPr>
        <w:rPr>
          <w:rFonts w:cs="Arial"/>
          <w:szCs w:val="24"/>
        </w:rPr>
      </w:pPr>
      <w:r w:rsidRPr="00D86F4E">
        <w:rPr>
          <w:rFonts w:cs="Arial"/>
          <w:szCs w:val="24"/>
          <w:lang w:val="en-IN"/>
        </w:rPr>
        <w:t xml:space="preserve">It has been seen that GE is facing growing financial distress considering declining profitability, negative net margins, reduced return on equity, and a steep deterioration in interest coverage. The analysis revealed that GE’s interest coverage ratio declined from </w:t>
      </w:r>
      <w:r w:rsidRPr="00D86F4E">
        <w:rPr>
          <w:rFonts w:cs="Arial"/>
          <w:szCs w:val="24"/>
        </w:rPr>
        <w:t>26.2 in 2020 to -4.55 in 2024 reflecting that earnings are not sufficient to meet interest expenses. Furthermore, the liquidity position also weakened along with receivable days rising to 106 days, and operating cash flow declining significantly. Moreover, GE’s working capital cycle is rising to 106 days leading to restricting the firm’s ability to self-finance operations. These trends reflect structural inefficiencies in GE’s product portfolio, international operational footprint, and capital structure. Therefore, a comprehensive strategic financial restructuring is required for stabilising GE’s finances and restoring long-term competitiveness. This financial restructuring is known as a process of rearranging a firm’s debt, capital structure, and finances for improving financial health and performance, and hence often avoids liquidation (</w:t>
      </w:r>
      <w:proofErr w:type="spellStart"/>
      <w:r w:rsidRPr="00D86F4E">
        <w:rPr>
          <w:rFonts w:cs="Arial"/>
          <w:szCs w:val="24"/>
          <w:shd w:val="clear" w:color="auto" w:fill="FFFFFF"/>
        </w:rPr>
        <w:t>Colliard</w:t>
      </w:r>
      <w:proofErr w:type="spellEnd"/>
      <w:r w:rsidRPr="00D86F4E">
        <w:rPr>
          <w:rFonts w:cs="Arial"/>
          <w:szCs w:val="24"/>
          <w:shd w:val="clear" w:color="auto" w:fill="FFFFFF"/>
        </w:rPr>
        <w:t xml:space="preserve"> and </w:t>
      </w:r>
      <w:proofErr w:type="spellStart"/>
      <w:r w:rsidRPr="00D86F4E">
        <w:rPr>
          <w:rFonts w:cs="Arial"/>
          <w:szCs w:val="24"/>
          <w:shd w:val="clear" w:color="auto" w:fill="FFFFFF"/>
        </w:rPr>
        <w:t>Gromb</w:t>
      </w:r>
      <w:proofErr w:type="spellEnd"/>
      <w:r w:rsidRPr="00D86F4E">
        <w:rPr>
          <w:rFonts w:cs="Arial"/>
          <w:szCs w:val="24"/>
          <w:shd w:val="clear" w:color="auto" w:fill="FFFFFF"/>
        </w:rPr>
        <w:t>, 2025</w:t>
      </w:r>
      <w:r w:rsidRPr="00D86F4E">
        <w:rPr>
          <w:rFonts w:cs="Arial"/>
          <w:szCs w:val="24"/>
        </w:rPr>
        <w:t xml:space="preserve">). </w:t>
      </w:r>
    </w:p>
    <w:p w14:paraId="025019D2" w14:textId="77777777" w:rsidR="00066D7F" w:rsidRPr="00D86F4E" w:rsidRDefault="00066D7F" w:rsidP="00066D7F">
      <w:pPr>
        <w:pStyle w:val="Heading2"/>
        <w:spacing w:before="240" w:after="240"/>
        <w:rPr>
          <w:rFonts w:cs="Arial"/>
          <w:szCs w:val="24"/>
          <w:lang w:val="en-IN"/>
        </w:rPr>
      </w:pPr>
      <w:r w:rsidRPr="00D86F4E">
        <w:rPr>
          <w:rFonts w:cs="Arial"/>
          <w:szCs w:val="24"/>
          <w:lang w:val="en-IN"/>
        </w:rPr>
        <w:t>Financial Restructuring Options</w:t>
      </w:r>
    </w:p>
    <w:p w14:paraId="55FB336D" w14:textId="77777777" w:rsidR="00066D7F" w:rsidRPr="00D86F4E" w:rsidRDefault="00066D7F" w:rsidP="00066D7F">
      <w:pPr>
        <w:pStyle w:val="ListParagraph"/>
        <w:numPr>
          <w:ilvl w:val="0"/>
          <w:numId w:val="2"/>
        </w:numPr>
        <w:rPr>
          <w:rFonts w:cs="Arial"/>
          <w:b/>
          <w:bCs/>
          <w:i/>
          <w:iCs/>
          <w:szCs w:val="24"/>
          <w:lang w:val="en-IN"/>
        </w:rPr>
      </w:pPr>
      <w:r w:rsidRPr="00D86F4E">
        <w:rPr>
          <w:rFonts w:cs="Arial"/>
          <w:b/>
          <w:bCs/>
          <w:i/>
          <w:iCs/>
          <w:szCs w:val="24"/>
          <w:lang w:val="en-IN"/>
        </w:rPr>
        <w:t xml:space="preserve">Divestiture of non-core or underperforming units: </w:t>
      </w:r>
      <w:r w:rsidRPr="00D86F4E">
        <w:rPr>
          <w:rFonts w:cs="Arial"/>
          <w:szCs w:val="24"/>
          <w:lang w:val="en-IN"/>
        </w:rPr>
        <w:t>A divestiture is a disposal of a firm’s business unit or assets through a sale, closure, exchange or bankruptcy (</w:t>
      </w:r>
      <w:r w:rsidRPr="00D86F4E">
        <w:rPr>
          <w:rFonts w:cs="Arial"/>
          <w:szCs w:val="24"/>
          <w:shd w:val="clear" w:color="auto" w:fill="FFFFFF"/>
        </w:rPr>
        <w:t>Vidal, 2021</w:t>
      </w:r>
      <w:r w:rsidRPr="00D86F4E">
        <w:rPr>
          <w:rFonts w:cs="Arial"/>
          <w:szCs w:val="24"/>
          <w:lang w:val="en-IN"/>
        </w:rPr>
        <w:t xml:space="preserve">). GE by planning a divestment and financial restructuring amongst some consumer electronics segments can help in immediately unlocking the cash and minimising inventory carrying costs. The sale proceeds can be useful in paying down the interest-bearing debt or investing in high-growth assets like energy-efficient electronics or smart devices. Therefore, it can redirect managerial attention along with marketing investment towards a profitable flagship product, and hence can improve gross margins as well as stabilise the declining net profit trend. </w:t>
      </w:r>
    </w:p>
    <w:p w14:paraId="20F0C7E6" w14:textId="77777777" w:rsidR="00066D7F" w:rsidRPr="00D86F4E" w:rsidRDefault="00066D7F" w:rsidP="00066D7F">
      <w:pPr>
        <w:pStyle w:val="ListParagraph"/>
        <w:numPr>
          <w:ilvl w:val="0"/>
          <w:numId w:val="2"/>
        </w:numPr>
        <w:rPr>
          <w:rFonts w:cs="Arial"/>
          <w:b/>
          <w:bCs/>
          <w:i/>
          <w:iCs/>
          <w:szCs w:val="24"/>
          <w:lang w:val="en-IN"/>
        </w:rPr>
      </w:pPr>
      <w:r w:rsidRPr="00D86F4E">
        <w:rPr>
          <w:rFonts w:cs="Arial"/>
          <w:b/>
          <w:bCs/>
          <w:i/>
          <w:iCs/>
          <w:szCs w:val="24"/>
          <w:lang w:val="en-IN"/>
        </w:rPr>
        <w:t xml:space="preserve">Merger or Strategic partnership: </w:t>
      </w:r>
      <w:r w:rsidRPr="00D86F4E">
        <w:rPr>
          <w:rFonts w:cs="Arial"/>
          <w:szCs w:val="24"/>
          <w:lang w:val="en-IN"/>
        </w:rPr>
        <w:t>A merger is considered with a company absorbing another firm into a single entity, whereas, a strategic partnership is known as a formal collaboration between the companies to focus on a common goal without having a full merger (</w:t>
      </w:r>
      <w:proofErr w:type="spellStart"/>
      <w:r w:rsidRPr="00D86F4E">
        <w:rPr>
          <w:rFonts w:cs="Arial"/>
          <w:szCs w:val="24"/>
          <w:shd w:val="clear" w:color="auto" w:fill="FFFFFF"/>
        </w:rPr>
        <w:t>Sinnawi</w:t>
      </w:r>
      <w:proofErr w:type="spellEnd"/>
      <w:r w:rsidRPr="00D86F4E">
        <w:rPr>
          <w:rFonts w:cs="Arial"/>
          <w:szCs w:val="24"/>
          <w:shd w:val="clear" w:color="auto" w:fill="FFFFFF"/>
        </w:rPr>
        <w:t>, 2018</w:t>
      </w:r>
      <w:r w:rsidRPr="00D86F4E">
        <w:rPr>
          <w:rFonts w:cs="Arial"/>
          <w:szCs w:val="24"/>
          <w:lang w:val="en-IN"/>
        </w:rPr>
        <w:t xml:space="preserve">). GE’s global supply chain has become increasingly costly because of currency movements and inflation. Moreover, receivable days are continuously rising reflecting weaker customer </w:t>
      </w:r>
      <w:r w:rsidRPr="00D86F4E">
        <w:rPr>
          <w:rFonts w:cs="Arial"/>
          <w:szCs w:val="24"/>
          <w:lang w:val="en-IN"/>
        </w:rPr>
        <w:lastRenderedPageBreak/>
        <w:t xml:space="preserve">payment performance. Therefore, entering into a strategic partnership with a larger electronics producer can help GE to leverage shared procurement, consolidated logistics, and joint product development. For example, partnering with a firm having strong semiconductor supply agreements would help GE to stabilise production costs, enhancing gross margin, strengthening credit rating, and hence lower interest rates for refinanced debt. </w:t>
      </w:r>
    </w:p>
    <w:p w14:paraId="5031913B" w14:textId="77777777" w:rsidR="00066D7F" w:rsidRPr="00D86F4E" w:rsidRDefault="00066D7F" w:rsidP="00066D7F">
      <w:pPr>
        <w:pStyle w:val="ListParagraph"/>
        <w:numPr>
          <w:ilvl w:val="0"/>
          <w:numId w:val="2"/>
        </w:numPr>
        <w:rPr>
          <w:rFonts w:cs="Arial"/>
          <w:b/>
          <w:bCs/>
          <w:i/>
          <w:iCs/>
          <w:szCs w:val="24"/>
          <w:lang w:val="en-IN"/>
        </w:rPr>
      </w:pPr>
      <w:r w:rsidRPr="00D86F4E">
        <w:rPr>
          <w:rFonts w:cs="Arial"/>
          <w:b/>
          <w:bCs/>
          <w:i/>
          <w:iCs/>
          <w:szCs w:val="24"/>
          <w:lang w:val="en-IN"/>
        </w:rPr>
        <w:t xml:space="preserve">Debt restructuring and refinancing: </w:t>
      </w:r>
      <w:r w:rsidRPr="00D86F4E">
        <w:rPr>
          <w:rFonts w:cs="Arial"/>
          <w:szCs w:val="24"/>
          <w:lang w:val="en-IN"/>
        </w:rPr>
        <w:t>Debt restructuring results in altering the terms of an existing loan due to financial issues to avoid default, whereas, refinancing is concerned with replacing an old loan with a new loan under better terms (</w:t>
      </w:r>
      <w:r w:rsidRPr="00D86F4E">
        <w:rPr>
          <w:rFonts w:cs="Arial"/>
          <w:szCs w:val="24"/>
          <w:shd w:val="clear" w:color="auto" w:fill="FFFFFF"/>
        </w:rPr>
        <w:t>Paterson, 2017</w:t>
      </w:r>
      <w:r w:rsidRPr="00D86F4E">
        <w:rPr>
          <w:rFonts w:cs="Arial"/>
          <w:szCs w:val="24"/>
          <w:lang w:val="en-IN"/>
        </w:rPr>
        <w:t xml:space="preserve">). Debt restructuring is useful for GE considering its negative interest coverage rate as the firm can renegotiate its short-term debt by extending maturities or converting some loans into long-term debt with lower interest rates. This would help the firm with ease interest payments, and also minimise pressure on operating cash flows. </w:t>
      </w:r>
    </w:p>
    <w:p w14:paraId="189D53A3" w14:textId="77777777" w:rsidR="00066D7F" w:rsidRPr="00D86F4E" w:rsidRDefault="00066D7F" w:rsidP="00066D7F">
      <w:pPr>
        <w:pStyle w:val="Heading2"/>
        <w:spacing w:before="240" w:after="240"/>
        <w:rPr>
          <w:rFonts w:cs="Arial"/>
          <w:szCs w:val="24"/>
          <w:lang w:val="en-IN"/>
        </w:rPr>
      </w:pPr>
      <w:r w:rsidRPr="00D86F4E">
        <w:rPr>
          <w:rFonts w:cs="Arial"/>
          <w:szCs w:val="24"/>
          <w:lang w:val="en-IN"/>
        </w:rPr>
        <w:t>Impact on Shareholder Value, Debt Structure, and Operational Flexibility</w:t>
      </w:r>
    </w:p>
    <w:p w14:paraId="669E4777" w14:textId="77777777" w:rsidR="00066D7F" w:rsidRPr="00D86F4E" w:rsidRDefault="00066D7F" w:rsidP="00066D7F">
      <w:pPr>
        <w:pStyle w:val="ListParagraph"/>
        <w:numPr>
          <w:ilvl w:val="0"/>
          <w:numId w:val="3"/>
        </w:numPr>
        <w:rPr>
          <w:rFonts w:cs="Arial"/>
          <w:b/>
          <w:bCs/>
          <w:i/>
          <w:iCs/>
          <w:szCs w:val="24"/>
          <w:lang w:val="en-IN"/>
        </w:rPr>
      </w:pPr>
      <w:r w:rsidRPr="00D86F4E">
        <w:rPr>
          <w:rFonts w:cs="Arial"/>
          <w:b/>
          <w:bCs/>
          <w:i/>
          <w:iCs/>
          <w:szCs w:val="24"/>
          <w:lang w:val="en-IN"/>
        </w:rPr>
        <w:t xml:space="preserve">Shareholder Value: </w:t>
      </w:r>
      <w:r w:rsidRPr="00D86F4E">
        <w:rPr>
          <w:rFonts w:cs="Arial"/>
          <w:szCs w:val="24"/>
          <w:lang w:val="en-IN"/>
        </w:rPr>
        <w:t>It can be analysed that divestiture of a loss-making unit can help in immediately improving net profit margins and could boost EPS. This reflects reversing the downward trend of 2023 and 2024. Further, a merger can help in expanding GE’s market access as well as increase technological competencies would help in supporting long-term share price appreciation. Moreover, debt restructuring is useful in minimising the interest expenses of the firm along with stabilising future earnings (</w:t>
      </w:r>
      <w:r w:rsidRPr="00D86F4E">
        <w:rPr>
          <w:rFonts w:cs="Arial"/>
          <w:szCs w:val="24"/>
          <w:shd w:val="clear" w:color="auto" w:fill="FFFFFF"/>
        </w:rPr>
        <w:t>Jiang, et al., 2019</w:t>
      </w:r>
      <w:r w:rsidRPr="00D86F4E">
        <w:rPr>
          <w:rFonts w:cs="Arial"/>
          <w:szCs w:val="24"/>
          <w:lang w:val="en-IN"/>
        </w:rPr>
        <w:t xml:space="preserve">). Therefore, these actions can help in rebuilding investor confidence as well as reversing declining ROE leading to effective valuation multiples and increased investor sentiment. </w:t>
      </w:r>
    </w:p>
    <w:p w14:paraId="6128835C" w14:textId="77777777" w:rsidR="00066D7F" w:rsidRPr="00D86F4E" w:rsidRDefault="00066D7F" w:rsidP="00066D7F">
      <w:pPr>
        <w:pStyle w:val="ListParagraph"/>
        <w:numPr>
          <w:ilvl w:val="0"/>
          <w:numId w:val="3"/>
        </w:numPr>
        <w:rPr>
          <w:rFonts w:cs="Arial"/>
          <w:b/>
          <w:bCs/>
          <w:i/>
          <w:iCs/>
          <w:szCs w:val="24"/>
          <w:lang w:val="en-IN"/>
        </w:rPr>
      </w:pPr>
      <w:r w:rsidRPr="00D86F4E">
        <w:rPr>
          <w:rFonts w:cs="Arial"/>
          <w:b/>
          <w:bCs/>
          <w:i/>
          <w:iCs/>
          <w:szCs w:val="24"/>
          <w:lang w:val="en-IN"/>
        </w:rPr>
        <w:t xml:space="preserve">Debt Structure: </w:t>
      </w:r>
      <w:r w:rsidRPr="00D86F4E">
        <w:rPr>
          <w:rFonts w:cs="Arial"/>
          <w:szCs w:val="24"/>
          <w:lang w:val="en-IN"/>
        </w:rPr>
        <w:t>It has been seen that the firm is concerned with a conservatively leveraged capital structure with a debt-equity ratio of 0.078 in 2024. Therefore, restructuring will help in maintaining the capital structure of GE by minimising reliance on high-cost borrowings (</w:t>
      </w:r>
      <w:r w:rsidRPr="00D86F4E">
        <w:rPr>
          <w:rFonts w:cs="Arial"/>
          <w:szCs w:val="24"/>
          <w:shd w:val="clear" w:color="auto" w:fill="FFFFFF"/>
        </w:rPr>
        <w:t>Brown, et al., 2021</w:t>
      </w:r>
      <w:r w:rsidRPr="00D86F4E">
        <w:rPr>
          <w:rFonts w:cs="Arial"/>
          <w:szCs w:val="24"/>
          <w:lang w:val="en-IN"/>
        </w:rPr>
        <w:t xml:space="preserve">). Divestiture proceeds can be allocated to debt repayment that results in minimising leverage and improving the weak financial ratios. Refinanced debt with extended maturities will also </w:t>
      </w:r>
      <w:r w:rsidRPr="00D86F4E">
        <w:rPr>
          <w:rFonts w:cs="Arial"/>
          <w:szCs w:val="24"/>
        </w:rPr>
        <w:t xml:space="preserve">help in dealing with limited operating cash flow and hence easing the financial distress. </w:t>
      </w:r>
    </w:p>
    <w:p w14:paraId="6A44462C" w14:textId="77777777" w:rsidR="00066D7F" w:rsidRPr="00D86F4E" w:rsidRDefault="00066D7F" w:rsidP="00066D7F">
      <w:pPr>
        <w:pStyle w:val="ListParagraph"/>
        <w:numPr>
          <w:ilvl w:val="0"/>
          <w:numId w:val="3"/>
        </w:numPr>
        <w:rPr>
          <w:rFonts w:cs="Arial"/>
          <w:b/>
          <w:bCs/>
          <w:i/>
          <w:iCs/>
          <w:szCs w:val="24"/>
          <w:lang w:val="en-IN"/>
        </w:rPr>
      </w:pPr>
      <w:r w:rsidRPr="00D86F4E">
        <w:rPr>
          <w:rFonts w:cs="Arial"/>
          <w:b/>
          <w:bCs/>
          <w:i/>
          <w:iCs/>
          <w:szCs w:val="24"/>
          <w:lang w:val="en-IN"/>
        </w:rPr>
        <w:lastRenderedPageBreak/>
        <w:t xml:space="preserve">Operational Flexibility: </w:t>
      </w:r>
      <w:r w:rsidRPr="00D86F4E">
        <w:rPr>
          <w:rFonts w:cs="Arial"/>
          <w:szCs w:val="24"/>
          <w:lang w:val="en-IN"/>
        </w:rPr>
        <w:t>It has been assessed that restructuring is useful in enhancing operational flexibility by realigning resources, streamlining processes, and enabling quicker adaptation to changing market conditions (</w:t>
      </w:r>
      <w:proofErr w:type="spellStart"/>
      <w:r w:rsidRPr="00D86F4E">
        <w:rPr>
          <w:rFonts w:cs="Arial"/>
          <w:szCs w:val="24"/>
          <w:shd w:val="clear" w:color="auto" w:fill="FFFFFF"/>
        </w:rPr>
        <w:t>Jerab</w:t>
      </w:r>
      <w:proofErr w:type="spellEnd"/>
      <w:r w:rsidRPr="00D86F4E">
        <w:rPr>
          <w:rFonts w:cs="Arial"/>
          <w:szCs w:val="24"/>
          <w:shd w:val="clear" w:color="auto" w:fill="FFFFFF"/>
        </w:rPr>
        <w:t xml:space="preserve"> and Mabrouk, 2023</w:t>
      </w:r>
      <w:r w:rsidRPr="00D86F4E">
        <w:rPr>
          <w:rFonts w:cs="Arial"/>
          <w:szCs w:val="24"/>
          <w:lang w:val="en-IN"/>
        </w:rPr>
        <w:t xml:space="preserve">). General Electronics’ operational flexibility can be enhanced through restructuring in terms of reducing managerial burden from unprofitable divisions, freeing up cash, as well as enabling investment in core technologies. Furthermore, a merger can help in expanding GE’s ability to optimise supply chains, innovate, as well as access new markets. Moreover, improved liquidity through divestiture will help General Electronics to minimise its reliance on supplier credit that results in the current high days payable outstanding at 94, and hence lead to improved relationships across the supply chain networks. </w:t>
      </w:r>
    </w:p>
    <w:p w14:paraId="5844F973" w14:textId="77777777" w:rsidR="00066D7F" w:rsidRPr="00D86F4E" w:rsidRDefault="00066D7F" w:rsidP="00066D7F">
      <w:pPr>
        <w:pStyle w:val="Heading2"/>
        <w:spacing w:before="240" w:after="240"/>
        <w:rPr>
          <w:rFonts w:cs="Arial"/>
          <w:szCs w:val="24"/>
          <w:lang w:val="en-IN"/>
        </w:rPr>
      </w:pPr>
      <w:r w:rsidRPr="00D86F4E">
        <w:rPr>
          <w:rFonts w:cs="Arial"/>
          <w:szCs w:val="24"/>
          <w:lang w:val="en-IN"/>
        </w:rPr>
        <w:t>International and Ethical Considerations</w:t>
      </w:r>
    </w:p>
    <w:p w14:paraId="69228718" w14:textId="77777777" w:rsidR="00066D7F" w:rsidRPr="00D86F4E" w:rsidRDefault="00066D7F" w:rsidP="00066D7F">
      <w:pPr>
        <w:rPr>
          <w:rFonts w:cs="Arial"/>
          <w:szCs w:val="24"/>
          <w:lang w:val="en-IN"/>
        </w:rPr>
      </w:pPr>
      <w:r w:rsidRPr="00D86F4E">
        <w:rPr>
          <w:rFonts w:cs="Arial"/>
          <w:szCs w:val="24"/>
          <w:lang w:val="en-IN"/>
        </w:rPr>
        <w:t xml:space="preserve">While undertaking a financial restructuring strategy, international factors play an important role for firms like General Electronics that operate across multiple jurisdictions. At the time restructuring involves refinancing, asset sales, or reorganising global operations, the firm needs to consider </w:t>
      </w:r>
      <w:r w:rsidRPr="00D86F4E">
        <w:rPr>
          <w:rFonts w:cs="Arial"/>
          <w:b/>
          <w:bCs/>
          <w:i/>
          <w:iCs/>
          <w:szCs w:val="24"/>
          <w:lang w:val="en-IN"/>
        </w:rPr>
        <w:t xml:space="preserve">tax implications </w:t>
      </w:r>
      <w:r w:rsidRPr="00D86F4E">
        <w:rPr>
          <w:rFonts w:cs="Arial"/>
          <w:szCs w:val="24"/>
          <w:lang w:val="en-IN"/>
        </w:rPr>
        <w:t>arising from various national frameworks. These involve potential exposure to double taxation, compliance with international standards on tax transparency, as well as variations in corporate tax rates. However, in order to avoid aggressive tax avoidance practices, ethical tax behaviour is required in alignment with global governance expectations to maintain regulatory trust (</w:t>
      </w:r>
      <w:r w:rsidRPr="00D86F4E">
        <w:rPr>
          <w:rFonts w:cs="Arial"/>
          <w:szCs w:val="24"/>
          <w:shd w:val="clear" w:color="auto" w:fill="FFFFFF"/>
        </w:rPr>
        <w:t xml:space="preserve">Payne and </w:t>
      </w:r>
      <w:proofErr w:type="spellStart"/>
      <w:r w:rsidRPr="00D86F4E">
        <w:rPr>
          <w:rFonts w:cs="Arial"/>
          <w:szCs w:val="24"/>
          <w:shd w:val="clear" w:color="auto" w:fill="FFFFFF"/>
        </w:rPr>
        <w:t>Raiborn</w:t>
      </w:r>
      <w:proofErr w:type="spellEnd"/>
      <w:r w:rsidRPr="00D86F4E">
        <w:rPr>
          <w:rFonts w:cs="Arial"/>
          <w:szCs w:val="24"/>
          <w:shd w:val="clear" w:color="auto" w:fill="FFFFFF"/>
        </w:rPr>
        <w:t>, 2018</w:t>
      </w:r>
      <w:r w:rsidRPr="00D86F4E">
        <w:rPr>
          <w:rFonts w:cs="Arial"/>
          <w:szCs w:val="24"/>
          <w:lang w:val="en-IN"/>
        </w:rPr>
        <w:t xml:space="preserve">). Furthermore, during restructuring, </w:t>
      </w:r>
      <w:r w:rsidRPr="00D86F4E">
        <w:rPr>
          <w:rFonts w:cs="Arial"/>
          <w:b/>
          <w:bCs/>
          <w:i/>
          <w:iCs/>
          <w:szCs w:val="24"/>
          <w:lang w:val="en-IN"/>
        </w:rPr>
        <w:t xml:space="preserve">currency fluctuations </w:t>
      </w:r>
      <w:r w:rsidRPr="00D86F4E">
        <w:rPr>
          <w:rFonts w:cs="Arial"/>
          <w:szCs w:val="24"/>
          <w:lang w:val="en-IN"/>
        </w:rPr>
        <w:t xml:space="preserve">create challenges. It has been seen that if GE divest assets or raises financing in foreign currencies, an adverse exchange rate movement could lead to minimising the proceeds value or enhancing repayment burdens. Therefore, implementing hedging strategies, matching currency-denominated cash flows, and centralised treasury management can help in protecting financial forecasts and stabilising earnings (Deloitte, 2025). </w:t>
      </w:r>
    </w:p>
    <w:p w14:paraId="6CA58725" w14:textId="77777777" w:rsidR="00066D7F" w:rsidRPr="00D86F4E" w:rsidRDefault="00066D7F" w:rsidP="00066D7F">
      <w:pPr>
        <w:rPr>
          <w:rFonts w:cs="Arial"/>
          <w:szCs w:val="24"/>
          <w:lang w:val="en-IN"/>
        </w:rPr>
      </w:pPr>
      <w:r w:rsidRPr="00D86F4E">
        <w:rPr>
          <w:rFonts w:cs="Arial"/>
          <w:szCs w:val="24"/>
          <w:lang w:val="en-IN"/>
        </w:rPr>
        <w:t xml:space="preserve">Moreover, </w:t>
      </w:r>
      <w:r w:rsidRPr="00D86F4E">
        <w:rPr>
          <w:rFonts w:cs="Arial"/>
          <w:b/>
          <w:bCs/>
          <w:i/>
          <w:iCs/>
          <w:szCs w:val="24"/>
          <w:lang w:val="en-IN"/>
        </w:rPr>
        <w:t xml:space="preserve">inflation </w:t>
      </w:r>
      <w:r w:rsidRPr="00D86F4E">
        <w:rPr>
          <w:rFonts w:cs="Arial"/>
          <w:szCs w:val="24"/>
          <w:lang w:val="en-IN"/>
        </w:rPr>
        <w:t xml:space="preserve">also results in adding complexity to restructuring by rising input costs and unstable pricing levels that can impact contract pricing, asset valuation, and long-term investment decisions. Thus, GE can renegotiate contracts, adopt adaptive pricing, or diversify supplier locations to safeguard profits. Furthermore, in consideration of an </w:t>
      </w:r>
      <w:r w:rsidRPr="00D86F4E">
        <w:rPr>
          <w:rFonts w:cs="Arial"/>
          <w:b/>
          <w:bCs/>
          <w:i/>
          <w:iCs/>
          <w:szCs w:val="24"/>
          <w:lang w:val="en-IN"/>
        </w:rPr>
        <w:t xml:space="preserve">ethical standpoint, </w:t>
      </w:r>
      <w:r w:rsidRPr="00D86F4E">
        <w:rPr>
          <w:rFonts w:cs="Arial"/>
          <w:szCs w:val="24"/>
          <w:lang w:val="en-IN"/>
        </w:rPr>
        <w:t xml:space="preserve">restructuring needs to consider stakeholder </w:t>
      </w:r>
      <w:r w:rsidRPr="00D86F4E">
        <w:rPr>
          <w:rFonts w:cs="Arial"/>
          <w:szCs w:val="24"/>
          <w:lang w:val="en-IN"/>
        </w:rPr>
        <w:lastRenderedPageBreak/>
        <w:t>welfare involving maintenance of fair treatment of suppliers, managing layoffs responsibly, communicating transparently, and upholding environmental commitments (</w:t>
      </w:r>
      <w:proofErr w:type="spellStart"/>
      <w:r w:rsidRPr="00D86F4E">
        <w:rPr>
          <w:rFonts w:cs="Arial"/>
          <w:szCs w:val="24"/>
          <w:shd w:val="clear" w:color="auto" w:fill="FFFFFF"/>
        </w:rPr>
        <w:t>Malapur</w:t>
      </w:r>
      <w:proofErr w:type="spellEnd"/>
      <w:r w:rsidRPr="00D86F4E">
        <w:rPr>
          <w:rFonts w:cs="Arial"/>
          <w:szCs w:val="24"/>
          <w:shd w:val="clear" w:color="auto" w:fill="FFFFFF"/>
        </w:rPr>
        <w:t>, 2024</w:t>
      </w:r>
      <w:r w:rsidRPr="00D86F4E">
        <w:rPr>
          <w:rFonts w:cs="Arial"/>
          <w:szCs w:val="24"/>
          <w:lang w:val="en-IN"/>
        </w:rPr>
        <w:t xml:space="preserve">). This can not only help in protecting the firm’s reputation but also lead to strengthening long-term sustainability. </w:t>
      </w:r>
    </w:p>
    <w:p w14:paraId="253E9812" w14:textId="77777777" w:rsidR="00066D7F" w:rsidRPr="00D86F4E" w:rsidRDefault="00066D7F" w:rsidP="00066D7F">
      <w:pPr>
        <w:rPr>
          <w:rFonts w:cs="Arial"/>
          <w:szCs w:val="24"/>
          <w:lang w:val="en-IN"/>
        </w:rPr>
      </w:pPr>
    </w:p>
    <w:p w14:paraId="6D5CA74E" w14:textId="77777777" w:rsidR="00066D7F" w:rsidRPr="00D86F4E" w:rsidRDefault="00066D7F" w:rsidP="00066D7F">
      <w:pPr>
        <w:rPr>
          <w:rFonts w:cs="Arial"/>
          <w:b/>
          <w:bCs/>
          <w:szCs w:val="24"/>
          <w:lang w:val="en-IN"/>
        </w:rPr>
      </w:pPr>
      <w:r w:rsidRPr="00D86F4E">
        <w:rPr>
          <w:rFonts w:cs="Arial"/>
          <w:b/>
          <w:bCs/>
          <w:szCs w:val="24"/>
          <w:lang w:val="en-IN"/>
        </w:rPr>
        <w:br w:type="page"/>
      </w:r>
    </w:p>
    <w:p w14:paraId="168B4117" w14:textId="77777777" w:rsidR="00066D7F" w:rsidRPr="00D86F4E" w:rsidRDefault="00066D7F" w:rsidP="00066D7F">
      <w:pPr>
        <w:pStyle w:val="Heading1"/>
        <w:spacing w:after="240"/>
        <w:rPr>
          <w:rFonts w:cs="Arial"/>
          <w:color w:val="auto"/>
          <w:szCs w:val="24"/>
          <w:lang w:val="en-IN"/>
        </w:rPr>
      </w:pPr>
      <w:r w:rsidRPr="00D86F4E">
        <w:rPr>
          <w:rFonts w:cs="Arial"/>
          <w:color w:val="auto"/>
          <w:szCs w:val="24"/>
          <w:lang w:val="en-IN"/>
        </w:rPr>
        <w:lastRenderedPageBreak/>
        <w:t>Investment Appraisal and Capital Budgeting</w:t>
      </w:r>
    </w:p>
    <w:p w14:paraId="774CDC9A" w14:textId="77777777" w:rsidR="00066D7F" w:rsidRPr="00D86F4E" w:rsidRDefault="00066D7F" w:rsidP="00066D7F">
      <w:pPr>
        <w:rPr>
          <w:rFonts w:cs="Arial"/>
          <w:szCs w:val="24"/>
          <w:lang w:val="en-IN"/>
        </w:rPr>
      </w:pPr>
      <w:r w:rsidRPr="00D86F4E">
        <w:rPr>
          <w:rFonts w:cs="Arial"/>
          <w:szCs w:val="24"/>
          <w:lang w:val="en-IN"/>
        </w:rPr>
        <w:t>Investment appraisal is also known as capital budgeting is a critical process of a business for evaluating the potential long-term investments or projects, and making decisions based on their profitability (</w:t>
      </w:r>
      <w:proofErr w:type="spellStart"/>
      <w:r w:rsidRPr="00D86F4E">
        <w:rPr>
          <w:rFonts w:cs="Arial"/>
          <w:szCs w:val="24"/>
          <w:shd w:val="clear" w:color="auto" w:fill="FFFFFF"/>
        </w:rPr>
        <w:t>Kengatharan</w:t>
      </w:r>
      <w:proofErr w:type="spellEnd"/>
      <w:r w:rsidRPr="00D86F4E">
        <w:rPr>
          <w:rFonts w:cs="Arial"/>
          <w:szCs w:val="24"/>
          <w:shd w:val="clear" w:color="auto" w:fill="FFFFFF"/>
        </w:rPr>
        <w:t>, 2018</w:t>
      </w:r>
      <w:r w:rsidRPr="00D86F4E">
        <w:rPr>
          <w:rFonts w:cs="Arial"/>
          <w:szCs w:val="24"/>
          <w:lang w:val="en-IN"/>
        </w:rPr>
        <w:t xml:space="preserve">). The primary goal is to select the projects that will generate the best returns, maximise shareholders’ wealth, and align with the firm’s long-term goals and strategic objectives with the limited resources. The evaluation of the three investment proposals that are Project A, B, and C requires a systematic application of capital budgeting tools for evaluating their financial viability, as well as alignment with the firm’s constrained investment capacity. Considering the firm’s deteriorating profitability, strained liquidity, and increasing financial risk, the decision-making needs not only to prioritise value creation but also to consider the project-specific risk and cash flow timing. Therefore, the concerned section evaluates each project using Payback Period (PBP), Accounting Rate of Return (ARR), Net Present Value (NPV), Profitability Index (PI), and Internal Rate of Return (IRR) before making recommendations regarding the most suitable option under a capital rationing limit of £60 million. </w:t>
      </w:r>
    </w:p>
    <w:p w14:paraId="5AB80A90" w14:textId="77777777" w:rsidR="00066D7F" w:rsidRPr="00D86F4E" w:rsidRDefault="00066D7F" w:rsidP="00066D7F">
      <w:pPr>
        <w:jc w:val="center"/>
        <w:rPr>
          <w:rFonts w:cs="Arial"/>
          <w:szCs w:val="24"/>
          <w:lang w:val="en-IN"/>
        </w:rPr>
      </w:pPr>
      <w:r w:rsidRPr="00D86F4E">
        <w:rPr>
          <w:rFonts w:cs="Arial"/>
          <w:noProof/>
          <w:szCs w:val="24"/>
          <w:lang w:val="en-IN"/>
        </w:rPr>
        <w:drawing>
          <wp:inline distT="0" distB="0" distL="0" distR="0" wp14:anchorId="0346B2E8" wp14:editId="4A4A1BC3">
            <wp:extent cx="5731510" cy="1564005"/>
            <wp:effectExtent l="0" t="0" r="2540" b="0"/>
            <wp:docPr id="1237576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576638" name=""/>
                    <pic:cNvPicPr/>
                  </pic:nvPicPr>
                  <pic:blipFill>
                    <a:blip r:embed="rId18"/>
                    <a:stretch>
                      <a:fillRect/>
                    </a:stretch>
                  </pic:blipFill>
                  <pic:spPr>
                    <a:xfrm>
                      <a:off x="0" y="0"/>
                      <a:ext cx="5731510" cy="1564005"/>
                    </a:xfrm>
                    <a:prstGeom prst="rect">
                      <a:avLst/>
                    </a:prstGeom>
                  </pic:spPr>
                </pic:pic>
              </a:graphicData>
            </a:graphic>
          </wp:inline>
        </w:drawing>
      </w:r>
    </w:p>
    <w:p w14:paraId="617A11A6" w14:textId="77777777" w:rsidR="00066D7F" w:rsidRPr="00D86F4E" w:rsidRDefault="00066D7F" w:rsidP="00066D7F">
      <w:pPr>
        <w:jc w:val="center"/>
        <w:rPr>
          <w:rFonts w:cs="Arial"/>
          <w:szCs w:val="24"/>
          <w:lang w:val="en-IN"/>
        </w:rPr>
      </w:pPr>
      <w:r w:rsidRPr="00D86F4E">
        <w:rPr>
          <w:rFonts w:cs="Arial"/>
          <w:noProof/>
          <w:szCs w:val="24"/>
          <w:lang w:val="en-IN"/>
        </w:rPr>
        <w:drawing>
          <wp:inline distT="0" distB="0" distL="0" distR="0" wp14:anchorId="1817EB80" wp14:editId="68B247F1">
            <wp:extent cx="5731510" cy="1564005"/>
            <wp:effectExtent l="0" t="0" r="2540" b="0"/>
            <wp:docPr id="1846137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37092" name=""/>
                    <pic:cNvPicPr/>
                  </pic:nvPicPr>
                  <pic:blipFill>
                    <a:blip r:embed="rId19"/>
                    <a:stretch>
                      <a:fillRect/>
                    </a:stretch>
                  </pic:blipFill>
                  <pic:spPr>
                    <a:xfrm>
                      <a:off x="0" y="0"/>
                      <a:ext cx="5731510" cy="1564005"/>
                    </a:xfrm>
                    <a:prstGeom prst="rect">
                      <a:avLst/>
                    </a:prstGeom>
                  </pic:spPr>
                </pic:pic>
              </a:graphicData>
            </a:graphic>
          </wp:inline>
        </w:drawing>
      </w:r>
    </w:p>
    <w:p w14:paraId="25692D56" w14:textId="77777777" w:rsidR="00DA7FEC" w:rsidRDefault="00066D7F" w:rsidP="00DA7FEC">
      <w:pPr>
        <w:keepNext/>
        <w:jc w:val="center"/>
      </w:pPr>
      <w:r w:rsidRPr="00D86F4E">
        <w:rPr>
          <w:rFonts w:cs="Arial"/>
          <w:noProof/>
          <w:szCs w:val="24"/>
          <w:lang w:val="en-IN"/>
        </w:rPr>
        <w:lastRenderedPageBreak/>
        <w:drawing>
          <wp:inline distT="0" distB="0" distL="0" distR="0" wp14:anchorId="1A7EDC78" wp14:editId="0FDC9AFF">
            <wp:extent cx="5731510" cy="1591310"/>
            <wp:effectExtent l="0" t="0" r="2540" b="8890"/>
            <wp:docPr id="1188569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569985" name=""/>
                    <pic:cNvPicPr/>
                  </pic:nvPicPr>
                  <pic:blipFill>
                    <a:blip r:embed="rId20"/>
                    <a:stretch>
                      <a:fillRect/>
                    </a:stretch>
                  </pic:blipFill>
                  <pic:spPr>
                    <a:xfrm>
                      <a:off x="0" y="0"/>
                      <a:ext cx="5731510" cy="1591310"/>
                    </a:xfrm>
                    <a:prstGeom prst="rect">
                      <a:avLst/>
                    </a:prstGeom>
                  </pic:spPr>
                </pic:pic>
              </a:graphicData>
            </a:graphic>
          </wp:inline>
        </w:drawing>
      </w:r>
    </w:p>
    <w:p w14:paraId="6A314C4E" w14:textId="6543370B" w:rsidR="00066D7F" w:rsidRPr="00DA7FEC" w:rsidRDefault="00DA7FEC" w:rsidP="00DA7FEC">
      <w:pPr>
        <w:pStyle w:val="Caption"/>
        <w:jc w:val="center"/>
        <w:rPr>
          <w:rFonts w:cs="Arial"/>
          <w:b/>
          <w:bCs/>
          <w:color w:val="auto"/>
          <w:sz w:val="24"/>
          <w:szCs w:val="24"/>
          <w:lang w:val="en-IN"/>
        </w:rPr>
      </w:pPr>
      <w:bookmarkStart w:id="22" w:name="_Toc215060444"/>
      <w:r w:rsidRPr="00DA7FEC">
        <w:rPr>
          <w:b/>
          <w:bCs/>
          <w:color w:val="auto"/>
          <w:sz w:val="24"/>
          <w:szCs w:val="24"/>
        </w:rPr>
        <w:t xml:space="preserve">Figure </w:t>
      </w:r>
      <w:r w:rsidRPr="00DA7FEC">
        <w:rPr>
          <w:b/>
          <w:bCs/>
          <w:color w:val="auto"/>
          <w:sz w:val="24"/>
          <w:szCs w:val="24"/>
        </w:rPr>
        <w:fldChar w:fldCharType="begin"/>
      </w:r>
      <w:r w:rsidRPr="00DA7FEC">
        <w:rPr>
          <w:b/>
          <w:bCs/>
          <w:color w:val="auto"/>
          <w:sz w:val="24"/>
          <w:szCs w:val="24"/>
        </w:rPr>
        <w:instrText xml:space="preserve"> SEQ Figure \* ARABIC </w:instrText>
      </w:r>
      <w:r w:rsidRPr="00DA7FEC">
        <w:rPr>
          <w:b/>
          <w:bCs/>
          <w:color w:val="auto"/>
          <w:sz w:val="24"/>
          <w:szCs w:val="24"/>
        </w:rPr>
        <w:fldChar w:fldCharType="separate"/>
      </w:r>
      <w:r w:rsidRPr="00DA7FEC">
        <w:rPr>
          <w:b/>
          <w:bCs/>
          <w:noProof/>
          <w:color w:val="auto"/>
          <w:sz w:val="24"/>
          <w:szCs w:val="24"/>
        </w:rPr>
        <w:t>10</w:t>
      </w:r>
      <w:r w:rsidRPr="00DA7FEC">
        <w:rPr>
          <w:b/>
          <w:bCs/>
          <w:color w:val="auto"/>
          <w:sz w:val="24"/>
          <w:szCs w:val="24"/>
        </w:rPr>
        <w:fldChar w:fldCharType="end"/>
      </w:r>
      <w:r w:rsidRPr="00DA7FEC">
        <w:rPr>
          <w:b/>
          <w:bCs/>
          <w:color w:val="auto"/>
          <w:sz w:val="24"/>
          <w:szCs w:val="24"/>
        </w:rPr>
        <w:t>: Investment Appraisals of Projects A, B, and C</w:t>
      </w:r>
      <w:bookmarkEnd w:id="22"/>
    </w:p>
    <w:p w14:paraId="0049486C" w14:textId="77777777" w:rsidR="00066D7F" w:rsidRPr="00D86F4E" w:rsidRDefault="00066D7F" w:rsidP="00066D7F">
      <w:pPr>
        <w:rPr>
          <w:rFonts w:cs="Arial"/>
          <w:szCs w:val="24"/>
          <w:lang w:val="en-IN"/>
        </w:rPr>
      </w:pPr>
      <w:r w:rsidRPr="00D86F4E">
        <w:rPr>
          <w:rFonts w:cs="Arial"/>
          <w:b/>
          <w:bCs/>
          <w:i/>
          <w:iCs/>
          <w:szCs w:val="24"/>
          <w:lang w:val="en-IN"/>
        </w:rPr>
        <w:t xml:space="preserve">Payback Period: </w:t>
      </w:r>
      <w:r w:rsidRPr="00D86F4E">
        <w:rPr>
          <w:rFonts w:cs="Arial"/>
          <w:szCs w:val="24"/>
          <w:lang w:val="en-IN"/>
        </w:rPr>
        <w:t>PBP helps in measuring the capability of each project in recovering its initial investment through operating cash flows considering the time period (</w:t>
      </w:r>
      <w:r w:rsidRPr="00D86F4E">
        <w:rPr>
          <w:rFonts w:cs="Arial"/>
          <w:szCs w:val="24"/>
          <w:shd w:val="clear" w:color="auto" w:fill="FFFFFF"/>
        </w:rPr>
        <w:t>Sam, 2025</w:t>
      </w:r>
      <w:r w:rsidRPr="00D86F4E">
        <w:rPr>
          <w:rFonts w:cs="Arial"/>
          <w:szCs w:val="24"/>
          <w:lang w:val="en-IN"/>
        </w:rPr>
        <w:t xml:space="preserve">). This liquidity-focused measure is important for the firm’s recent declines in the operating cash generation as well as the tightening working capital position. It has been seen that Project A has the fastest payback period of 3.40 years reflecting that it recovers the £40 million cost relatively quickly and hence provides earlier cash flow relief. Similarly, Project C follows closely with the payback period of 3.60 years which is slightly slower but remains within an acceptable range for large-scale capital projects. On the other hand, Project B is reflecting a poor performance with a payback period of 5 years reaching the breakeven at the end of the project life. This longer recovery time results in enhancing the risk of liquidity along with minimises flexibility to deal with the financing or market challenges. Therefore, Project A reflects a better payback period, and is followed by Project C. However, Project B is less suitable for the firm associated with declining cash reserves. </w:t>
      </w:r>
    </w:p>
    <w:p w14:paraId="166C02EC" w14:textId="77777777" w:rsidR="00066D7F" w:rsidRPr="00D86F4E" w:rsidRDefault="00066D7F" w:rsidP="00066D7F">
      <w:pPr>
        <w:rPr>
          <w:rFonts w:cs="Arial"/>
          <w:szCs w:val="24"/>
          <w:lang w:val="en-IN"/>
        </w:rPr>
      </w:pPr>
      <w:r w:rsidRPr="00D86F4E">
        <w:rPr>
          <w:rFonts w:cs="Arial"/>
          <w:b/>
          <w:bCs/>
          <w:i/>
          <w:iCs/>
          <w:szCs w:val="24"/>
          <w:lang w:val="en-IN"/>
        </w:rPr>
        <w:t xml:space="preserve">Accounting Rate of Return: </w:t>
      </w:r>
      <w:r w:rsidRPr="00D86F4E">
        <w:rPr>
          <w:rFonts w:cs="Arial"/>
          <w:szCs w:val="24"/>
          <w:lang w:val="en-IN"/>
        </w:rPr>
        <w:t>ARR is a capital budgeting method that focuses on profitability derived from accounting earnings rather than the cash flows (</w:t>
      </w:r>
      <w:proofErr w:type="spellStart"/>
      <w:r w:rsidRPr="00D86F4E">
        <w:rPr>
          <w:rFonts w:cs="Arial"/>
          <w:szCs w:val="24"/>
          <w:shd w:val="clear" w:color="auto" w:fill="FFFFFF"/>
        </w:rPr>
        <w:t>Gnap</w:t>
      </w:r>
      <w:proofErr w:type="spellEnd"/>
      <w:r w:rsidRPr="00D86F4E">
        <w:rPr>
          <w:rFonts w:cs="Arial"/>
          <w:szCs w:val="24"/>
          <w:shd w:val="clear" w:color="auto" w:fill="FFFFFF"/>
        </w:rPr>
        <w:t xml:space="preserve"> and Pitera, 2023</w:t>
      </w:r>
      <w:r w:rsidRPr="00D86F4E">
        <w:rPr>
          <w:rFonts w:cs="Arial"/>
          <w:szCs w:val="24"/>
          <w:lang w:val="en-IN"/>
        </w:rPr>
        <w:t xml:space="preserve">). Considering the initial investments of £40 million, £30 million, and £50 million for Projects A, B, and C, and the average annual profit of £10.8 million, £6 million, and £15 million, the strongest accounting performance has been ascertained with Project C at an ARR of 60%. On the other hand, Projects B and C have 54% and 40% ARR respectively. Further, Project A also performs well considering reinforcing its position as both a profitable and relatively stable project. However, Project B has the weakest ARR amongst the three projects, and hence reflects the modest and unvarying annual cash flows that fail to produce a high return in relation to the committed capital. Thus, the concerned method favours the firm’s investment in terms </w:t>
      </w:r>
      <w:r w:rsidRPr="00D86F4E">
        <w:rPr>
          <w:rFonts w:cs="Arial"/>
          <w:szCs w:val="24"/>
          <w:lang w:val="en-IN"/>
        </w:rPr>
        <w:lastRenderedPageBreak/>
        <w:t xml:space="preserve">of profitability, and hence Project C is considered the most profitable and viable project as compared to A and B. </w:t>
      </w:r>
    </w:p>
    <w:p w14:paraId="48B8C73D" w14:textId="77777777" w:rsidR="00066D7F" w:rsidRPr="00D86F4E" w:rsidRDefault="00066D7F" w:rsidP="00066D7F">
      <w:pPr>
        <w:rPr>
          <w:rFonts w:cs="Arial"/>
          <w:szCs w:val="24"/>
          <w:lang w:val="en-IN"/>
        </w:rPr>
      </w:pPr>
      <w:r w:rsidRPr="00D86F4E">
        <w:rPr>
          <w:rFonts w:cs="Arial"/>
          <w:b/>
          <w:bCs/>
          <w:i/>
          <w:iCs/>
          <w:szCs w:val="24"/>
          <w:lang w:val="en-IN"/>
        </w:rPr>
        <w:t xml:space="preserve">Net Present Value: </w:t>
      </w:r>
      <w:r w:rsidRPr="00D86F4E">
        <w:rPr>
          <w:rFonts w:cs="Arial"/>
          <w:szCs w:val="24"/>
          <w:lang w:val="en-IN"/>
        </w:rPr>
        <w:t>It has been analysed that discounted cash flow analysis focuses on offering more reliable guidance for investment selection by considering NPV as the strongest metric. This is because it measures absolute value creation for shareholders in present-value terms (</w:t>
      </w:r>
      <w:proofErr w:type="spellStart"/>
      <w:r w:rsidRPr="00D86F4E">
        <w:rPr>
          <w:rFonts w:cs="Arial"/>
          <w:szCs w:val="24"/>
          <w:shd w:val="clear" w:color="auto" w:fill="FFFFFF"/>
        </w:rPr>
        <w:t>Pivorienė</w:t>
      </w:r>
      <w:proofErr w:type="spellEnd"/>
      <w:r w:rsidRPr="00D86F4E">
        <w:rPr>
          <w:rFonts w:cs="Arial"/>
          <w:szCs w:val="24"/>
          <w:shd w:val="clear" w:color="auto" w:fill="FFFFFF"/>
        </w:rPr>
        <w:t>, 2017</w:t>
      </w:r>
      <w:r w:rsidRPr="00D86F4E">
        <w:rPr>
          <w:rFonts w:cs="Arial"/>
          <w:szCs w:val="24"/>
          <w:lang w:val="en-IN"/>
        </w:rPr>
        <w:t xml:space="preserve">). It helps in analysing the profitability of a project by deducting the present value of cash outflows from the present value of cash inflows. With the application of a 10% discount rate, the NPV calculated for Projects A, B, and C is £1.32 million, -£7.26 million, and £4.23 million respectively. This reflects that Project C has the highest NPV reflecting that it generates the greatest economic benefits for General Electronics despite requiring the largest initial capital. Further, Project A also provides a positive NPV of £1.32 million demonstrating that it also adds value but to a lesser extent. Whereas, Project B has a negative NPV reflecting that the project will generate a loss in the near future and will destroy shareholder value, and hence should not be considered. It has been seen that NPV helps in value creation after accounting for risk and considering the time value of money, and hence, Project C is considered the most viable option and is followed by Project A. </w:t>
      </w:r>
    </w:p>
    <w:p w14:paraId="73C05D82" w14:textId="77777777" w:rsidR="00066D7F" w:rsidRPr="00D86F4E" w:rsidRDefault="00066D7F" w:rsidP="00066D7F">
      <w:pPr>
        <w:rPr>
          <w:rFonts w:cs="Arial"/>
          <w:szCs w:val="24"/>
          <w:lang w:val="en-IN"/>
        </w:rPr>
      </w:pPr>
      <w:r w:rsidRPr="00D86F4E">
        <w:rPr>
          <w:rFonts w:cs="Arial"/>
          <w:b/>
          <w:bCs/>
          <w:i/>
          <w:iCs/>
          <w:szCs w:val="24"/>
        </w:rPr>
        <w:t xml:space="preserve">Profitability Index: </w:t>
      </w:r>
      <w:r w:rsidRPr="00D86F4E">
        <w:rPr>
          <w:rFonts w:cs="Arial"/>
          <w:szCs w:val="24"/>
        </w:rPr>
        <w:t>PI under capital budgeting techniques is mainly important under capital rationing because it helps in measuring value created per unit of investment (</w:t>
      </w:r>
      <w:proofErr w:type="spellStart"/>
      <w:r w:rsidRPr="00D86F4E">
        <w:rPr>
          <w:rFonts w:cs="Arial"/>
          <w:szCs w:val="24"/>
          <w:shd w:val="clear" w:color="auto" w:fill="FFFFFF"/>
        </w:rPr>
        <w:t>Purnamasari</w:t>
      </w:r>
      <w:proofErr w:type="spellEnd"/>
      <w:r w:rsidRPr="00D86F4E">
        <w:rPr>
          <w:rFonts w:cs="Arial"/>
          <w:szCs w:val="24"/>
          <w:shd w:val="clear" w:color="auto" w:fill="FFFFFF"/>
        </w:rPr>
        <w:t xml:space="preserve"> and </w:t>
      </w:r>
      <w:proofErr w:type="spellStart"/>
      <w:r w:rsidRPr="00D86F4E">
        <w:rPr>
          <w:rFonts w:cs="Arial"/>
          <w:szCs w:val="24"/>
          <w:shd w:val="clear" w:color="auto" w:fill="FFFFFF"/>
        </w:rPr>
        <w:t>Adriza</w:t>
      </w:r>
      <w:proofErr w:type="spellEnd"/>
      <w:r w:rsidRPr="00D86F4E">
        <w:rPr>
          <w:rFonts w:cs="Arial"/>
          <w:szCs w:val="24"/>
          <w:shd w:val="clear" w:color="auto" w:fill="FFFFFF"/>
        </w:rPr>
        <w:t>, 2024</w:t>
      </w:r>
      <w:r w:rsidRPr="00D86F4E">
        <w:rPr>
          <w:rFonts w:cs="Arial"/>
          <w:szCs w:val="24"/>
        </w:rPr>
        <w:t xml:space="preserve">). It leads to assessing the project’s profitability by comparing the present value of future cash flows to the initial investment. It has been seen that Project C attains the highest PI of 1.08 indicating </w:t>
      </w:r>
      <w:r w:rsidRPr="00D86F4E">
        <w:rPr>
          <w:rFonts w:cs="Arial"/>
          <w:szCs w:val="24"/>
          <w:lang w:val="en-IN"/>
        </w:rPr>
        <w:t xml:space="preserve">the present value of cash inflows of £54.23 million in comparison with the initial investment of £50 million, and represents more profits with the PI more than 1. The same has been followed by Project A with a PI of 1.03 reflecting positive value creation but lower than Project C. On the other hand, Project B has a PI of 0.76 which is lower than 1 reflecting loss generation and hence it can result in destroying value. Considering the limited capital conditions, PI helps in providing a crucial aspect for comparing projects in relation to the firm’s investment capacity. Therefore, Project C has a higher profitability position and is followed by Project A considering exceeding the threshold value of 1.0 leading to create value. </w:t>
      </w:r>
    </w:p>
    <w:p w14:paraId="35D03B4A" w14:textId="77777777" w:rsidR="00066D7F" w:rsidRPr="00D86F4E" w:rsidRDefault="00066D7F" w:rsidP="00066D7F">
      <w:pPr>
        <w:rPr>
          <w:rFonts w:cs="Arial"/>
          <w:szCs w:val="24"/>
          <w:lang w:val="en-IN"/>
        </w:rPr>
      </w:pPr>
      <w:r w:rsidRPr="00D86F4E">
        <w:rPr>
          <w:rFonts w:cs="Arial"/>
          <w:b/>
          <w:bCs/>
          <w:i/>
          <w:iCs/>
          <w:szCs w:val="24"/>
          <w:lang w:val="en-IN"/>
        </w:rPr>
        <w:lastRenderedPageBreak/>
        <w:t xml:space="preserve">Internal Rate of Return: </w:t>
      </w:r>
      <w:r w:rsidRPr="00D86F4E">
        <w:rPr>
          <w:rFonts w:cs="Arial"/>
          <w:szCs w:val="24"/>
          <w:lang w:val="en-IN"/>
        </w:rPr>
        <w:t>IRR is a financial metric that is useful in estimating the profitability of an investment. It needs to be cautiously treated because of the cash flow nature and patterns (</w:t>
      </w:r>
      <w:r w:rsidRPr="00D86F4E">
        <w:rPr>
          <w:rFonts w:cs="Arial"/>
          <w:szCs w:val="24"/>
          <w:shd w:val="clear" w:color="auto" w:fill="FFFFFF"/>
        </w:rPr>
        <w:t>Mellichamp, 2019</w:t>
      </w:r>
      <w:r w:rsidRPr="00D86F4E">
        <w:rPr>
          <w:rFonts w:cs="Arial"/>
          <w:szCs w:val="24"/>
          <w:lang w:val="en-IN"/>
        </w:rPr>
        <w:t xml:space="preserve">). The calculated IRR for Projects A, B, and C are 1.21%, -9.09%, and 2.47% reflecting lower rates than the cost of capital of 10%. It has been evaluated that these values are inconsistent with the positive NPVs produced by Projects A and C reflecting that cash flow structures may have a non-traditional IRR behaviour. IRR is considered unreliable for projects with irregular or uneven cash flow profiles, and because it ranks C slightly above A, there is a large difference in NPV and it should not be considered as a basis for selection. However, despite this, Project C has the highest IRR and is outperforming Project B, and hence Project C is considered the most viable project. </w:t>
      </w:r>
    </w:p>
    <w:p w14:paraId="107F517D" w14:textId="77777777" w:rsidR="00066D7F" w:rsidRPr="00D86F4E" w:rsidRDefault="00066D7F" w:rsidP="00066D7F">
      <w:pPr>
        <w:rPr>
          <w:rFonts w:cs="Arial"/>
          <w:szCs w:val="24"/>
        </w:rPr>
      </w:pPr>
      <w:r w:rsidRPr="00D86F4E">
        <w:rPr>
          <w:rFonts w:cs="Arial"/>
          <w:b/>
          <w:bCs/>
          <w:i/>
          <w:iCs/>
          <w:szCs w:val="24"/>
        </w:rPr>
        <w:t xml:space="preserve">Recommendations: </w:t>
      </w:r>
      <w:r w:rsidRPr="00D86F4E">
        <w:rPr>
          <w:rFonts w:cs="Arial"/>
          <w:szCs w:val="24"/>
        </w:rPr>
        <w:t xml:space="preserve">Along with the numerical analysis, cash flow volatility and project risk characteristics need to be integrated into the appraisal. It has been seen that the firm has seen negative net profit margin, </w:t>
      </w:r>
      <w:proofErr w:type="gramStart"/>
      <w:r w:rsidRPr="00D86F4E">
        <w:rPr>
          <w:rFonts w:cs="Arial"/>
          <w:szCs w:val="24"/>
        </w:rPr>
        <w:t>rising</w:t>
      </w:r>
      <w:proofErr w:type="gramEnd"/>
      <w:r w:rsidRPr="00D86F4E">
        <w:rPr>
          <w:rFonts w:cs="Arial"/>
          <w:szCs w:val="24"/>
        </w:rPr>
        <w:t xml:space="preserve"> leverage, and shrinking liquidity. Therefore, the projects that generate early and stable cash inflows need to be considered for mitigating financial stress. It has been seen that Project A is offering relatively stable and moderate annual cash flows leading to a peak early in the overall project life, and hence supporting liquidity. This can help the firm to stabilise its operational financing. Further, Project C is the most profitable amongst the three projects having a substantial year-to-year volatility considering the cash inflows rising from £5 million in year 1 to £25 million in year 4, and then declining to £15 million in year 5 respectively. This volatility enhances risk and also requires greater working capital support but can result in generating higher profits. However, despite stable cash flows for Project B, it generates insufficient returns and hence is not considered in offsetting risk and opportunity costs. Therefore, Projects C and A are considered as the strategically beneficial options considering the former offering higher value creation, and the latter providing greater financial stability. </w:t>
      </w:r>
    </w:p>
    <w:p w14:paraId="7F65E672" w14:textId="77777777" w:rsidR="00066D7F" w:rsidRDefault="00066D7F" w:rsidP="00066D7F">
      <w:pPr>
        <w:rPr>
          <w:rFonts w:cs="Arial"/>
          <w:szCs w:val="24"/>
        </w:rPr>
      </w:pPr>
      <w:r w:rsidRPr="00D86F4E">
        <w:rPr>
          <w:rFonts w:cs="Arial"/>
          <w:szCs w:val="24"/>
        </w:rPr>
        <w:t xml:space="preserve">While applying capital rationing constraints considering the maximum available investment of £60 million, the GE firm cannot undertake more than one of the large projects. All the possible combinations exceed the limit, and hence the selection of a single project is beneficial. It has been seen that Project B is excluded considering the value and risk-based criteria. Thus, considering options A and C, Project C is a </w:t>
      </w:r>
      <w:r w:rsidRPr="00D86F4E">
        <w:rPr>
          <w:rFonts w:cs="Arial"/>
          <w:szCs w:val="24"/>
        </w:rPr>
        <w:lastRenderedPageBreak/>
        <w:t xml:space="preserve">superior option concerning the highest NPV, PI, and ARR. It can help the firm in maximising long-term shareholder wealth in terms of stronger profitability. However, considering the risk-sensitive and liquidity perspective, Project A is beneficial considering the fastest payback period, a smaller upfront funding requirement, and lower volatility that can reduce financial strain and support the short-term solvency of the firm. However, considering </w:t>
      </w:r>
      <w:r w:rsidRPr="00D86F4E">
        <w:rPr>
          <w:rFonts w:cs="Arial"/>
          <w:b/>
          <w:bCs/>
          <w:i/>
          <w:iCs/>
          <w:szCs w:val="24"/>
        </w:rPr>
        <w:t>Project C offering the greatest contribution to shareholder wealth, it is a recommended investment in terms of prioritising long-term value creation</w:t>
      </w:r>
      <w:r w:rsidRPr="00D86F4E">
        <w:rPr>
          <w:rFonts w:cs="Arial"/>
          <w:szCs w:val="24"/>
        </w:rPr>
        <w:t xml:space="preserve">. It can help in attaining superior financial performance along with a stronger contribution to long-term competitiveness and recovery. </w:t>
      </w:r>
    </w:p>
    <w:p w14:paraId="7E3FDE3E" w14:textId="733DE808" w:rsidR="009B7ED5" w:rsidRDefault="009B7ED5">
      <w:pPr>
        <w:rPr>
          <w:rFonts w:cs="Arial"/>
          <w:szCs w:val="24"/>
        </w:rPr>
      </w:pPr>
      <w:r>
        <w:rPr>
          <w:rFonts w:cs="Arial"/>
          <w:szCs w:val="24"/>
        </w:rPr>
        <w:br w:type="page"/>
      </w:r>
    </w:p>
    <w:p w14:paraId="28FB7052" w14:textId="3F22F916" w:rsidR="009B7ED5" w:rsidRDefault="009B7ED5" w:rsidP="000165D3">
      <w:pPr>
        <w:pStyle w:val="Heading1"/>
      </w:pPr>
      <w:r>
        <w:lastRenderedPageBreak/>
        <w:t xml:space="preserve">Conclusion </w:t>
      </w:r>
    </w:p>
    <w:p w14:paraId="669F4717" w14:textId="77777777" w:rsidR="00C17CB3" w:rsidRPr="005252BE" w:rsidRDefault="00C17CB3" w:rsidP="00C17CB3">
      <w:pPr>
        <w:rPr>
          <w:rFonts w:cs="Arial"/>
          <w:szCs w:val="24"/>
          <w:lang w:val="en-IN"/>
        </w:rPr>
      </w:pPr>
      <w:r>
        <w:rPr>
          <w:rFonts w:cs="Arial"/>
          <w:szCs w:val="24"/>
          <w:lang w:val="en-IN"/>
        </w:rPr>
        <w:t xml:space="preserve">It can be concluded that General </w:t>
      </w:r>
      <w:proofErr w:type="spellStart"/>
      <w:r>
        <w:rPr>
          <w:rFonts w:cs="Arial"/>
          <w:szCs w:val="24"/>
          <w:lang w:val="en-IN"/>
        </w:rPr>
        <w:t>Eletronics</w:t>
      </w:r>
      <w:proofErr w:type="spellEnd"/>
      <w:r>
        <w:rPr>
          <w:rFonts w:cs="Arial"/>
          <w:szCs w:val="24"/>
          <w:lang w:val="en-IN"/>
        </w:rPr>
        <w:t xml:space="preserve"> is experiencing weakening profitability, rising operational inefficiencies, and tightening liquidity that threaten long-term stability. It has been seen that improving cost control, strengthening working capital, and restructuring debt are essential for restoring financial health. Furthermore, the investment appraisal determines that Project C offers the strongest long-term value, whereas, Project A helps in providing short-term stability. Therefore, by implementing a strategic restructuring plan along with responsible ethical, international, and governance practices, the firm can rebuild shareholder confidence, enhance resilience, and attain sustainable future growth. </w:t>
      </w:r>
    </w:p>
    <w:p w14:paraId="0351726C" w14:textId="77777777" w:rsidR="00C17CB3" w:rsidRPr="00C17CB3" w:rsidRDefault="00C17CB3" w:rsidP="00C17CB3"/>
    <w:p w14:paraId="7021BE10" w14:textId="77777777" w:rsidR="00066D7F" w:rsidRPr="00FA2025" w:rsidRDefault="00066D7F" w:rsidP="006917B9"/>
    <w:p w14:paraId="12E2F0B4" w14:textId="77777777" w:rsidR="002D7C32" w:rsidRPr="00705964" w:rsidRDefault="002D7C32" w:rsidP="006917B9">
      <w:pPr>
        <w:rPr>
          <w:lang w:val="en-IN"/>
        </w:rPr>
      </w:pPr>
    </w:p>
    <w:p w14:paraId="5298802F" w14:textId="77777777" w:rsidR="005D0915" w:rsidRDefault="005D0915" w:rsidP="006917B9">
      <w:pPr>
        <w:rPr>
          <w:lang w:val="en-IN"/>
        </w:rPr>
      </w:pPr>
    </w:p>
    <w:p w14:paraId="7AE86DC9" w14:textId="77465F05" w:rsidR="00EB74E2" w:rsidRDefault="00EB74E2" w:rsidP="006917B9">
      <w:pPr>
        <w:rPr>
          <w:color w:val="000000" w:themeColor="text1"/>
          <w:szCs w:val="32"/>
          <w:lang w:val="en-IN"/>
        </w:rPr>
      </w:pPr>
      <w:r>
        <w:rPr>
          <w:lang w:val="en-IN"/>
        </w:rPr>
        <w:br w:type="page"/>
      </w:r>
    </w:p>
    <w:p w14:paraId="41C8A6D4" w14:textId="77777777" w:rsidR="00EB74E2" w:rsidRDefault="00EB74E2" w:rsidP="006917B9">
      <w:pPr>
        <w:pStyle w:val="Heading1"/>
        <w:spacing w:after="240"/>
        <w:rPr>
          <w:lang w:val="en-IN"/>
        </w:rPr>
      </w:pPr>
      <w:bookmarkStart w:id="23" w:name="_Toc215057632"/>
      <w:r>
        <w:rPr>
          <w:lang w:val="en-IN"/>
        </w:rPr>
        <w:lastRenderedPageBreak/>
        <w:t>References</w:t>
      </w:r>
      <w:bookmarkEnd w:id="23"/>
      <w:r>
        <w:rPr>
          <w:lang w:val="en-IN"/>
        </w:rPr>
        <w:t xml:space="preserve"> </w:t>
      </w:r>
    </w:p>
    <w:p w14:paraId="2A099010" w14:textId="77777777" w:rsidR="00C66041" w:rsidRDefault="00C66041" w:rsidP="006917B9">
      <w:r>
        <w:t xml:space="preserve">ACCA Global. (2025) </w:t>
      </w:r>
      <w:r w:rsidRPr="00810FC7">
        <w:t>Bank loans</w:t>
      </w:r>
      <w:r>
        <w:t xml:space="preserve">. [Online]. Available at: </w:t>
      </w:r>
      <w:hyperlink r:id="rId21" w:history="1">
        <w:r w:rsidRPr="003E2233">
          <w:rPr>
            <w:rStyle w:val="Hyperlink"/>
          </w:rPr>
          <w:t>https://www.accaglobal.com/gb/en/business-finance/types-finance/loans.html</w:t>
        </w:r>
      </w:hyperlink>
      <w:r>
        <w:t xml:space="preserve"> [Accessed on: 26.11.2025]. </w:t>
      </w:r>
    </w:p>
    <w:p w14:paraId="4BE88B61" w14:textId="77777777" w:rsidR="00C66041" w:rsidRDefault="00C66041" w:rsidP="006917B9">
      <w:r>
        <w:t xml:space="preserve">ACCA Global. (2025) </w:t>
      </w:r>
      <w:r w:rsidRPr="00340083">
        <w:t>Trade credit.</w:t>
      </w:r>
      <w:r>
        <w:t xml:space="preserve"> [Online]. Available at: </w:t>
      </w:r>
      <w:hyperlink r:id="rId22" w:history="1">
        <w:r w:rsidRPr="003E2233">
          <w:rPr>
            <w:rStyle w:val="Hyperlink"/>
          </w:rPr>
          <w:t>https://www.accaglobal.com/in/en/business-finance/types-finance/trade-credit.html</w:t>
        </w:r>
      </w:hyperlink>
      <w:r>
        <w:t xml:space="preserve"> [Accessed on: 26.11.2025]. </w:t>
      </w:r>
    </w:p>
    <w:p w14:paraId="3337F2B6" w14:textId="77777777" w:rsidR="00C66041" w:rsidRDefault="00C66041" w:rsidP="006917B9">
      <w:pPr>
        <w:rPr>
          <w:lang w:val="en-IN"/>
        </w:rPr>
      </w:pPr>
      <w:r>
        <w:rPr>
          <w:lang w:val="en-IN"/>
        </w:rPr>
        <w:t xml:space="preserve">ACCA Global. (2025) </w:t>
      </w:r>
      <w:r w:rsidRPr="008D5A20">
        <w:rPr>
          <w:lang w:val="en-IN"/>
        </w:rPr>
        <w:t>Working capital management</w:t>
      </w:r>
      <w:r>
        <w:rPr>
          <w:lang w:val="en-IN"/>
        </w:rPr>
        <w:t xml:space="preserve">. [Online]. Available at: </w:t>
      </w:r>
      <w:hyperlink r:id="rId23" w:history="1">
        <w:r w:rsidRPr="003E2233">
          <w:rPr>
            <w:rStyle w:val="Hyperlink"/>
            <w:lang w:val="en-IN"/>
          </w:rPr>
          <w:t>https://www.accaglobal.com/gb/en/student/exam-support-resources/fundamentals-exams-study-resources/f9/technical-articles/wcm.html</w:t>
        </w:r>
      </w:hyperlink>
      <w:r>
        <w:rPr>
          <w:lang w:val="en-IN"/>
        </w:rPr>
        <w:t xml:space="preserve"> [Accessed on: 26.11.2025]. </w:t>
      </w:r>
    </w:p>
    <w:p w14:paraId="04670E3B" w14:textId="77777777" w:rsidR="00C66041" w:rsidRDefault="00C66041" w:rsidP="006917B9">
      <w:pPr>
        <w:rPr>
          <w:lang w:val="en-IN"/>
        </w:rPr>
      </w:pPr>
      <w:r>
        <w:t xml:space="preserve">Allianz. (2025) </w:t>
      </w:r>
      <w:r w:rsidRPr="005F4062">
        <w:t>Early Payment Discounts: Definition, Types, &amp; Examples</w:t>
      </w:r>
      <w:r>
        <w:t xml:space="preserve">. [Online]. Available at: </w:t>
      </w:r>
      <w:hyperlink r:id="rId24" w:history="1">
        <w:r w:rsidRPr="003E2233">
          <w:rPr>
            <w:rStyle w:val="Hyperlink"/>
          </w:rPr>
          <w:t>https://www.allianz-trade.com/en_US/insights/early-payment-discount.html</w:t>
        </w:r>
      </w:hyperlink>
      <w:r>
        <w:t xml:space="preserve"> [Accessed on: 26.11.2025]. </w:t>
      </w:r>
    </w:p>
    <w:p w14:paraId="0099A64F" w14:textId="77777777" w:rsidR="00C66041" w:rsidRDefault="00C66041" w:rsidP="006917B9">
      <w:pPr>
        <w:rPr>
          <w:shd w:val="clear" w:color="auto" w:fill="FFFFFF"/>
        </w:rPr>
      </w:pPr>
      <w:proofErr w:type="spellStart"/>
      <w:r>
        <w:rPr>
          <w:shd w:val="clear" w:color="auto" w:fill="FFFFFF"/>
        </w:rPr>
        <w:t>Binsaddig</w:t>
      </w:r>
      <w:proofErr w:type="spellEnd"/>
      <w:r>
        <w:rPr>
          <w:shd w:val="clear" w:color="auto" w:fill="FFFFFF"/>
        </w:rPr>
        <w:t>, R., Ali, A., Al-Alkawi, T. and Ali, B.J. (2023) Inventory turnover, accounts receivable turnover, and manufacturing profitability: an empirical study. </w:t>
      </w:r>
      <w:r>
        <w:rPr>
          <w:i/>
          <w:iCs/>
          <w:shd w:val="clear" w:color="auto" w:fill="FFFFFF"/>
        </w:rPr>
        <w:t>International Journal of Economics and Finance Studies</w:t>
      </w:r>
      <w:r>
        <w:rPr>
          <w:shd w:val="clear" w:color="auto" w:fill="FFFFFF"/>
        </w:rPr>
        <w:t>, </w:t>
      </w:r>
      <w:r>
        <w:rPr>
          <w:i/>
          <w:iCs/>
          <w:shd w:val="clear" w:color="auto" w:fill="FFFFFF"/>
        </w:rPr>
        <w:t>15</w:t>
      </w:r>
      <w:r>
        <w:rPr>
          <w:shd w:val="clear" w:color="auto" w:fill="FFFFFF"/>
        </w:rPr>
        <w:t>(1), pp.1-16.</w:t>
      </w:r>
    </w:p>
    <w:p w14:paraId="218DD302" w14:textId="77777777" w:rsidR="00C66041" w:rsidRDefault="00C66041" w:rsidP="006917B9">
      <w:pPr>
        <w:rPr>
          <w:lang w:val="en-IN"/>
        </w:rPr>
      </w:pPr>
      <w:r>
        <w:rPr>
          <w:lang w:val="en-IN"/>
        </w:rPr>
        <w:t xml:space="preserve">British Business Bank. (2025) </w:t>
      </w:r>
      <w:r w:rsidRPr="00E9231C">
        <w:rPr>
          <w:lang w:val="en-IN"/>
        </w:rPr>
        <w:t>Debt to equity ratios for healthy businesses</w:t>
      </w:r>
      <w:r>
        <w:rPr>
          <w:lang w:val="en-IN"/>
        </w:rPr>
        <w:t xml:space="preserve">. [Online]. Available at: </w:t>
      </w:r>
      <w:hyperlink r:id="rId25" w:history="1">
        <w:r w:rsidRPr="00AB15E4">
          <w:rPr>
            <w:rStyle w:val="Hyperlink"/>
            <w:lang w:val="en-IN"/>
          </w:rPr>
          <w:t>https://www.british-business-bank.co.uk/business-guidance/guidance-articles/finance/what-level-of-debt-is-healthy-for-business</w:t>
        </w:r>
      </w:hyperlink>
      <w:r>
        <w:rPr>
          <w:lang w:val="en-IN"/>
        </w:rPr>
        <w:t xml:space="preserve"> [Accessed on: 26.11.2025]. </w:t>
      </w:r>
    </w:p>
    <w:p w14:paraId="58E4B0F1" w14:textId="77777777" w:rsidR="00C66041" w:rsidRPr="00D86F4E" w:rsidRDefault="00C66041" w:rsidP="00C66041">
      <w:pPr>
        <w:rPr>
          <w:rFonts w:cs="Arial"/>
          <w:szCs w:val="24"/>
          <w:shd w:val="clear" w:color="auto" w:fill="FFFFFF"/>
        </w:rPr>
      </w:pPr>
      <w:r w:rsidRPr="00D86F4E">
        <w:rPr>
          <w:rFonts w:cs="Arial"/>
          <w:szCs w:val="24"/>
          <w:shd w:val="clear" w:color="auto" w:fill="FFFFFF"/>
        </w:rPr>
        <w:t>Brown, G., Harris, R. and Munday, S. (2021) Capital structure and leverage in private equity buyouts. </w:t>
      </w:r>
      <w:r w:rsidRPr="00D86F4E">
        <w:rPr>
          <w:rFonts w:cs="Arial"/>
          <w:i/>
          <w:iCs/>
          <w:szCs w:val="24"/>
          <w:shd w:val="clear" w:color="auto" w:fill="FFFFFF"/>
        </w:rPr>
        <w:t>Journal of Applied Corporate Finance</w:t>
      </w:r>
      <w:r w:rsidRPr="00D86F4E">
        <w:rPr>
          <w:rFonts w:cs="Arial"/>
          <w:szCs w:val="24"/>
          <w:shd w:val="clear" w:color="auto" w:fill="FFFFFF"/>
        </w:rPr>
        <w:t>, </w:t>
      </w:r>
      <w:r w:rsidRPr="00D86F4E">
        <w:rPr>
          <w:rFonts w:cs="Arial"/>
          <w:i/>
          <w:iCs/>
          <w:szCs w:val="24"/>
          <w:shd w:val="clear" w:color="auto" w:fill="FFFFFF"/>
        </w:rPr>
        <w:t>33</w:t>
      </w:r>
      <w:r w:rsidRPr="00D86F4E">
        <w:rPr>
          <w:rFonts w:cs="Arial"/>
          <w:szCs w:val="24"/>
          <w:shd w:val="clear" w:color="auto" w:fill="FFFFFF"/>
        </w:rPr>
        <w:t>(3), pp.42-58.</w:t>
      </w:r>
    </w:p>
    <w:p w14:paraId="58650240" w14:textId="77777777" w:rsidR="00C66041" w:rsidRDefault="00C66041" w:rsidP="006917B9">
      <w:r>
        <w:t xml:space="preserve">Capstone Partners. (2023) </w:t>
      </w:r>
      <w:r w:rsidRPr="00A35A1F">
        <w:t>Advantages and Disadvantages of Equity Financing</w:t>
      </w:r>
      <w:r>
        <w:t xml:space="preserve">. [Online]. Available at: </w:t>
      </w:r>
      <w:hyperlink r:id="rId26" w:history="1">
        <w:r w:rsidRPr="003E2233">
          <w:rPr>
            <w:rStyle w:val="Hyperlink"/>
          </w:rPr>
          <w:t>https://www.capstonepartners.com/insights/article-advantages-and-disadvantages-of-equity-financing/</w:t>
        </w:r>
      </w:hyperlink>
      <w:r>
        <w:t xml:space="preserve"> [Accessed on: 26.11.2025]. </w:t>
      </w:r>
    </w:p>
    <w:p w14:paraId="36143A9A" w14:textId="77777777" w:rsidR="00C66041" w:rsidRDefault="00C66041" w:rsidP="006917B9">
      <w:pPr>
        <w:rPr>
          <w:lang w:val="en-IN"/>
        </w:rPr>
      </w:pPr>
      <w:r>
        <w:rPr>
          <w:lang w:val="en-IN"/>
        </w:rPr>
        <w:t xml:space="preserve">CFI. (2025) </w:t>
      </w:r>
      <w:r w:rsidRPr="00DF5857">
        <w:rPr>
          <w:lang w:val="en-IN"/>
        </w:rPr>
        <w:t>Current Ratio vs Quick Ratio: Comparing Two Key Liquidity Ratios</w:t>
      </w:r>
      <w:r>
        <w:rPr>
          <w:lang w:val="en-IN"/>
        </w:rPr>
        <w:t xml:space="preserve">. [Online]. Available at: </w:t>
      </w:r>
      <w:hyperlink r:id="rId27" w:history="1">
        <w:r w:rsidRPr="00AB15E4">
          <w:rPr>
            <w:rStyle w:val="Hyperlink"/>
            <w:lang w:val="en-IN"/>
          </w:rPr>
          <w:t>https://corporatefinanceinstitute.com/resources/accounting/current-ratio-vs-quick-ratio/</w:t>
        </w:r>
      </w:hyperlink>
      <w:r>
        <w:rPr>
          <w:lang w:val="en-IN"/>
        </w:rPr>
        <w:t xml:space="preserve"> [Accessed on:26.11.2025]. </w:t>
      </w:r>
    </w:p>
    <w:p w14:paraId="4118E842" w14:textId="77777777" w:rsidR="00C66041" w:rsidRDefault="00C66041" w:rsidP="006917B9">
      <w:pPr>
        <w:rPr>
          <w:lang w:val="en-IN"/>
        </w:rPr>
      </w:pPr>
      <w:r>
        <w:rPr>
          <w:lang w:val="en-IN"/>
        </w:rPr>
        <w:lastRenderedPageBreak/>
        <w:t xml:space="preserve">CFI. (2025) </w:t>
      </w:r>
      <w:r w:rsidRPr="00413EDB">
        <w:rPr>
          <w:lang w:val="en-IN"/>
        </w:rPr>
        <w:t>Interest Coverage Ratio</w:t>
      </w:r>
      <w:r>
        <w:rPr>
          <w:lang w:val="en-IN"/>
        </w:rPr>
        <w:t xml:space="preserve">. [Online]. Available at: </w:t>
      </w:r>
      <w:hyperlink r:id="rId28" w:history="1">
        <w:r w:rsidRPr="00AB15E4">
          <w:rPr>
            <w:rStyle w:val="Hyperlink"/>
            <w:lang w:val="en-IN"/>
          </w:rPr>
          <w:t>https://corporatefinanceinstitute.com/resources/commercial-lending/interest-coverage-ratio/</w:t>
        </w:r>
      </w:hyperlink>
      <w:r>
        <w:rPr>
          <w:lang w:val="en-IN"/>
        </w:rPr>
        <w:t xml:space="preserve"> [Accessed on: 26.11.2025]. </w:t>
      </w:r>
    </w:p>
    <w:p w14:paraId="7392FC4C" w14:textId="77777777" w:rsidR="00C66041" w:rsidRDefault="00C66041" w:rsidP="006917B9">
      <w:pPr>
        <w:rPr>
          <w:lang w:val="en-IN"/>
        </w:rPr>
      </w:pPr>
      <w:r>
        <w:rPr>
          <w:lang w:val="en-IN"/>
        </w:rPr>
        <w:t xml:space="preserve">CFI. (2025) </w:t>
      </w:r>
      <w:r w:rsidRPr="00387A39">
        <w:rPr>
          <w:lang w:val="en-IN"/>
        </w:rPr>
        <w:t>Operating Cycle</w:t>
      </w:r>
      <w:r>
        <w:rPr>
          <w:lang w:val="en-IN"/>
        </w:rPr>
        <w:t xml:space="preserve">. [Online]. Available at: </w:t>
      </w:r>
      <w:hyperlink r:id="rId29" w:history="1">
        <w:r w:rsidRPr="003E2233">
          <w:rPr>
            <w:rStyle w:val="Hyperlink"/>
            <w:lang w:val="en-IN"/>
          </w:rPr>
          <w:t>https://corporatefinanceinstitute.com/resources/accounting/operating-cycle/</w:t>
        </w:r>
      </w:hyperlink>
      <w:r>
        <w:rPr>
          <w:lang w:val="en-IN"/>
        </w:rPr>
        <w:t xml:space="preserve"> [Accessed on: 26.11.2025]. </w:t>
      </w:r>
    </w:p>
    <w:p w14:paraId="68E5E505" w14:textId="77777777" w:rsidR="00C66041" w:rsidRDefault="00C66041" w:rsidP="006917B9">
      <w:pPr>
        <w:rPr>
          <w:shd w:val="clear" w:color="auto" w:fill="FFFFFF"/>
        </w:rPr>
      </w:pPr>
      <w:r>
        <w:rPr>
          <w:shd w:val="clear" w:color="auto" w:fill="FFFFFF"/>
        </w:rPr>
        <w:t>Choi, T.Y., Netland, T.H., Sanders, N., Sodhi, M.S. and Wagner, S.M. (2023) Just</w:t>
      </w:r>
      <w:r>
        <w:rPr>
          <w:rFonts w:ascii="Cambria Math" w:hAnsi="Cambria Math" w:cs="Cambria Math"/>
          <w:shd w:val="clear" w:color="auto" w:fill="FFFFFF"/>
        </w:rPr>
        <w:t>‐</w:t>
      </w:r>
      <w:r>
        <w:rPr>
          <w:shd w:val="clear" w:color="auto" w:fill="FFFFFF"/>
        </w:rPr>
        <w:t>in</w:t>
      </w:r>
      <w:r>
        <w:rPr>
          <w:rFonts w:ascii="Cambria Math" w:hAnsi="Cambria Math" w:cs="Cambria Math"/>
          <w:shd w:val="clear" w:color="auto" w:fill="FFFFFF"/>
        </w:rPr>
        <w:t>‐</w:t>
      </w:r>
      <w:r>
        <w:rPr>
          <w:shd w:val="clear" w:color="auto" w:fill="FFFFFF"/>
        </w:rPr>
        <w:t>time for supply chains in turbulent times. </w:t>
      </w:r>
      <w:r>
        <w:rPr>
          <w:i/>
          <w:iCs/>
          <w:shd w:val="clear" w:color="auto" w:fill="FFFFFF"/>
        </w:rPr>
        <w:t>Production and Operations Management</w:t>
      </w:r>
      <w:r>
        <w:rPr>
          <w:shd w:val="clear" w:color="auto" w:fill="FFFFFF"/>
        </w:rPr>
        <w:t>, </w:t>
      </w:r>
      <w:r>
        <w:rPr>
          <w:i/>
          <w:iCs/>
          <w:shd w:val="clear" w:color="auto" w:fill="FFFFFF"/>
        </w:rPr>
        <w:t>32</w:t>
      </w:r>
      <w:r>
        <w:rPr>
          <w:shd w:val="clear" w:color="auto" w:fill="FFFFFF"/>
        </w:rPr>
        <w:t>(7), pp.2331-2340.</w:t>
      </w:r>
    </w:p>
    <w:p w14:paraId="568FE2EE" w14:textId="77777777" w:rsidR="00C66041" w:rsidRPr="00D86F4E" w:rsidRDefault="00C66041" w:rsidP="00C66041">
      <w:pPr>
        <w:rPr>
          <w:rFonts w:cs="Arial"/>
          <w:szCs w:val="24"/>
        </w:rPr>
      </w:pPr>
      <w:proofErr w:type="spellStart"/>
      <w:r w:rsidRPr="00D86F4E">
        <w:rPr>
          <w:rFonts w:cs="Arial"/>
          <w:szCs w:val="24"/>
          <w:shd w:val="clear" w:color="auto" w:fill="FFFFFF"/>
        </w:rPr>
        <w:t>Colliard</w:t>
      </w:r>
      <w:proofErr w:type="spellEnd"/>
      <w:r w:rsidRPr="00D86F4E">
        <w:rPr>
          <w:rFonts w:cs="Arial"/>
          <w:szCs w:val="24"/>
          <w:shd w:val="clear" w:color="auto" w:fill="FFFFFF"/>
        </w:rPr>
        <w:t xml:space="preserve">, J.E. and </w:t>
      </w:r>
      <w:proofErr w:type="spellStart"/>
      <w:r w:rsidRPr="00D86F4E">
        <w:rPr>
          <w:rFonts w:cs="Arial"/>
          <w:szCs w:val="24"/>
          <w:shd w:val="clear" w:color="auto" w:fill="FFFFFF"/>
        </w:rPr>
        <w:t>Gromb</w:t>
      </w:r>
      <w:proofErr w:type="spellEnd"/>
      <w:r w:rsidRPr="00D86F4E">
        <w:rPr>
          <w:rFonts w:cs="Arial"/>
          <w:szCs w:val="24"/>
          <w:shd w:val="clear" w:color="auto" w:fill="FFFFFF"/>
        </w:rPr>
        <w:t>, D. (2025) Financial restructuring and resolution of banks. </w:t>
      </w:r>
      <w:r w:rsidRPr="00D86F4E">
        <w:rPr>
          <w:rFonts w:cs="Arial"/>
          <w:i/>
          <w:iCs/>
          <w:szCs w:val="24"/>
          <w:shd w:val="clear" w:color="auto" w:fill="FFFFFF"/>
        </w:rPr>
        <w:t>HEC Paris Research Paper No. FIN-2018-1272</w:t>
      </w:r>
      <w:r w:rsidRPr="00D86F4E">
        <w:rPr>
          <w:rFonts w:cs="Arial"/>
          <w:szCs w:val="24"/>
          <w:shd w:val="clear" w:color="auto" w:fill="FFFFFF"/>
        </w:rPr>
        <w:t>.</w:t>
      </w:r>
    </w:p>
    <w:p w14:paraId="6901B6CD" w14:textId="77777777" w:rsidR="00C66041" w:rsidRPr="00D86F4E" w:rsidRDefault="00C66041" w:rsidP="00C66041">
      <w:pPr>
        <w:rPr>
          <w:rFonts w:cs="Arial"/>
          <w:szCs w:val="24"/>
          <w:shd w:val="clear" w:color="auto" w:fill="FFFFFF"/>
        </w:rPr>
      </w:pPr>
      <w:r w:rsidRPr="00D86F4E">
        <w:rPr>
          <w:rFonts w:cs="Arial"/>
          <w:szCs w:val="24"/>
          <w:shd w:val="clear" w:color="auto" w:fill="FFFFFF"/>
        </w:rPr>
        <w:t xml:space="preserve">Deloitte. (2025) Foreign currency cash flow hedges. [Online]. Available at: </w:t>
      </w:r>
      <w:hyperlink r:id="rId30" w:history="1">
        <w:r w:rsidRPr="00D86F4E">
          <w:rPr>
            <w:rStyle w:val="Hyperlink"/>
            <w:rFonts w:cs="Arial"/>
            <w:color w:val="auto"/>
            <w:szCs w:val="24"/>
            <w:shd w:val="clear" w:color="auto" w:fill="FFFFFF"/>
          </w:rPr>
          <w:t>https://dart.deloitte.com/USDART/home/codification/broad-transactions/asc815-10/hedge-accounting/chapter-5-foreign-currency-hedges/5-3-foreign-currency-cash-flow</w:t>
        </w:r>
      </w:hyperlink>
      <w:r w:rsidRPr="00D86F4E">
        <w:rPr>
          <w:rFonts w:cs="Arial"/>
          <w:szCs w:val="24"/>
          <w:shd w:val="clear" w:color="auto" w:fill="FFFFFF"/>
        </w:rPr>
        <w:t xml:space="preserve"> [Accessed on: 26.11.2025]. </w:t>
      </w:r>
    </w:p>
    <w:p w14:paraId="01CEB75C" w14:textId="77777777" w:rsidR="00C66041" w:rsidRDefault="00C66041" w:rsidP="006917B9">
      <w:r>
        <w:t xml:space="preserve">Experian. (2025) Long-term loans. [Online]. Available at: </w:t>
      </w:r>
      <w:hyperlink r:id="rId31" w:history="1">
        <w:r w:rsidRPr="003E2233">
          <w:rPr>
            <w:rStyle w:val="Hyperlink"/>
          </w:rPr>
          <w:t>https://www.experian.co.uk/consumer/loans/types/long-term-loans.html</w:t>
        </w:r>
      </w:hyperlink>
      <w:r>
        <w:t xml:space="preserve"> [Accessed on: 26.11.2025]. </w:t>
      </w:r>
    </w:p>
    <w:p w14:paraId="725CF293" w14:textId="77777777" w:rsidR="00C66041" w:rsidRPr="00D86F4E" w:rsidRDefault="00C66041" w:rsidP="00C66041">
      <w:pPr>
        <w:rPr>
          <w:rFonts w:cs="Arial"/>
          <w:szCs w:val="24"/>
          <w:shd w:val="clear" w:color="auto" w:fill="FFFFFF"/>
        </w:rPr>
      </w:pPr>
      <w:proofErr w:type="spellStart"/>
      <w:r w:rsidRPr="00D86F4E">
        <w:rPr>
          <w:rFonts w:cs="Arial"/>
          <w:szCs w:val="24"/>
          <w:shd w:val="clear" w:color="auto" w:fill="FFFFFF"/>
        </w:rPr>
        <w:t>Gnap</w:t>
      </w:r>
      <w:proofErr w:type="spellEnd"/>
      <w:r w:rsidRPr="00D86F4E">
        <w:rPr>
          <w:rFonts w:cs="Arial"/>
          <w:szCs w:val="24"/>
          <w:shd w:val="clear" w:color="auto" w:fill="FFFFFF"/>
        </w:rPr>
        <w:t>, M. and Pitera, R. (2023) The relevance of using cash flows and economic profit-based methods in capital budgeting: a focus on techniques–FCFF, FCFE and EVA. </w:t>
      </w:r>
      <w:proofErr w:type="spellStart"/>
      <w:r w:rsidRPr="00D86F4E">
        <w:rPr>
          <w:rFonts w:cs="Arial"/>
          <w:i/>
          <w:iCs/>
          <w:szCs w:val="24"/>
          <w:shd w:val="clear" w:color="auto" w:fill="FFFFFF"/>
        </w:rPr>
        <w:t>Zeszyty</w:t>
      </w:r>
      <w:proofErr w:type="spellEnd"/>
      <w:r w:rsidRPr="00D86F4E">
        <w:rPr>
          <w:rFonts w:cs="Arial"/>
          <w:i/>
          <w:iCs/>
          <w:szCs w:val="24"/>
          <w:shd w:val="clear" w:color="auto" w:fill="FFFFFF"/>
        </w:rPr>
        <w:t xml:space="preserve"> </w:t>
      </w:r>
      <w:proofErr w:type="spellStart"/>
      <w:r w:rsidRPr="00D86F4E">
        <w:rPr>
          <w:rFonts w:cs="Arial"/>
          <w:i/>
          <w:iCs/>
          <w:szCs w:val="24"/>
          <w:shd w:val="clear" w:color="auto" w:fill="FFFFFF"/>
        </w:rPr>
        <w:t>Naukowe</w:t>
      </w:r>
      <w:proofErr w:type="spellEnd"/>
      <w:r w:rsidRPr="00D86F4E">
        <w:rPr>
          <w:rFonts w:cs="Arial"/>
          <w:i/>
          <w:iCs/>
          <w:szCs w:val="24"/>
          <w:shd w:val="clear" w:color="auto" w:fill="FFFFFF"/>
        </w:rPr>
        <w:t xml:space="preserve">. Organizacja </w:t>
      </w:r>
      <w:proofErr w:type="spellStart"/>
      <w:r w:rsidRPr="00D86F4E">
        <w:rPr>
          <w:rFonts w:cs="Arial"/>
          <w:i/>
          <w:iCs/>
          <w:szCs w:val="24"/>
          <w:shd w:val="clear" w:color="auto" w:fill="FFFFFF"/>
        </w:rPr>
        <w:t>i</w:t>
      </w:r>
      <w:proofErr w:type="spellEnd"/>
      <w:r w:rsidRPr="00D86F4E">
        <w:rPr>
          <w:rFonts w:cs="Arial"/>
          <w:i/>
          <w:iCs/>
          <w:szCs w:val="24"/>
          <w:shd w:val="clear" w:color="auto" w:fill="FFFFFF"/>
        </w:rPr>
        <w:t xml:space="preserve"> </w:t>
      </w:r>
      <w:proofErr w:type="spellStart"/>
      <w:r w:rsidRPr="00D86F4E">
        <w:rPr>
          <w:rFonts w:cs="Arial"/>
          <w:i/>
          <w:iCs/>
          <w:szCs w:val="24"/>
          <w:shd w:val="clear" w:color="auto" w:fill="FFFFFF"/>
        </w:rPr>
        <w:t>Zarządzanie</w:t>
      </w:r>
      <w:proofErr w:type="spellEnd"/>
      <w:r w:rsidRPr="00D86F4E">
        <w:rPr>
          <w:rFonts w:cs="Arial"/>
          <w:i/>
          <w:iCs/>
          <w:szCs w:val="24"/>
          <w:shd w:val="clear" w:color="auto" w:fill="FFFFFF"/>
        </w:rPr>
        <w:t>/</w:t>
      </w:r>
      <w:proofErr w:type="spellStart"/>
      <w:r w:rsidRPr="00D86F4E">
        <w:rPr>
          <w:rFonts w:cs="Arial"/>
          <w:i/>
          <w:iCs/>
          <w:szCs w:val="24"/>
          <w:shd w:val="clear" w:color="auto" w:fill="FFFFFF"/>
        </w:rPr>
        <w:t>Politechnika</w:t>
      </w:r>
      <w:proofErr w:type="spellEnd"/>
      <w:r w:rsidRPr="00D86F4E">
        <w:rPr>
          <w:rFonts w:cs="Arial"/>
          <w:i/>
          <w:iCs/>
          <w:szCs w:val="24"/>
          <w:shd w:val="clear" w:color="auto" w:fill="FFFFFF"/>
        </w:rPr>
        <w:t xml:space="preserve"> Śląska</w:t>
      </w:r>
      <w:r w:rsidRPr="00D86F4E">
        <w:rPr>
          <w:rFonts w:cs="Arial"/>
          <w:szCs w:val="24"/>
          <w:shd w:val="clear" w:color="auto" w:fill="FFFFFF"/>
        </w:rPr>
        <w:t>, (172), pp.219-238.</w:t>
      </w:r>
    </w:p>
    <w:p w14:paraId="72D2ED69" w14:textId="77777777" w:rsidR="00C66041" w:rsidRDefault="00C66041" w:rsidP="006917B9">
      <w:pPr>
        <w:rPr>
          <w:lang w:val="en-IN"/>
        </w:rPr>
      </w:pPr>
      <w:r>
        <w:rPr>
          <w:lang w:val="en-IN"/>
        </w:rPr>
        <w:t xml:space="preserve">Gurung, M. (2024) </w:t>
      </w:r>
      <w:r w:rsidRPr="00865BC9">
        <w:rPr>
          <w:lang w:val="en-IN"/>
        </w:rPr>
        <w:t>Altman Z-Score: Definition, Calculation, Key Ratios, Interpretation &amp; More</w:t>
      </w:r>
      <w:r>
        <w:rPr>
          <w:lang w:val="en-IN"/>
        </w:rPr>
        <w:t xml:space="preserve">. [Online]. Available at: </w:t>
      </w:r>
      <w:hyperlink r:id="rId32" w:history="1">
        <w:r w:rsidRPr="003E2233">
          <w:rPr>
            <w:rStyle w:val="Hyperlink"/>
            <w:lang w:val="en-IN"/>
          </w:rPr>
          <w:t>https://www.investing.com/academy/analysis/altman-z-score-definition/</w:t>
        </w:r>
      </w:hyperlink>
      <w:r>
        <w:rPr>
          <w:lang w:val="en-IN"/>
        </w:rPr>
        <w:t xml:space="preserve"> [Accessed on: 26.11.2025]. </w:t>
      </w:r>
    </w:p>
    <w:p w14:paraId="20EAB73A" w14:textId="77777777" w:rsidR="00C66041" w:rsidRDefault="00C66041" w:rsidP="006917B9">
      <w:pPr>
        <w:rPr>
          <w:lang w:val="en-IN"/>
        </w:rPr>
      </w:pPr>
      <w:r>
        <w:rPr>
          <w:lang w:val="en-IN"/>
        </w:rPr>
        <w:t xml:space="preserve">Gurung, M. (2024) </w:t>
      </w:r>
      <w:r w:rsidRPr="001F2437">
        <w:rPr>
          <w:lang w:val="en-IN"/>
        </w:rPr>
        <w:t>Operating Cash Flow Margin (OCFM): What Is It, Calculation &amp; Importance</w:t>
      </w:r>
      <w:r>
        <w:rPr>
          <w:lang w:val="en-IN"/>
        </w:rPr>
        <w:t xml:space="preserve">. [Online]. Available at: </w:t>
      </w:r>
      <w:hyperlink r:id="rId33" w:history="1">
        <w:r w:rsidRPr="00AB15E4">
          <w:rPr>
            <w:rStyle w:val="Hyperlink"/>
            <w:lang w:val="en-IN"/>
          </w:rPr>
          <w:t>https://www.investing.com/academy/analysis/operating-cash-flow-margin-definition/</w:t>
        </w:r>
      </w:hyperlink>
      <w:r>
        <w:rPr>
          <w:lang w:val="en-IN"/>
        </w:rPr>
        <w:t xml:space="preserve"> [Accessed on: 26.11.2025]. </w:t>
      </w:r>
    </w:p>
    <w:p w14:paraId="6783FD11" w14:textId="77777777" w:rsidR="00C66041" w:rsidRDefault="00C66041" w:rsidP="006917B9">
      <w:pPr>
        <w:rPr>
          <w:shd w:val="clear" w:color="auto" w:fill="FFFFFF"/>
        </w:rPr>
      </w:pPr>
      <w:proofErr w:type="spellStart"/>
      <w:r>
        <w:rPr>
          <w:shd w:val="clear" w:color="auto" w:fill="FFFFFF"/>
        </w:rPr>
        <w:lastRenderedPageBreak/>
        <w:t>Heliani</w:t>
      </w:r>
      <w:proofErr w:type="spellEnd"/>
      <w:r>
        <w:rPr>
          <w:shd w:val="clear" w:color="auto" w:fill="FFFFFF"/>
        </w:rPr>
        <w:t xml:space="preserve">, E.M., Fadhilah, S.H. and </w:t>
      </w:r>
      <w:proofErr w:type="spellStart"/>
      <w:r>
        <w:rPr>
          <w:shd w:val="clear" w:color="auto" w:fill="FFFFFF"/>
        </w:rPr>
        <w:t>Gumelar</w:t>
      </w:r>
      <w:proofErr w:type="spellEnd"/>
      <w:r>
        <w:rPr>
          <w:shd w:val="clear" w:color="auto" w:fill="FFFFFF"/>
        </w:rPr>
        <w:t xml:space="preserve">, T.M. (2023) Analysis of the Effect of </w:t>
      </w:r>
      <w:proofErr w:type="gramStart"/>
      <w:r>
        <w:rPr>
          <w:shd w:val="clear" w:color="auto" w:fill="FFFFFF"/>
        </w:rPr>
        <w:t>debt to equity</w:t>
      </w:r>
      <w:proofErr w:type="gramEnd"/>
      <w:r>
        <w:rPr>
          <w:shd w:val="clear" w:color="auto" w:fill="FFFFFF"/>
        </w:rPr>
        <w:t xml:space="preserve"> ratio, current ratio, total asset turnover, net profit margin &amp; gross profit margin on profit growth. </w:t>
      </w:r>
      <w:r>
        <w:rPr>
          <w:i/>
          <w:iCs/>
          <w:shd w:val="clear" w:color="auto" w:fill="FFFFFF"/>
        </w:rPr>
        <w:t>Adv. Econ. Bus. Manag. Res</w:t>
      </w:r>
      <w:r>
        <w:rPr>
          <w:shd w:val="clear" w:color="auto" w:fill="FFFFFF"/>
        </w:rPr>
        <w:t>, </w:t>
      </w:r>
      <w:r>
        <w:rPr>
          <w:i/>
          <w:iCs/>
          <w:shd w:val="clear" w:color="auto" w:fill="FFFFFF"/>
        </w:rPr>
        <w:t>2</w:t>
      </w:r>
      <w:r>
        <w:rPr>
          <w:shd w:val="clear" w:color="auto" w:fill="FFFFFF"/>
        </w:rPr>
        <w:t>(4), pp.34-47.</w:t>
      </w:r>
    </w:p>
    <w:p w14:paraId="4D905C94" w14:textId="77777777" w:rsidR="00C66041" w:rsidRPr="00D86F4E" w:rsidRDefault="00C66041" w:rsidP="00C66041">
      <w:pPr>
        <w:rPr>
          <w:rFonts w:cs="Arial"/>
          <w:szCs w:val="24"/>
          <w:shd w:val="clear" w:color="auto" w:fill="FFFFFF"/>
        </w:rPr>
      </w:pPr>
      <w:proofErr w:type="spellStart"/>
      <w:r w:rsidRPr="00D86F4E">
        <w:rPr>
          <w:rFonts w:cs="Arial"/>
          <w:szCs w:val="24"/>
          <w:shd w:val="clear" w:color="auto" w:fill="FFFFFF"/>
        </w:rPr>
        <w:t>Jerab</w:t>
      </w:r>
      <w:proofErr w:type="spellEnd"/>
      <w:r w:rsidRPr="00D86F4E">
        <w:rPr>
          <w:rFonts w:cs="Arial"/>
          <w:szCs w:val="24"/>
          <w:shd w:val="clear" w:color="auto" w:fill="FFFFFF"/>
        </w:rPr>
        <w:t>, D. and Mabrouk, T. (2023) Strategies for effective organizational restructuring: A comprehensive guide. </w:t>
      </w:r>
      <w:r w:rsidRPr="00D86F4E">
        <w:rPr>
          <w:rFonts w:cs="Arial"/>
          <w:i/>
          <w:iCs/>
          <w:szCs w:val="24"/>
          <w:shd w:val="clear" w:color="auto" w:fill="FFFFFF"/>
        </w:rPr>
        <w:t>Available at SSRN 4584665</w:t>
      </w:r>
      <w:r w:rsidRPr="00D86F4E">
        <w:rPr>
          <w:rFonts w:cs="Arial"/>
          <w:szCs w:val="24"/>
          <w:shd w:val="clear" w:color="auto" w:fill="FFFFFF"/>
        </w:rPr>
        <w:t>.</w:t>
      </w:r>
    </w:p>
    <w:p w14:paraId="363C66B8" w14:textId="77777777" w:rsidR="00C66041" w:rsidRPr="00D86F4E" w:rsidRDefault="00C66041" w:rsidP="00C66041">
      <w:pPr>
        <w:rPr>
          <w:rFonts w:cs="Arial"/>
          <w:szCs w:val="24"/>
          <w:shd w:val="clear" w:color="auto" w:fill="FFFFFF"/>
        </w:rPr>
      </w:pPr>
      <w:r w:rsidRPr="00D86F4E">
        <w:rPr>
          <w:rFonts w:cs="Arial"/>
          <w:szCs w:val="24"/>
          <w:shd w:val="clear" w:color="auto" w:fill="FFFFFF"/>
        </w:rPr>
        <w:t>Jiang, J., Liu, B. and Yang, J. (2019) The impact of debt restructuring on firm investment: Evidence from China. </w:t>
      </w:r>
      <w:r w:rsidRPr="00D86F4E">
        <w:rPr>
          <w:rFonts w:cs="Arial"/>
          <w:i/>
          <w:iCs/>
          <w:szCs w:val="24"/>
          <w:shd w:val="clear" w:color="auto" w:fill="FFFFFF"/>
        </w:rPr>
        <w:t>Economic Modelling</w:t>
      </w:r>
      <w:r w:rsidRPr="00D86F4E">
        <w:rPr>
          <w:rFonts w:cs="Arial"/>
          <w:szCs w:val="24"/>
          <w:shd w:val="clear" w:color="auto" w:fill="FFFFFF"/>
        </w:rPr>
        <w:t>, </w:t>
      </w:r>
      <w:r w:rsidRPr="00D86F4E">
        <w:rPr>
          <w:rFonts w:cs="Arial"/>
          <w:i/>
          <w:iCs/>
          <w:szCs w:val="24"/>
          <w:shd w:val="clear" w:color="auto" w:fill="FFFFFF"/>
        </w:rPr>
        <w:t>81</w:t>
      </w:r>
      <w:r w:rsidRPr="00D86F4E">
        <w:rPr>
          <w:rFonts w:cs="Arial"/>
          <w:szCs w:val="24"/>
          <w:shd w:val="clear" w:color="auto" w:fill="FFFFFF"/>
        </w:rPr>
        <w:t>, pp.325-337.</w:t>
      </w:r>
    </w:p>
    <w:p w14:paraId="463D6939" w14:textId="77777777" w:rsidR="00C66041" w:rsidRPr="00D86F4E" w:rsidRDefault="00C66041" w:rsidP="00C66041">
      <w:pPr>
        <w:rPr>
          <w:rFonts w:cs="Arial"/>
          <w:szCs w:val="24"/>
          <w:shd w:val="clear" w:color="auto" w:fill="FFFFFF"/>
        </w:rPr>
      </w:pPr>
      <w:proofErr w:type="spellStart"/>
      <w:r w:rsidRPr="00D86F4E">
        <w:rPr>
          <w:rFonts w:cs="Arial"/>
          <w:szCs w:val="24"/>
          <w:shd w:val="clear" w:color="auto" w:fill="FFFFFF"/>
        </w:rPr>
        <w:t>Kengatharan</w:t>
      </w:r>
      <w:proofErr w:type="spellEnd"/>
      <w:r w:rsidRPr="00D86F4E">
        <w:rPr>
          <w:rFonts w:cs="Arial"/>
          <w:szCs w:val="24"/>
          <w:shd w:val="clear" w:color="auto" w:fill="FFFFFF"/>
        </w:rPr>
        <w:t>, L. (2018) Capital Budgeting Theory and Practice: A review and agenda for future research. </w:t>
      </w:r>
      <w:r w:rsidRPr="00D86F4E">
        <w:rPr>
          <w:rFonts w:cs="Arial"/>
          <w:i/>
          <w:iCs/>
          <w:szCs w:val="24"/>
          <w:shd w:val="clear" w:color="auto" w:fill="FFFFFF"/>
        </w:rPr>
        <w:t>American Journal of economics and business management</w:t>
      </w:r>
      <w:r w:rsidRPr="00D86F4E">
        <w:rPr>
          <w:rFonts w:cs="Arial"/>
          <w:szCs w:val="24"/>
          <w:shd w:val="clear" w:color="auto" w:fill="FFFFFF"/>
        </w:rPr>
        <w:t>, </w:t>
      </w:r>
      <w:r w:rsidRPr="00D86F4E">
        <w:rPr>
          <w:rFonts w:cs="Arial"/>
          <w:i/>
          <w:iCs/>
          <w:szCs w:val="24"/>
          <w:shd w:val="clear" w:color="auto" w:fill="FFFFFF"/>
        </w:rPr>
        <w:t>1</w:t>
      </w:r>
      <w:r w:rsidRPr="00D86F4E">
        <w:rPr>
          <w:rFonts w:cs="Arial"/>
          <w:szCs w:val="24"/>
          <w:shd w:val="clear" w:color="auto" w:fill="FFFFFF"/>
        </w:rPr>
        <w:t>(1), pp.20-53.</w:t>
      </w:r>
    </w:p>
    <w:p w14:paraId="3CFA9B61" w14:textId="77777777" w:rsidR="00C66041" w:rsidRPr="00D86F4E" w:rsidRDefault="00C66041" w:rsidP="00C66041">
      <w:pPr>
        <w:rPr>
          <w:rFonts w:cs="Arial"/>
          <w:szCs w:val="24"/>
          <w:shd w:val="clear" w:color="auto" w:fill="FFFFFF"/>
        </w:rPr>
      </w:pPr>
      <w:proofErr w:type="spellStart"/>
      <w:r w:rsidRPr="00D86F4E">
        <w:rPr>
          <w:rFonts w:cs="Arial"/>
          <w:szCs w:val="24"/>
          <w:shd w:val="clear" w:color="auto" w:fill="FFFFFF"/>
        </w:rPr>
        <w:t>Malapur</w:t>
      </w:r>
      <w:proofErr w:type="spellEnd"/>
      <w:r w:rsidRPr="00D86F4E">
        <w:rPr>
          <w:rFonts w:cs="Arial"/>
          <w:szCs w:val="24"/>
          <w:shd w:val="clear" w:color="auto" w:fill="FFFFFF"/>
        </w:rPr>
        <w:t xml:space="preserve">, S.K.S. (2024) Corporate Social Responsibility Integration </w:t>
      </w:r>
      <w:proofErr w:type="gramStart"/>
      <w:r w:rsidRPr="00D86F4E">
        <w:rPr>
          <w:rFonts w:cs="Arial"/>
          <w:szCs w:val="24"/>
          <w:shd w:val="clear" w:color="auto" w:fill="FFFFFF"/>
        </w:rPr>
        <w:t>In</w:t>
      </w:r>
      <w:proofErr w:type="gramEnd"/>
      <w:r w:rsidRPr="00D86F4E">
        <w:rPr>
          <w:rFonts w:cs="Arial"/>
          <w:szCs w:val="24"/>
          <w:shd w:val="clear" w:color="auto" w:fill="FFFFFF"/>
        </w:rPr>
        <w:t xml:space="preserve"> Corporate Restructuring: A Pathway </w:t>
      </w:r>
      <w:proofErr w:type="gramStart"/>
      <w:r w:rsidRPr="00D86F4E">
        <w:rPr>
          <w:rFonts w:cs="Arial"/>
          <w:szCs w:val="24"/>
          <w:shd w:val="clear" w:color="auto" w:fill="FFFFFF"/>
        </w:rPr>
        <w:t>To</w:t>
      </w:r>
      <w:proofErr w:type="gramEnd"/>
      <w:r w:rsidRPr="00D86F4E">
        <w:rPr>
          <w:rFonts w:cs="Arial"/>
          <w:szCs w:val="24"/>
          <w:shd w:val="clear" w:color="auto" w:fill="FFFFFF"/>
        </w:rPr>
        <w:t xml:space="preserve"> Sustainable Growth. </w:t>
      </w:r>
      <w:r w:rsidRPr="00D86F4E">
        <w:rPr>
          <w:rFonts w:cs="Arial"/>
          <w:i/>
          <w:iCs/>
          <w:szCs w:val="24"/>
          <w:shd w:val="clear" w:color="auto" w:fill="FFFFFF"/>
        </w:rPr>
        <w:t>IOSR Journal of Business and Management (IOSR-JBM), 26</w:t>
      </w:r>
      <w:r w:rsidRPr="00D86F4E">
        <w:rPr>
          <w:rFonts w:cs="Arial"/>
          <w:szCs w:val="24"/>
          <w:shd w:val="clear" w:color="auto" w:fill="FFFFFF"/>
        </w:rPr>
        <w:t xml:space="preserve">(03), pp. 33-42. </w:t>
      </w:r>
    </w:p>
    <w:p w14:paraId="7527B2C0" w14:textId="77777777" w:rsidR="00C66041" w:rsidRPr="00C66041" w:rsidRDefault="00C66041" w:rsidP="006917B9">
      <w:pPr>
        <w:rPr>
          <w:rFonts w:cs="Arial"/>
          <w:szCs w:val="24"/>
          <w:shd w:val="clear" w:color="auto" w:fill="FFFFFF"/>
        </w:rPr>
      </w:pPr>
      <w:r w:rsidRPr="00D86F4E">
        <w:rPr>
          <w:rFonts w:cs="Arial"/>
          <w:szCs w:val="24"/>
          <w:shd w:val="clear" w:color="auto" w:fill="FFFFFF"/>
        </w:rPr>
        <w:t>Mellichamp, D.A. (2019) Profitability, risk, and investment in conceptual plant design: Optimizing key financial parameters rigorously using NPV%. </w:t>
      </w:r>
      <w:r w:rsidRPr="00D86F4E">
        <w:rPr>
          <w:rFonts w:cs="Arial"/>
          <w:i/>
          <w:iCs/>
          <w:szCs w:val="24"/>
          <w:shd w:val="clear" w:color="auto" w:fill="FFFFFF"/>
        </w:rPr>
        <w:t>Computers &amp; Chemical Engineering</w:t>
      </w:r>
      <w:r w:rsidRPr="00D86F4E">
        <w:rPr>
          <w:rFonts w:cs="Arial"/>
          <w:szCs w:val="24"/>
          <w:shd w:val="clear" w:color="auto" w:fill="FFFFFF"/>
        </w:rPr>
        <w:t>, </w:t>
      </w:r>
      <w:r w:rsidRPr="00D86F4E">
        <w:rPr>
          <w:rFonts w:cs="Arial"/>
          <w:i/>
          <w:iCs/>
          <w:szCs w:val="24"/>
          <w:shd w:val="clear" w:color="auto" w:fill="FFFFFF"/>
        </w:rPr>
        <w:t>128</w:t>
      </w:r>
      <w:r w:rsidRPr="00D86F4E">
        <w:rPr>
          <w:rFonts w:cs="Arial"/>
          <w:szCs w:val="24"/>
          <w:shd w:val="clear" w:color="auto" w:fill="FFFFFF"/>
        </w:rPr>
        <w:t>, pp.450-467.</w:t>
      </w:r>
    </w:p>
    <w:p w14:paraId="0F0159C7" w14:textId="77777777" w:rsidR="00C66041" w:rsidRDefault="00C66041" w:rsidP="006917B9">
      <w:pPr>
        <w:rPr>
          <w:shd w:val="clear" w:color="auto" w:fill="FFFFFF"/>
        </w:rPr>
      </w:pPr>
      <w:proofErr w:type="spellStart"/>
      <w:r>
        <w:rPr>
          <w:shd w:val="clear" w:color="auto" w:fill="FFFFFF"/>
        </w:rPr>
        <w:t>Mudzakar</w:t>
      </w:r>
      <w:proofErr w:type="spellEnd"/>
      <w:r>
        <w:rPr>
          <w:shd w:val="clear" w:color="auto" w:fill="FFFFFF"/>
        </w:rPr>
        <w:t xml:space="preserve">, M.K. and </w:t>
      </w:r>
      <w:proofErr w:type="spellStart"/>
      <w:r>
        <w:rPr>
          <w:shd w:val="clear" w:color="auto" w:fill="FFFFFF"/>
        </w:rPr>
        <w:t>Wardanny</w:t>
      </w:r>
      <w:proofErr w:type="spellEnd"/>
      <w:r>
        <w:rPr>
          <w:shd w:val="clear" w:color="auto" w:fill="FFFFFF"/>
        </w:rPr>
        <w:t xml:space="preserve">, I.P. (2021) The effect of return on asset, return on equity, earning per share, and price </w:t>
      </w:r>
      <w:proofErr w:type="spellStart"/>
      <w:r>
        <w:rPr>
          <w:shd w:val="clear" w:color="auto" w:fill="FFFFFF"/>
        </w:rPr>
        <w:t>earning</w:t>
      </w:r>
      <w:proofErr w:type="spellEnd"/>
      <w:r>
        <w:rPr>
          <w:shd w:val="clear" w:color="auto" w:fill="FFFFFF"/>
        </w:rPr>
        <w:t xml:space="preserve"> ratio toward stock return (empirical study of transportation). </w:t>
      </w:r>
      <w:r>
        <w:rPr>
          <w:i/>
          <w:iCs/>
          <w:shd w:val="clear" w:color="auto" w:fill="FFFFFF"/>
        </w:rPr>
        <w:t>Turkish Journal of Computer and Mathematics Education</w:t>
      </w:r>
      <w:r>
        <w:rPr>
          <w:shd w:val="clear" w:color="auto" w:fill="FFFFFF"/>
        </w:rPr>
        <w:t>, </w:t>
      </w:r>
      <w:r>
        <w:rPr>
          <w:i/>
          <w:iCs/>
          <w:shd w:val="clear" w:color="auto" w:fill="FFFFFF"/>
        </w:rPr>
        <w:t>12</w:t>
      </w:r>
      <w:r>
        <w:rPr>
          <w:shd w:val="clear" w:color="auto" w:fill="FFFFFF"/>
        </w:rPr>
        <w:t>(8), pp.387-392.</w:t>
      </w:r>
    </w:p>
    <w:p w14:paraId="41DDDBAB" w14:textId="77777777" w:rsidR="00C66041" w:rsidRPr="00D86F4E" w:rsidRDefault="00C66041" w:rsidP="00C66041">
      <w:pPr>
        <w:rPr>
          <w:rFonts w:cs="Arial"/>
          <w:szCs w:val="24"/>
          <w:shd w:val="clear" w:color="auto" w:fill="FFFFFF"/>
        </w:rPr>
      </w:pPr>
      <w:r w:rsidRPr="00D86F4E">
        <w:rPr>
          <w:rFonts w:cs="Arial"/>
          <w:szCs w:val="24"/>
          <w:shd w:val="clear" w:color="auto" w:fill="FFFFFF"/>
        </w:rPr>
        <w:t>Paterson, S. (2017) Debt restructuring and notions of fairness. </w:t>
      </w:r>
      <w:r w:rsidRPr="00D86F4E">
        <w:rPr>
          <w:rFonts w:cs="Arial"/>
          <w:i/>
          <w:iCs/>
          <w:szCs w:val="24"/>
          <w:shd w:val="clear" w:color="auto" w:fill="FFFFFF"/>
        </w:rPr>
        <w:t>The Modern Law Review</w:t>
      </w:r>
      <w:r w:rsidRPr="00D86F4E">
        <w:rPr>
          <w:rFonts w:cs="Arial"/>
          <w:szCs w:val="24"/>
          <w:shd w:val="clear" w:color="auto" w:fill="FFFFFF"/>
        </w:rPr>
        <w:t>, </w:t>
      </w:r>
      <w:r w:rsidRPr="00D86F4E">
        <w:rPr>
          <w:rFonts w:cs="Arial"/>
          <w:i/>
          <w:iCs/>
          <w:szCs w:val="24"/>
          <w:shd w:val="clear" w:color="auto" w:fill="FFFFFF"/>
        </w:rPr>
        <w:t>80</w:t>
      </w:r>
      <w:r w:rsidRPr="00D86F4E">
        <w:rPr>
          <w:rFonts w:cs="Arial"/>
          <w:szCs w:val="24"/>
          <w:shd w:val="clear" w:color="auto" w:fill="FFFFFF"/>
        </w:rPr>
        <w:t>(4), pp.600-623.</w:t>
      </w:r>
    </w:p>
    <w:p w14:paraId="774107AF" w14:textId="77777777" w:rsidR="00C66041" w:rsidRPr="00D86F4E" w:rsidRDefault="00C66041" w:rsidP="00C66041">
      <w:pPr>
        <w:rPr>
          <w:rFonts w:cs="Arial"/>
          <w:szCs w:val="24"/>
          <w:shd w:val="clear" w:color="auto" w:fill="FFFFFF"/>
        </w:rPr>
      </w:pPr>
      <w:r w:rsidRPr="00D86F4E">
        <w:rPr>
          <w:rFonts w:cs="Arial"/>
          <w:szCs w:val="24"/>
          <w:shd w:val="clear" w:color="auto" w:fill="FFFFFF"/>
        </w:rPr>
        <w:t xml:space="preserve">Payne, D.M. and </w:t>
      </w:r>
      <w:proofErr w:type="spellStart"/>
      <w:r w:rsidRPr="00D86F4E">
        <w:rPr>
          <w:rFonts w:cs="Arial"/>
          <w:szCs w:val="24"/>
          <w:shd w:val="clear" w:color="auto" w:fill="FFFFFF"/>
        </w:rPr>
        <w:t>Raiborn</w:t>
      </w:r>
      <w:proofErr w:type="spellEnd"/>
      <w:r w:rsidRPr="00D86F4E">
        <w:rPr>
          <w:rFonts w:cs="Arial"/>
          <w:szCs w:val="24"/>
          <w:shd w:val="clear" w:color="auto" w:fill="FFFFFF"/>
        </w:rPr>
        <w:t>, C.A. (2018) Aggressive tax avoidance: A conundrum for stakeholders, governments, and morality. </w:t>
      </w:r>
      <w:r w:rsidRPr="00D86F4E">
        <w:rPr>
          <w:rFonts w:cs="Arial"/>
          <w:i/>
          <w:iCs/>
          <w:szCs w:val="24"/>
          <w:shd w:val="clear" w:color="auto" w:fill="FFFFFF"/>
        </w:rPr>
        <w:t>Journal of Business Ethics</w:t>
      </w:r>
      <w:r w:rsidRPr="00D86F4E">
        <w:rPr>
          <w:rFonts w:cs="Arial"/>
          <w:szCs w:val="24"/>
          <w:shd w:val="clear" w:color="auto" w:fill="FFFFFF"/>
        </w:rPr>
        <w:t>, </w:t>
      </w:r>
      <w:r w:rsidRPr="00D86F4E">
        <w:rPr>
          <w:rFonts w:cs="Arial"/>
          <w:i/>
          <w:iCs/>
          <w:szCs w:val="24"/>
          <w:shd w:val="clear" w:color="auto" w:fill="FFFFFF"/>
        </w:rPr>
        <w:t>147</w:t>
      </w:r>
      <w:r w:rsidRPr="00D86F4E">
        <w:rPr>
          <w:rFonts w:cs="Arial"/>
          <w:szCs w:val="24"/>
          <w:shd w:val="clear" w:color="auto" w:fill="FFFFFF"/>
        </w:rPr>
        <w:t>(3), pp.469-487.</w:t>
      </w:r>
    </w:p>
    <w:p w14:paraId="14D0B93E" w14:textId="77777777" w:rsidR="00C66041" w:rsidRPr="00D86F4E" w:rsidRDefault="00C66041" w:rsidP="00C66041">
      <w:pPr>
        <w:rPr>
          <w:rFonts w:cs="Arial"/>
          <w:szCs w:val="24"/>
          <w:shd w:val="clear" w:color="auto" w:fill="FFFFFF"/>
        </w:rPr>
      </w:pPr>
      <w:proofErr w:type="spellStart"/>
      <w:r w:rsidRPr="00D86F4E">
        <w:rPr>
          <w:rFonts w:cs="Arial"/>
          <w:szCs w:val="24"/>
          <w:shd w:val="clear" w:color="auto" w:fill="FFFFFF"/>
        </w:rPr>
        <w:t>Pivorienė</w:t>
      </w:r>
      <w:proofErr w:type="spellEnd"/>
      <w:r w:rsidRPr="00D86F4E">
        <w:rPr>
          <w:rFonts w:cs="Arial"/>
          <w:szCs w:val="24"/>
          <w:shd w:val="clear" w:color="auto" w:fill="FFFFFF"/>
        </w:rPr>
        <w:t>, A. (2017) Real options and discounted cash flow analysis to assess strategic investment projects. </w:t>
      </w:r>
      <w:r w:rsidRPr="00D86F4E">
        <w:rPr>
          <w:rFonts w:cs="Arial"/>
          <w:i/>
          <w:iCs/>
          <w:szCs w:val="24"/>
          <w:shd w:val="clear" w:color="auto" w:fill="FFFFFF"/>
        </w:rPr>
        <w:t>Economics and Business</w:t>
      </w:r>
      <w:r w:rsidRPr="00D86F4E">
        <w:rPr>
          <w:rFonts w:cs="Arial"/>
          <w:szCs w:val="24"/>
          <w:shd w:val="clear" w:color="auto" w:fill="FFFFFF"/>
        </w:rPr>
        <w:t>, </w:t>
      </w:r>
      <w:r w:rsidRPr="00D86F4E">
        <w:rPr>
          <w:rFonts w:cs="Arial"/>
          <w:i/>
          <w:iCs/>
          <w:szCs w:val="24"/>
          <w:shd w:val="clear" w:color="auto" w:fill="FFFFFF"/>
        </w:rPr>
        <w:t>30</w:t>
      </w:r>
      <w:r w:rsidRPr="00D86F4E">
        <w:rPr>
          <w:rFonts w:cs="Arial"/>
          <w:szCs w:val="24"/>
          <w:shd w:val="clear" w:color="auto" w:fill="FFFFFF"/>
        </w:rPr>
        <w:t>, pp.91-101.</w:t>
      </w:r>
    </w:p>
    <w:p w14:paraId="265F2BF5" w14:textId="77777777" w:rsidR="00C66041" w:rsidRPr="00D86F4E" w:rsidRDefault="00C66041" w:rsidP="00C66041">
      <w:pPr>
        <w:rPr>
          <w:rFonts w:cs="Arial"/>
          <w:szCs w:val="24"/>
          <w:shd w:val="clear" w:color="auto" w:fill="FFFFFF"/>
        </w:rPr>
      </w:pPr>
      <w:proofErr w:type="spellStart"/>
      <w:r w:rsidRPr="00D86F4E">
        <w:rPr>
          <w:rFonts w:cs="Arial"/>
          <w:szCs w:val="24"/>
          <w:shd w:val="clear" w:color="auto" w:fill="FFFFFF"/>
        </w:rPr>
        <w:lastRenderedPageBreak/>
        <w:t>Purnamasari</w:t>
      </w:r>
      <w:proofErr w:type="spellEnd"/>
      <w:r w:rsidRPr="00D86F4E">
        <w:rPr>
          <w:rFonts w:cs="Arial"/>
          <w:szCs w:val="24"/>
          <w:shd w:val="clear" w:color="auto" w:fill="FFFFFF"/>
        </w:rPr>
        <w:t xml:space="preserve">, P. and </w:t>
      </w:r>
      <w:proofErr w:type="spellStart"/>
      <w:r w:rsidRPr="00D86F4E">
        <w:rPr>
          <w:rFonts w:cs="Arial"/>
          <w:szCs w:val="24"/>
          <w:shd w:val="clear" w:color="auto" w:fill="FFFFFF"/>
        </w:rPr>
        <w:t>Adriza</w:t>
      </w:r>
      <w:proofErr w:type="spellEnd"/>
      <w:r w:rsidRPr="00D86F4E">
        <w:rPr>
          <w:rFonts w:cs="Arial"/>
          <w:szCs w:val="24"/>
          <w:shd w:val="clear" w:color="auto" w:fill="FFFFFF"/>
        </w:rPr>
        <w:t xml:space="preserve"> (2024) Capital budgeting techniques and financial performance: a comparison between SMEs and large listed firms. </w:t>
      </w:r>
      <w:r w:rsidRPr="00D86F4E">
        <w:rPr>
          <w:rFonts w:cs="Arial"/>
          <w:i/>
          <w:iCs/>
          <w:szCs w:val="24"/>
          <w:shd w:val="clear" w:color="auto" w:fill="FFFFFF"/>
        </w:rPr>
        <w:t>Cogent Economics &amp; Finance</w:t>
      </w:r>
      <w:r w:rsidRPr="00D86F4E">
        <w:rPr>
          <w:rFonts w:cs="Arial"/>
          <w:szCs w:val="24"/>
          <w:shd w:val="clear" w:color="auto" w:fill="FFFFFF"/>
        </w:rPr>
        <w:t>, </w:t>
      </w:r>
      <w:r w:rsidRPr="00D86F4E">
        <w:rPr>
          <w:rFonts w:cs="Arial"/>
          <w:i/>
          <w:iCs/>
          <w:szCs w:val="24"/>
          <w:shd w:val="clear" w:color="auto" w:fill="FFFFFF"/>
        </w:rPr>
        <w:t>12</w:t>
      </w:r>
      <w:r w:rsidRPr="00D86F4E">
        <w:rPr>
          <w:rFonts w:cs="Arial"/>
          <w:szCs w:val="24"/>
          <w:shd w:val="clear" w:color="auto" w:fill="FFFFFF"/>
        </w:rPr>
        <w:t>(1), p.2404707.</w:t>
      </w:r>
    </w:p>
    <w:p w14:paraId="2C2624D4" w14:textId="77777777" w:rsidR="00C66041" w:rsidRPr="00D86F4E" w:rsidRDefault="00C66041" w:rsidP="00C66041">
      <w:pPr>
        <w:rPr>
          <w:rFonts w:cs="Arial"/>
          <w:szCs w:val="24"/>
          <w:shd w:val="clear" w:color="auto" w:fill="FFFFFF"/>
        </w:rPr>
      </w:pPr>
      <w:bookmarkStart w:id="24" w:name="_Hlk215059278"/>
      <w:r w:rsidRPr="00D86F4E">
        <w:rPr>
          <w:rFonts w:cs="Arial"/>
          <w:szCs w:val="24"/>
          <w:shd w:val="clear" w:color="auto" w:fill="FFFFFF"/>
        </w:rPr>
        <w:t xml:space="preserve">Sam, </w:t>
      </w:r>
      <w:bookmarkEnd w:id="24"/>
      <w:r w:rsidRPr="00D86F4E">
        <w:rPr>
          <w:rFonts w:cs="Arial"/>
          <w:szCs w:val="24"/>
          <w:shd w:val="clear" w:color="auto" w:fill="FFFFFF"/>
        </w:rPr>
        <w:t>R. (2025) Reassessing the Discounted Cash Flow Model (DCFM): How the Potential Payback Period (PPP) Improves Applicability and Accuracy with a Time-Based Approach. </w:t>
      </w:r>
      <w:r w:rsidRPr="00D86F4E">
        <w:rPr>
          <w:rFonts w:cs="Arial"/>
          <w:i/>
          <w:iCs/>
          <w:szCs w:val="24"/>
          <w:shd w:val="clear" w:color="auto" w:fill="FFFFFF"/>
        </w:rPr>
        <w:t>Available at SSRN 5279126</w:t>
      </w:r>
      <w:r w:rsidRPr="00D86F4E">
        <w:rPr>
          <w:rFonts w:cs="Arial"/>
          <w:szCs w:val="24"/>
          <w:shd w:val="clear" w:color="auto" w:fill="FFFFFF"/>
        </w:rPr>
        <w:t>.</w:t>
      </w:r>
    </w:p>
    <w:p w14:paraId="4E5FB627" w14:textId="77777777" w:rsidR="00C66041" w:rsidRPr="00D86F4E" w:rsidRDefault="00C66041" w:rsidP="00C66041">
      <w:pPr>
        <w:rPr>
          <w:rFonts w:cs="Arial"/>
          <w:szCs w:val="24"/>
          <w:shd w:val="clear" w:color="auto" w:fill="FFFFFF"/>
        </w:rPr>
      </w:pPr>
      <w:bookmarkStart w:id="25" w:name="_Hlk215058437"/>
      <w:proofErr w:type="spellStart"/>
      <w:r w:rsidRPr="00D86F4E">
        <w:rPr>
          <w:rFonts w:cs="Arial"/>
          <w:szCs w:val="24"/>
          <w:shd w:val="clear" w:color="auto" w:fill="FFFFFF"/>
        </w:rPr>
        <w:t>Sinnawi</w:t>
      </w:r>
      <w:proofErr w:type="spellEnd"/>
      <w:r w:rsidRPr="00D86F4E">
        <w:rPr>
          <w:rFonts w:cs="Arial"/>
          <w:szCs w:val="24"/>
          <w:shd w:val="clear" w:color="auto" w:fill="FFFFFF"/>
        </w:rPr>
        <w:t xml:space="preserve">, </w:t>
      </w:r>
      <w:bookmarkEnd w:id="25"/>
      <w:r w:rsidRPr="00D86F4E">
        <w:rPr>
          <w:rFonts w:cs="Arial"/>
          <w:szCs w:val="24"/>
          <w:shd w:val="clear" w:color="auto" w:fill="FFFFFF"/>
        </w:rPr>
        <w:t>A.A.R. (2018) Merger of Companies and its Impact on Partners and Shareholders. </w:t>
      </w:r>
      <w:r w:rsidRPr="00D86F4E">
        <w:rPr>
          <w:rFonts w:cs="Arial"/>
          <w:i/>
          <w:iCs/>
          <w:szCs w:val="24"/>
          <w:shd w:val="clear" w:color="auto" w:fill="FFFFFF"/>
        </w:rPr>
        <w:t>European Journal of Social Sciences</w:t>
      </w:r>
      <w:r w:rsidRPr="00D86F4E">
        <w:rPr>
          <w:rFonts w:cs="Arial"/>
          <w:szCs w:val="24"/>
          <w:shd w:val="clear" w:color="auto" w:fill="FFFFFF"/>
        </w:rPr>
        <w:t>, </w:t>
      </w:r>
      <w:r w:rsidRPr="00D86F4E">
        <w:rPr>
          <w:rFonts w:cs="Arial"/>
          <w:i/>
          <w:iCs/>
          <w:szCs w:val="24"/>
          <w:shd w:val="clear" w:color="auto" w:fill="FFFFFF"/>
        </w:rPr>
        <w:t>57</w:t>
      </w:r>
      <w:r w:rsidRPr="00D86F4E">
        <w:rPr>
          <w:rFonts w:cs="Arial"/>
          <w:szCs w:val="24"/>
          <w:shd w:val="clear" w:color="auto" w:fill="FFFFFF"/>
        </w:rPr>
        <w:t>(1), pp.97-115.</w:t>
      </w:r>
    </w:p>
    <w:p w14:paraId="48DBC78A" w14:textId="77777777" w:rsidR="00C66041" w:rsidRDefault="00C66041" w:rsidP="006917B9">
      <w:r>
        <w:t xml:space="preserve">Tradewind. (2025) Export Bill Discounting. [Online]. Available at: </w:t>
      </w:r>
      <w:hyperlink r:id="rId34" w:history="1">
        <w:r w:rsidRPr="003E2233">
          <w:rPr>
            <w:rStyle w:val="Hyperlink"/>
          </w:rPr>
          <w:t>https://www.tradewindfinance.com/trade-finance/export-finance/export-bill-discounting/?gad_source=1&amp;gad_campaignid=21253297643&amp;gbraid=0AAAAAqnvD0YGOmVEvu__LHGgdvVKkGHMX&amp;gclid=Cj0KCQiAxJXJBhD_ARIsAH_JGjgbb2MtwgeH0f9aOaxPmZCeHuLjZK7Ij2hFOMY08U0bsGDVUFBIEioaAvb8EALw_wcB</w:t>
        </w:r>
      </w:hyperlink>
      <w:r>
        <w:t xml:space="preserve"> [Accessed on: 26.11.2025]. </w:t>
      </w:r>
    </w:p>
    <w:p w14:paraId="3282DD03" w14:textId="77777777" w:rsidR="00C66041" w:rsidRPr="00D86F4E" w:rsidRDefault="00C66041" w:rsidP="00C66041">
      <w:pPr>
        <w:rPr>
          <w:rFonts w:cs="Arial"/>
          <w:szCs w:val="24"/>
          <w:shd w:val="clear" w:color="auto" w:fill="FFFFFF"/>
        </w:rPr>
      </w:pPr>
      <w:bookmarkStart w:id="26" w:name="_Hlk215058403"/>
      <w:r w:rsidRPr="00D86F4E">
        <w:rPr>
          <w:rFonts w:cs="Arial"/>
          <w:szCs w:val="24"/>
          <w:shd w:val="clear" w:color="auto" w:fill="FFFFFF"/>
        </w:rPr>
        <w:t xml:space="preserve">Vidal, </w:t>
      </w:r>
      <w:bookmarkEnd w:id="26"/>
      <w:r w:rsidRPr="00D86F4E">
        <w:rPr>
          <w:rFonts w:cs="Arial"/>
          <w:szCs w:val="24"/>
          <w:shd w:val="clear" w:color="auto" w:fill="FFFFFF"/>
        </w:rPr>
        <w:t>E. (2021) Divestitures, value creation, and corporate scope. </w:t>
      </w:r>
      <w:r w:rsidRPr="00D86F4E">
        <w:rPr>
          <w:rFonts w:cs="Arial"/>
          <w:i/>
          <w:iCs/>
          <w:szCs w:val="24"/>
          <w:shd w:val="clear" w:color="auto" w:fill="FFFFFF"/>
        </w:rPr>
        <w:t>Strategic Management Review</w:t>
      </w:r>
      <w:r w:rsidRPr="00D86F4E">
        <w:rPr>
          <w:rFonts w:cs="Arial"/>
          <w:szCs w:val="24"/>
          <w:shd w:val="clear" w:color="auto" w:fill="FFFFFF"/>
        </w:rPr>
        <w:t>, </w:t>
      </w:r>
      <w:r w:rsidRPr="00D86F4E">
        <w:rPr>
          <w:rFonts w:cs="Arial"/>
          <w:i/>
          <w:iCs/>
          <w:szCs w:val="24"/>
          <w:shd w:val="clear" w:color="auto" w:fill="FFFFFF"/>
        </w:rPr>
        <w:t>2</w:t>
      </w:r>
      <w:r w:rsidRPr="00D86F4E">
        <w:rPr>
          <w:rFonts w:cs="Arial"/>
          <w:szCs w:val="24"/>
          <w:shd w:val="clear" w:color="auto" w:fill="FFFFFF"/>
        </w:rPr>
        <w:t>(2), pp.413-435.</w:t>
      </w:r>
    </w:p>
    <w:p w14:paraId="60E647FE" w14:textId="77777777" w:rsidR="007A4224" w:rsidRDefault="007A4224" w:rsidP="006917B9">
      <w:r>
        <w:br w:type="page"/>
      </w:r>
    </w:p>
    <w:p w14:paraId="49FABF51" w14:textId="0430666F" w:rsidR="00A35A1F" w:rsidRDefault="00696F4B" w:rsidP="006917B9">
      <w:pPr>
        <w:pStyle w:val="Heading1"/>
        <w:spacing w:after="240"/>
        <w:rPr>
          <w:lang w:val="en-IN"/>
        </w:rPr>
      </w:pPr>
      <w:bookmarkStart w:id="27" w:name="_Toc215057633"/>
      <w:r>
        <w:rPr>
          <w:lang w:val="en-IN"/>
        </w:rPr>
        <w:lastRenderedPageBreak/>
        <w:t>Appendix</w:t>
      </w:r>
      <w:bookmarkEnd w:id="27"/>
      <w:r>
        <w:rPr>
          <w:lang w:val="en-IN"/>
        </w:rPr>
        <w:t xml:space="preserve"> </w:t>
      </w:r>
    </w:p>
    <w:p w14:paraId="6E8BC378" w14:textId="5297BBEB" w:rsidR="00696F4B" w:rsidRDefault="00DA71B5" w:rsidP="006917B9">
      <w:pPr>
        <w:pStyle w:val="Heading2"/>
        <w:spacing w:before="240" w:after="240"/>
        <w:rPr>
          <w:lang w:val="en-IN"/>
        </w:rPr>
      </w:pPr>
      <w:bookmarkStart w:id="28" w:name="_Toc215057634"/>
      <w:r>
        <w:rPr>
          <w:lang w:val="en-IN"/>
        </w:rPr>
        <w:t>Ratios</w:t>
      </w:r>
      <w:bookmarkEnd w:id="28"/>
      <w:r>
        <w:rPr>
          <w:lang w:val="en-IN"/>
        </w:rPr>
        <w:t xml:space="preserve"> </w:t>
      </w:r>
    </w:p>
    <w:p w14:paraId="14A09513" w14:textId="14DC1688" w:rsidR="00CE6BC9" w:rsidRDefault="00BC563C" w:rsidP="006917B9">
      <w:pPr>
        <w:rPr>
          <w:lang w:val="en-IN"/>
        </w:rPr>
      </w:pPr>
      <w:r w:rsidRPr="00BC563C">
        <w:rPr>
          <w:noProof/>
          <w:lang w:val="en-IN"/>
        </w:rPr>
        <w:drawing>
          <wp:inline distT="0" distB="0" distL="0" distR="0" wp14:anchorId="5A5911FB" wp14:editId="3E81455B">
            <wp:extent cx="5731510" cy="1612265"/>
            <wp:effectExtent l="0" t="0" r="2540" b="6985"/>
            <wp:docPr id="1156282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282234" name=""/>
                    <pic:cNvPicPr/>
                  </pic:nvPicPr>
                  <pic:blipFill>
                    <a:blip r:embed="rId35"/>
                    <a:stretch>
                      <a:fillRect/>
                    </a:stretch>
                  </pic:blipFill>
                  <pic:spPr>
                    <a:xfrm>
                      <a:off x="0" y="0"/>
                      <a:ext cx="5731510" cy="1612265"/>
                    </a:xfrm>
                    <a:prstGeom prst="rect">
                      <a:avLst/>
                    </a:prstGeom>
                  </pic:spPr>
                </pic:pic>
              </a:graphicData>
            </a:graphic>
          </wp:inline>
        </w:drawing>
      </w:r>
    </w:p>
    <w:p w14:paraId="79302BF5" w14:textId="569EDBE4" w:rsidR="00BC563C" w:rsidRDefault="00BC563C" w:rsidP="006917B9">
      <w:pPr>
        <w:rPr>
          <w:lang w:val="en-IN"/>
        </w:rPr>
      </w:pPr>
      <w:r w:rsidRPr="00BC563C">
        <w:rPr>
          <w:noProof/>
          <w:lang w:val="en-IN"/>
        </w:rPr>
        <w:drawing>
          <wp:inline distT="0" distB="0" distL="0" distR="0" wp14:anchorId="2766A8B9" wp14:editId="72704F58">
            <wp:extent cx="5731510" cy="1792605"/>
            <wp:effectExtent l="0" t="0" r="2540" b="0"/>
            <wp:docPr id="393931161"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931161" name="Picture 1" descr="A table with numbers and text&#10;&#10;AI-generated content may be incorrect."/>
                    <pic:cNvPicPr/>
                  </pic:nvPicPr>
                  <pic:blipFill>
                    <a:blip r:embed="rId36"/>
                    <a:stretch>
                      <a:fillRect/>
                    </a:stretch>
                  </pic:blipFill>
                  <pic:spPr>
                    <a:xfrm>
                      <a:off x="0" y="0"/>
                      <a:ext cx="5731510" cy="1792605"/>
                    </a:xfrm>
                    <a:prstGeom prst="rect">
                      <a:avLst/>
                    </a:prstGeom>
                  </pic:spPr>
                </pic:pic>
              </a:graphicData>
            </a:graphic>
          </wp:inline>
        </w:drawing>
      </w:r>
    </w:p>
    <w:p w14:paraId="0B96E7FA" w14:textId="3E039004" w:rsidR="00BC563C" w:rsidRDefault="00BC563C" w:rsidP="006917B9">
      <w:pPr>
        <w:rPr>
          <w:lang w:val="en-IN"/>
        </w:rPr>
      </w:pPr>
      <w:r w:rsidRPr="00BC563C">
        <w:rPr>
          <w:noProof/>
          <w:lang w:val="en-IN"/>
        </w:rPr>
        <w:drawing>
          <wp:inline distT="0" distB="0" distL="0" distR="0" wp14:anchorId="29B8BBF3" wp14:editId="1FCD6310">
            <wp:extent cx="5731510" cy="1452880"/>
            <wp:effectExtent l="0" t="0" r="2540" b="0"/>
            <wp:docPr id="479955692" name="Picture 1" descr="A table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55692" name="Picture 1" descr="A table with numbers and numbers&#10;&#10;AI-generated content may be incorrect."/>
                    <pic:cNvPicPr/>
                  </pic:nvPicPr>
                  <pic:blipFill>
                    <a:blip r:embed="rId37"/>
                    <a:stretch>
                      <a:fillRect/>
                    </a:stretch>
                  </pic:blipFill>
                  <pic:spPr>
                    <a:xfrm>
                      <a:off x="0" y="0"/>
                      <a:ext cx="5731510" cy="1452880"/>
                    </a:xfrm>
                    <a:prstGeom prst="rect">
                      <a:avLst/>
                    </a:prstGeom>
                  </pic:spPr>
                </pic:pic>
              </a:graphicData>
            </a:graphic>
          </wp:inline>
        </w:drawing>
      </w:r>
    </w:p>
    <w:p w14:paraId="0C274042" w14:textId="1CF21000" w:rsidR="00BC563C" w:rsidRDefault="00BC563C" w:rsidP="006917B9">
      <w:pPr>
        <w:rPr>
          <w:lang w:val="en-IN"/>
        </w:rPr>
      </w:pPr>
      <w:r w:rsidRPr="00BC563C">
        <w:rPr>
          <w:noProof/>
          <w:lang w:val="en-IN"/>
        </w:rPr>
        <w:drawing>
          <wp:inline distT="0" distB="0" distL="0" distR="0" wp14:anchorId="0D5C922A" wp14:editId="66F6FD60">
            <wp:extent cx="5731510" cy="1539875"/>
            <wp:effectExtent l="0" t="0" r="2540" b="3175"/>
            <wp:docPr id="211903456"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03456" name="Picture 1" descr="A table with numbers and symbols&#10;&#10;AI-generated content may be incorrect."/>
                    <pic:cNvPicPr/>
                  </pic:nvPicPr>
                  <pic:blipFill>
                    <a:blip r:embed="rId38"/>
                    <a:stretch>
                      <a:fillRect/>
                    </a:stretch>
                  </pic:blipFill>
                  <pic:spPr>
                    <a:xfrm>
                      <a:off x="0" y="0"/>
                      <a:ext cx="5731510" cy="1539875"/>
                    </a:xfrm>
                    <a:prstGeom prst="rect">
                      <a:avLst/>
                    </a:prstGeom>
                  </pic:spPr>
                </pic:pic>
              </a:graphicData>
            </a:graphic>
          </wp:inline>
        </w:drawing>
      </w:r>
    </w:p>
    <w:p w14:paraId="65C0A38A" w14:textId="5448B0AE" w:rsidR="00BC563C" w:rsidRDefault="00BC563C" w:rsidP="006917B9">
      <w:pPr>
        <w:rPr>
          <w:lang w:val="en-IN"/>
        </w:rPr>
      </w:pPr>
      <w:r w:rsidRPr="00BC563C">
        <w:rPr>
          <w:noProof/>
          <w:lang w:val="en-IN"/>
        </w:rPr>
        <w:lastRenderedPageBreak/>
        <w:drawing>
          <wp:inline distT="0" distB="0" distL="0" distR="0" wp14:anchorId="03AEF27C" wp14:editId="1EA8E549">
            <wp:extent cx="5731510" cy="1314450"/>
            <wp:effectExtent l="0" t="0" r="2540" b="0"/>
            <wp:docPr id="4370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0011" name=""/>
                    <pic:cNvPicPr/>
                  </pic:nvPicPr>
                  <pic:blipFill>
                    <a:blip r:embed="rId39"/>
                    <a:stretch>
                      <a:fillRect/>
                    </a:stretch>
                  </pic:blipFill>
                  <pic:spPr>
                    <a:xfrm>
                      <a:off x="0" y="0"/>
                      <a:ext cx="5731510" cy="1314450"/>
                    </a:xfrm>
                    <a:prstGeom prst="rect">
                      <a:avLst/>
                    </a:prstGeom>
                  </pic:spPr>
                </pic:pic>
              </a:graphicData>
            </a:graphic>
          </wp:inline>
        </w:drawing>
      </w:r>
    </w:p>
    <w:p w14:paraId="6A07F40A" w14:textId="74A886F1" w:rsidR="00BC563C" w:rsidRDefault="00BC563C" w:rsidP="006917B9">
      <w:pPr>
        <w:rPr>
          <w:lang w:val="en-IN"/>
        </w:rPr>
      </w:pPr>
      <w:r w:rsidRPr="00BC563C">
        <w:rPr>
          <w:noProof/>
          <w:lang w:val="en-IN"/>
        </w:rPr>
        <w:drawing>
          <wp:inline distT="0" distB="0" distL="0" distR="0" wp14:anchorId="004DAF6F" wp14:editId="0382D771">
            <wp:extent cx="5731510" cy="1488440"/>
            <wp:effectExtent l="0" t="0" r="2540" b="0"/>
            <wp:docPr id="15276684"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684" name="Picture 1" descr="A table with numbers and text&#10;&#10;AI-generated content may be incorrect."/>
                    <pic:cNvPicPr/>
                  </pic:nvPicPr>
                  <pic:blipFill>
                    <a:blip r:embed="rId40"/>
                    <a:stretch>
                      <a:fillRect/>
                    </a:stretch>
                  </pic:blipFill>
                  <pic:spPr>
                    <a:xfrm>
                      <a:off x="0" y="0"/>
                      <a:ext cx="5731510" cy="1488440"/>
                    </a:xfrm>
                    <a:prstGeom prst="rect">
                      <a:avLst/>
                    </a:prstGeom>
                  </pic:spPr>
                </pic:pic>
              </a:graphicData>
            </a:graphic>
          </wp:inline>
        </w:drawing>
      </w:r>
    </w:p>
    <w:p w14:paraId="41F4F507" w14:textId="3BC7FBA3" w:rsidR="00BC563C" w:rsidRDefault="006B695C" w:rsidP="006917B9">
      <w:pPr>
        <w:pStyle w:val="Heading2"/>
        <w:spacing w:before="240" w:after="240"/>
        <w:rPr>
          <w:lang w:val="en-IN"/>
        </w:rPr>
      </w:pPr>
      <w:bookmarkStart w:id="29" w:name="_Toc215057635"/>
      <w:r>
        <w:rPr>
          <w:lang w:val="en-IN"/>
        </w:rPr>
        <w:t>Cash Operating Cycle</w:t>
      </w:r>
      <w:bookmarkEnd w:id="29"/>
      <w:r>
        <w:rPr>
          <w:lang w:val="en-IN"/>
        </w:rPr>
        <w:t xml:space="preserve"> </w:t>
      </w:r>
    </w:p>
    <w:p w14:paraId="5A6E0919" w14:textId="44535235" w:rsidR="006B695C" w:rsidRPr="006B695C" w:rsidRDefault="0013182A" w:rsidP="006917B9">
      <w:pPr>
        <w:rPr>
          <w:lang w:val="en-IN"/>
        </w:rPr>
      </w:pPr>
      <w:r w:rsidRPr="0013182A">
        <w:rPr>
          <w:noProof/>
          <w:lang w:val="en-IN"/>
        </w:rPr>
        <w:drawing>
          <wp:inline distT="0" distB="0" distL="0" distR="0" wp14:anchorId="4B858C1A" wp14:editId="43B0038F">
            <wp:extent cx="5731510" cy="1042670"/>
            <wp:effectExtent l="0" t="0" r="2540" b="5080"/>
            <wp:docPr id="1432401539"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01539" name="Picture 1" descr="A table with numbers and text&#10;&#10;AI-generated content may be incorrect."/>
                    <pic:cNvPicPr/>
                  </pic:nvPicPr>
                  <pic:blipFill>
                    <a:blip r:embed="rId41"/>
                    <a:stretch>
                      <a:fillRect/>
                    </a:stretch>
                  </pic:blipFill>
                  <pic:spPr>
                    <a:xfrm>
                      <a:off x="0" y="0"/>
                      <a:ext cx="5731510" cy="1042670"/>
                    </a:xfrm>
                    <a:prstGeom prst="rect">
                      <a:avLst/>
                    </a:prstGeom>
                  </pic:spPr>
                </pic:pic>
              </a:graphicData>
            </a:graphic>
          </wp:inline>
        </w:drawing>
      </w:r>
    </w:p>
    <w:sectPr w:rsidR="006B695C" w:rsidRPr="006B695C" w:rsidSect="00EB74E2">
      <w:footerReference w:type="default" r:id="rId42"/>
      <w:pgSz w:w="11906" w:h="16838" w:code="9"/>
      <w:pgMar w:top="1440" w:right="1440" w:bottom="1440" w:left="1440" w:header="709" w:footer="709" w:gutter="0"/>
      <w:pgBorders w:offsetFrom="page">
        <w:top w:val="thinThickSmallGap" w:sz="18" w:space="24" w:color="auto"/>
        <w:left w:val="thinThickSmallGap" w:sz="18" w:space="24" w:color="auto"/>
        <w:bottom w:val="thickThinSmallGap" w:sz="18" w:space="24" w:color="auto"/>
        <w:right w:val="thickThinSmall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38180" w14:textId="77777777" w:rsidR="00350D61" w:rsidRDefault="00350D61" w:rsidP="000A12EA">
      <w:pPr>
        <w:spacing w:before="0" w:after="0" w:line="240" w:lineRule="auto"/>
      </w:pPr>
      <w:r>
        <w:separator/>
      </w:r>
    </w:p>
  </w:endnote>
  <w:endnote w:type="continuationSeparator" w:id="0">
    <w:p w14:paraId="36C32C85" w14:textId="77777777" w:rsidR="00350D61" w:rsidRDefault="00350D61" w:rsidP="000A12E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0439403"/>
      <w:docPartObj>
        <w:docPartGallery w:val="Page Numbers (Bottom of Page)"/>
        <w:docPartUnique/>
      </w:docPartObj>
    </w:sdtPr>
    <w:sdtEndPr>
      <w:rPr>
        <w:noProof/>
      </w:rPr>
    </w:sdtEndPr>
    <w:sdtContent>
      <w:p w14:paraId="2145A09C" w14:textId="77777777" w:rsidR="000A12EA" w:rsidRDefault="000A12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2F54F8" w14:textId="77777777" w:rsidR="000A12EA" w:rsidRDefault="000A1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93515" w14:textId="77777777" w:rsidR="00350D61" w:rsidRDefault="00350D61" w:rsidP="000A12EA">
      <w:pPr>
        <w:spacing w:before="0" w:after="0" w:line="240" w:lineRule="auto"/>
      </w:pPr>
      <w:r>
        <w:separator/>
      </w:r>
    </w:p>
  </w:footnote>
  <w:footnote w:type="continuationSeparator" w:id="0">
    <w:p w14:paraId="6C1941F9" w14:textId="77777777" w:rsidR="00350D61" w:rsidRDefault="00350D61" w:rsidP="000A12E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621CD9"/>
    <w:multiLevelType w:val="hybridMultilevel"/>
    <w:tmpl w:val="AC54837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7C657BE4"/>
    <w:multiLevelType w:val="hybridMultilevel"/>
    <w:tmpl w:val="7FC6414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7E850E7C"/>
    <w:multiLevelType w:val="hybridMultilevel"/>
    <w:tmpl w:val="D66441E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610623595">
    <w:abstractNumId w:val="1"/>
  </w:num>
  <w:num w:numId="2" w16cid:durableId="936206805">
    <w:abstractNumId w:val="0"/>
  </w:num>
  <w:num w:numId="3" w16cid:durableId="2020504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1MjUxMTeytLA0sjBX0lEKTi0uzszPAykwrwUA+V/vBSwAAAA="/>
  </w:docVars>
  <w:rsids>
    <w:rsidRoot w:val="00EB74E2"/>
    <w:rsid w:val="00005059"/>
    <w:rsid w:val="000052E9"/>
    <w:rsid w:val="00010A03"/>
    <w:rsid w:val="00010B7B"/>
    <w:rsid w:val="0001268B"/>
    <w:rsid w:val="000165D3"/>
    <w:rsid w:val="00022B8F"/>
    <w:rsid w:val="000249AF"/>
    <w:rsid w:val="000255C0"/>
    <w:rsid w:val="0002650F"/>
    <w:rsid w:val="00026BA1"/>
    <w:rsid w:val="00027216"/>
    <w:rsid w:val="00034D31"/>
    <w:rsid w:val="00036ADB"/>
    <w:rsid w:val="0004477E"/>
    <w:rsid w:val="00050470"/>
    <w:rsid w:val="00061350"/>
    <w:rsid w:val="000621FA"/>
    <w:rsid w:val="00065E49"/>
    <w:rsid w:val="00066D7F"/>
    <w:rsid w:val="00067AC1"/>
    <w:rsid w:val="00080EC5"/>
    <w:rsid w:val="00081EDF"/>
    <w:rsid w:val="00082B8D"/>
    <w:rsid w:val="00085849"/>
    <w:rsid w:val="00094B9F"/>
    <w:rsid w:val="0009521C"/>
    <w:rsid w:val="000A12EA"/>
    <w:rsid w:val="000A1E7A"/>
    <w:rsid w:val="000A5517"/>
    <w:rsid w:val="000B072A"/>
    <w:rsid w:val="000C40E3"/>
    <w:rsid w:val="000C594E"/>
    <w:rsid w:val="000C6504"/>
    <w:rsid w:val="000D0488"/>
    <w:rsid w:val="000D4FF2"/>
    <w:rsid w:val="000D7FCC"/>
    <w:rsid w:val="000E0C93"/>
    <w:rsid w:val="000E1094"/>
    <w:rsid w:val="000E14FE"/>
    <w:rsid w:val="000E727B"/>
    <w:rsid w:val="001011BB"/>
    <w:rsid w:val="00102A57"/>
    <w:rsid w:val="00116FE5"/>
    <w:rsid w:val="00121259"/>
    <w:rsid w:val="00125BC5"/>
    <w:rsid w:val="0013182A"/>
    <w:rsid w:val="001338CE"/>
    <w:rsid w:val="0014049E"/>
    <w:rsid w:val="00143974"/>
    <w:rsid w:val="001446D7"/>
    <w:rsid w:val="001449FA"/>
    <w:rsid w:val="0014661C"/>
    <w:rsid w:val="00146D5B"/>
    <w:rsid w:val="00147CB6"/>
    <w:rsid w:val="0015265F"/>
    <w:rsid w:val="00152826"/>
    <w:rsid w:val="0015366D"/>
    <w:rsid w:val="0015472B"/>
    <w:rsid w:val="00155C2C"/>
    <w:rsid w:val="00165A96"/>
    <w:rsid w:val="001732A2"/>
    <w:rsid w:val="001858FD"/>
    <w:rsid w:val="001A231E"/>
    <w:rsid w:val="001A264D"/>
    <w:rsid w:val="001A4411"/>
    <w:rsid w:val="001C2FB9"/>
    <w:rsid w:val="001D3636"/>
    <w:rsid w:val="001D4FA8"/>
    <w:rsid w:val="001D7BFC"/>
    <w:rsid w:val="001F150D"/>
    <w:rsid w:val="001F2437"/>
    <w:rsid w:val="00203D66"/>
    <w:rsid w:val="00217E3B"/>
    <w:rsid w:val="00220504"/>
    <w:rsid w:val="00231144"/>
    <w:rsid w:val="002452C5"/>
    <w:rsid w:val="00256E88"/>
    <w:rsid w:val="002678A8"/>
    <w:rsid w:val="00271158"/>
    <w:rsid w:val="00275B2F"/>
    <w:rsid w:val="00286B3D"/>
    <w:rsid w:val="0029390D"/>
    <w:rsid w:val="0029628B"/>
    <w:rsid w:val="00296681"/>
    <w:rsid w:val="002A3058"/>
    <w:rsid w:val="002A3480"/>
    <w:rsid w:val="002A637E"/>
    <w:rsid w:val="002A7546"/>
    <w:rsid w:val="002B55AC"/>
    <w:rsid w:val="002B768C"/>
    <w:rsid w:val="002C1BDE"/>
    <w:rsid w:val="002C3AF7"/>
    <w:rsid w:val="002C5465"/>
    <w:rsid w:val="002D7C32"/>
    <w:rsid w:val="002E274E"/>
    <w:rsid w:val="002F384D"/>
    <w:rsid w:val="002F6473"/>
    <w:rsid w:val="003044ED"/>
    <w:rsid w:val="00314BD0"/>
    <w:rsid w:val="00317CDC"/>
    <w:rsid w:val="00320CEF"/>
    <w:rsid w:val="0032275C"/>
    <w:rsid w:val="00325AB2"/>
    <w:rsid w:val="00326D35"/>
    <w:rsid w:val="0032761C"/>
    <w:rsid w:val="00330FF4"/>
    <w:rsid w:val="0033272D"/>
    <w:rsid w:val="00340083"/>
    <w:rsid w:val="00350D61"/>
    <w:rsid w:val="0037180F"/>
    <w:rsid w:val="003828B1"/>
    <w:rsid w:val="00383052"/>
    <w:rsid w:val="00387A39"/>
    <w:rsid w:val="00396E6F"/>
    <w:rsid w:val="003A395C"/>
    <w:rsid w:val="003A6B1A"/>
    <w:rsid w:val="003A7FED"/>
    <w:rsid w:val="003B0672"/>
    <w:rsid w:val="003B0ECC"/>
    <w:rsid w:val="003B4767"/>
    <w:rsid w:val="003C373E"/>
    <w:rsid w:val="003C3794"/>
    <w:rsid w:val="003C5713"/>
    <w:rsid w:val="003C7045"/>
    <w:rsid w:val="003C70B1"/>
    <w:rsid w:val="003D03B0"/>
    <w:rsid w:val="003D3D2B"/>
    <w:rsid w:val="003E0F5A"/>
    <w:rsid w:val="003E11AC"/>
    <w:rsid w:val="003E6DB0"/>
    <w:rsid w:val="00413EDB"/>
    <w:rsid w:val="0041582A"/>
    <w:rsid w:val="0042187F"/>
    <w:rsid w:val="0042563F"/>
    <w:rsid w:val="0042598D"/>
    <w:rsid w:val="00435FE4"/>
    <w:rsid w:val="00456D87"/>
    <w:rsid w:val="0046189D"/>
    <w:rsid w:val="004627A6"/>
    <w:rsid w:val="0046467D"/>
    <w:rsid w:val="00465D76"/>
    <w:rsid w:val="0047628C"/>
    <w:rsid w:val="004821E5"/>
    <w:rsid w:val="00482E02"/>
    <w:rsid w:val="004862F8"/>
    <w:rsid w:val="00496430"/>
    <w:rsid w:val="004964CD"/>
    <w:rsid w:val="004B06FB"/>
    <w:rsid w:val="004B325D"/>
    <w:rsid w:val="004D41A8"/>
    <w:rsid w:val="004D57E1"/>
    <w:rsid w:val="004E72FD"/>
    <w:rsid w:val="004F491A"/>
    <w:rsid w:val="00501648"/>
    <w:rsid w:val="005023BD"/>
    <w:rsid w:val="005054F2"/>
    <w:rsid w:val="005113A4"/>
    <w:rsid w:val="00526E9D"/>
    <w:rsid w:val="0052765A"/>
    <w:rsid w:val="00543ED5"/>
    <w:rsid w:val="00553494"/>
    <w:rsid w:val="00562BAD"/>
    <w:rsid w:val="00563574"/>
    <w:rsid w:val="00574208"/>
    <w:rsid w:val="005833A3"/>
    <w:rsid w:val="005856CC"/>
    <w:rsid w:val="005945ED"/>
    <w:rsid w:val="00594C71"/>
    <w:rsid w:val="005B27D6"/>
    <w:rsid w:val="005B5510"/>
    <w:rsid w:val="005B6303"/>
    <w:rsid w:val="005C4153"/>
    <w:rsid w:val="005D0915"/>
    <w:rsid w:val="005D4CD4"/>
    <w:rsid w:val="005E1E3F"/>
    <w:rsid w:val="005E73C7"/>
    <w:rsid w:val="005F4062"/>
    <w:rsid w:val="00601BDC"/>
    <w:rsid w:val="00610282"/>
    <w:rsid w:val="0061526D"/>
    <w:rsid w:val="00615B6A"/>
    <w:rsid w:val="00616050"/>
    <w:rsid w:val="006167D4"/>
    <w:rsid w:val="006209FC"/>
    <w:rsid w:val="00625922"/>
    <w:rsid w:val="00641A46"/>
    <w:rsid w:val="00645C3B"/>
    <w:rsid w:val="0064637E"/>
    <w:rsid w:val="00667A77"/>
    <w:rsid w:val="00677689"/>
    <w:rsid w:val="00684CB7"/>
    <w:rsid w:val="0068523A"/>
    <w:rsid w:val="006917B9"/>
    <w:rsid w:val="00693DD4"/>
    <w:rsid w:val="00696F4B"/>
    <w:rsid w:val="006979EF"/>
    <w:rsid w:val="006A24D0"/>
    <w:rsid w:val="006A5C5C"/>
    <w:rsid w:val="006A5EA0"/>
    <w:rsid w:val="006B004F"/>
    <w:rsid w:val="006B4A6D"/>
    <w:rsid w:val="006B4F00"/>
    <w:rsid w:val="006B695C"/>
    <w:rsid w:val="006C0FB8"/>
    <w:rsid w:val="006D3D46"/>
    <w:rsid w:val="006D59FF"/>
    <w:rsid w:val="006E1FC7"/>
    <w:rsid w:val="006E2A7E"/>
    <w:rsid w:val="006E2C89"/>
    <w:rsid w:val="006E2D41"/>
    <w:rsid w:val="006F1AE1"/>
    <w:rsid w:val="006F5A61"/>
    <w:rsid w:val="0070187F"/>
    <w:rsid w:val="00705964"/>
    <w:rsid w:val="00717AF0"/>
    <w:rsid w:val="0072044B"/>
    <w:rsid w:val="00727F82"/>
    <w:rsid w:val="00730C88"/>
    <w:rsid w:val="007373AE"/>
    <w:rsid w:val="0074173D"/>
    <w:rsid w:val="00741864"/>
    <w:rsid w:val="0074190D"/>
    <w:rsid w:val="00752C1F"/>
    <w:rsid w:val="00752FB0"/>
    <w:rsid w:val="00762581"/>
    <w:rsid w:val="007630EA"/>
    <w:rsid w:val="0077359B"/>
    <w:rsid w:val="00787039"/>
    <w:rsid w:val="007916A1"/>
    <w:rsid w:val="0079255B"/>
    <w:rsid w:val="00792C81"/>
    <w:rsid w:val="007A4224"/>
    <w:rsid w:val="007C3750"/>
    <w:rsid w:val="007C6E21"/>
    <w:rsid w:val="007D18EC"/>
    <w:rsid w:val="007D42FC"/>
    <w:rsid w:val="007E313C"/>
    <w:rsid w:val="007F02F1"/>
    <w:rsid w:val="007F0DE9"/>
    <w:rsid w:val="007F28C6"/>
    <w:rsid w:val="00810FC7"/>
    <w:rsid w:val="008147B0"/>
    <w:rsid w:val="00820C92"/>
    <w:rsid w:val="00826837"/>
    <w:rsid w:val="0083553F"/>
    <w:rsid w:val="00837FEC"/>
    <w:rsid w:val="008433CF"/>
    <w:rsid w:val="00843BBF"/>
    <w:rsid w:val="00844EA6"/>
    <w:rsid w:val="0084727A"/>
    <w:rsid w:val="00851DBE"/>
    <w:rsid w:val="00862972"/>
    <w:rsid w:val="00865BC9"/>
    <w:rsid w:val="0087254A"/>
    <w:rsid w:val="00881B92"/>
    <w:rsid w:val="00883154"/>
    <w:rsid w:val="00884101"/>
    <w:rsid w:val="008901EB"/>
    <w:rsid w:val="008A2BEC"/>
    <w:rsid w:val="008A7570"/>
    <w:rsid w:val="008A7781"/>
    <w:rsid w:val="008B59F0"/>
    <w:rsid w:val="008B5AF5"/>
    <w:rsid w:val="008B719F"/>
    <w:rsid w:val="008C3283"/>
    <w:rsid w:val="008C7E57"/>
    <w:rsid w:val="008D1ED9"/>
    <w:rsid w:val="008D5A20"/>
    <w:rsid w:val="008D6470"/>
    <w:rsid w:val="008F52E8"/>
    <w:rsid w:val="008F7CDC"/>
    <w:rsid w:val="00906D43"/>
    <w:rsid w:val="00923967"/>
    <w:rsid w:val="00930E38"/>
    <w:rsid w:val="00940C31"/>
    <w:rsid w:val="009453BB"/>
    <w:rsid w:val="009463C2"/>
    <w:rsid w:val="00946E09"/>
    <w:rsid w:val="0095040C"/>
    <w:rsid w:val="009510A4"/>
    <w:rsid w:val="00955B48"/>
    <w:rsid w:val="00956BDB"/>
    <w:rsid w:val="009624D2"/>
    <w:rsid w:val="00966F73"/>
    <w:rsid w:val="009671D2"/>
    <w:rsid w:val="00974915"/>
    <w:rsid w:val="00975211"/>
    <w:rsid w:val="00976513"/>
    <w:rsid w:val="00976D07"/>
    <w:rsid w:val="00996559"/>
    <w:rsid w:val="0099752E"/>
    <w:rsid w:val="009A1FA2"/>
    <w:rsid w:val="009A3BA4"/>
    <w:rsid w:val="009A3CEB"/>
    <w:rsid w:val="009B3B91"/>
    <w:rsid w:val="009B7ED5"/>
    <w:rsid w:val="009C1F73"/>
    <w:rsid w:val="009E08BE"/>
    <w:rsid w:val="009E1530"/>
    <w:rsid w:val="009E28EE"/>
    <w:rsid w:val="009F60AC"/>
    <w:rsid w:val="00A037CF"/>
    <w:rsid w:val="00A04B70"/>
    <w:rsid w:val="00A12B3E"/>
    <w:rsid w:val="00A17E11"/>
    <w:rsid w:val="00A17EC5"/>
    <w:rsid w:val="00A23687"/>
    <w:rsid w:val="00A25F18"/>
    <w:rsid w:val="00A35A1F"/>
    <w:rsid w:val="00A405B8"/>
    <w:rsid w:val="00A40C65"/>
    <w:rsid w:val="00A50CCE"/>
    <w:rsid w:val="00A5325B"/>
    <w:rsid w:val="00A53A99"/>
    <w:rsid w:val="00A559C2"/>
    <w:rsid w:val="00A65D00"/>
    <w:rsid w:val="00A6685B"/>
    <w:rsid w:val="00A67BD4"/>
    <w:rsid w:val="00A70524"/>
    <w:rsid w:val="00A73EE8"/>
    <w:rsid w:val="00A80E09"/>
    <w:rsid w:val="00A82D2B"/>
    <w:rsid w:val="00A920AE"/>
    <w:rsid w:val="00A92DDE"/>
    <w:rsid w:val="00AA2B5B"/>
    <w:rsid w:val="00AA2EDD"/>
    <w:rsid w:val="00AC21F9"/>
    <w:rsid w:val="00AD2330"/>
    <w:rsid w:val="00AE10AA"/>
    <w:rsid w:val="00AE1E19"/>
    <w:rsid w:val="00AE2EA1"/>
    <w:rsid w:val="00AF3A10"/>
    <w:rsid w:val="00AF67F2"/>
    <w:rsid w:val="00AF7879"/>
    <w:rsid w:val="00B018B0"/>
    <w:rsid w:val="00B10C38"/>
    <w:rsid w:val="00B1429E"/>
    <w:rsid w:val="00B255AF"/>
    <w:rsid w:val="00B30258"/>
    <w:rsid w:val="00B55F67"/>
    <w:rsid w:val="00B61B4B"/>
    <w:rsid w:val="00B658BB"/>
    <w:rsid w:val="00B70138"/>
    <w:rsid w:val="00B713B5"/>
    <w:rsid w:val="00B71C77"/>
    <w:rsid w:val="00B8726D"/>
    <w:rsid w:val="00B919CA"/>
    <w:rsid w:val="00B9728A"/>
    <w:rsid w:val="00BA05F8"/>
    <w:rsid w:val="00BA0A6E"/>
    <w:rsid w:val="00BA23B1"/>
    <w:rsid w:val="00BB232E"/>
    <w:rsid w:val="00BB35F9"/>
    <w:rsid w:val="00BC2FB4"/>
    <w:rsid w:val="00BC43ED"/>
    <w:rsid w:val="00BC4BA5"/>
    <w:rsid w:val="00BC563C"/>
    <w:rsid w:val="00BD6696"/>
    <w:rsid w:val="00BE0734"/>
    <w:rsid w:val="00BF1DCE"/>
    <w:rsid w:val="00C02DD3"/>
    <w:rsid w:val="00C039A9"/>
    <w:rsid w:val="00C13134"/>
    <w:rsid w:val="00C14E54"/>
    <w:rsid w:val="00C17CB3"/>
    <w:rsid w:val="00C25354"/>
    <w:rsid w:val="00C508CE"/>
    <w:rsid w:val="00C54020"/>
    <w:rsid w:val="00C54B77"/>
    <w:rsid w:val="00C608D8"/>
    <w:rsid w:val="00C611A8"/>
    <w:rsid w:val="00C65D3A"/>
    <w:rsid w:val="00C66041"/>
    <w:rsid w:val="00C67EED"/>
    <w:rsid w:val="00C71371"/>
    <w:rsid w:val="00CA3347"/>
    <w:rsid w:val="00CB549E"/>
    <w:rsid w:val="00CC7910"/>
    <w:rsid w:val="00CD247D"/>
    <w:rsid w:val="00CD4FF7"/>
    <w:rsid w:val="00CD7D89"/>
    <w:rsid w:val="00CE6BC9"/>
    <w:rsid w:val="00D04168"/>
    <w:rsid w:val="00D13FAD"/>
    <w:rsid w:val="00D160E2"/>
    <w:rsid w:val="00D21BD6"/>
    <w:rsid w:val="00D2627A"/>
    <w:rsid w:val="00D26435"/>
    <w:rsid w:val="00D36FCC"/>
    <w:rsid w:val="00D42EB9"/>
    <w:rsid w:val="00D43B57"/>
    <w:rsid w:val="00D53D6E"/>
    <w:rsid w:val="00D56506"/>
    <w:rsid w:val="00D6061B"/>
    <w:rsid w:val="00D61935"/>
    <w:rsid w:val="00D67E46"/>
    <w:rsid w:val="00D73DEF"/>
    <w:rsid w:val="00D879B5"/>
    <w:rsid w:val="00D910FD"/>
    <w:rsid w:val="00D91356"/>
    <w:rsid w:val="00D92A79"/>
    <w:rsid w:val="00D94E16"/>
    <w:rsid w:val="00D95ABC"/>
    <w:rsid w:val="00DA052A"/>
    <w:rsid w:val="00DA302C"/>
    <w:rsid w:val="00DA3961"/>
    <w:rsid w:val="00DA5054"/>
    <w:rsid w:val="00DA71B5"/>
    <w:rsid w:val="00DA7FEC"/>
    <w:rsid w:val="00DB69C4"/>
    <w:rsid w:val="00DC21F9"/>
    <w:rsid w:val="00DC56E7"/>
    <w:rsid w:val="00DC758F"/>
    <w:rsid w:val="00DC75B7"/>
    <w:rsid w:val="00DD2515"/>
    <w:rsid w:val="00DD4366"/>
    <w:rsid w:val="00DD5D07"/>
    <w:rsid w:val="00DE017B"/>
    <w:rsid w:val="00DF01DC"/>
    <w:rsid w:val="00DF5857"/>
    <w:rsid w:val="00DF5E69"/>
    <w:rsid w:val="00E01B73"/>
    <w:rsid w:val="00E05F3E"/>
    <w:rsid w:val="00E12959"/>
    <w:rsid w:val="00E27DDD"/>
    <w:rsid w:val="00E349DB"/>
    <w:rsid w:val="00E4067D"/>
    <w:rsid w:val="00E45A0F"/>
    <w:rsid w:val="00E551F7"/>
    <w:rsid w:val="00E5532F"/>
    <w:rsid w:val="00E558CC"/>
    <w:rsid w:val="00E638F0"/>
    <w:rsid w:val="00E66C70"/>
    <w:rsid w:val="00E74F54"/>
    <w:rsid w:val="00E774BA"/>
    <w:rsid w:val="00E9231C"/>
    <w:rsid w:val="00E9719A"/>
    <w:rsid w:val="00EB028F"/>
    <w:rsid w:val="00EB08FC"/>
    <w:rsid w:val="00EB6382"/>
    <w:rsid w:val="00EB74E2"/>
    <w:rsid w:val="00EC005A"/>
    <w:rsid w:val="00EC134E"/>
    <w:rsid w:val="00EC1947"/>
    <w:rsid w:val="00EC2959"/>
    <w:rsid w:val="00EC473F"/>
    <w:rsid w:val="00EC69C0"/>
    <w:rsid w:val="00EC6BB0"/>
    <w:rsid w:val="00ED03E9"/>
    <w:rsid w:val="00ED5604"/>
    <w:rsid w:val="00ED5A53"/>
    <w:rsid w:val="00EE18D9"/>
    <w:rsid w:val="00EE1F7C"/>
    <w:rsid w:val="00EF10D7"/>
    <w:rsid w:val="00EF1CC0"/>
    <w:rsid w:val="00EF2F21"/>
    <w:rsid w:val="00EF5D7C"/>
    <w:rsid w:val="00EF6649"/>
    <w:rsid w:val="00EF6CA4"/>
    <w:rsid w:val="00F039E1"/>
    <w:rsid w:val="00F06855"/>
    <w:rsid w:val="00F07ACC"/>
    <w:rsid w:val="00F12507"/>
    <w:rsid w:val="00F143F8"/>
    <w:rsid w:val="00F2591F"/>
    <w:rsid w:val="00F25C24"/>
    <w:rsid w:val="00F33BA3"/>
    <w:rsid w:val="00F37E94"/>
    <w:rsid w:val="00F40A40"/>
    <w:rsid w:val="00F45627"/>
    <w:rsid w:val="00F46EFB"/>
    <w:rsid w:val="00F557BB"/>
    <w:rsid w:val="00F56FC4"/>
    <w:rsid w:val="00F5778B"/>
    <w:rsid w:val="00F62030"/>
    <w:rsid w:val="00F632A4"/>
    <w:rsid w:val="00F637ED"/>
    <w:rsid w:val="00F6788D"/>
    <w:rsid w:val="00F70143"/>
    <w:rsid w:val="00F71BCB"/>
    <w:rsid w:val="00F73CC0"/>
    <w:rsid w:val="00F844D2"/>
    <w:rsid w:val="00F97A77"/>
    <w:rsid w:val="00FA2025"/>
    <w:rsid w:val="00FA2FA0"/>
    <w:rsid w:val="00FA612B"/>
    <w:rsid w:val="00FB0DCD"/>
    <w:rsid w:val="00FB39ED"/>
    <w:rsid w:val="00FB6832"/>
    <w:rsid w:val="00FB7777"/>
    <w:rsid w:val="00FD1725"/>
    <w:rsid w:val="00FE6B6B"/>
    <w:rsid w:val="00FE72BD"/>
    <w:rsid w:val="00FF0C1D"/>
    <w:rsid w:val="00FF0E67"/>
    <w:rsid w:val="00FF182B"/>
    <w:rsid w:val="00FF74D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C9A757"/>
  <w15:chartTrackingRefBased/>
  <w15:docId w15:val="{19C5E6C5-B4A9-44D0-B626-F2A6C3314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A61"/>
    <w:rPr>
      <w:rFonts w:ascii="Arial" w:hAnsi="Arial"/>
      <w:sz w:val="24"/>
      <w:lang w:val="en-GB"/>
    </w:rPr>
  </w:style>
  <w:style w:type="paragraph" w:styleId="Heading1">
    <w:name w:val="heading 1"/>
    <w:basedOn w:val="Normal"/>
    <w:next w:val="Normal"/>
    <w:link w:val="Heading1Char"/>
    <w:uiPriority w:val="9"/>
    <w:qFormat/>
    <w:rsid w:val="006979EF"/>
    <w:pPr>
      <w:keepNext/>
      <w:keepLines/>
      <w:spacing w:after="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EB74E2"/>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EB74E2"/>
    <w:pPr>
      <w:keepNext/>
      <w:keepLines/>
      <w:spacing w:before="40" w:after="0"/>
      <w:outlineLvl w:val="2"/>
    </w:pPr>
    <w:rPr>
      <w:rFonts w:eastAsiaTheme="majorEastAsia" w:cstheme="majorBidi"/>
      <w:b/>
      <w:i/>
      <w:szCs w:val="24"/>
      <w:u w:val="single"/>
    </w:rPr>
  </w:style>
  <w:style w:type="paragraph" w:styleId="Heading4">
    <w:name w:val="heading 4"/>
    <w:basedOn w:val="Normal"/>
    <w:next w:val="Normal"/>
    <w:link w:val="Heading4Char"/>
    <w:uiPriority w:val="9"/>
    <w:semiHidden/>
    <w:unhideWhenUsed/>
    <w:qFormat/>
    <w:rsid w:val="00EB74E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B74E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B74E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74E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74E2"/>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74E2"/>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9EF"/>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EB74E2"/>
    <w:rPr>
      <w:rFonts w:ascii="Times New Roman" w:eastAsiaTheme="majorEastAsia" w:hAnsi="Times New Roman" w:cstheme="majorBidi"/>
      <w:b/>
      <w:i/>
      <w:sz w:val="24"/>
      <w:szCs w:val="26"/>
      <w:lang w:val="en-GB"/>
    </w:rPr>
  </w:style>
  <w:style w:type="paragraph" w:styleId="Title">
    <w:name w:val="Title"/>
    <w:basedOn w:val="Normal"/>
    <w:next w:val="Normal"/>
    <w:link w:val="TitleChar"/>
    <w:uiPriority w:val="10"/>
    <w:qFormat/>
    <w:rsid w:val="006979EF"/>
    <w:pPr>
      <w:spacing w:before="0" w:after="0"/>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6979EF"/>
    <w:rPr>
      <w:rFonts w:ascii="Times New Roman" w:eastAsiaTheme="majorEastAsia" w:hAnsi="Times New Roman" w:cstheme="majorBidi"/>
      <w:b/>
      <w:color w:val="000000" w:themeColor="text1"/>
      <w:spacing w:val="-10"/>
      <w:kern w:val="28"/>
      <w:sz w:val="56"/>
      <w:szCs w:val="56"/>
      <w:lang w:val="en-GB"/>
    </w:rPr>
  </w:style>
  <w:style w:type="character" w:customStyle="1" w:styleId="Heading3Char">
    <w:name w:val="Heading 3 Char"/>
    <w:basedOn w:val="DefaultParagraphFont"/>
    <w:link w:val="Heading3"/>
    <w:uiPriority w:val="9"/>
    <w:rsid w:val="00EB74E2"/>
    <w:rPr>
      <w:rFonts w:ascii="Times New Roman" w:eastAsiaTheme="majorEastAsia" w:hAnsi="Times New Roman" w:cstheme="majorBidi"/>
      <w:b/>
      <w:i/>
      <w:sz w:val="24"/>
      <w:szCs w:val="24"/>
      <w:u w:val="single"/>
      <w:lang w:val="en-GB"/>
    </w:rPr>
  </w:style>
  <w:style w:type="character" w:customStyle="1" w:styleId="Heading4Char">
    <w:name w:val="Heading 4 Char"/>
    <w:basedOn w:val="DefaultParagraphFont"/>
    <w:link w:val="Heading4"/>
    <w:uiPriority w:val="9"/>
    <w:semiHidden/>
    <w:rsid w:val="00EB74E2"/>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EB74E2"/>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EB74E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B74E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B74E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B74E2"/>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EB74E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4E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B74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74E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B74E2"/>
    <w:pPr>
      <w:ind w:left="720"/>
      <w:contextualSpacing/>
    </w:pPr>
  </w:style>
  <w:style w:type="character" w:styleId="IntenseEmphasis">
    <w:name w:val="Intense Emphasis"/>
    <w:basedOn w:val="DefaultParagraphFont"/>
    <w:uiPriority w:val="21"/>
    <w:qFormat/>
    <w:rsid w:val="00EB74E2"/>
    <w:rPr>
      <w:i/>
      <w:iCs/>
      <w:color w:val="0F4761" w:themeColor="accent1" w:themeShade="BF"/>
    </w:rPr>
  </w:style>
  <w:style w:type="paragraph" w:styleId="IntenseQuote">
    <w:name w:val="Intense Quote"/>
    <w:basedOn w:val="Normal"/>
    <w:next w:val="Normal"/>
    <w:link w:val="IntenseQuoteChar"/>
    <w:uiPriority w:val="30"/>
    <w:qFormat/>
    <w:rsid w:val="00EB7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4E2"/>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EB74E2"/>
    <w:rPr>
      <w:b/>
      <w:bCs/>
      <w:smallCaps/>
      <w:color w:val="0F4761" w:themeColor="accent1" w:themeShade="BF"/>
      <w:spacing w:val="5"/>
    </w:rPr>
  </w:style>
  <w:style w:type="paragraph" w:styleId="TOCHeading">
    <w:name w:val="TOC Heading"/>
    <w:basedOn w:val="Heading1"/>
    <w:next w:val="Normal"/>
    <w:uiPriority w:val="39"/>
    <w:unhideWhenUsed/>
    <w:qFormat/>
    <w:rsid w:val="00EB74E2"/>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EB74E2"/>
    <w:pPr>
      <w:spacing w:after="100"/>
    </w:pPr>
  </w:style>
  <w:style w:type="character" w:styleId="Hyperlink">
    <w:name w:val="Hyperlink"/>
    <w:basedOn w:val="DefaultParagraphFont"/>
    <w:uiPriority w:val="99"/>
    <w:unhideWhenUsed/>
    <w:rsid w:val="00EB74E2"/>
    <w:rPr>
      <w:color w:val="467886" w:themeColor="hyperlink"/>
      <w:u w:val="single"/>
    </w:rPr>
  </w:style>
  <w:style w:type="paragraph" w:styleId="Header">
    <w:name w:val="header"/>
    <w:basedOn w:val="Normal"/>
    <w:link w:val="HeaderChar"/>
    <w:uiPriority w:val="99"/>
    <w:unhideWhenUsed/>
    <w:rsid w:val="000A12E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A12EA"/>
    <w:rPr>
      <w:rFonts w:ascii="Times New Roman" w:hAnsi="Times New Roman"/>
      <w:sz w:val="24"/>
      <w:lang w:val="en-GB"/>
    </w:rPr>
  </w:style>
  <w:style w:type="paragraph" w:styleId="Footer">
    <w:name w:val="footer"/>
    <w:basedOn w:val="Normal"/>
    <w:link w:val="FooterChar"/>
    <w:uiPriority w:val="99"/>
    <w:unhideWhenUsed/>
    <w:rsid w:val="000A12E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A12EA"/>
    <w:rPr>
      <w:rFonts w:ascii="Times New Roman" w:hAnsi="Times New Roman"/>
      <w:sz w:val="24"/>
      <w:lang w:val="en-GB"/>
    </w:rPr>
  </w:style>
  <w:style w:type="character" w:styleId="UnresolvedMention">
    <w:name w:val="Unresolved Mention"/>
    <w:basedOn w:val="DefaultParagraphFont"/>
    <w:uiPriority w:val="99"/>
    <w:semiHidden/>
    <w:unhideWhenUsed/>
    <w:rsid w:val="00DF5857"/>
    <w:rPr>
      <w:color w:val="605E5C"/>
      <w:shd w:val="clear" w:color="auto" w:fill="E1DFDD"/>
    </w:rPr>
  </w:style>
  <w:style w:type="paragraph" w:styleId="Caption">
    <w:name w:val="caption"/>
    <w:basedOn w:val="Normal"/>
    <w:next w:val="Normal"/>
    <w:uiPriority w:val="35"/>
    <w:unhideWhenUsed/>
    <w:qFormat/>
    <w:rsid w:val="00152826"/>
    <w:pPr>
      <w:spacing w:before="0" w:after="200" w:line="240" w:lineRule="auto"/>
    </w:pPr>
    <w:rPr>
      <w:i/>
      <w:iCs/>
      <w:color w:val="0E2841" w:themeColor="text2"/>
      <w:sz w:val="18"/>
      <w:szCs w:val="18"/>
    </w:rPr>
  </w:style>
  <w:style w:type="paragraph" w:styleId="TOC2">
    <w:name w:val="toc 2"/>
    <w:basedOn w:val="Normal"/>
    <w:next w:val="Normal"/>
    <w:autoRedefine/>
    <w:uiPriority w:val="39"/>
    <w:unhideWhenUsed/>
    <w:rsid w:val="006917B9"/>
    <w:pPr>
      <w:spacing w:after="100"/>
      <w:ind w:left="240"/>
    </w:pPr>
  </w:style>
  <w:style w:type="paragraph" w:styleId="TOC3">
    <w:name w:val="toc 3"/>
    <w:basedOn w:val="Normal"/>
    <w:next w:val="Normal"/>
    <w:autoRedefine/>
    <w:uiPriority w:val="39"/>
    <w:unhideWhenUsed/>
    <w:rsid w:val="006917B9"/>
    <w:pPr>
      <w:spacing w:after="100"/>
      <w:ind w:left="480"/>
    </w:pPr>
  </w:style>
  <w:style w:type="paragraph" w:styleId="TableofFigures">
    <w:name w:val="table of figures"/>
    <w:basedOn w:val="Normal"/>
    <w:next w:val="Normal"/>
    <w:uiPriority w:val="99"/>
    <w:unhideWhenUsed/>
    <w:rsid w:val="00601BD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image" Target="media/image5.png"/><Relationship Id="rId26" Type="http://schemas.openxmlformats.org/officeDocument/2006/relationships/hyperlink" Target="https://www.capstonepartners.com/insights/article-advantages-and-disadvantages-of-equity-financing/" TargetMode="External"/><Relationship Id="rId39" Type="http://schemas.openxmlformats.org/officeDocument/2006/relationships/image" Target="media/image12.png"/><Relationship Id="rId21" Type="http://schemas.openxmlformats.org/officeDocument/2006/relationships/hyperlink" Target="https://www.accaglobal.com/gb/en/business-finance/types-finance/loans.html" TargetMode="External"/><Relationship Id="rId34" Type="http://schemas.openxmlformats.org/officeDocument/2006/relationships/hyperlink" Target="https://www.tradewindfinance.com/trade-finance/export-finance/export-bill-discounting/?gad_source=1&amp;gad_campaignid=21253297643&amp;gbraid=0AAAAAqnvD0YGOmVEvu__LHGgdvVKkGHMX&amp;gclid=Cj0KCQiAxJXJBhD_ARIsAH_JGjgbb2MtwgeH0f9aOaxPmZCeHuLjZK7Ij2hFOMY08U0bsGDVUFBIEioaAvb8EALw_wcB"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hyperlink" Target="https://corporatefinanceinstitute.com/resources/accounting/operating-cycle/" TargetMode="External"/><Relationship Id="rId41"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allianz-trade.com/en_US/insights/early-payment-discount.html" TargetMode="External"/><Relationship Id="rId32" Type="http://schemas.openxmlformats.org/officeDocument/2006/relationships/hyperlink" Target="https://www.investing.com/academy/analysis/altman-z-score-definition/" TargetMode="External"/><Relationship Id="rId37" Type="http://schemas.openxmlformats.org/officeDocument/2006/relationships/image" Target="media/image10.png"/><Relationship Id="rId40"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accaglobal.com/gb/en/student/exam-support-resources/fundamentals-exams-study-resources/f9/technical-articles/wcm.html" TargetMode="External"/><Relationship Id="rId28" Type="http://schemas.openxmlformats.org/officeDocument/2006/relationships/hyperlink" Target="https://corporatefinanceinstitute.com/resources/commercial-lending/interest-coverage-ratio/" TargetMode="External"/><Relationship Id="rId36" Type="http://schemas.openxmlformats.org/officeDocument/2006/relationships/image" Target="media/image9.png"/><Relationship Id="rId10" Type="http://schemas.openxmlformats.org/officeDocument/2006/relationships/chart" Target="charts/chart1.xml"/><Relationship Id="rId19" Type="http://schemas.openxmlformats.org/officeDocument/2006/relationships/image" Target="media/image6.png"/><Relationship Id="rId31" Type="http://schemas.openxmlformats.org/officeDocument/2006/relationships/hyperlink" Target="https://www.experian.co.uk/consumer/loans/types/long-term-loans.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hyperlink" Target="https://www.accaglobal.com/in/en/business-finance/types-finance/trade-credit.html" TargetMode="External"/><Relationship Id="rId27" Type="http://schemas.openxmlformats.org/officeDocument/2006/relationships/hyperlink" Target="https://corporatefinanceinstitute.com/resources/accounting/current-ratio-vs-quick-ratio/" TargetMode="External"/><Relationship Id="rId30" Type="http://schemas.openxmlformats.org/officeDocument/2006/relationships/hyperlink" Target="https://dart.deloitte.com/USDART/home/codification/broad-transactions/asc815-10/hedge-accounting/chapter-5-foreign-currency-hedges/5-3-foreign-currency-cash-flow" TargetMode="External"/><Relationship Id="rId35" Type="http://schemas.openxmlformats.org/officeDocument/2006/relationships/image" Target="media/image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chart" Target="charts/chart6.xml"/><Relationship Id="rId25" Type="http://schemas.openxmlformats.org/officeDocument/2006/relationships/hyperlink" Target="https://www.british-business-bank.co.uk/business-guidance/guidance-articles/finance/what-level-of-debt-is-healthy-for-business" TargetMode="External"/><Relationship Id="rId33" Type="http://schemas.openxmlformats.org/officeDocument/2006/relationships/hyperlink" Target="https://www.investing.com/academy/analysis/operating-cash-flow-margin-definition/" TargetMode="External"/><Relationship Id="rId38" Type="http://schemas.openxmlformats.org/officeDocument/2006/relationships/image" Target="media/image1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A1201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A1201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A1201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A12016.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A12016.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ownloads\A12016.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Liquidity Ratios</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liquidity!$J$5</c:f>
              <c:strCache>
                <c:ptCount val="1"/>
                <c:pt idx="0">
                  <c:v>Current Ratio</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liquidity!$K$4:$O$4</c:f>
              <c:numCache>
                <c:formatCode>General</c:formatCode>
                <c:ptCount val="5"/>
                <c:pt idx="0">
                  <c:v>2024</c:v>
                </c:pt>
                <c:pt idx="1">
                  <c:v>2023</c:v>
                </c:pt>
                <c:pt idx="2">
                  <c:v>2022</c:v>
                </c:pt>
                <c:pt idx="3">
                  <c:v>2021</c:v>
                </c:pt>
                <c:pt idx="4">
                  <c:v>2020</c:v>
                </c:pt>
              </c:numCache>
            </c:numRef>
          </c:cat>
          <c:val>
            <c:numRef>
              <c:f>liquidity!$K$5:$O$5</c:f>
              <c:numCache>
                <c:formatCode>0.000</c:formatCode>
                <c:ptCount val="5"/>
                <c:pt idx="0">
                  <c:v>1.5319506478574272</c:v>
                </c:pt>
                <c:pt idx="1">
                  <c:v>1.6062935934668752</c:v>
                </c:pt>
                <c:pt idx="2">
                  <c:v>1.5615804280441441</c:v>
                </c:pt>
                <c:pt idx="3">
                  <c:v>1.5551947303113194</c:v>
                </c:pt>
                <c:pt idx="4">
                  <c:v>1.8207509330956493</c:v>
                </c:pt>
              </c:numCache>
            </c:numRef>
          </c:val>
          <c:extLst>
            <c:ext xmlns:c16="http://schemas.microsoft.com/office/drawing/2014/chart" uri="{C3380CC4-5D6E-409C-BE32-E72D297353CC}">
              <c16:uniqueId val="{00000000-126F-4685-BF6C-1FEDBF0D0DBB}"/>
            </c:ext>
          </c:extLst>
        </c:ser>
        <c:ser>
          <c:idx val="1"/>
          <c:order val="1"/>
          <c:tx>
            <c:strRef>
              <c:f>liquidity!$J$6</c:f>
              <c:strCache>
                <c:ptCount val="1"/>
                <c:pt idx="0">
                  <c:v>Acid test ratio</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chemeClr val="accent3">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liquidity!$K$4:$O$4</c:f>
              <c:numCache>
                <c:formatCode>General</c:formatCode>
                <c:ptCount val="5"/>
                <c:pt idx="0">
                  <c:v>2024</c:v>
                </c:pt>
                <c:pt idx="1">
                  <c:v>2023</c:v>
                </c:pt>
                <c:pt idx="2">
                  <c:v>2022</c:v>
                </c:pt>
                <c:pt idx="3">
                  <c:v>2021</c:v>
                </c:pt>
                <c:pt idx="4">
                  <c:v>2020</c:v>
                </c:pt>
              </c:numCache>
            </c:numRef>
          </c:cat>
          <c:val>
            <c:numRef>
              <c:f>liquidity!$K$6:$O$6</c:f>
              <c:numCache>
                <c:formatCode>0.000</c:formatCode>
                <c:ptCount val="5"/>
                <c:pt idx="0">
                  <c:v>1.0306271360974408</c:v>
                </c:pt>
                <c:pt idx="1">
                  <c:v>1.0585176359619728</c:v>
                </c:pt>
                <c:pt idx="2">
                  <c:v>0.9140123710578224</c:v>
                </c:pt>
                <c:pt idx="3">
                  <c:v>0.93491307135575474</c:v>
                </c:pt>
                <c:pt idx="4">
                  <c:v>1.1498690880730877</c:v>
                </c:pt>
              </c:numCache>
            </c:numRef>
          </c:val>
          <c:extLst>
            <c:ext xmlns:c16="http://schemas.microsoft.com/office/drawing/2014/chart" uri="{C3380CC4-5D6E-409C-BE32-E72D297353CC}">
              <c16:uniqueId val="{00000001-126F-4685-BF6C-1FEDBF0D0DBB}"/>
            </c:ext>
          </c:extLst>
        </c:ser>
        <c:dLbls>
          <c:showLegendKey val="0"/>
          <c:showVal val="1"/>
          <c:showCatName val="0"/>
          <c:showSerName val="0"/>
          <c:showPercent val="0"/>
          <c:showBubbleSize val="0"/>
        </c:dLbls>
        <c:gapWidth val="84"/>
        <c:gapDepth val="53"/>
        <c:shape val="box"/>
        <c:axId val="2038851071"/>
        <c:axId val="2038842911"/>
        <c:axId val="0"/>
      </c:bar3DChart>
      <c:catAx>
        <c:axId val="203885107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38842911"/>
        <c:crosses val="autoZero"/>
        <c:auto val="1"/>
        <c:lblAlgn val="ctr"/>
        <c:lblOffset val="100"/>
        <c:noMultiLvlLbl val="0"/>
      </c:catAx>
      <c:valAx>
        <c:axId val="2038842911"/>
        <c:scaling>
          <c:orientation val="minMax"/>
        </c:scaling>
        <c:delete val="1"/>
        <c:axPos val="l"/>
        <c:numFmt formatCode="0.000" sourceLinked="1"/>
        <c:majorTickMark val="out"/>
        <c:minorTickMark val="none"/>
        <c:tickLblPos val="nextTo"/>
        <c:crossAx val="203885107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Efficiency Ratios</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efficiency!$J$5</c:f>
              <c:strCache>
                <c:ptCount val="1"/>
                <c:pt idx="0">
                  <c:v>Receivables turnover days</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efficiency!$K$4:$O$4</c:f>
              <c:numCache>
                <c:formatCode>General</c:formatCode>
                <c:ptCount val="5"/>
                <c:pt idx="0">
                  <c:v>2024</c:v>
                </c:pt>
                <c:pt idx="1">
                  <c:v>2023</c:v>
                </c:pt>
                <c:pt idx="2">
                  <c:v>2022</c:v>
                </c:pt>
                <c:pt idx="3">
                  <c:v>2021</c:v>
                </c:pt>
                <c:pt idx="4">
                  <c:v>2020</c:v>
                </c:pt>
              </c:numCache>
            </c:numRef>
          </c:cat>
          <c:val>
            <c:numRef>
              <c:f>efficiency!$K$5:$O$5</c:f>
              <c:numCache>
                <c:formatCode>0</c:formatCode>
                <c:ptCount val="5"/>
                <c:pt idx="0">
                  <c:v>105.54228004021485</c:v>
                </c:pt>
                <c:pt idx="1">
                  <c:v>97.744929921490183</c:v>
                </c:pt>
                <c:pt idx="2">
                  <c:v>75.552675167802548</c:v>
                </c:pt>
                <c:pt idx="3">
                  <c:v>78.396473083533635</c:v>
                </c:pt>
                <c:pt idx="4">
                  <c:v>76.857950478297653</c:v>
                </c:pt>
              </c:numCache>
            </c:numRef>
          </c:val>
          <c:extLst>
            <c:ext xmlns:c16="http://schemas.microsoft.com/office/drawing/2014/chart" uri="{C3380CC4-5D6E-409C-BE32-E72D297353CC}">
              <c16:uniqueId val="{00000000-2F59-4906-8EF6-A0AA5BC43839}"/>
            </c:ext>
          </c:extLst>
        </c:ser>
        <c:ser>
          <c:idx val="1"/>
          <c:order val="1"/>
          <c:tx>
            <c:strRef>
              <c:f>efficiency!$J$6</c:f>
              <c:strCache>
                <c:ptCount val="1"/>
                <c:pt idx="0">
                  <c:v>Inventory turnover days</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efficiency!$K$4:$O$4</c:f>
              <c:numCache>
                <c:formatCode>General</c:formatCode>
                <c:ptCount val="5"/>
                <c:pt idx="0">
                  <c:v>2024</c:v>
                </c:pt>
                <c:pt idx="1">
                  <c:v>2023</c:v>
                </c:pt>
                <c:pt idx="2">
                  <c:v>2022</c:v>
                </c:pt>
                <c:pt idx="3">
                  <c:v>2021</c:v>
                </c:pt>
                <c:pt idx="4">
                  <c:v>2020</c:v>
                </c:pt>
              </c:numCache>
            </c:numRef>
          </c:cat>
          <c:val>
            <c:numRef>
              <c:f>efficiency!$K$6:$O$6</c:f>
              <c:numCache>
                <c:formatCode>0</c:formatCode>
                <c:ptCount val="5"/>
                <c:pt idx="0">
                  <c:v>103.11898107766524</c:v>
                </c:pt>
                <c:pt idx="1">
                  <c:v>99.783042270445378</c:v>
                </c:pt>
                <c:pt idx="2">
                  <c:v>131.04081350410669</c:v>
                </c:pt>
                <c:pt idx="3">
                  <c:v>114.51887135837381</c:v>
                </c:pt>
                <c:pt idx="4">
                  <c:v>100.26127675492218</c:v>
                </c:pt>
              </c:numCache>
            </c:numRef>
          </c:val>
          <c:extLst>
            <c:ext xmlns:c16="http://schemas.microsoft.com/office/drawing/2014/chart" uri="{C3380CC4-5D6E-409C-BE32-E72D297353CC}">
              <c16:uniqueId val="{00000001-2F59-4906-8EF6-A0AA5BC43839}"/>
            </c:ext>
          </c:extLst>
        </c:ser>
        <c:dLbls>
          <c:showLegendKey val="0"/>
          <c:showVal val="1"/>
          <c:showCatName val="0"/>
          <c:showSerName val="0"/>
          <c:showPercent val="0"/>
          <c:showBubbleSize val="0"/>
        </c:dLbls>
        <c:gapWidth val="84"/>
        <c:gapDepth val="53"/>
        <c:shape val="box"/>
        <c:axId val="163470223"/>
        <c:axId val="163472623"/>
        <c:axId val="0"/>
      </c:bar3DChart>
      <c:catAx>
        <c:axId val="1634702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63472623"/>
        <c:crosses val="autoZero"/>
        <c:auto val="1"/>
        <c:lblAlgn val="ctr"/>
        <c:lblOffset val="100"/>
        <c:noMultiLvlLbl val="0"/>
      </c:catAx>
      <c:valAx>
        <c:axId val="163472623"/>
        <c:scaling>
          <c:orientation val="minMax"/>
        </c:scaling>
        <c:delete val="1"/>
        <c:axPos val="l"/>
        <c:numFmt formatCode="0" sourceLinked="1"/>
        <c:majorTickMark val="out"/>
        <c:minorTickMark val="none"/>
        <c:tickLblPos val="nextTo"/>
        <c:crossAx val="163470223"/>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Gearing Ratios </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gearing!$J$5</c:f>
              <c:strCache>
                <c:ptCount val="1"/>
                <c:pt idx="0">
                  <c:v>Debt-equity ratio</c:v>
                </c:pt>
              </c:strCache>
            </c:strRef>
          </c:tx>
          <c:spPr>
            <a:solidFill>
              <a:schemeClr val="accent6">
                <a:alpha val="88000"/>
              </a:schemeClr>
            </a:solidFill>
            <a:ln>
              <a:solidFill>
                <a:schemeClr val="accent6">
                  <a:lumMod val="50000"/>
                </a:schemeClr>
              </a:solidFill>
            </a:ln>
            <a:effectLst/>
            <a:scene3d>
              <a:camera prst="orthographicFront"/>
              <a:lightRig rig="threePt" dir="t"/>
            </a:scene3d>
            <a:sp3d prstMaterial="flat">
              <a:contourClr>
                <a:schemeClr val="accent6">
                  <a:lumMod val="50000"/>
                </a:schemeClr>
              </a:contourClr>
            </a:sp3d>
          </c:spPr>
          <c:invertIfNegative val="0"/>
          <c:dLbls>
            <c:spPr>
              <a:solidFill>
                <a:srgbClr val="70AD47">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gearing!$K$4:$O$4</c:f>
              <c:numCache>
                <c:formatCode>General</c:formatCode>
                <c:ptCount val="5"/>
                <c:pt idx="0">
                  <c:v>2024</c:v>
                </c:pt>
                <c:pt idx="1">
                  <c:v>2023</c:v>
                </c:pt>
                <c:pt idx="2">
                  <c:v>2022</c:v>
                </c:pt>
                <c:pt idx="3">
                  <c:v>2021</c:v>
                </c:pt>
                <c:pt idx="4">
                  <c:v>2020</c:v>
                </c:pt>
              </c:numCache>
            </c:numRef>
          </c:cat>
          <c:val>
            <c:numRef>
              <c:f>gearing!$K$5:$O$5</c:f>
              <c:numCache>
                <c:formatCode>0.000</c:formatCode>
                <c:ptCount val="5"/>
                <c:pt idx="0">
                  <c:v>7.8103262466934456E-2</c:v>
                </c:pt>
                <c:pt idx="1">
                  <c:v>8.8329979879275655E-2</c:v>
                </c:pt>
                <c:pt idx="2">
                  <c:v>7.1846381973577345E-2</c:v>
                </c:pt>
                <c:pt idx="3">
                  <c:v>6.382338765496523E-2</c:v>
                </c:pt>
                <c:pt idx="4">
                  <c:v>5.5789799585701925E-2</c:v>
                </c:pt>
              </c:numCache>
            </c:numRef>
          </c:val>
          <c:extLst>
            <c:ext xmlns:c16="http://schemas.microsoft.com/office/drawing/2014/chart" uri="{C3380CC4-5D6E-409C-BE32-E72D297353CC}">
              <c16:uniqueId val="{00000000-3A55-4DC5-AE32-327C4153DEFD}"/>
            </c:ext>
          </c:extLst>
        </c:ser>
        <c:ser>
          <c:idx val="1"/>
          <c:order val="1"/>
          <c:tx>
            <c:strRef>
              <c:f>gearing!$J$6</c:f>
              <c:strCache>
                <c:ptCount val="1"/>
                <c:pt idx="0">
                  <c:v>Interest Coverage Ratio</c:v>
                </c:pt>
              </c:strCache>
            </c:strRef>
          </c:tx>
          <c:spPr>
            <a:solidFill>
              <a:schemeClr val="accent5">
                <a:alpha val="88000"/>
              </a:schemeClr>
            </a:solidFill>
            <a:ln>
              <a:solidFill>
                <a:schemeClr val="accent5">
                  <a:lumMod val="50000"/>
                </a:schemeClr>
              </a:solidFill>
            </a:ln>
            <a:effectLst/>
            <a:scene3d>
              <a:camera prst="orthographicFront"/>
              <a:lightRig rig="threePt" dir="t"/>
            </a:scene3d>
            <a:sp3d prstMaterial="flat">
              <a:contourClr>
                <a:schemeClr val="accent5">
                  <a:lumMod val="50000"/>
                </a:schemeClr>
              </a:contourClr>
            </a:sp3d>
          </c:spPr>
          <c:invertIfNegative val="0"/>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gearing!$K$4:$O$4</c:f>
              <c:numCache>
                <c:formatCode>General</c:formatCode>
                <c:ptCount val="5"/>
                <c:pt idx="0">
                  <c:v>2024</c:v>
                </c:pt>
                <c:pt idx="1">
                  <c:v>2023</c:v>
                </c:pt>
                <c:pt idx="2">
                  <c:v>2022</c:v>
                </c:pt>
                <c:pt idx="3">
                  <c:v>2021</c:v>
                </c:pt>
                <c:pt idx="4">
                  <c:v>2020</c:v>
                </c:pt>
              </c:numCache>
            </c:numRef>
          </c:cat>
          <c:val>
            <c:numRef>
              <c:f>gearing!$K$6:$O$6</c:f>
              <c:numCache>
                <c:formatCode>0.000</c:formatCode>
                <c:ptCount val="5"/>
                <c:pt idx="0">
                  <c:v>-4.5513240107110979</c:v>
                </c:pt>
                <c:pt idx="1">
                  <c:v>-19.690904893813482</c:v>
                </c:pt>
                <c:pt idx="2">
                  <c:v>6.6127272727272723</c:v>
                </c:pt>
                <c:pt idx="3">
                  <c:v>41.083038869257948</c:v>
                </c:pt>
                <c:pt idx="4">
                  <c:v>26.20745428973277</c:v>
                </c:pt>
              </c:numCache>
            </c:numRef>
          </c:val>
          <c:extLst>
            <c:ext xmlns:c16="http://schemas.microsoft.com/office/drawing/2014/chart" uri="{C3380CC4-5D6E-409C-BE32-E72D297353CC}">
              <c16:uniqueId val="{00000001-3A55-4DC5-AE32-327C4153DEFD}"/>
            </c:ext>
          </c:extLst>
        </c:ser>
        <c:dLbls>
          <c:showLegendKey val="0"/>
          <c:showVal val="1"/>
          <c:showCatName val="0"/>
          <c:showSerName val="0"/>
          <c:showPercent val="0"/>
          <c:showBubbleSize val="0"/>
        </c:dLbls>
        <c:gapWidth val="84"/>
        <c:gapDepth val="53"/>
        <c:shape val="box"/>
        <c:axId val="1460246383"/>
        <c:axId val="1460251663"/>
        <c:axId val="0"/>
      </c:bar3DChart>
      <c:catAx>
        <c:axId val="1460246383"/>
        <c:scaling>
          <c:orientation val="minMax"/>
        </c:scaling>
        <c:delete val="1"/>
        <c:axPos val="b"/>
        <c:numFmt formatCode="General" sourceLinked="1"/>
        <c:majorTickMark val="none"/>
        <c:minorTickMark val="none"/>
        <c:tickLblPos val="nextTo"/>
        <c:crossAx val="1460251663"/>
        <c:crosses val="autoZero"/>
        <c:auto val="1"/>
        <c:lblAlgn val="ctr"/>
        <c:lblOffset val="100"/>
        <c:noMultiLvlLbl val="0"/>
      </c:catAx>
      <c:valAx>
        <c:axId val="1460251663"/>
        <c:scaling>
          <c:orientation val="minMax"/>
        </c:scaling>
        <c:delete val="1"/>
        <c:axPos val="l"/>
        <c:numFmt formatCode="0.000" sourceLinked="1"/>
        <c:majorTickMark val="out"/>
        <c:minorTickMark val="none"/>
        <c:tickLblPos val="nextTo"/>
        <c:crossAx val="1460246383"/>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Investment Ratios</a:t>
            </a:r>
          </a:p>
        </c:rich>
      </c:tx>
      <c:layout>
        <c:manualLayout>
          <c:xMode val="edge"/>
          <c:yMode val="edge"/>
          <c:x val="0.28314455231930963"/>
          <c:y val="4.011231448054553E-2"/>
        </c:manualLayout>
      </c:layout>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investment!$J$5</c:f>
              <c:strCache>
                <c:ptCount val="1"/>
                <c:pt idx="0">
                  <c:v>Return on equity</c:v>
                </c:pt>
              </c:strCache>
            </c:strRef>
          </c:tx>
          <c:spPr>
            <a:solidFill>
              <a:schemeClr val="accent2">
                <a:shade val="76000"/>
                <a:alpha val="88000"/>
              </a:schemeClr>
            </a:solidFill>
            <a:ln>
              <a:solidFill>
                <a:schemeClr val="accent2">
                  <a:shade val="76000"/>
                  <a:lumMod val="50000"/>
                </a:schemeClr>
              </a:solidFill>
            </a:ln>
            <a:effectLst/>
            <a:scene3d>
              <a:camera prst="orthographicFront"/>
              <a:lightRig rig="threePt" dir="t"/>
            </a:scene3d>
            <a:sp3d prstMaterial="flat">
              <a:contourClr>
                <a:schemeClr val="accent2">
                  <a:shade val="76000"/>
                  <a:lumMod val="50000"/>
                </a:schemeClr>
              </a:contourClr>
            </a:sp3d>
          </c:spPr>
          <c:invertIfNegative val="0"/>
          <c:cat>
            <c:numRef>
              <c:f>investment!$K$4:$O$4</c:f>
              <c:numCache>
                <c:formatCode>General</c:formatCode>
                <c:ptCount val="5"/>
                <c:pt idx="0">
                  <c:v>2024</c:v>
                </c:pt>
                <c:pt idx="1">
                  <c:v>2023</c:v>
                </c:pt>
                <c:pt idx="2">
                  <c:v>2022</c:v>
                </c:pt>
                <c:pt idx="3">
                  <c:v>2021</c:v>
                </c:pt>
                <c:pt idx="4">
                  <c:v>2020</c:v>
                </c:pt>
              </c:numCache>
            </c:numRef>
          </c:cat>
          <c:val>
            <c:numRef>
              <c:f>investment!$K$5:$O$5</c:f>
              <c:numCache>
                <c:formatCode>0.00%</c:formatCode>
                <c:ptCount val="5"/>
                <c:pt idx="0">
                  <c:v>-0.1569445805166389</c:v>
                </c:pt>
                <c:pt idx="1">
                  <c:v>-0.54906103286384977</c:v>
                </c:pt>
                <c:pt idx="2">
                  <c:v>1.5163595448685946E-3</c:v>
                </c:pt>
                <c:pt idx="3">
                  <c:v>1.9210071426241804E-2</c:v>
                </c:pt>
                <c:pt idx="4">
                  <c:v>0.1231148320624575</c:v>
                </c:pt>
              </c:numCache>
            </c:numRef>
          </c:val>
          <c:extLst>
            <c:ext xmlns:c16="http://schemas.microsoft.com/office/drawing/2014/chart" uri="{C3380CC4-5D6E-409C-BE32-E72D297353CC}">
              <c16:uniqueId val="{00000000-4A7D-40AE-BBB2-2BA872C7C93C}"/>
            </c:ext>
          </c:extLst>
        </c:ser>
        <c:ser>
          <c:idx val="1"/>
          <c:order val="1"/>
          <c:tx>
            <c:strRef>
              <c:f>investment!$J$6</c:f>
              <c:strCache>
                <c:ptCount val="1"/>
                <c:pt idx="0">
                  <c:v>Earnings per share</c:v>
                </c:pt>
              </c:strCache>
            </c:strRef>
          </c:tx>
          <c:spPr>
            <a:solidFill>
              <a:schemeClr val="accent2">
                <a:tint val="77000"/>
                <a:alpha val="88000"/>
              </a:schemeClr>
            </a:solidFill>
            <a:ln>
              <a:solidFill>
                <a:schemeClr val="accent2">
                  <a:tint val="77000"/>
                  <a:lumMod val="50000"/>
                </a:schemeClr>
              </a:solidFill>
            </a:ln>
            <a:effectLst/>
            <a:scene3d>
              <a:camera prst="orthographicFront"/>
              <a:lightRig rig="threePt" dir="t"/>
            </a:scene3d>
            <a:sp3d prstMaterial="flat">
              <a:contourClr>
                <a:schemeClr val="accent2">
                  <a:tint val="77000"/>
                  <a:lumMod val="50000"/>
                </a:schemeClr>
              </a:contourClr>
            </a:sp3d>
          </c:spPr>
          <c:invertIfNegative val="0"/>
          <c:cat>
            <c:numRef>
              <c:f>investment!$K$4:$O$4</c:f>
              <c:numCache>
                <c:formatCode>General</c:formatCode>
                <c:ptCount val="5"/>
                <c:pt idx="0">
                  <c:v>2024</c:v>
                </c:pt>
                <c:pt idx="1">
                  <c:v>2023</c:v>
                </c:pt>
                <c:pt idx="2">
                  <c:v>2022</c:v>
                </c:pt>
                <c:pt idx="3">
                  <c:v>2021</c:v>
                </c:pt>
                <c:pt idx="4">
                  <c:v>2020</c:v>
                </c:pt>
              </c:numCache>
            </c:numRef>
          </c:cat>
          <c:val>
            <c:numRef>
              <c:f>investment!$K$6:$O$6</c:f>
              <c:numCache>
                <c:formatCode>0.00</c:formatCode>
                <c:ptCount val="5"/>
                <c:pt idx="0">
                  <c:v>-1.8542325796743575</c:v>
                </c:pt>
                <c:pt idx="1">
                  <c:v>-7.6420070011668608</c:v>
                </c:pt>
                <c:pt idx="2">
                  <c:v>3.2039675667165236E-2</c:v>
                </c:pt>
                <c:pt idx="3">
                  <c:v>0.39368733754177498</c:v>
                </c:pt>
                <c:pt idx="4">
                  <c:v>2.77636219678975</c:v>
                </c:pt>
              </c:numCache>
            </c:numRef>
          </c:val>
          <c:extLst>
            <c:ext xmlns:c16="http://schemas.microsoft.com/office/drawing/2014/chart" uri="{C3380CC4-5D6E-409C-BE32-E72D297353CC}">
              <c16:uniqueId val="{00000001-4A7D-40AE-BBB2-2BA872C7C93C}"/>
            </c:ext>
          </c:extLst>
        </c:ser>
        <c:dLbls>
          <c:showLegendKey val="0"/>
          <c:showVal val="0"/>
          <c:showCatName val="0"/>
          <c:showSerName val="0"/>
          <c:showPercent val="0"/>
          <c:showBubbleSize val="0"/>
        </c:dLbls>
        <c:gapWidth val="84"/>
        <c:gapDepth val="53"/>
        <c:shape val="box"/>
        <c:axId val="1460247823"/>
        <c:axId val="1460255503"/>
        <c:axId val="0"/>
      </c:bar3DChart>
      <c:catAx>
        <c:axId val="14602478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460255503"/>
        <c:crosses val="autoZero"/>
        <c:auto val="1"/>
        <c:lblAlgn val="ctr"/>
        <c:lblOffset val="100"/>
        <c:noMultiLvlLbl val="0"/>
      </c:catAx>
      <c:valAx>
        <c:axId val="1460255503"/>
        <c:scaling>
          <c:orientation val="minMax"/>
        </c:scaling>
        <c:delete val="1"/>
        <c:axPos val="l"/>
        <c:numFmt formatCode="0.00%" sourceLinked="1"/>
        <c:majorTickMark val="out"/>
        <c:minorTickMark val="none"/>
        <c:tickLblPos val="nextTo"/>
        <c:crossAx val="1460247823"/>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Cash flows</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'cash flows'!$J$5</c:f>
              <c:strCache>
                <c:ptCount val="1"/>
                <c:pt idx="0">
                  <c:v>Operating cash flow ratio</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'cash flows'!$K$4:$O$4</c:f>
              <c:numCache>
                <c:formatCode>General</c:formatCode>
                <c:ptCount val="5"/>
                <c:pt idx="0">
                  <c:v>2024</c:v>
                </c:pt>
                <c:pt idx="1">
                  <c:v>2023</c:v>
                </c:pt>
                <c:pt idx="2">
                  <c:v>2022</c:v>
                </c:pt>
                <c:pt idx="3">
                  <c:v>2021</c:v>
                </c:pt>
                <c:pt idx="4">
                  <c:v>2020</c:v>
                </c:pt>
              </c:numCache>
            </c:numRef>
          </c:cat>
          <c:val>
            <c:numRef>
              <c:f>'cash flows'!$K$5:$O$5</c:f>
              <c:numCache>
                <c:formatCode>0.000</c:formatCode>
                <c:ptCount val="5"/>
                <c:pt idx="0">
                  <c:v>9.3637667334213567E-2</c:v>
                </c:pt>
                <c:pt idx="1">
                  <c:v>0.15631593317943754</c:v>
                </c:pt>
                <c:pt idx="2">
                  <c:v>5.0472807232310728E-2</c:v>
                </c:pt>
                <c:pt idx="3">
                  <c:v>0.18581833781545942</c:v>
                </c:pt>
                <c:pt idx="4">
                  <c:v>0.40884630382708487</c:v>
                </c:pt>
              </c:numCache>
            </c:numRef>
          </c:val>
          <c:extLst>
            <c:ext xmlns:c16="http://schemas.microsoft.com/office/drawing/2014/chart" uri="{C3380CC4-5D6E-409C-BE32-E72D297353CC}">
              <c16:uniqueId val="{00000000-F8B3-4F10-A302-3073EB887107}"/>
            </c:ext>
          </c:extLst>
        </c:ser>
        <c:ser>
          <c:idx val="1"/>
          <c:order val="1"/>
          <c:tx>
            <c:strRef>
              <c:f>'cash flows'!$J$6</c:f>
              <c:strCache>
                <c:ptCount val="1"/>
                <c:pt idx="0">
                  <c:v>Cash flow margin</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chemeClr val="accent4">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'cash flows'!$K$4:$O$4</c:f>
              <c:numCache>
                <c:formatCode>General</c:formatCode>
                <c:ptCount val="5"/>
                <c:pt idx="0">
                  <c:v>2024</c:v>
                </c:pt>
                <c:pt idx="1">
                  <c:v>2023</c:v>
                </c:pt>
                <c:pt idx="2">
                  <c:v>2022</c:v>
                </c:pt>
                <c:pt idx="3">
                  <c:v>2021</c:v>
                </c:pt>
                <c:pt idx="4">
                  <c:v>2020</c:v>
                </c:pt>
              </c:numCache>
            </c:numRef>
          </c:cat>
          <c:val>
            <c:numRef>
              <c:f>'cash flows'!$K$6:$O$6</c:f>
              <c:numCache>
                <c:formatCode>0.00%</c:formatCode>
                <c:ptCount val="5"/>
                <c:pt idx="0">
                  <c:v>3.7535548864335661E-2</c:v>
                </c:pt>
                <c:pt idx="1">
                  <c:v>5.9911001600639308E-2</c:v>
                </c:pt>
                <c:pt idx="2">
                  <c:v>2.0130778202159E-2</c:v>
                </c:pt>
                <c:pt idx="3">
                  <c:v>6.6959551331278816E-2</c:v>
                </c:pt>
                <c:pt idx="4">
                  <c:v>0.11939871152469578</c:v>
                </c:pt>
              </c:numCache>
            </c:numRef>
          </c:val>
          <c:extLst>
            <c:ext xmlns:c16="http://schemas.microsoft.com/office/drawing/2014/chart" uri="{C3380CC4-5D6E-409C-BE32-E72D297353CC}">
              <c16:uniqueId val="{00000001-F8B3-4F10-A302-3073EB887107}"/>
            </c:ext>
          </c:extLst>
        </c:ser>
        <c:dLbls>
          <c:showLegendKey val="0"/>
          <c:showVal val="1"/>
          <c:showCatName val="0"/>
          <c:showSerName val="0"/>
          <c:showPercent val="0"/>
          <c:showBubbleSize val="0"/>
        </c:dLbls>
        <c:gapWidth val="84"/>
        <c:gapDepth val="53"/>
        <c:shape val="box"/>
        <c:axId val="1460260783"/>
        <c:axId val="1460266063"/>
        <c:axId val="0"/>
      </c:bar3DChart>
      <c:catAx>
        <c:axId val="14602607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460266063"/>
        <c:crosses val="autoZero"/>
        <c:auto val="1"/>
        <c:lblAlgn val="ctr"/>
        <c:lblOffset val="100"/>
        <c:noMultiLvlLbl val="0"/>
      </c:catAx>
      <c:valAx>
        <c:axId val="1460266063"/>
        <c:scaling>
          <c:orientation val="minMax"/>
        </c:scaling>
        <c:delete val="1"/>
        <c:axPos val="l"/>
        <c:numFmt formatCode="0.000" sourceLinked="1"/>
        <c:majorTickMark val="out"/>
        <c:minorTickMark val="none"/>
        <c:tickLblPos val="nextTo"/>
        <c:crossAx val="1460260783"/>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'cash operating cycle'!$J$5</c:f>
              <c:strCache>
                <c:ptCount val="1"/>
                <c:pt idx="0">
                  <c:v>Cash operating cycle</c:v>
                </c:pt>
              </c:strCache>
            </c:strRef>
          </c:tx>
          <c:spPr>
            <a:ln w="22225" cap="rnd">
              <a:solidFill>
                <a:schemeClr val="accent6"/>
              </a:solidFill>
              <a:round/>
            </a:ln>
            <a:effectLst/>
          </c:spPr>
          <c:marker>
            <c:symbol val="diamond"/>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operating cycle'!$K$4:$O$4</c:f>
              <c:numCache>
                <c:formatCode>General</c:formatCode>
                <c:ptCount val="5"/>
                <c:pt idx="0">
                  <c:v>2024</c:v>
                </c:pt>
                <c:pt idx="1">
                  <c:v>2023</c:v>
                </c:pt>
                <c:pt idx="2">
                  <c:v>2022</c:v>
                </c:pt>
                <c:pt idx="3">
                  <c:v>2021</c:v>
                </c:pt>
                <c:pt idx="4">
                  <c:v>2020</c:v>
                </c:pt>
              </c:numCache>
            </c:numRef>
          </c:cat>
          <c:val>
            <c:numRef>
              <c:f>'cash operating cycle'!$K$5:$O$5</c:f>
              <c:numCache>
                <c:formatCode>0</c:formatCode>
                <c:ptCount val="5"/>
                <c:pt idx="0">
                  <c:v>115.05955579363707</c:v>
                </c:pt>
                <c:pt idx="1">
                  <c:v>133.05835804253189</c:v>
                </c:pt>
                <c:pt idx="2">
                  <c:v>139.87420444488413</c:v>
                </c:pt>
                <c:pt idx="3">
                  <c:v>113.96256716966805</c:v>
                </c:pt>
                <c:pt idx="4">
                  <c:v>107.82880289513614</c:v>
                </c:pt>
              </c:numCache>
            </c:numRef>
          </c:val>
          <c:smooth val="0"/>
          <c:extLst>
            <c:ext xmlns:c16="http://schemas.microsoft.com/office/drawing/2014/chart" uri="{C3380CC4-5D6E-409C-BE32-E72D297353CC}">
              <c16:uniqueId val="{00000000-52C7-49ED-9A20-17206EDFEAFD}"/>
            </c:ext>
          </c:extLst>
        </c:ser>
        <c:dLbls>
          <c:dLblPos val="t"/>
          <c:showLegendKey val="0"/>
          <c:showVal val="1"/>
          <c:showCatName val="0"/>
          <c:showSerName val="0"/>
          <c:showPercent val="0"/>
          <c:showBubbleSize val="0"/>
        </c:dLbls>
        <c:marker val="1"/>
        <c:smooth val="0"/>
        <c:axId val="1460268463"/>
        <c:axId val="1460264623"/>
      </c:lineChart>
      <c:catAx>
        <c:axId val="14602684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60264623"/>
        <c:crosses val="autoZero"/>
        <c:auto val="1"/>
        <c:lblAlgn val="ctr"/>
        <c:lblOffset val="100"/>
        <c:noMultiLvlLbl val="0"/>
      </c:catAx>
      <c:valAx>
        <c:axId val="1460264623"/>
        <c:scaling>
          <c:orientation val="minMax"/>
        </c:scaling>
        <c:delete val="0"/>
        <c:axPos val="l"/>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026846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5">
  <a:schemeClr val="accent2"/>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5.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6.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A6A980-47C5-43AE-8378-6A2AE2900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6629</Words>
  <Characters>37787</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jaivin kaklotar</dc:creator>
  <cp:keywords/>
  <dc:description/>
  <cp:lastModifiedBy>jaivin kaklotar</cp:lastModifiedBy>
  <cp:revision>2</cp:revision>
  <dcterms:created xsi:type="dcterms:W3CDTF">2025-12-01T00:40:00Z</dcterms:created>
  <dcterms:modified xsi:type="dcterms:W3CDTF">2025-12-01T00:40:00Z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bbc305b8-1648-4ec5-8386-369395365730</vt:lpwstr>
  </property>
</Properties>
</file>