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07993" w14:textId="77777777" w:rsidR="000C4B08" w:rsidRPr="00FF7222" w:rsidRDefault="000C4B08" w:rsidP="000C4B08">
      <w:pPr>
        <w:pStyle w:val="TOCHeading"/>
        <w:spacing w:line="360" w:lineRule="auto"/>
        <w:jc w:val="center"/>
        <w:rPr>
          <w:rFonts w:ascii="Arial" w:hAnsi="Arial" w:cs="Arial"/>
          <w:b/>
          <w:bCs/>
          <w:color w:val="auto"/>
          <w:sz w:val="22"/>
          <w:szCs w:val="22"/>
          <w:lang w:val="en-GB"/>
        </w:rPr>
      </w:pPr>
    </w:p>
    <w:p w14:paraId="4394F08B" w14:textId="77777777" w:rsidR="000C4B08" w:rsidRPr="00FF7222" w:rsidRDefault="000C4B08" w:rsidP="000C4B08">
      <w:pPr>
        <w:pStyle w:val="TOCHeading"/>
        <w:spacing w:line="360" w:lineRule="auto"/>
        <w:jc w:val="center"/>
        <w:rPr>
          <w:rFonts w:ascii="Arial" w:hAnsi="Arial" w:cs="Arial"/>
          <w:b/>
          <w:bCs/>
          <w:color w:val="auto"/>
          <w:sz w:val="22"/>
          <w:szCs w:val="22"/>
          <w:lang w:val="en-GB"/>
        </w:rPr>
      </w:pPr>
    </w:p>
    <w:p w14:paraId="43DCCCCD" w14:textId="77777777" w:rsidR="000C4B08" w:rsidRPr="00FF7222" w:rsidRDefault="000C4B08" w:rsidP="000C4B08">
      <w:pPr>
        <w:pStyle w:val="TOCHeading"/>
        <w:spacing w:line="360" w:lineRule="auto"/>
        <w:jc w:val="center"/>
        <w:rPr>
          <w:rFonts w:ascii="Arial" w:hAnsi="Arial" w:cs="Arial"/>
          <w:b/>
          <w:bCs/>
          <w:color w:val="auto"/>
          <w:sz w:val="22"/>
          <w:szCs w:val="22"/>
          <w:lang w:val="en-GB"/>
        </w:rPr>
      </w:pPr>
    </w:p>
    <w:p w14:paraId="08A9B92E" w14:textId="77777777" w:rsidR="000C4B08" w:rsidRPr="00FF7222" w:rsidRDefault="000C4B08" w:rsidP="000C4B08">
      <w:pPr>
        <w:spacing w:line="360" w:lineRule="auto"/>
        <w:ind w:firstLine="720"/>
        <w:rPr>
          <w:rFonts w:ascii="Arial" w:hAnsi="Arial" w:cs="Arial"/>
        </w:rPr>
      </w:pPr>
      <w:r w:rsidRPr="00FF7222">
        <w:rPr>
          <w:rFonts w:ascii="Arial" w:hAnsi="Arial" w:cs="Arial"/>
          <w:noProof/>
        </w:rPr>
        <w:drawing>
          <wp:inline distT="0" distB="0" distL="0" distR="0" wp14:anchorId="0034F254" wp14:editId="0A414228">
            <wp:extent cx="3098800" cy="2266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0C4B08" w:rsidRPr="00FF7222" w14:paraId="5BD590B6" w14:textId="77777777" w:rsidTr="006A4537">
        <w:trPr>
          <w:trHeight w:val="489"/>
        </w:trPr>
        <w:tc>
          <w:tcPr>
            <w:tcW w:w="4508" w:type="dxa"/>
          </w:tcPr>
          <w:p w14:paraId="7231D1FB" w14:textId="77777777" w:rsidR="000C4B08" w:rsidRPr="00FF7222" w:rsidRDefault="000C4B08" w:rsidP="006A4537">
            <w:pPr>
              <w:spacing w:line="360" w:lineRule="auto"/>
              <w:rPr>
                <w:rFonts w:ascii="Arial" w:hAnsi="Arial" w:cs="Arial"/>
              </w:rPr>
            </w:pPr>
            <w:r w:rsidRPr="00FF7222">
              <w:rPr>
                <w:rFonts w:ascii="Arial" w:hAnsi="Arial" w:cs="Arial"/>
              </w:rPr>
              <w:t>Student Name</w:t>
            </w:r>
          </w:p>
        </w:tc>
        <w:tc>
          <w:tcPr>
            <w:tcW w:w="4508" w:type="dxa"/>
          </w:tcPr>
          <w:p w14:paraId="7C5173D4" w14:textId="77777777" w:rsidR="000C4B08" w:rsidRPr="00FF7222" w:rsidRDefault="000C4B08" w:rsidP="006A4537">
            <w:pPr>
              <w:spacing w:line="360" w:lineRule="auto"/>
              <w:rPr>
                <w:rFonts w:ascii="Arial" w:hAnsi="Arial" w:cs="Arial"/>
              </w:rPr>
            </w:pPr>
            <w:r w:rsidRPr="00FF7222">
              <w:rPr>
                <w:rFonts w:ascii="Arial" w:hAnsi="Arial" w:cs="Arial"/>
              </w:rPr>
              <w:t>Gladys Appiah-Kubi</w:t>
            </w:r>
          </w:p>
        </w:tc>
      </w:tr>
      <w:tr w:rsidR="000C4B08" w:rsidRPr="00FF7222" w14:paraId="5D35EEC0" w14:textId="77777777" w:rsidTr="006A4537">
        <w:trPr>
          <w:trHeight w:val="492"/>
        </w:trPr>
        <w:tc>
          <w:tcPr>
            <w:tcW w:w="4508" w:type="dxa"/>
          </w:tcPr>
          <w:p w14:paraId="2B1D8A55" w14:textId="77777777" w:rsidR="000C4B08" w:rsidRPr="00FF7222" w:rsidRDefault="000C4B08" w:rsidP="006A4537">
            <w:pPr>
              <w:spacing w:line="360" w:lineRule="auto"/>
              <w:rPr>
                <w:rFonts w:ascii="Arial" w:hAnsi="Arial" w:cs="Arial"/>
              </w:rPr>
            </w:pPr>
            <w:r w:rsidRPr="00FF7222">
              <w:rPr>
                <w:rFonts w:ascii="Arial" w:hAnsi="Arial" w:cs="Arial"/>
              </w:rPr>
              <w:t>Student Number</w:t>
            </w:r>
          </w:p>
        </w:tc>
        <w:tc>
          <w:tcPr>
            <w:tcW w:w="4508" w:type="dxa"/>
          </w:tcPr>
          <w:p w14:paraId="2750AE28" w14:textId="77777777" w:rsidR="000C4B08" w:rsidRPr="00FF7222" w:rsidRDefault="000C4B08" w:rsidP="006A4537">
            <w:pPr>
              <w:spacing w:line="360" w:lineRule="auto"/>
              <w:rPr>
                <w:rFonts w:ascii="Arial" w:hAnsi="Arial" w:cs="Arial"/>
              </w:rPr>
            </w:pPr>
            <w:r w:rsidRPr="00FF7222">
              <w:rPr>
                <w:rFonts w:ascii="Arial" w:hAnsi="Arial" w:cs="Arial"/>
              </w:rPr>
              <w:t>1813887</w:t>
            </w:r>
          </w:p>
        </w:tc>
      </w:tr>
      <w:tr w:rsidR="000C4B08" w:rsidRPr="00FF7222" w14:paraId="3FF685F7" w14:textId="77777777" w:rsidTr="006A4537">
        <w:trPr>
          <w:trHeight w:val="511"/>
        </w:trPr>
        <w:tc>
          <w:tcPr>
            <w:tcW w:w="4508" w:type="dxa"/>
          </w:tcPr>
          <w:p w14:paraId="79151AC2" w14:textId="77777777" w:rsidR="000C4B08" w:rsidRPr="00FF7222" w:rsidRDefault="000C4B08" w:rsidP="006A4537">
            <w:pPr>
              <w:spacing w:line="360" w:lineRule="auto"/>
              <w:rPr>
                <w:rFonts w:ascii="Arial" w:hAnsi="Arial" w:cs="Arial"/>
              </w:rPr>
            </w:pPr>
            <w:r w:rsidRPr="00FF7222">
              <w:rPr>
                <w:rFonts w:ascii="Arial" w:hAnsi="Arial" w:cs="Arial"/>
              </w:rPr>
              <w:t xml:space="preserve">Programme </w:t>
            </w:r>
          </w:p>
        </w:tc>
        <w:tc>
          <w:tcPr>
            <w:tcW w:w="4508" w:type="dxa"/>
          </w:tcPr>
          <w:p w14:paraId="39B06A9B" w14:textId="77777777" w:rsidR="000C4B08" w:rsidRPr="00FF7222" w:rsidRDefault="000C4B08" w:rsidP="006A4537">
            <w:pPr>
              <w:spacing w:line="360" w:lineRule="auto"/>
              <w:rPr>
                <w:rFonts w:ascii="Arial" w:hAnsi="Arial" w:cs="Arial"/>
              </w:rPr>
            </w:pPr>
            <w:r w:rsidRPr="00FF7222">
              <w:rPr>
                <w:rFonts w:ascii="Arial" w:hAnsi="Arial" w:cs="Arial"/>
              </w:rPr>
              <w:t>BSc Health and Social Care</w:t>
            </w:r>
          </w:p>
        </w:tc>
      </w:tr>
      <w:tr w:rsidR="000C4B08" w:rsidRPr="00FF7222" w14:paraId="7C3A2E9E" w14:textId="77777777" w:rsidTr="006A4537">
        <w:trPr>
          <w:trHeight w:val="511"/>
        </w:trPr>
        <w:tc>
          <w:tcPr>
            <w:tcW w:w="4508" w:type="dxa"/>
          </w:tcPr>
          <w:p w14:paraId="6F7E1D69" w14:textId="77777777" w:rsidR="000C4B08" w:rsidRPr="00FF7222" w:rsidRDefault="000C4B08" w:rsidP="006A4537">
            <w:pPr>
              <w:spacing w:line="360" w:lineRule="auto"/>
              <w:rPr>
                <w:rFonts w:ascii="Arial" w:hAnsi="Arial" w:cs="Arial"/>
              </w:rPr>
            </w:pPr>
            <w:r w:rsidRPr="00FF7222">
              <w:rPr>
                <w:rFonts w:ascii="Arial" w:hAnsi="Arial" w:cs="Arial"/>
              </w:rPr>
              <w:t>Module Title</w:t>
            </w:r>
          </w:p>
        </w:tc>
        <w:tc>
          <w:tcPr>
            <w:tcW w:w="4508" w:type="dxa"/>
          </w:tcPr>
          <w:p w14:paraId="543B2653" w14:textId="77777777" w:rsidR="000C4B08" w:rsidRPr="00FF7222" w:rsidRDefault="000C4B08" w:rsidP="006A4537">
            <w:pPr>
              <w:spacing w:line="360" w:lineRule="auto"/>
              <w:rPr>
                <w:rFonts w:ascii="Arial" w:hAnsi="Arial" w:cs="Arial"/>
              </w:rPr>
            </w:pPr>
            <w:r w:rsidRPr="00FF7222">
              <w:rPr>
                <w:rFonts w:ascii="Arial" w:hAnsi="Arial" w:cs="Arial"/>
              </w:rPr>
              <w:t>Health, Wellbeing and Sustainable Development</w:t>
            </w:r>
          </w:p>
        </w:tc>
      </w:tr>
      <w:tr w:rsidR="000C4B08" w:rsidRPr="00FF7222" w14:paraId="386EC0CC" w14:textId="77777777" w:rsidTr="006A4537">
        <w:trPr>
          <w:trHeight w:val="500"/>
        </w:trPr>
        <w:tc>
          <w:tcPr>
            <w:tcW w:w="4508" w:type="dxa"/>
          </w:tcPr>
          <w:p w14:paraId="5F1B55E3" w14:textId="77777777" w:rsidR="000C4B08" w:rsidRPr="00FF7222" w:rsidRDefault="000C4B08" w:rsidP="006A4537">
            <w:pPr>
              <w:spacing w:line="360" w:lineRule="auto"/>
              <w:rPr>
                <w:rFonts w:ascii="Arial" w:hAnsi="Arial" w:cs="Arial"/>
              </w:rPr>
            </w:pPr>
            <w:r w:rsidRPr="00FF7222">
              <w:rPr>
                <w:rFonts w:ascii="Arial" w:hAnsi="Arial" w:cs="Arial"/>
              </w:rPr>
              <w:t>Module Code</w:t>
            </w:r>
          </w:p>
        </w:tc>
        <w:tc>
          <w:tcPr>
            <w:tcW w:w="4508" w:type="dxa"/>
          </w:tcPr>
          <w:p w14:paraId="36BAD449" w14:textId="77777777" w:rsidR="000C4B08" w:rsidRPr="00FF7222" w:rsidRDefault="000C4B08" w:rsidP="006A4537">
            <w:pPr>
              <w:spacing w:line="360" w:lineRule="auto"/>
              <w:rPr>
                <w:rFonts w:ascii="Arial" w:hAnsi="Arial" w:cs="Arial"/>
              </w:rPr>
            </w:pPr>
            <w:r w:rsidRPr="00FF7222">
              <w:rPr>
                <w:rFonts w:ascii="Arial" w:hAnsi="Arial" w:cs="Arial"/>
              </w:rPr>
              <w:t>BMHP6021</w:t>
            </w:r>
          </w:p>
        </w:tc>
      </w:tr>
      <w:tr w:rsidR="000C4B08" w:rsidRPr="00FF7222" w14:paraId="126E6EB3" w14:textId="77777777" w:rsidTr="006A4537">
        <w:trPr>
          <w:trHeight w:val="519"/>
        </w:trPr>
        <w:tc>
          <w:tcPr>
            <w:tcW w:w="4508" w:type="dxa"/>
          </w:tcPr>
          <w:p w14:paraId="0BE72881" w14:textId="77777777" w:rsidR="000C4B08" w:rsidRPr="00FF7222" w:rsidRDefault="000C4B08" w:rsidP="006A4537">
            <w:pPr>
              <w:spacing w:line="360" w:lineRule="auto"/>
              <w:rPr>
                <w:rFonts w:ascii="Arial" w:hAnsi="Arial" w:cs="Arial"/>
              </w:rPr>
            </w:pPr>
            <w:r w:rsidRPr="00FF7222">
              <w:rPr>
                <w:rFonts w:ascii="Arial" w:hAnsi="Arial" w:cs="Arial"/>
              </w:rPr>
              <w:t>Word Count</w:t>
            </w:r>
          </w:p>
        </w:tc>
        <w:tc>
          <w:tcPr>
            <w:tcW w:w="4508" w:type="dxa"/>
          </w:tcPr>
          <w:p w14:paraId="3E09A0E6" w14:textId="77777777" w:rsidR="000C4B08" w:rsidRPr="00FF7222" w:rsidRDefault="000C4B08" w:rsidP="006A4537">
            <w:pPr>
              <w:spacing w:line="360" w:lineRule="auto"/>
              <w:rPr>
                <w:rFonts w:ascii="Arial" w:hAnsi="Arial" w:cs="Arial"/>
              </w:rPr>
            </w:pPr>
            <w:r w:rsidRPr="00FF7222">
              <w:rPr>
                <w:rFonts w:ascii="Arial" w:hAnsi="Arial" w:cs="Arial"/>
              </w:rPr>
              <w:t>4000 words (+/- 10%)</w:t>
            </w:r>
          </w:p>
        </w:tc>
      </w:tr>
      <w:tr w:rsidR="000C4B08" w:rsidRPr="00FF7222" w14:paraId="36701346" w14:textId="77777777" w:rsidTr="006A4537">
        <w:trPr>
          <w:trHeight w:val="522"/>
        </w:trPr>
        <w:tc>
          <w:tcPr>
            <w:tcW w:w="4508" w:type="dxa"/>
          </w:tcPr>
          <w:p w14:paraId="31998605" w14:textId="77777777" w:rsidR="000C4B08" w:rsidRPr="00FF7222" w:rsidRDefault="000C4B08" w:rsidP="006A4537">
            <w:pPr>
              <w:spacing w:line="360" w:lineRule="auto"/>
              <w:rPr>
                <w:rFonts w:ascii="Arial" w:hAnsi="Arial" w:cs="Arial"/>
              </w:rPr>
            </w:pPr>
            <w:r w:rsidRPr="00FF7222">
              <w:rPr>
                <w:rFonts w:ascii="Arial" w:hAnsi="Arial" w:cs="Arial"/>
              </w:rPr>
              <w:t>Lecturer Name</w:t>
            </w:r>
          </w:p>
        </w:tc>
        <w:tc>
          <w:tcPr>
            <w:tcW w:w="4508" w:type="dxa"/>
          </w:tcPr>
          <w:p w14:paraId="69B7421C" w14:textId="77777777" w:rsidR="000C4B08" w:rsidRPr="00FF7222" w:rsidRDefault="000C4B08" w:rsidP="006A4537">
            <w:pPr>
              <w:spacing w:line="360" w:lineRule="auto"/>
              <w:rPr>
                <w:rFonts w:ascii="Arial" w:hAnsi="Arial" w:cs="Arial"/>
              </w:rPr>
            </w:pPr>
          </w:p>
        </w:tc>
      </w:tr>
    </w:tbl>
    <w:p w14:paraId="04A03BE0" w14:textId="77777777" w:rsidR="000C4B08" w:rsidRPr="00FF7222" w:rsidRDefault="000C4B08" w:rsidP="000C4B08">
      <w:pPr>
        <w:spacing w:line="360" w:lineRule="auto"/>
        <w:rPr>
          <w:rFonts w:ascii="Arial" w:hAnsi="Arial" w:cs="Arial"/>
          <w:b/>
          <w:bCs/>
        </w:rPr>
      </w:pPr>
    </w:p>
    <w:p w14:paraId="1225B2E1" w14:textId="77777777" w:rsidR="000C4B08" w:rsidRPr="00FF7222" w:rsidRDefault="000C4B08" w:rsidP="000C4B08">
      <w:pPr>
        <w:pStyle w:val="TOCHeading"/>
        <w:spacing w:line="360" w:lineRule="auto"/>
        <w:rPr>
          <w:rFonts w:ascii="Arial" w:hAnsi="Arial" w:cs="Arial"/>
          <w:b/>
          <w:bCs/>
          <w:color w:val="auto"/>
          <w:sz w:val="22"/>
          <w:szCs w:val="22"/>
          <w:lang w:val="en-GB"/>
        </w:rPr>
      </w:pPr>
    </w:p>
    <w:p w14:paraId="4B4C258C" w14:textId="77777777" w:rsidR="000C4B08" w:rsidRPr="00FF7222" w:rsidRDefault="000C4B08" w:rsidP="000C4B08">
      <w:pPr>
        <w:rPr>
          <w:lang w:eastAsia="en-US"/>
        </w:rPr>
      </w:pPr>
    </w:p>
    <w:p w14:paraId="43495476" w14:textId="77777777" w:rsidR="000C4B08" w:rsidRPr="00FF7222" w:rsidRDefault="000C4B08" w:rsidP="000C4B08">
      <w:pPr>
        <w:rPr>
          <w:lang w:eastAsia="en-US"/>
        </w:rPr>
      </w:pPr>
    </w:p>
    <w:p w14:paraId="56480DAE" w14:textId="03B8A29D" w:rsidR="000C4B08" w:rsidRPr="00FF7222" w:rsidRDefault="000C4B08" w:rsidP="00FF7222">
      <w:pPr>
        <w:widowControl w:val="0"/>
        <w:tabs>
          <w:tab w:val="left" w:pos="3960"/>
        </w:tabs>
        <w:autoSpaceDE w:val="0"/>
        <w:autoSpaceDN w:val="0"/>
        <w:adjustRightInd w:val="0"/>
        <w:spacing w:after="200" w:line="480" w:lineRule="auto"/>
        <w:rPr>
          <w:rFonts w:ascii="Arial" w:hAnsi="Arial" w:cs="Arial"/>
          <w:b/>
          <w:bCs/>
        </w:rPr>
      </w:pPr>
    </w:p>
    <w:p w14:paraId="2541BA95" w14:textId="77777777" w:rsidR="000C4B08" w:rsidRPr="00FF7222" w:rsidRDefault="000C4B08" w:rsidP="000C4B08">
      <w:pPr>
        <w:widowControl w:val="0"/>
        <w:autoSpaceDE w:val="0"/>
        <w:autoSpaceDN w:val="0"/>
        <w:adjustRightInd w:val="0"/>
        <w:spacing w:after="200" w:line="480" w:lineRule="auto"/>
        <w:rPr>
          <w:rFonts w:ascii="Arial" w:hAnsi="Arial" w:cs="Arial"/>
          <w:b/>
          <w:bCs/>
        </w:rPr>
      </w:pPr>
    </w:p>
    <w:bookmarkStart w:id="0" w:name="_Toc80708573" w:displacedByCustomXml="next"/>
    <w:sdt>
      <w:sdtPr>
        <w:rPr>
          <w:rFonts w:asciiTheme="minorHAnsi" w:eastAsiaTheme="minorEastAsia" w:hAnsiTheme="minorHAnsi" w:cstheme="minorBidi"/>
          <w:color w:val="auto"/>
          <w:sz w:val="22"/>
          <w:szCs w:val="22"/>
          <w:lang w:val="en-GB" w:eastAsia="en-GB"/>
        </w:rPr>
        <w:id w:val="1671835557"/>
        <w:docPartObj>
          <w:docPartGallery w:val="Table of Contents"/>
          <w:docPartUnique/>
        </w:docPartObj>
      </w:sdtPr>
      <w:sdtEndPr>
        <w:rPr>
          <w:b/>
          <w:bCs/>
        </w:rPr>
      </w:sdtEndPr>
      <w:sdtContent>
        <w:p w14:paraId="6B580A17" w14:textId="3D39724C" w:rsidR="00FF7222" w:rsidRPr="00FF7222" w:rsidRDefault="00FF7222" w:rsidP="00FF7222">
          <w:pPr>
            <w:pStyle w:val="TOCHeading"/>
            <w:spacing w:line="360" w:lineRule="auto"/>
            <w:jc w:val="center"/>
            <w:rPr>
              <w:rFonts w:ascii="Arial" w:hAnsi="Arial" w:cs="Arial"/>
              <w:b/>
              <w:bCs/>
              <w:color w:val="auto"/>
              <w:sz w:val="22"/>
              <w:szCs w:val="22"/>
              <w:lang w:val="en-GB"/>
            </w:rPr>
          </w:pPr>
          <w:r w:rsidRPr="00FF7222">
            <w:rPr>
              <w:rFonts w:ascii="Arial" w:hAnsi="Arial" w:cs="Arial"/>
              <w:b/>
              <w:bCs/>
              <w:color w:val="auto"/>
              <w:sz w:val="22"/>
              <w:szCs w:val="22"/>
              <w:lang w:val="en-GB"/>
            </w:rPr>
            <w:t>Table of Contents</w:t>
          </w:r>
        </w:p>
        <w:p w14:paraId="699C8141" w14:textId="6C0C43AE" w:rsidR="00FF7222" w:rsidRPr="00FF7222" w:rsidRDefault="00FF7222" w:rsidP="00FF7222">
          <w:pPr>
            <w:pStyle w:val="TOC1"/>
            <w:tabs>
              <w:tab w:val="right" w:leader="dot" w:pos="9350"/>
            </w:tabs>
            <w:spacing w:line="360" w:lineRule="auto"/>
            <w:rPr>
              <w:rFonts w:ascii="Arial" w:hAnsi="Arial" w:cs="Arial"/>
            </w:rPr>
          </w:pPr>
          <w:r w:rsidRPr="00FF7222">
            <w:rPr>
              <w:rFonts w:ascii="Arial" w:hAnsi="Arial" w:cs="Arial"/>
            </w:rPr>
            <w:fldChar w:fldCharType="begin"/>
          </w:r>
          <w:r w:rsidRPr="00FF7222">
            <w:rPr>
              <w:rFonts w:ascii="Arial" w:hAnsi="Arial" w:cs="Arial"/>
            </w:rPr>
            <w:instrText xml:space="preserve"> TOC \o "1-3" \h \z \u </w:instrText>
          </w:r>
          <w:r w:rsidRPr="00FF7222">
            <w:rPr>
              <w:rFonts w:ascii="Arial" w:hAnsi="Arial" w:cs="Arial"/>
            </w:rPr>
            <w:fldChar w:fldCharType="separate"/>
          </w:r>
          <w:hyperlink w:anchor="_Toc80710100" w:history="1">
            <w:r w:rsidRPr="00FF7222">
              <w:rPr>
                <w:rStyle w:val="Hyperlink"/>
                <w:rFonts w:ascii="Arial" w:hAnsi="Arial" w:cs="Arial"/>
              </w:rPr>
              <w:t>Sustainable Development Goals (SDGs)</w:t>
            </w:r>
            <w:r w:rsidRPr="00FF7222">
              <w:rPr>
                <w:rFonts w:ascii="Arial" w:hAnsi="Arial" w:cs="Arial"/>
                <w:webHidden/>
              </w:rPr>
              <w:tab/>
            </w:r>
            <w:r w:rsidRPr="00FF7222">
              <w:rPr>
                <w:rFonts w:ascii="Arial" w:hAnsi="Arial" w:cs="Arial"/>
                <w:webHidden/>
              </w:rPr>
              <w:fldChar w:fldCharType="begin"/>
            </w:r>
            <w:r w:rsidRPr="00FF7222">
              <w:rPr>
                <w:rFonts w:ascii="Arial" w:hAnsi="Arial" w:cs="Arial"/>
                <w:webHidden/>
              </w:rPr>
              <w:instrText xml:space="preserve"> PAGEREF _Toc80710100 \h </w:instrText>
            </w:r>
            <w:r w:rsidRPr="00FF7222">
              <w:rPr>
                <w:rFonts w:ascii="Arial" w:hAnsi="Arial" w:cs="Arial"/>
                <w:webHidden/>
              </w:rPr>
            </w:r>
            <w:r w:rsidRPr="00FF7222">
              <w:rPr>
                <w:rFonts w:ascii="Arial" w:hAnsi="Arial" w:cs="Arial"/>
                <w:webHidden/>
              </w:rPr>
              <w:fldChar w:fldCharType="separate"/>
            </w:r>
            <w:r w:rsidRPr="00FF7222">
              <w:rPr>
                <w:rFonts w:ascii="Arial" w:hAnsi="Arial" w:cs="Arial"/>
                <w:webHidden/>
              </w:rPr>
              <w:t>4</w:t>
            </w:r>
            <w:r w:rsidRPr="00FF7222">
              <w:rPr>
                <w:rFonts w:ascii="Arial" w:hAnsi="Arial" w:cs="Arial"/>
                <w:webHidden/>
              </w:rPr>
              <w:fldChar w:fldCharType="end"/>
            </w:r>
          </w:hyperlink>
        </w:p>
        <w:p w14:paraId="34177B1F" w14:textId="238BE99A" w:rsidR="00FF7222" w:rsidRPr="00FF7222" w:rsidRDefault="0031085C" w:rsidP="00FF7222">
          <w:pPr>
            <w:pStyle w:val="TOC1"/>
            <w:tabs>
              <w:tab w:val="right" w:leader="dot" w:pos="9350"/>
            </w:tabs>
            <w:spacing w:line="360" w:lineRule="auto"/>
            <w:rPr>
              <w:rFonts w:ascii="Arial" w:hAnsi="Arial" w:cs="Arial"/>
            </w:rPr>
          </w:pPr>
          <w:hyperlink w:anchor="_Toc80710101" w:history="1">
            <w:r w:rsidR="00FF7222" w:rsidRPr="00FF7222">
              <w:rPr>
                <w:rStyle w:val="Hyperlink"/>
                <w:rFonts w:ascii="Arial" w:hAnsi="Arial" w:cs="Arial"/>
              </w:rPr>
              <w:t>Introduction</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_Toc80710101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4</w:t>
            </w:r>
            <w:r w:rsidR="00FF7222" w:rsidRPr="00FF7222">
              <w:rPr>
                <w:rFonts w:ascii="Arial" w:hAnsi="Arial" w:cs="Arial"/>
                <w:webHidden/>
              </w:rPr>
              <w:fldChar w:fldCharType="end"/>
            </w:r>
          </w:hyperlink>
        </w:p>
        <w:p w14:paraId="03DB2C4E" w14:textId="5393453D" w:rsidR="00FF7222" w:rsidRPr="00FF7222" w:rsidRDefault="0031085C" w:rsidP="00FF7222">
          <w:pPr>
            <w:pStyle w:val="TOC1"/>
            <w:tabs>
              <w:tab w:val="right" w:leader="dot" w:pos="9350"/>
            </w:tabs>
            <w:spacing w:line="360" w:lineRule="auto"/>
            <w:rPr>
              <w:rFonts w:ascii="Arial" w:hAnsi="Arial" w:cs="Arial"/>
            </w:rPr>
          </w:pPr>
          <w:hyperlink w:anchor="_Toc80710102" w:history="1">
            <w:r w:rsidR="00FF7222" w:rsidRPr="00FF7222">
              <w:rPr>
                <w:rStyle w:val="Hyperlink"/>
                <w:rFonts w:ascii="Arial" w:hAnsi="Arial" w:cs="Arial"/>
              </w:rPr>
              <w:t>2a. Definitions of Terms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_Toc80710102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4</w:t>
            </w:r>
            <w:r w:rsidR="00FF7222" w:rsidRPr="00FF7222">
              <w:rPr>
                <w:rFonts w:ascii="Arial" w:hAnsi="Arial" w:cs="Arial"/>
                <w:webHidden/>
              </w:rPr>
              <w:fldChar w:fldCharType="end"/>
            </w:r>
          </w:hyperlink>
        </w:p>
        <w:p w14:paraId="0A3F7039" w14:textId="0B360ED2" w:rsidR="00FF7222" w:rsidRPr="00FF7222" w:rsidRDefault="0031085C" w:rsidP="00FF7222">
          <w:pPr>
            <w:pStyle w:val="TOC1"/>
            <w:tabs>
              <w:tab w:val="right" w:leader="dot" w:pos="9350"/>
            </w:tabs>
            <w:spacing w:line="360" w:lineRule="auto"/>
            <w:rPr>
              <w:rFonts w:ascii="Arial" w:hAnsi="Arial" w:cs="Arial"/>
            </w:rPr>
          </w:pPr>
          <w:hyperlink w:anchor="_Toc80710103" w:history="1">
            <w:r w:rsidR="00FF7222" w:rsidRPr="00FF7222">
              <w:rPr>
                <w:rStyle w:val="Hyperlink"/>
                <w:rFonts w:ascii="Arial" w:hAnsi="Arial" w:cs="Arial"/>
              </w:rPr>
              <w:t>2b. 17 Sustainable Development Goals (SDGs)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_Toc80710103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5</w:t>
            </w:r>
            <w:r w:rsidR="00FF7222" w:rsidRPr="00FF7222">
              <w:rPr>
                <w:rFonts w:ascii="Arial" w:hAnsi="Arial" w:cs="Arial"/>
                <w:webHidden/>
              </w:rPr>
              <w:fldChar w:fldCharType="end"/>
            </w:r>
          </w:hyperlink>
        </w:p>
        <w:p w14:paraId="3EC103EA" w14:textId="2F6A78DE" w:rsidR="00FF7222" w:rsidRPr="00FF7222" w:rsidRDefault="0031085C" w:rsidP="00FF7222">
          <w:pPr>
            <w:pStyle w:val="TOC2"/>
            <w:tabs>
              <w:tab w:val="right" w:leader="dot" w:pos="9350"/>
            </w:tabs>
            <w:spacing w:line="360" w:lineRule="auto"/>
            <w:rPr>
              <w:rFonts w:ascii="Arial" w:hAnsi="Arial" w:cs="Arial"/>
            </w:rPr>
          </w:pPr>
          <w:hyperlink w:anchor="_Toc80710104" w:history="1">
            <w:r w:rsidR="00FF7222" w:rsidRPr="00FF7222">
              <w:rPr>
                <w:rStyle w:val="Hyperlink"/>
                <w:rFonts w:ascii="Arial" w:hAnsi="Arial" w:cs="Arial"/>
              </w:rPr>
              <w:t>Goal 1: No Poverty</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_Toc80710104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5</w:t>
            </w:r>
            <w:r w:rsidR="00FF7222" w:rsidRPr="00FF7222">
              <w:rPr>
                <w:rFonts w:ascii="Arial" w:hAnsi="Arial" w:cs="Arial"/>
                <w:webHidden/>
              </w:rPr>
              <w:fldChar w:fldCharType="end"/>
            </w:r>
          </w:hyperlink>
        </w:p>
        <w:p w14:paraId="0DBFED3F" w14:textId="31340332" w:rsidR="00FF7222" w:rsidRPr="00FF7222" w:rsidRDefault="0031085C" w:rsidP="00FF7222">
          <w:pPr>
            <w:pStyle w:val="TOC2"/>
            <w:tabs>
              <w:tab w:val="right" w:leader="dot" w:pos="9350"/>
            </w:tabs>
            <w:spacing w:line="360" w:lineRule="auto"/>
            <w:rPr>
              <w:rFonts w:ascii="Arial" w:hAnsi="Arial" w:cs="Arial"/>
            </w:rPr>
          </w:pPr>
          <w:hyperlink w:anchor="_Toc80710105" w:history="1">
            <w:r w:rsidR="00FF7222" w:rsidRPr="00FF7222">
              <w:rPr>
                <w:rStyle w:val="Hyperlink"/>
                <w:rFonts w:ascii="Arial" w:hAnsi="Arial" w:cs="Arial"/>
              </w:rPr>
              <w:t>Goal 2: Zero Hunger</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_Toc80710105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5</w:t>
            </w:r>
            <w:r w:rsidR="00FF7222" w:rsidRPr="00FF7222">
              <w:rPr>
                <w:rFonts w:ascii="Arial" w:hAnsi="Arial" w:cs="Arial"/>
                <w:webHidden/>
              </w:rPr>
              <w:fldChar w:fldCharType="end"/>
            </w:r>
          </w:hyperlink>
        </w:p>
        <w:p w14:paraId="16FD3712" w14:textId="384F9069" w:rsidR="00FF7222" w:rsidRPr="00FF7222" w:rsidRDefault="0031085C" w:rsidP="00FF7222">
          <w:pPr>
            <w:pStyle w:val="TOC2"/>
            <w:tabs>
              <w:tab w:val="right" w:leader="dot" w:pos="9350"/>
            </w:tabs>
            <w:spacing w:line="360" w:lineRule="auto"/>
            <w:rPr>
              <w:rFonts w:ascii="Arial" w:hAnsi="Arial" w:cs="Arial"/>
            </w:rPr>
          </w:pPr>
          <w:hyperlink w:anchor="_Toc80710106" w:history="1">
            <w:r w:rsidR="00FF7222" w:rsidRPr="00FF7222">
              <w:rPr>
                <w:rStyle w:val="Hyperlink"/>
                <w:rFonts w:ascii="Arial" w:hAnsi="Arial" w:cs="Arial"/>
              </w:rPr>
              <w:t>Goal 3: Good Health and Well-being</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_Toc80710106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5</w:t>
            </w:r>
            <w:r w:rsidR="00FF7222" w:rsidRPr="00FF7222">
              <w:rPr>
                <w:rFonts w:ascii="Arial" w:hAnsi="Arial" w:cs="Arial"/>
                <w:webHidden/>
              </w:rPr>
              <w:fldChar w:fldCharType="end"/>
            </w:r>
          </w:hyperlink>
        </w:p>
        <w:p w14:paraId="0B367553" w14:textId="16ABA406" w:rsidR="00FF7222" w:rsidRPr="00FF7222" w:rsidRDefault="0031085C" w:rsidP="00FF7222">
          <w:pPr>
            <w:pStyle w:val="TOC2"/>
            <w:tabs>
              <w:tab w:val="right" w:leader="dot" w:pos="9350"/>
            </w:tabs>
            <w:spacing w:line="360" w:lineRule="auto"/>
            <w:rPr>
              <w:rFonts w:ascii="Arial" w:hAnsi="Arial" w:cs="Arial"/>
            </w:rPr>
          </w:pPr>
          <w:hyperlink w:anchor="_Toc80710107" w:history="1">
            <w:r w:rsidR="00FF7222" w:rsidRPr="00FF7222">
              <w:rPr>
                <w:rStyle w:val="Hyperlink"/>
                <w:rFonts w:ascii="Arial" w:hAnsi="Arial" w:cs="Arial"/>
              </w:rPr>
              <w:t>Goal 4: Quality Education</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_Toc80710107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6</w:t>
            </w:r>
            <w:r w:rsidR="00FF7222" w:rsidRPr="00FF7222">
              <w:rPr>
                <w:rFonts w:ascii="Arial" w:hAnsi="Arial" w:cs="Arial"/>
                <w:webHidden/>
              </w:rPr>
              <w:fldChar w:fldCharType="end"/>
            </w:r>
          </w:hyperlink>
        </w:p>
        <w:p w14:paraId="433FA514" w14:textId="5592ECF8" w:rsidR="00FF7222" w:rsidRPr="00FF7222" w:rsidRDefault="0031085C" w:rsidP="00FF7222">
          <w:pPr>
            <w:pStyle w:val="TOC2"/>
            <w:tabs>
              <w:tab w:val="right" w:leader="dot" w:pos="9350"/>
            </w:tabs>
            <w:spacing w:line="360" w:lineRule="auto"/>
            <w:rPr>
              <w:rFonts w:ascii="Arial" w:hAnsi="Arial" w:cs="Arial"/>
            </w:rPr>
          </w:pPr>
          <w:hyperlink w:anchor="_Toc80710108" w:history="1">
            <w:r w:rsidR="00FF7222" w:rsidRPr="00FF7222">
              <w:rPr>
                <w:rStyle w:val="Hyperlink"/>
                <w:rFonts w:ascii="Arial" w:hAnsi="Arial" w:cs="Arial"/>
              </w:rPr>
              <w:t>Goal 5: Gender Equality</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_Toc80710108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6</w:t>
            </w:r>
            <w:r w:rsidR="00FF7222" w:rsidRPr="00FF7222">
              <w:rPr>
                <w:rFonts w:ascii="Arial" w:hAnsi="Arial" w:cs="Arial"/>
                <w:webHidden/>
              </w:rPr>
              <w:fldChar w:fldCharType="end"/>
            </w:r>
          </w:hyperlink>
        </w:p>
        <w:p w14:paraId="7BACC561" w14:textId="25CF60B7" w:rsidR="00FF7222" w:rsidRPr="00FF7222" w:rsidRDefault="0031085C" w:rsidP="00FF7222">
          <w:pPr>
            <w:pStyle w:val="TOC2"/>
            <w:tabs>
              <w:tab w:val="right" w:leader="dot" w:pos="9350"/>
            </w:tabs>
            <w:spacing w:line="360" w:lineRule="auto"/>
            <w:rPr>
              <w:rFonts w:ascii="Arial" w:hAnsi="Arial" w:cs="Arial"/>
            </w:rPr>
          </w:pPr>
          <w:hyperlink w:anchor="_Toc80710109" w:history="1">
            <w:r w:rsidR="00FF7222" w:rsidRPr="00FF7222">
              <w:rPr>
                <w:rStyle w:val="Hyperlink"/>
                <w:rFonts w:ascii="Arial" w:hAnsi="Arial" w:cs="Arial"/>
              </w:rPr>
              <w:t>Goal 6: Clean Water and Sanitation</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_Toc80710109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6</w:t>
            </w:r>
            <w:r w:rsidR="00FF7222" w:rsidRPr="00FF7222">
              <w:rPr>
                <w:rFonts w:ascii="Arial" w:hAnsi="Arial" w:cs="Arial"/>
                <w:webHidden/>
              </w:rPr>
              <w:fldChar w:fldCharType="end"/>
            </w:r>
          </w:hyperlink>
        </w:p>
        <w:p w14:paraId="2E1D27A1" w14:textId="57255645" w:rsidR="00FF7222" w:rsidRPr="00FF7222" w:rsidRDefault="0031085C" w:rsidP="00FF7222">
          <w:pPr>
            <w:pStyle w:val="TOC2"/>
            <w:tabs>
              <w:tab w:val="right" w:leader="dot" w:pos="9350"/>
            </w:tabs>
            <w:spacing w:line="360" w:lineRule="auto"/>
            <w:rPr>
              <w:rFonts w:ascii="Arial" w:hAnsi="Arial" w:cs="Arial"/>
            </w:rPr>
          </w:pPr>
          <w:hyperlink w:anchor="_Toc80710110" w:history="1">
            <w:r w:rsidR="00FF7222" w:rsidRPr="00FF7222">
              <w:rPr>
                <w:rStyle w:val="Hyperlink"/>
                <w:rFonts w:ascii="Arial" w:hAnsi="Arial" w:cs="Arial"/>
              </w:rPr>
              <w:t>Goal 7: Affordable and Clean Energy</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_Toc80710110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7</w:t>
            </w:r>
            <w:r w:rsidR="00FF7222" w:rsidRPr="00FF7222">
              <w:rPr>
                <w:rFonts w:ascii="Arial" w:hAnsi="Arial" w:cs="Arial"/>
                <w:webHidden/>
              </w:rPr>
              <w:fldChar w:fldCharType="end"/>
            </w:r>
          </w:hyperlink>
        </w:p>
        <w:p w14:paraId="2F861C0A" w14:textId="0E1852FD" w:rsidR="00FF7222" w:rsidRPr="00FF7222" w:rsidRDefault="0031085C" w:rsidP="00FF7222">
          <w:pPr>
            <w:pStyle w:val="TOC2"/>
            <w:tabs>
              <w:tab w:val="right" w:leader="dot" w:pos="9350"/>
            </w:tabs>
            <w:spacing w:line="360" w:lineRule="auto"/>
            <w:rPr>
              <w:rFonts w:ascii="Arial" w:hAnsi="Arial" w:cs="Arial"/>
            </w:rPr>
          </w:pPr>
          <w:hyperlink w:anchor="_Toc80710111" w:history="1">
            <w:r w:rsidR="00FF7222" w:rsidRPr="00FF7222">
              <w:rPr>
                <w:rStyle w:val="Hyperlink"/>
                <w:rFonts w:ascii="Arial" w:hAnsi="Arial" w:cs="Arial"/>
              </w:rPr>
              <w:t>Goal 8: Decent Work and Economic Growth</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_Toc80710111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7</w:t>
            </w:r>
            <w:r w:rsidR="00FF7222" w:rsidRPr="00FF7222">
              <w:rPr>
                <w:rFonts w:ascii="Arial" w:hAnsi="Arial" w:cs="Arial"/>
                <w:webHidden/>
              </w:rPr>
              <w:fldChar w:fldCharType="end"/>
            </w:r>
          </w:hyperlink>
        </w:p>
        <w:p w14:paraId="46EE6939" w14:textId="32D9995D" w:rsidR="00FF7222" w:rsidRPr="00FF7222" w:rsidRDefault="0031085C" w:rsidP="00FF7222">
          <w:pPr>
            <w:pStyle w:val="TOC2"/>
            <w:tabs>
              <w:tab w:val="right" w:leader="dot" w:pos="9350"/>
            </w:tabs>
            <w:spacing w:line="360" w:lineRule="auto"/>
            <w:rPr>
              <w:rFonts w:ascii="Arial" w:hAnsi="Arial" w:cs="Arial"/>
            </w:rPr>
          </w:pPr>
          <w:hyperlink w:anchor="_Toc80710112" w:history="1">
            <w:r w:rsidR="00FF7222" w:rsidRPr="00FF7222">
              <w:rPr>
                <w:rStyle w:val="Hyperlink"/>
                <w:rFonts w:ascii="Arial" w:hAnsi="Arial" w:cs="Arial"/>
              </w:rPr>
              <w:t>Goal 9: Industries, Innovation, and Infrastructure</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_Toc80710112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8</w:t>
            </w:r>
            <w:r w:rsidR="00FF7222" w:rsidRPr="00FF7222">
              <w:rPr>
                <w:rFonts w:ascii="Arial" w:hAnsi="Arial" w:cs="Arial"/>
                <w:webHidden/>
              </w:rPr>
              <w:fldChar w:fldCharType="end"/>
            </w:r>
          </w:hyperlink>
        </w:p>
        <w:p w14:paraId="43479563" w14:textId="25114DFE" w:rsidR="00FF7222" w:rsidRPr="00FF7222" w:rsidRDefault="0031085C" w:rsidP="00FF7222">
          <w:pPr>
            <w:pStyle w:val="TOC2"/>
            <w:tabs>
              <w:tab w:val="right" w:leader="dot" w:pos="9350"/>
            </w:tabs>
            <w:spacing w:line="360" w:lineRule="auto"/>
            <w:rPr>
              <w:rFonts w:ascii="Arial" w:hAnsi="Arial" w:cs="Arial"/>
            </w:rPr>
          </w:pPr>
          <w:hyperlink w:anchor="_Toc80710113" w:history="1">
            <w:r w:rsidR="00FF7222" w:rsidRPr="00FF7222">
              <w:rPr>
                <w:rStyle w:val="Hyperlink"/>
                <w:rFonts w:ascii="Arial" w:hAnsi="Arial" w:cs="Arial"/>
              </w:rPr>
              <w:t>Goal 10: Reduced Inequalities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_Toc80710113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8</w:t>
            </w:r>
            <w:r w:rsidR="00FF7222" w:rsidRPr="00FF7222">
              <w:rPr>
                <w:rFonts w:ascii="Arial" w:hAnsi="Arial" w:cs="Arial"/>
                <w:webHidden/>
              </w:rPr>
              <w:fldChar w:fldCharType="end"/>
            </w:r>
          </w:hyperlink>
        </w:p>
        <w:p w14:paraId="2C3ABD19" w14:textId="5B50C885" w:rsidR="00FF7222" w:rsidRPr="00FF7222" w:rsidRDefault="0031085C" w:rsidP="00FF7222">
          <w:pPr>
            <w:pStyle w:val="TOC2"/>
            <w:tabs>
              <w:tab w:val="right" w:leader="dot" w:pos="9350"/>
            </w:tabs>
            <w:spacing w:line="360" w:lineRule="auto"/>
            <w:rPr>
              <w:rFonts w:ascii="Arial" w:hAnsi="Arial" w:cs="Arial"/>
            </w:rPr>
          </w:pPr>
          <w:hyperlink w:anchor="_Toc80710114" w:history="1">
            <w:r w:rsidR="00FF7222" w:rsidRPr="00FF7222">
              <w:rPr>
                <w:rStyle w:val="Hyperlink"/>
                <w:rFonts w:ascii="Arial" w:hAnsi="Arial" w:cs="Arial"/>
              </w:rPr>
              <w:t>Goal 11: Sustainable Cities and Communities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_Toc80710114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8</w:t>
            </w:r>
            <w:r w:rsidR="00FF7222" w:rsidRPr="00FF7222">
              <w:rPr>
                <w:rFonts w:ascii="Arial" w:hAnsi="Arial" w:cs="Arial"/>
                <w:webHidden/>
              </w:rPr>
              <w:fldChar w:fldCharType="end"/>
            </w:r>
          </w:hyperlink>
        </w:p>
        <w:p w14:paraId="64754285" w14:textId="65751586" w:rsidR="00FF7222" w:rsidRPr="00FF7222" w:rsidRDefault="0031085C" w:rsidP="00FF7222">
          <w:pPr>
            <w:pStyle w:val="TOC2"/>
            <w:tabs>
              <w:tab w:val="right" w:leader="dot" w:pos="9350"/>
            </w:tabs>
            <w:spacing w:line="360" w:lineRule="auto"/>
            <w:rPr>
              <w:rFonts w:ascii="Arial" w:hAnsi="Arial" w:cs="Arial"/>
            </w:rPr>
          </w:pPr>
          <w:hyperlink w:anchor="_Toc80710115" w:history="1">
            <w:r w:rsidR="00FF7222" w:rsidRPr="00FF7222">
              <w:rPr>
                <w:rStyle w:val="Hyperlink"/>
                <w:rFonts w:ascii="Arial" w:hAnsi="Arial" w:cs="Arial"/>
              </w:rPr>
              <w:t>Goal 12: Responsible Consumption and Production</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_Toc80710115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9</w:t>
            </w:r>
            <w:r w:rsidR="00FF7222" w:rsidRPr="00FF7222">
              <w:rPr>
                <w:rFonts w:ascii="Arial" w:hAnsi="Arial" w:cs="Arial"/>
                <w:webHidden/>
              </w:rPr>
              <w:fldChar w:fldCharType="end"/>
            </w:r>
          </w:hyperlink>
        </w:p>
        <w:p w14:paraId="0185CB60" w14:textId="20F30F4C" w:rsidR="00FF7222" w:rsidRPr="00FF7222" w:rsidRDefault="0031085C" w:rsidP="00FF7222">
          <w:pPr>
            <w:pStyle w:val="TOC2"/>
            <w:tabs>
              <w:tab w:val="right" w:leader="dot" w:pos="9350"/>
            </w:tabs>
            <w:spacing w:line="360" w:lineRule="auto"/>
            <w:rPr>
              <w:rFonts w:ascii="Arial" w:hAnsi="Arial" w:cs="Arial"/>
            </w:rPr>
          </w:pPr>
          <w:hyperlink w:anchor="_Toc80710116" w:history="1">
            <w:r w:rsidR="00FF7222" w:rsidRPr="00FF7222">
              <w:rPr>
                <w:rStyle w:val="Hyperlink"/>
                <w:rFonts w:ascii="Arial" w:hAnsi="Arial" w:cs="Arial"/>
              </w:rPr>
              <w:t>Goal 13: Climate Action</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_Toc80710116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9</w:t>
            </w:r>
            <w:r w:rsidR="00FF7222" w:rsidRPr="00FF7222">
              <w:rPr>
                <w:rFonts w:ascii="Arial" w:hAnsi="Arial" w:cs="Arial"/>
                <w:webHidden/>
              </w:rPr>
              <w:fldChar w:fldCharType="end"/>
            </w:r>
          </w:hyperlink>
        </w:p>
        <w:p w14:paraId="04D7DA4D" w14:textId="0A18692A" w:rsidR="00FF7222" w:rsidRPr="00FF7222" w:rsidRDefault="0031085C" w:rsidP="00FF7222">
          <w:pPr>
            <w:pStyle w:val="TOC2"/>
            <w:tabs>
              <w:tab w:val="right" w:leader="dot" w:pos="9350"/>
            </w:tabs>
            <w:spacing w:line="360" w:lineRule="auto"/>
            <w:rPr>
              <w:rFonts w:ascii="Arial" w:hAnsi="Arial" w:cs="Arial"/>
            </w:rPr>
          </w:pPr>
          <w:hyperlink w:anchor="_Toc80710117" w:history="1">
            <w:r w:rsidR="00FF7222" w:rsidRPr="00FF7222">
              <w:rPr>
                <w:rStyle w:val="Hyperlink"/>
                <w:rFonts w:ascii="Arial" w:hAnsi="Arial" w:cs="Arial"/>
              </w:rPr>
              <w:t>Goal 14: Life Below Water</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_Toc80710117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9</w:t>
            </w:r>
            <w:r w:rsidR="00FF7222" w:rsidRPr="00FF7222">
              <w:rPr>
                <w:rFonts w:ascii="Arial" w:hAnsi="Arial" w:cs="Arial"/>
                <w:webHidden/>
              </w:rPr>
              <w:fldChar w:fldCharType="end"/>
            </w:r>
          </w:hyperlink>
        </w:p>
        <w:p w14:paraId="67DE66D5" w14:textId="0E27A151" w:rsidR="00FF7222" w:rsidRPr="00FF7222" w:rsidRDefault="0031085C" w:rsidP="00FF7222">
          <w:pPr>
            <w:pStyle w:val="TOC2"/>
            <w:tabs>
              <w:tab w:val="right" w:leader="dot" w:pos="9350"/>
            </w:tabs>
            <w:spacing w:line="360" w:lineRule="auto"/>
            <w:rPr>
              <w:rFonts w:ascii="Arial" w:hAnsi="Arial" w:cs="Arial"/>
            </w:rPr>
          </w:pPr>
          <w:hyperlink w:anchor="_Toc80710118" w:history="1">
            <w:r w:rsidR="00FF7222" w:rsidRPr="00FF7222">
              <w:rPr>
                <w:rStyle w:val="Hyperlink"/>
                <w:rFonts w:ascii="Arial" w:hAnsi="Arial" w:cs="Arial"/>
              </w:rPr>
              <w:t>Goal 15: Life on Land</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_Toc80710118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10</w:t>
            </w:r>
            <w:r w:rsidR="00FF7222" w:rsidRPr="00FF7222">
              <w:rPr>
                <w:rFonts w:ascii="Arial" w:hAnsi="Arial" w:cs="Arial"/>
                <w:webHidden/>
              </w:rPr>
              <w:fldChar w:fldCharType="end"/>
            </w:r>
          </w:hyperlink>
        </w:p>
        <w:p w14:paraId="5A1BDAD1" w14:textId="1EFF6D18" w:rsidR="00FF7222" w:rsidRPr="00FF7222" w:rsidRDefault="0031085C" w:rsidP="00FF7222">
          <w:pPr>
            <w:pStyle w:val="TOC2"/>
            <w:tabs>
              <w:tab w:val="right" w:leader="dot" w:pos="9350"/>
            </w:tabs>
            <w:spacing w:line="360" w:lineRule="auto"/>
            <w:rPr>
              <w:rFonts w:ascii="Arial" w:hAnsi="Arial" w:cs="Arial"/>
            </w:rPr>
          </w:pPr>
          <w:hyperlink w:anchor="_Toc80710119" w:history="1">
            <w:r w:rsidR="00FF7222" w:rsidRPr="00FF7222">
              <w:rPr>
                <w:rStyle w:val="Hyperlink"/>
                <w:rFonts w:ascii="Arial" w:hAnsi="Arial" w:cs="Arial"/>
              </w:rPr>
              <w:t>Goal 16: Peace, Justice and Strong Institutions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_Toc80710119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10</w:t>
            </w:r>
            <w:r w:rsidR="00FF7222" w:rsidRPr="00FF7222">
              <w:rPr>
                <w:rFonts w:ascii="Arial" w:hAnsi="Arial" w:cs="Arial"/>
                <w:webHidden/>
              </w:rPr>
              <w:fldChar w:fldCharType="end"/>
            </w:r>
          </w:hyperlink>
        </w:p>
        <w:p w14:paraId="79A671EB" w14:textId="1C35D3D5" w:rsidR="00FF7222" w:rsidRPr="00FF7222" w:rsidRDefault="0031085C" w:rsidP="00FF7222">
          <w:pPr>
            <w:pStyle w:val="TOC2"/>
            <w:tabs>
              <w:tab w:val="right" w:leader="dot" w:pos="9350"/>
            </w:tabs>
            <w:spacing w:line="360" w:lineRule="auto"/>
            <w:rPr>
              <w:rFonts w:ascii="Arial" w:hAnsi="Arial" w:cs="Arial"/>
            </w:rPr>
          </w:pPr>
          <w:hyperlink w:anchor="_Toc80710120" w:history="1">
            <w:r w:rsidR="00FF7222" w:rsidRPr="00FF7222">
              <w:rPr>
                <w:rStyle w:val="Hyperlink"/>
                <w:rFonts w:ascii="Arial" w:hAnsi="Arial" w:cs="Arial"/>
              </w:rPr>
              <w:t>Goal 17: Partnership for the Goals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_Toc80710120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11</w:t>
            </w:r>
            <w:r w:rsidR="00FF7222" w:rsidRPr="00FF7222">
              <w:rPr>
                <w:rFonts w:ascii="Arial" w:hAnsi="Arial" w:cs="Arial"/>
                <w:webHidden/>
              </w:rPr>
              <w:fldChar w:fldCharType="end"/>
            </w:r>
          </w:hyperlink>
        </w:p>
        <w:p w14:paraId="016D3717" w14:textId="6D5BCC23" w:rsidR="00FF7222" w:rsidRPr="00FF7222" w:rsidRDefault="0031085C" w:rsidP="00FF7222">
          <w:pPr>
            <w:pStyle w:val="TOC1"/>
            <w:tabs>
              <w:tab w:val="right" w:leader="dot" w:pos="9350"/>
            </w:tabs>
            <w:spacing w:line="360" w:lineRule="auto"/>
            <w:rPr>
              <w:rFonts w:ascii="Arial" w:hAnsi="Arial" w:cs="Arial"/>
            </w:rPr>
          </w:pPr>
          <w:hyperlink w:anchor="_Toc80710121" w:history="1">
            <w:r w:rsidR="00FF7222" w:rsidRPr="00FF7222">
              <w:rPr>
                <w:rStyle w:val="Hyperlink"/>
                <w:rFonts w:ascii="Arial" w:hAnsi="Arial" w:cs="Arial"/>
              </w:rPr>
              <w:t>2c. Goal 3, Goal 4, Goal 17 Further Discussed</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_Toc80710121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11</w:t>
            </w:r>
            <w:r w:rsidR="00FF7222" w:rsidRPr="00FF7222">
              <w:rPr>
                <w:rFonts w:ascii="Arial" w:hAnsi="Arial" w:cs="Arial"/>
                <w:webHidden/>
              </w:rPr>
              <w:fldChar w:fldCharType="end"/>
            </w:r>
          </w:hyperlink>
        </w:p>
        <w:p w14:paraId="55E7246D" w14:textId="7AE7CFCF" w:rsidR="00FF7222" w:rsidRPr="00FF7222" w:rsidRDefault="0031085C" w:rsidP="00FF7222">
          <w:pPr>
            <w:pStyle w:val="TOC2"/>
            <w:tabs>
              <w:tab w:val="right" w:leader="dot" w:pos="9350"/>
            </w:tabs>
            <w:spacing w:line="360" w:lineRule="auto"/>
            <w:rPr>
              <w:rFonts w:ascii="Arial" w:hAnsi="Arial" w:cs="Arial"/>
            </w:rPr>
          </w:pPr>
          <w:hyperlink w:anchor="_Toc80710122" w:history="1">
            <w:r w:rsidR="00FF7222" w:rsidRPr="00FF7222">
              <w:rPr>
                <w:rStyle w:val="Hyperlink"/>
                <w:rFonts w:ascii="Arial" w:hAnsi="Arial" w:cs="Arial"/>
              </w:rPr>
              <w:t>I. Goal 3</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_Toc80710122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11</w:t>
            </w:r>
            <w:r w:rsidR="00FF7222" w:rsidRPr="00FF7222">
              <w:rPr>
                <w:rFonts w:ascii="Arial" w:hAnsi="Arial" w:cs="Arial"/>
                <w:webHidden/>
              </w:rPr>
              <w:fldChar w:fldCharType="end"/>
            </w:r>
          </w:hyperlink>
        </w:p>
        <w:p w14:paraId="1F6D56D9" w14:textId="13FDC396" w:rsidR="00FF7222" w:rsidRPr="00FF7222" w:rsidRDefault="0031085C" w:rsidP="00FF7222">
          <w:pPr>
            <w:pStyle w:val="TOC2"/>
            <w:tabs>
              <w:tab w:val="right" w:leader="dot" w:pos="9350"/>
            </w:tabs>
            <w:spacing w:line="360" w:lineRule="auto"/>
            <w:rPr>
              <w:rFonts w:ascii="Arial" w:hAnsi="Arial" w:cs="Arial"/>
            </w:rPr>
          </w:pPr>
          <w:hyperlink w:anchor="_Toc80710123" w:history="1">
            <w:r w:rsidR="00FF7222" w:rsidRPr="00FF7222">
              <w:rPr>
                <w:rStyle w:val="Hyperlink"/>
                <w:rFonts w:ascii="Arial" w:hAnsi="Arial" w:cs="Arial"/>
              </w:rPr>
              <w:t>II. Goal 4</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_Toc80710123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12</w:t>
            </w:r>
            <w:r w:rsidR="00FF7222" w:rsidRPr="00FF7222">
              <w:rPr>
                <w:rFonts w:ascii="Arial" w:hAnsi="Arial" w:cs="Arial"/>
                <w:webHidden/>
              </w:rPr>
              <w:fldChar w:fldCharType="end"/>
            </w:r>
          </w:hyperlink>
        </w:p>
        <w:p w14:paraId="40A97B54" w14:textId="3A2F74FF" w:rsidR="00FF7222" w:rsidRPr="00FF7222" w:rsidRDefault="0031085C" w:rsidP="00FF7222">
          <w:pPr>
            <w:pStyle w:val="TOC2"/>
            <w:tabs>
              <w:tab w:val="right" w:leader="dot" w:pos="9350"/>
            </w:tabs>
            <w:spacing w:line="360" w:lineRule="auto"/>
            <w:rPr>
              <w:rFonts w:ascii="Arial" w:hAnsi="Arial" w:cs="Arial"/>
            </w:rPr>
          </w:pPr>
          <w:hyperlink w:anchor="_Toc80710124" w:history="1">
            <w:r w:rsidR="00FF7222" w:rsidRPr="00FF7222">
              <w:rPr>
                <w:rStyle w:val="Hyperlink"/>
                <w:rFonts w:ascii="Arial" w:hAnsi="Arial" w:cs="Arial"/>
              </w:rPr>
              <w:t>III. Goal 17</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_Toc80710124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12</w:t>
            </w:r>
            <w:r w:rsidR="00FF7222" w:rsidRPr="00FF7222">
              <w:rPr>
                <w:rFonts w:ascii="Arial" w:hAnsi="Arial" w:cs="Arial"/>
                <w:webHidden/>
              </w:rPr>
              <w:fldChar w:fldCharType="end"/>
            </w:r>
          </w:hyperlink>
        </w:p>
        <w:p w14:paraId="40ED1DB5" w14:textId="5384EE6A" w:rsidR="00FF7222" w:rsidRPr="00FF7222" w:rsidRDefault="0031085C" w:rsidP="00FF7222">
          <w:pPr>
            <w:pStyle w:val="TOC1"/>
            <w:tabs>
              <w:tab w:val="right" w:leader="dot" w:pos="9350"/>
            </w:tabs>
            <w:spacing w:line="360" w:lineRule="auto"/>
            <w:rPr>
              <w:rFonts w:ascii="Arial" w:hAnsi="Arial" w:cs="Arial"/>
            </w:rPr>
          </w:pPr>
          <w:hyperlink w:anchor="_Toc80710125" w:history="1">
            <w:r w:rsidR="00FF7222" w:rsidRPr="00FF7222">
              <w:rPr>
                <w:rStyle w:val="Hyperlink"/>
                <w:rFonts w:ascii="Arial" w:hAnsi="Arial" w:cs="Arial"/>
              </w:rPr>
              <w:t>2d. UK Government Policies/Initiatives for Meeting Goal 3, Goal 4, and Goal 17</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_Toc80710125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13</w:t>
            </w:r>
            <w:r w:rsidR="00FF7222" w:rsidRPr="00FF7222">
              <w:rPr>
                <w:rFonts w:ascii="Arial" w:hAnsi="Arial" w:cs="Arial"/>
                <w:webHidden/>
              </w:rPr>
              <w:fldChar w:fldCharType="end"/>
            </w:r>
          </w:hyperlink>
        </w:p>
        <w:p w14:paraId="63997A93" w14:textId="0527C83C" w:rsidR="00FF7222" w:rsidRPr="00FF7222" w:rsidRDefault="0031085C" w:rsidP="00FF7222">
          <w:pPr>
            <w:pStyle w:val="TOC2"/>
            <w:tabs>
              <w:tab w:val="right" w:leader="dot" w:pos="9350"/>
            </w:tabs>
            <w:spacing w:line="360" w:lineRule="auto"/>
            <w:rPr>
              <w:rFonts w:ascii="Arial" w:hAnsi="Arial" w:cs="Arial"/>
            </w:rPr>
          </w:pPr>
          <w:hyperlink w:anchor="_Toc80710126" w:history="1">
            <w:r w:rsidR="00FF7222" w:rsidRPr="00FF7222">
              <w:rPr>
                <w:rStyle w:val="Hyperlink"/>
                <w:rFonts w:ascii="Arial" w:hAnsi="Arial" w:cs="Arial"/>
              </w:rPr>
              <w:t>I. Goal 3 (SDG 3) Policies/Initiatives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_Toc80710126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13</w:t>
            </w:r>
            <w:r w:rsidR="00FF7222" w:rsidRPr="00FF7222">
              <w:rPr>
                <w:rFonts w:ascii="Arial" w:hAnsi="Arial" w:cs="Arial"/>
                <w:webHidden/>
              </w:rPr>
              <w:fldChar w:fldCharType="end"/>
            </w:r>
          </w:hyperlink>
        </w:p>
        <w:p w14:paraId="120040BB" w14:textId="4ECEF0D5" w:rsidR="00FF7222" w:rsidRPr="00FF7222" w:rsidRDefault="0031085C" w:rsidP="00FF7222">
          <w:pPr>
            <w:pStyle w:val="TOC2"/>
            <w:tabs>
              <w:tab w:val="right" w:leader="dot" w:pos="9350"/>
            </w:tabs>
            <w:spacing w:line="360" w:lineRule="auto"/>
            <w:rPr>
              <w:rFonts w:ascii="Arial" w:hAnsi="Arial" w:cs="Arial"/>
            </w:rPr>
          </w:pPr>
          <w:hyperlink w:anchor="_Toc80710127" w:history="1">
            <w:r w:rsidR="00FF7222" w:rsidRPr="00FF7222">
              <w:rPr>
                <w:rStyle w:val="Hyperlink"/>
                <w:rFonts w:ascii="Arial" w:hAnsi="Arial" w:cs="Arial"/>
              </w:rPr>
              <w:t>II. Goal 4 (SDG 4) Policies/Initiatives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_Toc80710127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14</w:t>
            </w:r>
            <w:r w:rsidR="00FF7222" w:rsidRPr="00FF7222">
              <w:rPr>
                <w:rFonts w:ascii="Arial" w:hAnsi="Arial" w:cs="Arial"/>
                <w:webHidden/>
              </w:rPr>
              <w:fldChar w:fldCharType="end"/>
            </w:r>
          </w:hyperlink>
        </w:p>
        <w:p w14:paraId="2EC00BEB" w14:textId="5727582E" w:rsidR="00FF7222" w:rsidRPr="00FF7222" w:rsidRDefault="0031085C" w:rsidP="00FF7222">
          <w:pPr>
            <w:pStyle w:val="TOC2"/>
            <w:tabs>
              <w:tab w:val="right" w:leader="dot" w:pos="9350"/>
            </w:tabs>
            <w:spacing w:line="360" w:lineRule="auto"/>
            <w:rPr>
              <w:rFonts w:ascii="Arial" w:hAnsi="Arial" w:cs="Arial"/>
            </w:rPr>
          </w:pPr>
          <w:hyperlink w:anchor="_Toc80710128" w:history="1">
            <w:r w:rsidR="00FF7222" w:rsidRPr="00FF7222">
              <w:rPr>
                <w:rStyle w:val="Hyperlink"/>
                <w:rFonts w:ascii="Arial" w:hAnsi="Arial" w:cs="Arial"/>
              </w:rPr>
              <w:t>III. Goal 17 (SDG 17) Policies/Initiatives</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_Toc80710128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15</w:t>
            </w:r>
            <w:r w:rsidR="00FF7222" w:rsidRPr="00FF7222">
              <w:rPr>
                <w:rFonts w:ascii="Arial" w:hAnsi="Arial" w:cs="Arial"/>
                <w:webHidden/>
              </w:rPr>
              <w:fldChar w:fldCharType="end"/>
            </w:r>
          </w:hyperlink>
        </w:p>
        <w:p w14:paraId="189602E0" w14:textId="011ED3BE" w:rsidR="00FF7222" w:rsidRPr="00FF7222" w:rsidRDefault="0031085C" w:rsidP="00FF7222">
          <w:pPr>
            <w:pStyle w:val="TOC1"/>
            <w:tabs>
              <w:tab w:val="right" w:leader="dot" w:pos="9350"/>
            </w:tabs>
            <w:spacing w:line="360" w:lineRule="auto"/>
            <w:rPr>
              <w:rFonts w:ascii="Arial" w:hAnsi="Arial" w:cs="Arial"/>
            </w:rPr>
          </w:pPr>
          <w:hyperlink w:anchor="_Toc80710129" w:history="1">
            <w:r w:rsidR="00FF7222" w:rsidRPr="00FF7222">
              <w:rPr>
                <w:rStyle w:val="Hyperlink"/>
                <w:rFonts w:ascii="Arial" w:hAnsi="Arial" w:cs="Arial"/>
              </w:rPr>
              <w:t>2e. Introduction on Enfield Council Borough</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_Toc80710129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16</w:t>
            </w:r>
            <w:r w:rsidR="00FF7222" w:rsidRPr="00FF7222">
              <w:rPr>
                <w:rFonts w:ascii="Arial" w:hAnsi="Arial" w:cs="Arial"/>
                <w:webHidden/>
              </w:rPr>
              <w:fldChar w:fldCharType="end"/>
            </w:r>
          </w:hyperlink>
        </w:p>
        <w:p w14:paraId="4DF9104F" w14:textId="279D0FE5" w:rsidR="00FF7222" w:rsidRPr="00FF7222" w:rsidRDefault="0031085C" w:rsidP="00FF7222">
          <w:pPr>
            <w:pStyle w:val="TOC1"/>
            <w:tabs>
              <w:tab w:val="right" w:leader="dot" w:pos="9350"/>
            </w:tabs>
            <w:spacing w:line="360" w:lineRule="auto"/>
            <w:rPr>
              <w:rFonts w:ascii="Arial" w:hAnsi="Arial" w:cs="Arial"/>
            </w:rPr>
          </w:pPr>
          <w:hyperlink w:anchor="_Toc80710130" w:history="1">
            <w:r w:rsidR="00FF7222" w:rsidRPr="00FF7222">
              <w:rPr>
                <w:rStyle w:val="Hyperlink"/>
                <w:rFonts w:ascii="Arial" w:hAnsi="Arial" w:cs="Arial"/>
              </w:rPr>
              <w:t>2f. Policy/Initiative to Meet Goal 3, Goal 4 and Goal 17</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_Toc80710130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17</w:t>
            </w:r>
            <w:r w:rsidR="00FF7222" w:rsidRPr="00FF7222">
              <w:rPr>
                <w:rFonts w:ascii="Arial" w:hAnsi="Arial" w:cs="Arial"/>
                <w:webHidden/>
              </w:rPr>
              <w:fldChar w:fldCharType="end"/>
            </w:r>
          </w:hyperlink>
        </w:p>
        <w:p w14:paraId="66F384BB" w14:textId="3AAFFDBF" w:rsidR="00FF7222" w:rsidRPr="00FF7222" w:rsidRDefault="0031085C" w:rsidP="00FF7222">
          <w:pPr>
            <w:pStyle w:val="TOC2"/>
            <w:tabs>
              <w:tab w:val="right" w:leader="dot" w:pos="9350"/>
            </w:tabs>
            <w:spacing w:line="360" w:lineRule="auto"/>
            <w:rPr>
              <w:rFonts w:ascii="Arial" w:hAnsi="Arial" w:cs="Arial"/>
            </w:rPr>
          </w:pPr>
          <w:hyperlink w:anchor="_Toc80710131" w:history="1">
            <w:r w:rsidR="00FF7222" w:rsidRPr="00FF7222">
              <w:rPr>
                <w:rStyle w:val="Hyperlink"/>
                <w:rFonts w:ascii="Arial" w:hAnsi="Arial" w:cs="Arial"/>
              </w:rPr>
              <w:t>I. Goal 3 Policy/Initiative for Enfield Council Borough</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_Toc80710131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17</w:t>
            </w:r>
            <w:r w:rsidR="00FF7222" w:rsidRPr="00FF7222">
              <w:rPr>
                <w:rFonts w:ascii="Arial" w:hAnsi="Arial" w:cs="Arial"/>
                <w:webHidden/>
              </w:rPr>
              <w:fldChar w:fldCharType="end"/>
            </w:r>
          </w:hyperlink>
        </w:p>
        <w:p w14:paraId="2737F890" w14:textId="66C274DA" w:rsidR="00FF7222" w:rsidRPr="00FF7222" w:rsidRDefault="0031085C" w:rsidP="00FF7222">
          <w:pPr>
            <w:pStyle w:val="TOC2"/>
            <w:tabs>
              <w:tab w:val="right" w:leader="dot" w:pos="9350"/>
            </w:tabs>
            <w:spacing w:line="360" w:lineRule="auto"/>
            <w:rPr>
              <w:rFonts w:ascii="Arial" w:hAnsi="Arial" w:cs="Arial"/>
            </w:rPr>
          </w:pPr>
          <w:hyperlink w:anchor="_Toc80710132" w:history="1">
            <w:r w:rsidR="00FF7222" w:rsidRPr="00FF7222">
              <w:rPr>
                <w:rStyle w:val="Hyperlink"/>
                <w:rFonts w:ascii="Arial" w:hAnsi="Arial" w:cs="Arial"/>
              </w:rPr>
              <w:t>II. Goal 4 Policy/Initiative for Enfield Council Borough</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_Toc80710132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17</w:t>
            </w:r>
            <w:r w:rsidR="00FF7222" w:rsidRPr="00FF7222">
              <w:rPr>
                <w:rFonts w:ascii="Arial" w:hAnsi="Arial" w:cs="Arial"/>
                <w:webHidden/>
              </w:rPr>
              <w:fldChar w:fldCharType="end"/>
            </w:r>
          </w:hyperlink>
        </w:p>
        <w:p w14:paraId="2947851B" w14:textId="0927931B" w:rsidR="00FF7222" w:rsidRPr="00FF7222" w:rsidRDefault="0031085C" w:rsidP="00FF7222">
          <w:pPr>
            <w:pStyle w:val="TOC2"/>
            <w:tabs>
              <w:tab w:val="right" w:leader="dot" w:pos="9350"/>
            </w:tabs>
            <w:spacing w:line="360" w:lineRule="auto"/>
            <w:rPr>
              <w:rFonts w:ascii="Arial" w:hAnsi="Arial" w:cs="Arial"/>
            </w:rPr>
          </w:pPr>
          <w:hyperlink w:anchor="_Toc80710133" w:history="1">
            <w:r w:rsidR="00FF7222" w:rsidRPr="00FF7222">
              <w:rPr>
                <w:rStyle w:val="Hyperlink"/>
                <w:rFonts w:ascii="Arial" w:hAnsi="Arial" w:cs="Arial"/>
              </w:rPr>
              <w:t>III. Goal 17 Policy/Initiative for Enfield Council Borough</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_Toc80710133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17</w:t>
            </w:r>
            <w:r w:rsidR="00FF7222" w:rsidRPr="00FF7222">
              <w:rPr>
                <w:rFonts w:ascii="Arial" w:hAnsi="Arial" w:cs="Arial"/>
                <w:webHidden/>
              </w:rPr>
              <w:fldChar w:fldCharType="end"/>
            </w:r>
          </w:hyperlink>
        </w:p>
        <w:p w14:paraId="37CA19A7" w14:textId="01516DFF" w:rsidR="00FF7222" w:rsidRPr="00FF7222" w:rsidRDefault="0031085C" w:rsidP="00FF7222">
          <w:pPr>
            <w:pStyle w:val="TOC1"/>
            <w:tabs>
              <w:tab w:val="right" w:leader="dot" w:pos="9350"/>
            </w:tabs>
            <w:spacing w:line="360" w:lineRule="auto"/>
            <w:rPr>
              <w:rFonts w:ascii="Arial" w:hAnsi="Arial" w:cs="Arial"/>
            </w:rPr>
          </w:pPr>
          <w:hyperlink w:anchor="_Toc80710134" w:history="1">
            <w:r w:rsidR="00FF7222" w:rsidRPr="00FF7222">
              <w:rPr>
                <w:rStyle w:val="Hyperlink"/>
                <w:rFonts w:ascii="Arial" w:hAnsi="Arial" w:cs="Arial"/>
              </w:rPr>
              <w:t>Conclusion</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_Toc80710134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18</w:t>
            </w:r>
            <w:r w:rsidR="00FF7222" w:rsidRPr="00FF7222">
              <w:rPr>
                <w:rFonts w:ascii="Arial" w:hAnsi="Arial" w:cs="Arial"/>
                <w:webHidden/>
              </w:rPr>
              <w:fldChar w:fldCharType="end"/>
            </w:r>
          </w:hyperlink>
        </w:p>
        <w:p w14:paraId="5F46E206" w14:textId="05A2567A" w:rsidR="00FF7222" w:rsidRPr="00FF7222" w:rsidRDefault="0031085C" w:rsidP="00FF7222">
          <w:pPr>
            <w:pStyle w:val="TOC1"/>
            <w:tabs>
              <w:tab w:val="right" w:leader="dot" w:pos="9350"/>
            </w:tabs>
            <w:spacing w:line="360" w:lineRule="auto"/>
            <w:rPr>
              <w:rFonts w:ascii="Arial" w:hAnsi="Arial" w:cs="Arial"/>
            </w:rPr>
          </w:pPr>
          <w:hyperlink w:anchor="_Toc80710135" w:history="1">
            <w:r w:rsidR="00FF7222" w:rsidRPr="00FF7222">
              <w:rPr>
                <w:rStyle w:val="Hyperlink"/>
                <w:rFonts w:ascii="Arial" w:hAnsi="Arial" w:cs="Arial"/>
              </w:rPr>
              <w:t>Reference List</w:t>
            </w:r>
            <w:r w:rsidR="00FF7222" w:rsidRPr="00FF7222">
              <w:rPr>
                <w:rFonts w:ascii="Arial" w:hAnsi="Arial" w:cs="Arial"/>
                <w:webHidden/>
              </w:rPr>
              <w:tab/>
            </w:r>
            <w:r w:rsidR="00FF7222" w:rsidRPr="00FF7222">
              <w:rPr>
                <w:rFonts w:ascii="Arial" w:hAnsi="Arial" w:cs="Arial"/>
                <w:webHidden/>
              </w:rPr>
              <w:fldChar w:fldCharType="begin"/>
            </w:r>
            <w:r w:rsidR="00FF7222" w:rsidRPr="00FF7222">
              <w:rPr>
                <w:rFonts w:ascii="Arial" w:hAnsi="Arial" w:cs="Arial"/>
                <w:webHidden/>
              </w:rPr>
              <w:instrText xml:space="preserve"> PAGEREF _Toc80710135 \h </w:instrText>
            </w:r>
            <w:r w:rsidR="00FF7222" w:rsidRPr="00FF7222">
              <w:rPr>
                <w:rFonts w:ascii="Arial" w:hAnsi="Arial" w:cs="Arial"/>
                <w:webHidden/>
              </w:rPr>
            </w:r>
            <w:r w:rsidR="00FF7222" w:rsidRPr="00FF7222">
              <w:rPr>
                <w:rFonts w:ascii="Arial" w:hAnsi="Arial" w:cs="Arial"/>
                <w:webHidden/>
              </w:rPr>
              <w:fldChar w:fldCharType="separate"/>
            </w:r>
            <w:r w:rsidR="00FF7222" w:rsidRPr="00FF7222">
              <w:rPr>
                <w:rFonts w:ascii="Arial" w:hAnsi="Arial" w:cs="Arial"/>
                <w:webHidden/>
              </w:rPr>
              <w:t>19</w:t>
            </w:r>
            <w:r w:rsidR="00FF7222" w:rsidRPr="00FF7222">
              <w:rPr>
                <w:rFonts w:ascii="Arial" w:hAnsi="Arial" w:cs="Arial"/>
                <w:webHidden/>
              </w:rPr>
              <w:fldChar w:fldCharType="end"/>
            </w:r>
          </w:hyperlink>
        </w:p>
        <w:p w14:paraId="2B880580" w14:textId="4F52F979" w:rsidR="00FF7222" w:rsidRPr="00FF7222" w:rsidRDefault="00FF7222" w:rsidP="00FF7222">
          <w:pPr>
            <w:spacing w:line="360" w:lineRule="auto"/>
          </w:pPr>
          <w:r w:rsidRPr="00FF7222">
            <w:rPr>
              <w:rFonts w:ascii="Arial" w:hAnsi="Arial" w:cs="Arial"/>
            </w:rPr>
            <w:fldChar w:fldCharType="end"/>
          </w:r>
        </w:p>
      </w:sdtContent>
    </w:sdt>
    <w:p w14:paraId="6F998CBA" w14:textId="77777777" w:rsidR="00FF7222" w:rsidRPr="00FF7222" w:rsidRDefault="00FF7222" w:rsidP="000C4B08">
      <w:pPr>
        <w:pStyle w:val="Heading1"/>
        <w:spacing w:line="480" w:lineRule="auto"/>
        <w:jc w:val="center"/>
        <w:rPr>
          <w:rFonts w:ascii="Arial" w:hAnsi="Arial" w:cs="Arial"/>
          <w:b/>
          <w:bCs/>
          <w:color w:val="auto"/>
          <w:sz w:val="22"/>
          <w:szCs w:val="22"/>
        </w:rPr>
      </w:pPr>
    </w:p>
    <w:p w14:paraId="78FFF892" w14:textId="77777777" w:rsidR="00FF7222" w:rsidRPr="00FF7222" w:rsidRDefault="00FF7222" w:rsidP="000C4B08">
      <w:pPr>
        <w:pStyle w:val="Heading1"/>
        <w:spacing w:line="480" w:lineRule="auto"/>
        <w:jc w:val="center"/>
        <w:rPr>
          <w:rFonts w:ascii="Arial" w:hAnsi="Arial" w:cs="Arial"/>
          <w:b/>
          <w:bCs/>
          <w:color w:val="auto"/>
          <w:sz w:val="22"/>
          <w:szCs w:val="22"/>
        </w:rPr>
      </w:pPr>
    </w:p>
    <w:p w14:paraId="278A0DA7" w14:textId="77777777" w:rsidR="00FF7222" w:rsidRPr="00FF7222" w:rsidRDefault="00FF7222" w:rsidP="000C4B08">
      <w:pPr>
        <w:pStyle w:val="Heading1"/>
        <w:spacing w:line="480" w:lineRule="auto"/>
        <w:jc w:val="center"/>
        <w:rPr>
          <w:rFonts w:ascii="Arial" w:hAnsi="Arial" w:cs="Arial"/>
          <w:b/>
          <w:bCs/>
          <w:color w:val="auto"/>
          <w:sz w:val="22"/>
          <w:szCs w:val="22"/>
        </w:rPr>
      </w:pPr>
    </w:p>
    <w:p w14:paraId="3C4EB961" w14:textId="77777777" w:rsidR="00FF7222" w:rsidRPr="00FF7222" w:rsidRDefault="00FF7222" w:rsidP="000C4B08">
      <w:pPr>
        <w:pStyle w:val="Heading1"/>
        <w:spacing w:line="480" w:lineRule="auto"/>
        <w:jc w:val="center"/>
        <w:rPr>
          <w:rFonts w:ascii="Arial" w:hAnsi="Arial" w:cs="Arial"/>
          <w:b/>
          <w:bCs/>
          <w:color w:val="auto"/>
          <w:sz w:val="22"/>
          <w:szCs w:val="22"/>
        </w:rPr>
      </w:pPr>
    </w:p>
    <w:p w14:paraId="04864407" w14:textId="77777777" w:rsidR="00FF7222" w:rsidRPr="00FF7222" w:rsidRDefault="00FF7222" w:rsidP="000C4B08">
      <w:pPr>
        <w:pStyle w:val="Heading1"/>
        <w:spacing w:line="480" w:lineRule="auto"/>
        <w:jc w:val="center"/>
        <w:rPr>
          <w:rFonts w:ascii="Arial" w:hAnsi="Arial" w:cs="Arial"/>
          <w:b/>
          <w:bCs/>
          <w:color w:val="auto"/>
          <w:sz w:val="22"/>
          <w:szCs w:val="22"/>
        </w:rPr>
      </w:pPr>
    </w:p>
    <w:p w14:paraId="62A1BBB2" w14:textId="77777777" w:rsidR="00FF7222" w:rsidRPr="00FF7222" w:rsidRDefault="00FF7222" w:rsidP="000C4B08">
      <w:pPr>
        <w:pStyle w:val="Heading1"/>
        <w:spacing w:line="480" w:lineRule="auto"/>
        <w:jc w:val="center"/>
        <w:rPr>
          <w:rFonts w:ascii="Arial" w:hAnsi="Arial" w:cs="Arial"/>
          <w:b/>
          <w:bCs/>
          <w:color w:val="auto"/>
          <w:sz w:val="22"/>
          <w:szCs w:val="22"/>
        </w:rPr>
      </w:pPr>
    </w:p>
    <w:p w14:paraId="343F5DF7" w14:textId="055E63EF" w:rsidR="00FF7222" w:rsidRPr="00FF7222" w:rsidRDefault="00FF7222" w:rsidP="000C4B08">
      <w:pPr>
        <w:pStyle w:val="Heading1"/>
        <w:spacing w:line="480" w:lineRule="auto"/>
        <w:jc w:val="center"/>
        <w:rPr>
          <w:rFonts w:ascii="Arial" w:hAnsi="Arial" w:cs="Arial"/>
          <w:b/>
          <w:bCs/>
          <w:color w:val="auto"/>
          <w:sz w:val="22"/>
          <w:szCs w:val="22"/>
        </w:rPr>
      </w:pPr>
    </w:p>
    <w:p w14:paraId="112C7263" w14:textId="712CFA08" w:rsidR="00FF7222" w:rsidRPr="00FF7222" w:rsidRDefault="00FF7222" w:rsidP="00FF7222"/>
    <w:p w14:paraId="6580FC57" w14:textId="205D8421" w:rsidR="00FF7222" w:rsidRPr="00FF7222" w:rsidRDefault="00FF7222" w:rsidP="00FF7222"/>
    <w:p w14:paraId="3EA29664" w14:textId="7E706134" w:rsidR="00FF7222" w:rsidRPr="00FF7222" w:rsidRDefault="00FF7222" w:rsidP="00FF7222"/>
    <w:p w14:paraId="384DF0CB" w14:textId="211B5A9D" w:rsidR="00FF7222" w:rsidRPr="00FF7222" w:rsidRDefault="00FF7222" w:rsidP="00FF7222"/>
    <w:p w14:paraId="63CAE42D" w14:textId="77777777" w:rsidR="00FF7222" w:rsidRPr="00FF7222" w:rsidRDefault="00FF7222" w:rsidP="00FF7222"/>
    <w:p w14:paraId="659FAEF5" w14:textId="7E04A811" w:rsidR="000C4B08" w:rsidRPr="00FF7222" w:rsidRDefault="000C4B08" w:rsidP="000C4B08">
      <w:pPr>
        <w:pStyle w:val="Heading1"/>
        <w:spacing w:line="480" w:lineRule="auto"/>
        <w:jc w:val="center"/>
        <w:rPr>
          <w:rFonts w:ascii="Arial" w:hAnsi="Arial" w:cs="Arial"/>
          <w:b/>
          <w:bCs/>
          <w:color w:val="auto"/>
          <w:sz w:val="22"/>
          <w:szCs w:val="22"/>
        </w:rPr>
      </w:pPr>
      <w:bookmarkStart w:id="1" w:name="_Toc80710100"/>
      <w:r w:rsidRPr="00FF7222">
        <w:rPr>
          <w:rFonts w:ascii="Arial" w:hAnsi="Arial" w:cs="Arial"/>
          <w:b/>
          <w:bCs/>
          <w:color w:val="auto"/>
          <w:sz w:val="22"/>
          <w:szCs w:val="22"/>
        </w:rPr>
        <w:lastRenderedPageBreak/>
        <w:t>Sustainable Development Goals (SDGs)</w:t>
      </w:r>
      <w:bookmarkEnd w:id="1"/>
      <w:bookmarkEnd w:id="0"/>
    </w:p>
    <w:p w14:paraId="3A07DC20" w14:textId="77777777" w:rsidR="000C4B08" w:rsidRPr="00FF7222" w:rsidRDefault="000C4B08" w:rsidP="00EF254D">
      <w:pPr>
        <w:pStyle w:val="Heading1"/>
        <w:spacing w:line="480" w:lineRule="auto"/>
        <w:rPr>
          <w:rFonts w:ascii="Arial" w:hAnsi="Arial" w:cs="Arial"/>
          <w:b/>
          <w:bCs/>
          <w:color w:val="auto"/>
          <w:sz w:val="22"/>
          <w:szCs w:val="22"/>
        </w:rPr>
      </w:pPr>
      <w:bookmarkStart w:id="2" w:name="_Toc80708574"/>
      <w:bookmarkStart w:id="3" w:name="_Toc80710101"/>
      <w:r w:rsidRPr="00FF7222">
        <w:rPr>
          <w:rFonts w:ascii="Arial" w:hAnsi="Arial" w:cs="Arial"/>
          <w:b/>
          <w:bCs/>
          <w:color w:val="auto"/>
          <w:sz w:val="22"/>
          <w:szCs w:val="22"/>
        </w:rPr>
        <w:t>Introduction</w:t>
      </w:r>
      <w:bookmarkEnd w:id="2"/>
      <w:bookmarkEnd w:id="3"/>
    </w:p>
    <w:p w14:paraId="5A947969" w14:textId="3DA80941"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The United Nation Sustainable Development Goals (UN SDGs), which are also called Global Goals, are 17 objectives agreed on by the UN member states to be achieved by 2030. The SDGs agenda builds on the Millennium Development Goals (MDGs), which encompass 8 objectives signed by the UN member countries in September 2000 (Leal Filho et al., 2019). The SDGs are set out to help rich, middle and poor-income countries in a bid to promote prosperity, protect the environment and tackle climate change challenges. The goals envision a world without hunger, poverty, and diseases. Through education policies, the UK aims to address the mismatch between qualifications of the available </w:t>
      </w:r>
      <w:r w:rsidR="00FF7222" w:rsidRPr="00FF7222">
        <w:rPr>
          <w:rFonts w:ascii="Arial" w:hAnsi="Arial" w:cs="Arial"/>
        </w:rPr>
        <w:t>labour</w:t>
      </w:r>
      <w:r w:rsidRPr="00FF7222">
        <w:rPr>
          <w:rFonts w:ascii="Arial" w:hAnsi="Arial" w:cs="Arial"/>
        </w:rPr>
        <w:t xml:space="preserve"> force, and job opportunities, which is a persistent issue in many markets. As such, all member states are equally called upon to take part in finding a mutual solution to the three most urgent global challenges mentioned above. Most importantly, there are incentives created to motivate non-governmental actors to increasingly contribute to sustainable development. The 17 Sustainable Development Goals are discussed in this paper, with primary focus being on Goal 3, goal 4 and Goal 17, not to mention detailed discussions of policies/</w:t>
      </w:r>
      <w:r w:rsidR="00FF7222" w:rsidRPr="00FF7222">
        <w:rPr>
          <w:rFonts w:ascii="Arial" w:hAnsi="Arial" w:cs="Arial"/>
        </w:rPr>
        <w:t>initiatives</w:t>
      </w:r>
      <w:r w:rsidRPr="00FF7222">
        <w:rPr>
          <w:rFonts w:ascii="Arial" w:hAnsi="Arial" w:cs="Arial"/>
        </w:rPr>
        <w:t xml:space="preserve"> implemented by the UK as a nation and UK's Enfield Council Borough. </w:t>
      </w:r>
    </w:p>
    <w:p w14:paraId="0D029D6B" w14:textId="77777777" w:rsidR="000C4B08" w:rsidRPr="00FF7222" w:rsidRDefault="000C4B08" w:rsidP="00EF254D">
      <w:pPr>
        <w:pStyle w:val="Heading1"/>
        <w:spacing w:line="480" w:lineRule="auto"/>
        <w:rPr>
          <w:rFonts w:ascii="Arial" w:hAnsi="Arial" w:cs="Arial"/>
          <w:b/>
          <w:bCs/>
          <w:color w:val="auto"/>
          <w:sz w:val="22"/>
          <w:szCs w:val="22"/>
        </w:rPr>
      </w:pPr>
      <w:bookmarkStart w:id="4" w:name="_Toc80708575"/>
      <w:bookmarkStart w:id="5" w:name="_Toc80710102"/>
      <w:r w:rsidRPr="00FF7222">
        <w:rPr>
          <w:rFonts w:ascii="Arial" w:hAnsi="Arial" w:cs="Arial"/>
          <w:b/>
          <w:bCs/>
          <w:color w:val="auto"/>
          <w:sz w:val="22"/>
          <w:szCs w:val="22"/>
        </w:rPr>
        <w:t>2a. Definitions of Terms</w:t>
      </w:r>
      <w:bookmarkEnd w:id="4"/>
      <w:bookmarkEnd w:id="5"/>
    </w:p>
    <w:p w14:paraId="385DD768" w14:textId="70624B5A"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 xml:space="preserve">Wellbeing - state of being comfortable, </w:t>
      </w:r>
      <w:r w:rsidR="00EF254D" w:rsidRPr="00FF7222">
        <w:rPr>
          <w:rFonts w:ascii="Arial" w:hAnsi="Arial" w:cs="Arial"/>
        </w:rPr>
        <w:t>healthy,</w:t>
      </w:r>
      <w:r w:rsidRPr="00FF7222">
        <w:rPr>
          <w:rFonts w:ascii="Arial" w:hAnsi="Arial" w:cs="Arial"/>
        </w:rPr>
        <w:t xml:space="preserve"> or happy because life is going well. </w:t>
      </w:r>
    </w:p>
    <w:p w14:paraId="031D79D7"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 xml:space="preserve">Health - State of being injury or illness-free. </w:t>
      </w:r>
    </w:p>
    <w:p w14:paraId="1CD7E468"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Sustainability - Avoidance of natural resources depletion to ensure an environmental balance.</w:t>
      </w:r>
    </w:p>
    <w:p w14:paraId="21621F36"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Sustainable development - development for economy conducted without natural resources depletion.</w:t>
      </w:r>
    </w:p>
    <w:p w14:paraId="4C54124A" w14:textId="77777777" w:rsidR="000C4B08" w:rsidRPr="00FF7222" w:rsidRDefault="000C4B08" w:rsidP="000C4B08">
      <w:pPr>
        <w:pStyle w:val="Heading1"/>
        <w:spacing w:line="480" w:lineRule="auto"/>
        <w:jc w:val="center"/>
        <w:rPr>
          <w:rFonts w:ascii="Arial" w:hAnsi="Arial" w:cs="Arial"/>
          <w:b/>
          <w:bCs/>
          <w:color w:val="auto"/>
          <w:sz w:val="22"/>
          <w:szCs w:val="22"/>
        </w:rPr>
      </w:pPr>
      <w:bookmarkStart w:id="6" w:name="_Toc80708576"/>
      <w:bookmarkStart w:id="7" w:name="_Toc80710103"/>
      <w:r w:rsidRPr="00FF7222">
        <w:rPr>
          <w:rFonts w:ascii="Arial" w:hAnsi="Arial" w:cs="Arial"/>
          <w:b/>
          <w:bCs/>
          <w:color w:val="auto"/>
          <w:sz w:val="22"/>
          <w:szCs w:val="22"/>
        </w:rPr>
        <w:lastRenderedPageBreak/>
        <w:t>2b. 17 Sustainable Development Goals (SDGs)</w:t>
      </w:r>
      <w:bookmarkEnd w:id="6"/>
      <w:bookmarkEnd w:id="7"/>
    </w:p>
    <w:p w14:paraId="504E7926" w14:textId="77777777" w:rsidR="000C4B08" w:rsidRPr="00FF7222" w:rsidRDefault="000C4B08" w:rsidP="000C4B08">
      <w:pPr>
        <w:pStyle w:val="Heading2"/>
        <w:spacing w:line="480" w:lineRule="auto"/>
        <w:rPr>
          <w:rFonts w:ascii="Arial" w:hAnsi="Arial" w:cs="Arial"/>
          <w:b/>
          <w:bCs/>
          <w:color w:val="auto"/>
          <w:sz w:val="22"/>
          <w:szCs w:val="22"/>
        </w:rPr>
      </w:pPr>
      <w:bookmarkStart w:id="8" w:name="_Toc80708577"/>
      <w:bookmarkStart w:id="9" w:name="_Toc80710104"/>
      <w:r w:rsidRPr="00FF7222">
        <w:rPr>
          <w:rFonts w:ascii="Arial" w:hAnsi="Arial" w:cs="Arial"/>
          <w:b/>
          <w:bCs/>
          <w:color w:val="auto"/>
          <w:sz w:val="22"/>
          <w:szCs w:val="22"/>
        </w:rPr>
        <w:t>Goal 1: No Poverty</w:t>
      </w:r>
      <w:bookmarkEnd w:id="8"/>
      <w:bookmarkEnd w:id="9"/>
    </w:p>
    <w:p w14:paraId="6D8A7F98"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Approximately 700 million people, that is around 10 percent of the world population, live in poverty and are struggling to access the most basic needs such as education, health, water and sanitation, to mention a few. Global statistics recorded in 2015 show a 26 percent decrease in the number of individuals living in severe poverty conditions from 36 percent in 1990. According to Leal Filho et al. (2019), the pace of change is decreasing especially since the onset of the COVID-19 crisis. Therefore, ensuring social security for children and other susceptible groups is critical in the fight against global poverty.</w:t>
      </w:r>
    </w:p>
    <w:p w14:paraId="754DCD6C" w14:textId="77777777" w:rsidR="000C4B08" w:rsidRPr="00FF7222" w:rsidRDefault="000C4B08" w:rsidP="000C4B08">
      <w:pPr>
        <w:pStyle w:val="Heading2"/>
        <w:spacing w:line="480" w:lineRule="auto"/>
        <w:rPr>
          <w:rFonts w:ascii="Arial" w:hAnsi="Arial" w:cs="Arial"/>
          <w:b/>
          <w:bCs/>
          <w:color w:val="auto"/>
          <w:sz w:val="22"/>
          <w:szCs w:val="22"/>
        </w:rPr>
      </w:pPr>
      <w:bookmarkStart w:id="10" w:name="_Toc80708578"/>
      <w:bookmarkStart w:id="11" w:name="_Toc80710105"/>
      <w:r w:rsidRPr="00FF7222">
        <w:rPr>
          <w:rFonts w:ascii="Arial" w:hAnsi="Arial" w:cs="Arial"/>
          <w:b/>
          <w:bCs/>
          <w:color w:val="auto"/>
          <w:sz w:val="22"/>
          <w:szCs w:val="22"/>
        </w:rPr>
        <w:t>Goal 2: Zero Hunger</w:t>
      </w:r>
      <w:bookmarkEnd w:id="10"/>
      <w:bookmarkEnd w:id="11"/>
    </w:p>
    <w:p w14:paraId="44CE94F5"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Despite a steady decline in the number of people suffering from hunger since 2015, the world is nowhere close to achieving Zero Hunger by 2030. In fact, if recent trends are anything to go by, the number of individuals impacted by hunger might exceed 840 million by 2030 (Marmot and Bell, 2018). The World Food Program shows that 135 million people suffer from acute hunger mainly as a result of manmade conflicts, economic downturns as well as climate change. Due to the COVID-19 crisis, this number could double thus leave an additional 135 million people vulnerable to acute hunger.</w:t>
      </w:r>
    </w:p>
    <w:p w14:paraId="4435440F" w14:textId="77777777" w:rsidR="000C4B08" w:rsidRPr="00FF7222" w:rsidRDefault="000C4B08" w:rsidP="000C4B08">
      <w:pPr>
        <w:pStyle w:val="Heading2"/>
        <w:spacing w:line="480" w:lineRule="auto"/>
        <w:rPr>
          <w:rFonts w:ascii="Arial" w:hAnsi="Arial" w:cs="Arial"/>
          <w:b/>
          <w:bCs/>
          <w:color w:val="auto"/>
          <w:sz w:val="22"/>
          <w:szCs w:val="22"/>
        </w:rPr>
      </w:pPr>
      <w:bookmarkStart w:id="12" w:name="_Toc80708579"/>
      <w:bookmarkStart w:id="13" w:name="_Toc80710106"/>
      <w:r w:rsidRPr="00FF7222">
        <w:rPr>
          <w:rFonts w:ascii="Arial" w:hAnsi="Arial" w:cs="Arial"/>
          <w:b/>
          <w:bCs/>
          <w:color w:val="auto"/>
          <w:sz w:val="22"/>
          <w:szCs w:val="22"/>
        </w:rPr>
        <w:t>Goal 3: Good Health and Well-being</w:t>
      </w:r>
      <w:bookmarkEnd w:id="12"/>
      <w:bookmarkEnd w:id="13"/>
    </w:p>
    <w:p w14:paraId="4A80D11C"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For sustainable development, ensuring healthy living and promoting well-being across all ages is of the essence. At the moment, the most persistent global health challenge is COVID-19. The Pandemic is not only spreading human suffering but also undermining the world economy to a point of upending the lives of individuals worldwide. Prior to the Corona pandemic, the UN had made significant strides in increasing life expectancy and reducing some common causes of child and maternal mortality. More efforts are necessary to fully eradicate a wide array of health conditions and diseases (Marmot and Bell, 2018). The primary focus should </w:t>
      </w:r>
      <w:r w:rsidRPr="00FF7222">
        <w:rPr>
          <w:rFonts w:ascii="Arial" w:hAnsi="Arial" w:cs="Arial"/>
        </w:rPr>
        <w:lastRenderedPageBreak/>
        <w:t>be to provide more efficient funding to health systems, improve hygiene and sanitation, and improve healthcare access. The pandemic, therefore, provides an opportunity for health emergency preparedness and calls for investment in critical public services in the 21st century (Biermann, Kanie, and Kim, 2017).</w:t>
      </w:r>
    </w:p>
    <w:p w14:paraId="4AE2FAF5" w14:textId="77777777" w:rsidR="000C4B08" w:rsidRPr="00FF7222" w:rsidRDefault="000C4B08" w:rsidP="000C4B08">
      <w:pPr>
        <w:pStyle w:val="Heading2"/>
        <w:spacing w:line="480" w:lineRule="auto"/>
        <w:rPr>
          <w:rFonts w:ascii="Arial" w:hAnsi="Arial" w:cs="Arial"/>
          <w:b/>
          <w:bCs/>
          <w:color w:val="auto"/>
          <w:sz w:val="22"/>
          <w:szCs w:val="22"/>
        </w:rPr>
      </w:pPr>
      <w:bookmarkStart w:id="14" w:name="_Toc80708580"/>
      <w:bookmarkStart w:id="15" w:name="_Toc80710107"/>
      <w:r w:rsidRPr="00FF7222">
        <w:rPr>
          <w:rFonts w:ascii="Arial" w:hAnsi="Arial" w:cs="Arial"/>
          <w:b/>
          <w:bCs/>
          <w:color w:val="auto"/>
          <w:sz w:val="22"/>
          <w:szCs w:val="22"/>
        </w:rPr>
        <w:t>Goal 4: Quality Education</w:t>
      </w:r>
      <w:bookmarkEnd w:id="14"/>
      <w:bookmarkEnd w:id="15"/>
    </w:p>
    <w:p w14:paraId="00C27667"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Education enhances social-economic mobility and is essential in poverty eradication. Despite the many measures implemented to increase access to education, approximately 260 million children had no access to education as of 2018. Moreover, more than half of adolescents and children globally are currently not meeting minimum proficiency standards in mathematics and reading (Assembly, 2015). Since the onset of COVID-19 many countries announced temporary closure to schools, which affected over 91 percent of students across the world. Therefore, the pandemic has introduced far-reaching consequences that might jeopardize hard won improvements previously experienced in the education sector.</w:t>
      </w:r>
    </w:p>
    <w:p w14:paraId="3F450863" w14:textId="77777777" w:rsidR="000C4B08" w:rsidRPr="00FF7222" w:rsidRDefault="000C4B08" w:rsidP="000C4B08">
      <w:pPr>
        <w:pStyle w:val="Heading2"/>
        <w:spacing w:line="480" w:lineRule="auto"/>
        <w:rPr>
          <w:rFonts w:ascii="Arial" w:hAnsi="Arial" w:cs="Arial"/>
          <w:b/>
          <w:bCs/>
          <w:color w:val="auto"/>
          <w:sz w:val="22"/>
          <w:szCs w:val="22"/>
        </w:rPr>
      </w:pPr>
      <w:bookmarkStart w:id="16" w:name="_Toc80708581"/>
      <w:bookmarkStart w:id="17" w:name="_Toc80710108"/>
      <w:r w:rsidRPr="00FF7222">
        <w:rPr>
          <w:rFonts w:ascii="Arial" w:hAnsi="Arial" w:cs="Arial"/>
          <w:b/>
          <w:bCs/>
          <w:color w:val="auto"/>
          <w:sz w:val="22"/>
          <w:szCs w:val="22"/>
        </w:rPr>
        <w:t>Goal 5: Gender Equality</w:t>
      </w:r>
      <w:bookmarkEnd w:id="16"/>
      <w:bookmarkEnd w:id="17"/>
    </w:p>
    <w:p w14:paraId="565F95EE" w14:textId="68DF53AB"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Over the last decade, statistics show that more girls have accessed education and there has been a decrease in the number of forced early marriages. Moreover, the number of women representatives in political and leadership positions has increased, not to mention new laws being reformed to ensure gender equality. However, despite these gains, such challenges as discriminatory social norms and laws remain pervasive.  Women also work in insecure </w:t>
      </w:r>
      <w:r w:rsidR="00EF254D" w:rsidRPr="00FF7222">
        <w:rPr>
          <w:rFonts w:ascii="Arial" w:hAnsi="Arial" w:cs="Arial"/>
        </w:rPr>
        <w:t>labour</w:t>
      </w:r>
      <w:r w:rsidRPr="00FF7222">
        <w:rPr>
          <w:rFonts w:ascii="Arial" w:hAnsi="Arial" w:cs="Arial"/>
        </w:rPr>
        <w:t xml:space="preserve"> market thus the economic effects of COVID-19 have hit them harder (Ban, 2016). Most significantly, there is an increase in domestic violence, abuse and starvation with the lockdown and curfew measures in place.</w:t>
      </w:r>
    </w:p>
    <w:p w14:paraId="2C07BA35" w14:textId="77777777" w:rsidR="000C4B08" w:rsidRPr="00FF7222" w:rsidRDefault="000C4B08" w:rsidP="000C4B08">
      <w:pPr>
        <w:pStyle w:val="Heading2"/>
        <w:spacing w:line="480" w:lineRule="auto"/>
        <w:rPr>
          <w:rFonts w:ascii="Arial" w:hAnsi="Arial" w:cs="Arial"/>
          <w:b/>
          <w:bCs/>
          <w:color w:val="auto"/>
          <w:sz w:val="22"/>
          <w:szCs w:val="22"/>
        </w:rPr>
      </w:pPr>
      <w:bookmarkStart w:id="18" w:name="_Toc80708582"/>
      <w:bookmarkStart w:id="19" w:name="_Toc80710109"/>
      <w:r w:rsidRPr="00FF7222">
        <w:rPr>
          <w:rFonts w:ascii="Arial" w:hAnsi="Arial" w:cs="Arial"/>
          <w:b/>
          <w:bCs/>
          <w:color w:val="auto"/>
          <w:sz w:val="22"/>
          <w:szCs w:val="22"/>
        </w:rPr>
        <w:t>Goal 6: Clean Water and Sanitation</w:t>
      </w:r>
      <w:bookmarkEnd w:id="18"/>
      <w:bookmarkEnd w:id="19"/>
    </w:p>
    <w:p w14:paraId="3F7F4890"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Globally, one in three individuals lack access to safe drinking water and two out of five </w:t>
      </w:r>
      <w:r w:rsidRPr="00FF7222">
        <w:rPr>
          <w:rFonts w:ascii="Arial" w:hAnsi="Arial" w:cs="Arial"/>
        </w:rPr>
        <w:lastRenderedPageBreak/>
        <w:t>people cannot afford a basic hand washing facility with clean water and soap. Worst of all, over 670 million people are still practicing open defecation. After the COVID-19 outbreak, it is clear how critical to ensure hygiene, sanitation, and adequate access to clean water for purposes of preventing and curing diseases (Moyer and Hedden, 2020). The World Health Organization emphasizes that handwashing is one of the most affirmative actions to take to combat the spread of pathogens and prevent such infections as Covid-19 virus. However, billions of people lack access to the said necessities.</w:t>
      </w:r>
    </w:p>
    <w:p w14:paraId="110F96D4" w14:textId="77777777" w:rsidR="000C4B08" w:rsidRPr="00FF7222" w:rsidRDefault="000C4B08" w:rsidP="000C4B08">
      <w:pPr>
        <w:pStyle w:val="Heading2"/>
        <w:spacing w:line="480" w:lineRule="auto"/>
        <w:rPr>
          <w:rFonts w:ascii="Arial" w:hAnsi="Arial" w:cs="Arial"/>
          <w:b/>
          <w:bCs/>
          <w:color w:val="auto"/>
          <w:sz w:val="22"/>
          <w:szCs w:val="22"/>
        </w:rPr>
      </w:pPr>
      <w:bookmarkStart w:id="20" w:name="_Toc80708583"/>
      <w:bookmarkStart w:id="21" w:name="_Toc80710110"/>
      <w:r w:rsidRPr="00FF7222">
        <w:rPr>
          <w:rFonts w:ascii="Arial" w:hAnsi="Arial" w:cs="Arial"/>
          <w:b/>
          <w:bCs/>
          <w:color w:val="auto"/>
          <w:sz w:val="22"/>
          <w:szCs w:val="22"/>
        </w:rPr>
        <w:t>Goal 7: Affordable and Clean Energy</w:t>
      </w:r>
      <w:bookmarkEnd w:id="20"/>
      <w:bookmarkEnd w:id="21"/>
    </w:p>
    <w:p w14:paraId="1E1A06AE"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Given the global measures implemented to achieve this goal, there are encouraging signs that energy will become more sustainable and readily available. Moreover, there is significant progress in access to electricity in poorer nations, not to mention observable improvements in energy efficiency and enhancements in renewable energy use. Nonetheless, more emphasis should be put on improving access to safe and clean cooking technologies and fuels by expanding the use of renewable energy and increasing electrification in many countries in Africa.</w:t>
      </w:r>
    </w:p>
    <w:p w14:paraId="677EF582" w14:textId="77777777" w:rsidR="000C4B08" w:rsidRPr="00FF7222" w:rsidRDefault="000C4B08" w:rsidP="000C4B08">
      <w:pPr>
        <w:pStyle w:val="Heading2"/>
        <w:spacing w:line="480" w:lineRule="auto"/>
        <w:rPr>
          <w:rFonts w:ascii="Arial" w:hAnsi="Arial" w:cs="Arial"/>
          <w:b/>
          <w:bCs/>
          <w:color w:val="auto"/>
          <w:sz w:val="22"/>
          <w:szCs w:val="22"/>
        </w:rPr>
      </w:pPr>
      <w:bookmarkStart w:id="22" w:name="_Toc80708584"/>
      <w:bookmarkStart w:id="23" w:name="_Toc80710111"/>
      <w:r w:rsidRPr="00FF7222">
        <w:rPr>
          <w:rFonts w:ascii="Arial" w:hAnsi="Arial" w:cs="Arial"/>
          <w:b/>
          <w:bCs/>
          <w:color w:val="auto"/>
          <w:sz w:val="22"/>
          <w:szCs w:val="22"/>
        </w:rPr>
        <w:t>Goal 8: Decent Work and Economic Growth</w:t>
      </w:r>
      <w:bookmarkEnd w:id="22"/>
      <w:bookmarkEnd w:id="23"/>
    </w:p>
    <w:p w14:paraId="0C9D7431"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With inclusive and sustained economic growth, the world can achieve decent jobs creation and enhance living standards. The International Monetary Fund (IMF) has reported an expected global recession that could be worse than in 2009 (Leal Filho et al., 2019). Notably, this would result in escalating job losses that according to the International </w:t>
      </w:r>
      <w:proofErr w:type="spellStart"/>
      <w:r w:rsidRPr="00FF7222">
        <w:rPr>
          <w:rFonts w:ascii="Arial" w:hAnsi="Arial" w:cs="Arial"/>
        </w:rPr>
        <w:t>Labor</w:t>
      </w:r>
      <w:proofErr w:type="spellEnd"/>
      <w:r w:rsidRPr="00FF7222">
        <w:rPr>
          <w:rFonts w:ascii="Arial" w:hAnsi="Arial" w:cs="Arial"/>
        </w:rPr>
        <w:t xml:space="preserve"> Organization approximates would leave almost half of the global workforce at risk of losing their livelihood. Given the current financial and economic shocks in the wake of COVID-19 pandemic, stagnation of per capita incomes, falling prices of commodity, disrupted industrial productions, volatility in the financial market and escalating insecurity, economic growth is at great risk.</w:t>
      </w:r>
    </w:p>
    <w:p w14:paraId="0F7F27DD" w14:textId="77777777" w:rsidR="000C4B08" w:rsidRPr="00FF7222" w:rsidRDefault="000C4B08" w:rsidP="000C4B08">
      <w:pPr>
        <w:pStyle w:val="Heading2"/>
        <w:spacing w:line="480" w:lineRule="auto"/>
        <w:rPr>
          <w:rFonts w:ascii="Arial" w:hAnsi="Arial" w:cs="Arial"/>
          <w:b/>
          <w:bCs/>
          <w:color w:val="auto"/>
          <w:sz w:val="22"/>
          <w:szCs w:val="22"/>
        </w:rPr>
      </w:pPr>
      <w:bookmarkStart w:id="24" w:name="_Toc80708585"/>
      <w:bookmarkStart w:id="25" w:name="_Toc80710112"/>
      <w:r w:rsidRPr="00FF7222">
        <w:rPr>
          <w:rFonts w:ascii="Arial" w:hAnsi="Arial" w:cs="Arial"/>
          <w:b/>
          <w:bCs/>
          <w:color w:val="auto"/>
          <w:sz w:val="22"/>
          <w:szCs w:val="22"/>
        </w:rPr>
        <w:lastRenderedPageBreak/>
        <w:t>Goal 9: Industries, Innovation, and Infrastructure</w:t>
      </w:r>
      <w:bookmarkEnd w:id="24"/>
      <w:bookmarkEnd w:id="25"/>
    </w:p>
    <w:p w14:paraId="1C28F545"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sustainable and inclusive industrialization as well as improved infrastructure and innovations have the aptitude to unleash competitive and dynamic economic forces to generate employment and income (Nilsson, Griggs and Visbeck, 2016). The COVID-19 pandemic has hit manufacturing industries hard and caused disruptions in value chains and products supply worldwide. Hence, technological progress and innovation are key to establishing solutions to economic and environmental challenges such as improved energy-efficiency and increased resources. Lastly, the Coronavirus pandemic has shown the urgency in the need for resilient infrastructure.</w:t>
      </w:r>
    </w:p>
    <w:p w14:paraId="6A562371" w14:textId="77777777" w:rsidR="000C4B08" w:rsidRPr="00FF7222" w:rsidRDefault="000C4B08" w:rsidP="000C4B08">
      <w:pPr>
        <w:pStyle w:val="Heading2"/>
        <w:spacing w:line="480" w:lineRule="auto"/>
        <w:rPr>
          <w:rFonts w:ascii="Arial" w:hAnsi="Arial" w:cs="Arial"/>
          <w:b/>
          <w:bCs/>
          <w:color w:val="auto"/>
          <w:sz w:val="22"/>
          <w:szCs w:val="22"/>
        </w:rPr>
      </w:pPr>
      <w:bookmarkStart w:id="26" w:name="_Toc80708586"/>
      <w:bookmarkStart w:id="27" w:name="_Toc80710113"/>
      <w:r w:rsidRPr="00FF7222">
        <w:rPr>
          <w:rFonts w:ascii="Arial" w:hAnsi="Arial" w:cs="Arial"/>
          <w:b/>
          <w:bCs/>
          <w:color w:val="auto"/>
          <w:sz w:val="22"/>
          <w:szCs w:val="22"/>
        </w:rPr>
        <w:t>Goal 10: Reduced Inequalities</w:t>
      </w:r>
      <w:bookmarkEnd w:id="26"/>
      <w:bookmarkEnd w:id="27"/>
    </w:p>
    <w:p w14:paraId="059A9BEB"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Achieving the SDGs is contingent on the global ability to reduce inequality and ensure no one is left behind. Given the current inequality within and among nations, especially since the outbreak of COVID-19, the UN ought to focus on the evident economic inequalities and fragile social security nets that leave susceptible nations to bear the brunt of the pandemic. Notably, the political, social and economic disparities have amplified the effects of the Coronavirus crisis. Therefore, besides impacting gender inequality, the pandemic has put other challenges such as racial discrimination on the spotlight. Therefore, focus here should be in the deepening disparities among vulnerable populations in states with weak health systems and those facing humanitarian crises.</w:t>
      </w:r>
    </w:p>
    <w:p w14:paraId="175C2F23" w14:textId="77777777" w:rsidR="000C4B08" w:rsidRPr="00FF7222" w:rsidRDefault="000C4B08" w:rsidP="000C4B08">
      <w:pPr>
        <w:pStyle w:val="Heading2"/>
        <w:spacing w:line="480" w:lineRule="auto"/>
        <w:rPr>
          <w:rFonts w:ascii="Arial" w:hAnsi="Arial" w:cs="Arial"/>
          <w:b/>
          <w:bCs/>
          <w:color w:val="auto"/>
          <w:sz w:val="22"/>
          <w:szCs w:val="22"/>
        </w:rPr>
      </w:pPr>
      <w:bookmarkStart w:id="28" w:name="_Toc80708587"/>
      <w:bookmarkStart w:id="29" w:name="_Toc80710114"/>
      <w:r w:rsidRPr="00FF7222">
        <w:rPr>
          <w:rFonts w:ascii="Arial" w:hAnsi="Arial" w:cs="Arial"/>
          <w:b/>
          <w:bCs/>
          <w:color w:val="auto"/>
          <w:sz w:val="22"/>
          <w:szCs w:val="22"/>
        </w:rPr>
        <w:t>Goal 11: Sustainable Cities and Communities</w:t>
      </w:r>
      <w:bookmarkEnd w:id="28"/>
      <w:bookmarkEnd w:id="29"/>
      <w:r w:rsidRPr="00FF7222">
        <w:rPr>
          <w:rFonts w:ascii="Arial" w:hAnsi="Arial" w:cs="Arial"/>
          <w:b/>
          <w:bCs/>
          <w:color w:val="auto"/>
          <w:sz w:val="22"/>
          <w:szCs w:val="22"/>
        </w:rPr>
        <w:t xml:space="preserve"> </w:t>
      </w:r>
    </w:p>
    <w:p w14:paraId="4688FDFF"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Urbanization is increasing significantly across the world.  Evidently, cities and metropolitan regions are economic growth powerhouses and contribute to approximately 60% of the global GDP. Nonetheless, Biermann, Kanie, and Kim (2017) explains that they account for approximately 70% of global carbon emissions and more than 60% of resource use. As a result of rapid urbanization, other challenged have surfaced such as increased number of slum </w:t>
      </w:r>
      <w:r w:rsidRPr="00FF7222">
        <w:rPr>
          <w:rFonts w:ascii="Arial" w:hAnsi="Arial" w:cs="Arial"/>
        </w:rPr>
        <w:lastRenderedPageBreak/>
        <w:t>dwellers, overburdened and inadequate infrastructure and services, deteriorating air pollution and unplanned urban sprawl.</w:t>
      </w:r>
    </w:p>
    <w:p w14:paraId="108506E4" w14:textId="77777777" w:rsidR="000C4B08" w:rsidRPr="00FF7222" w:rsidRDefault="000C4B08" w:rsidP="000C4B08">
      <w:pPr>
        <w:pStyle w:val="Heading2"/>
        <w:spacing w:line="480" w:lineRule="auto"/>
        <w:rPr>
          <w:rFonts w:ascii="Arial" w:hAnsi="Arial" w:cs="Arial"/>
          <w:b/>
          <w:bCs/>
          <w:color w:val="auto"/>
          <w:sz w:val="22"/>
          <w:szCs w:val="22"/>
        </w:rPr>
      </w:pPr>
      <w:bookmarkStart w:id="30" w:name="_Toc80708588"/>
      <w:bookmarkStart w:id="31" w:name="_Toc80710115"/>
      <w:r w:rsidRPr="00FF7222">
        <w:rPr>
          <w:rFonts w:ascii="Arial" w:hAnsi="Arial" w:cs="Arial"/>
          <w:b/>
          <w:bCs/>
          <w:color w:val="auto"/>
          <w:sz w:val="22"/>
          <w:szCs w:val="22"/>
        </w:rPr>
        <w:t>Goal 12: Responsible Consumption and Production</w:t>
      </w:r>
      <w:bookmarkEnd w:id="30"/>
      <w:bookmarkEnd w:id="31"/>
    </w:p>
    <w:p w14:paraId="5A6617D7"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Global consumption and production, which is a worldwide economy driving force, addresses the use of the natural ecology and resources in a way that continually has destructive effects on the planet. With the ongoing measures taken to combat COVID-19, nations have an opportunity to establish recovery strategies and reverse current trends and modify out production and consumption patterns towards a sustainable future (Le Blanc, 2015). Sustainable consumption and production entails using less to do more and better. Moreover, it will enable states to decouple economic growth from ecological degradation while promoting sustainable living and improving resource efficiency.</w:t>
      </w:r>
    </w:p>
    <w:p w14:paraId="19AD8A18" w14:textId="77777777" w:rsidR="000C4B08" w:rsidRPr="00FF7222" w:rsidRDefault="000C4B08" w:rsidP="000C4B08">
      <w:pPr>
        <w:pStyle w:val="Heading2"/>
        <w:spacing w:line="480" w:lineRule="auto"/>
        <w:rPr>
          <w:rFonts w:ascii="Arial" w:hAnsi="Arial" w:cs="Arial"/>
          <w:b/>
          <w:bCs/>
          <w:color w:val="auto"/>
          <w:sz w:val="22"/>
          <w:szCs w:val="22"/>
        </w:rPr>
      </w:pPr>
      <w:bookmarkStart w:id="32" w:name="_Toc80708589"/>
      <w:bookmarkStart w:id="33" w:name="_Toc80710116"/>
      <w:r w:rsidRPr="00FF7222">
        <w:rPr>
          <w:rFonts w:ascii="Arial" w:hAnsi="Arial" w:cs="Arial"/>
          <w:b/>
          <w:bCs/>
          <w:color w:val="auto"/>
          <w:sz w:val="22"/>
          <w:szCs w:val="22"/>
        </w:rPr>
        <w:t>Goal 13: Climate Action</w:t>
      </w:r>
      <w:bookmarkEnd w:id="32"/>
      <w:bookmarkEnd w:id="33"/>
      <w:r w:rsidRPr="00FF7222">
        <w:rPr>
          <w:rFonts w:ascii="Arial" w:hAnsi="Arial" w:cs="Arial"/>
          <w:b/>
          <w:bCs/>
          <w:color w:val="auto"/>
          <w:sz w:val="22"/>
          <w:szCs w:val="22"/>
        </w:rPr>
        <w:t xml:space="preserve"> </w:t>
      </w:r>
    </w:p>
    <w:p w14:paraId="31977F48"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Global climatic statistics show that 2019 was the second warmest year ever recorded and the last year of the warmest decade on record. In 2019, the levels of carbon dioxide and related greenhouse gases within the atmosphere increased to new records. Every country experiences the impacts of climate change in every continent. Besides disrupting state economies and impacting lives, climate change leads to changes in weather patterns, rise in sea levels and extreme weather events. After the global economy starts to recover from the COVID-19 pandemic, gaseous emissions are projected to augment. Therefore, saving livelihoods and lives calls for urgent action to handle both the COVID-19 pandemic and climate emergency (Moyer and Hedden, 2020).</w:t>
      </w:r>
    </w:p>
    <w:p w14:paraId="1BFAA85A" w14:textId="77777777" w:rsidR="000C4B08" w:rsidRPr="00FF7222" w:rsidRDefault="000C4B08" w:rsidP="000C4B08">
      <w:pPr>
        <w:pStyle w:val="Heading2"/>
        <w:spacing w:line="480" w:lineRule="auto"/>
        <w:rPr>
          <w:rFonts w:ascii="Arial" w:hAnsi="Arial" w:cs="Arial"/>
          <w:b/>
          <w:bCs/>
          <w:color w:val="auto"/>
          <w:sz w:val="22"/>
          <w:szCs w:val="22"/>
        </w:rPr>
      </w:pPr>
      <w:bookmarkStart w:id="34" w:name="_Toc80708590"/>
      <w:bookmarkStart w:id="35" w:name="_Toc80710117"/>
      <w:r w:rsidRPr="00FF7222">
        <w:rPr>
          <w:rFonts w:ascii="Arial" w:hAnsi="Arial" w:cs="Arial"/>
          <w:b/>
          <w:bCs/>
          <w:color w:val="auto"/>
          <w:sz w:val="22"/>
          <w:szCs w:val="22"/>
        </w:rPr>
        <w:t>Goal 14: Life Below Water</w:t>
      </w:r>
      <w:bookmarkEnd w:id="34"/>
      <w:bookmarkEnd w:id="35"/>
    </w:p>
    <w:p w14:paraId="7A194B33"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Global systems are driven by ocean drives that make the earth more habitable for mankind. The sea ultimately provides and regulate drinking water, rainwater, climate, weather, </w:t>
      </w:r>
      <w:r w:rsidRPr="00FF7222">
        <w:rPr>
          <w:rFonts w:ascii="Arial" w:hAnsi="Arial" w:cs="Arial"/>
        </w:rPr>
        <w:lastRenderedPageBreak/>
        <w:t>our food, as well as the oxygen we breathe. Carefully managing this global resource is an essential feature needed for sustainability in the future (Pedersen, 2018). There is a gradual deterioration of coastal waters due to pollution whereas acidification in the ocean is adversely impacting ecosystem and biodiversity functioning. Therefore, the priority remains saving our ocean and marine biodiversity is key to people's health and the planet at large. As such Marine protected lands ought to be managed effectively and well-resourced while putting in place regulations to curb overfishing, ocean acidification and marine pollution.</w:t>
      </w:r>
    </w:p>
    <w:p w14:paraId="3766E0CF" w14:textId="77777777" w:rsidR="000C4B08" w:rsidRPr="00FF7222" w:rsidRDefault="000C4B08" w:rsidP="000C4B08">
      <w:pPr>
        <w:pStyle w:val="Heading2"/>
        <w:spacing w:line="480" w:lineRule="auto"/>
        <w:rPr>
          <w:rFonts w:ascii="Arial" w:hAnsi="Arial" w:cs="Arial"/>
          <w:b/>
          <w:bCs/>
          <w:color w:val="auto"/>
          <w:sz w:val="22"/>
          <w:szCs w:val="22"/>
        </w:rPr>
      </w:pPr>
      <w:bookmarkStart w:id="36" w:name="_Toc80708591"/>
      <w:bookmarkStart w:id="37" w:name="_Toc80710118"/>
      <w:r w:rsidRPr="00FF7222">
        <w:rPr>
          <w:rFonts w:ascii="Arial" w:hAnsi="Arial" w:cs="Arial"/>
          <w:b/>
          <w:bCs/>
          <w:color w:val="auto"/>
          <w:sz w:val="22"/>
          <w:szCs w:val="22"/>
        </w:rPr>
        <w:t>Goal 15: Life on Land</w:t>
      </w:r>
      <w:bookmarkEnd w:id="36"/>
      <w:bookmarkEnd w:id="37"/>
      <w:r w:rsidRPr="00FF7222">
        <w:rPr>
          <w:rFonts w:ascii="Arial" w:hAnsi="Arial" w:cs="Arial"/>
          <w:b/>
          <w:bCs/>
          <w:color w:val="auto"/>
          <w:sz w:val="22"/>
          <w:szCs w:val="22"/>
        </w:rPr>
        <w:t xml:space="preserve"> </w:t>
      </w:r>
    </w:p>
    <w:p w14:paraId="00CB33A7" w14:textId="5AA64B40"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Nature is a key requirement for survival since it provides oxygen, pollinates crops, regulates weather patterns, and produces food. Human activity has changed approximately 75% of the earth's surface and has </w:t>
      </w:r>
      <w:r w:rsidR="00FF7222" w:rsidRPr="00FF7222">
        <w:rPr>
          <w:rFonts w:ascii="Arial" w:hAnsi="Arial" w:cs="Arial"/>
        </w:rPr>
        <w:t>squee</w:t>
      </w:r>
      <w:r w:rsidR="00FF7222">
        <w:rPr>
          <w:rFonts w:ascii="Arial" w:hAnsi="Arial" w:cs="Arial"/>
        </w:rPr>
        <w:t>z</w:t>
      </w:r>
      <w:r w:rsidR="00FF7222" w:rsidRPr="00FF7222">
        <w:rPr>
          <w:rFonts w:ascii="Arial" w:hAnsi="Arial" w:cs="Arial"/>
        </w:rPr>
        <w:t>ed</w:t>
      </w:r>
      <w:r w:rsidRPr="00FF7222">
        <w:rPr>
          <w:rFonts w:ascii="Arial" w:hAnsi="Arial" w:cs="Arial"/>
        </w:rPr>
        <w:t xml:space="preserve"> wildlife and nature into crisis (Marmot and Bell, 2018). The report, therefore, necessitated transformative changes to protect and also restore nature. The report also led to the discovery that the ecosystems health on which humans and other species depend is deteriorating more rapidly than before. These affect the foundation of our economies, food security, livelihoods, health as well as global quality of life. Thus, as the human race continues to encroach on delicate ecosystems, they are brought into ever-greater contact with wildlife and enable pathogens in wildlife to get into contact with livestock and increase disease risks.</w:t>
      </w:r>
    </w:p>
    <w:p w14:paraId="0E8947F7" w14:textId="77777777" w:rsidR="000C4B08" w:rsidRPr="00FF7222" w:rsidRDefault="000C4B08" w:rsidP="000C4B08">
      <w:pPr>
        <w:pStyle w:val="Heading2"/>
        <w:spacing w:line="480" w:lineRule="auto"/>
        <w:rPr>
          <w:rFonts w:ascii="Arial" w:hAnsi="Arial" w:cs="Arial"/>
          <w:b/>
          <w:bCs/>
          <w:color w:val="auto"/>
          <w:sz w:val="22"/>
          <w:szCs w:val="22"/>
        </w:rPr>
      </w:pPr>
      <w:bookmarkStart w:id="38" w:name="_Toc80708592"/>
      <w:bookmarkStart w:id="39" w:name="_Toc80710119"/>
      <w:r w:rsidRPr="00FF7222">
        <w:rPr>
          <w:rFonts w:ascii="Arial" w:hAnsi="Arial" w:cs="Arial"/>
          <w:b/>
          <w:bCs/>
          <w:color w:val="auto"/>
          <w:sz w:val="22"/>
          <w:szCs w:val="22"/>
        </w:rPr>
        <w:t>Goal 16: Peace, Justice and Strong Institutions</w:t>
      </w:r>
      <w:bookmarkEnd w:id="38"/>
      <w:bookmarkEnd w:id="39"/>
    </w:p>
    <w:p w14:paraId="439A8E59"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The greatest threat to sustainable development remains conflict, limited access to justice, and insecurity. Statistically, the number of people fleeing war-stricken region, persecution as well as conflict was beyond 70 million in 2018 according to the UN refugee agency (UNHCR). The UN also tracked about 30 enforced disappearances and 357 killings of defenders of human rights, trade unionists and journalists in 2019 in 47 nations (Moyer and Hedden, 2020).</w:t>
      </w:r>
    </w:p>
    <w:p w14:paraId="1B53B37B" w14:textId="77777777" w:rsidR="000C4B08" w:rsidRPr="00FF7222" w:rsidRDefault="000C4B08" w:rsidP="000C4B08">
      <w:pPr>
        <w:pStyle w:val="Heading2"/>
        <w:spacing w:line="480" w:lineRule="auto"/>
        <w:rPr>
          <w:rFonts w:ascii="Arial" w:hAnsi="Arial" w:cs="Arial"/>
          <w:b/>
          <w:bCs/>
          <w:color w:val="auto"/>
          <w:sz w:val="22"/>
          <w:szCs w:val="22"/>
        </w:rPr>
      </w:pPr>
      <w:bookmarkStart w:id="40" w:name="_Toc80708593"/>
      <w:bookmarkStart w:id="41" w:name="_Toc80710120"/>
      <w:r w:rsidRPr="00FF7222">
        <w:rPr>
          <w:rFonts w:ascii="Arial" w:hAnsi="Arial" w:cs="Arial"/>
          <w:b/>
          <w:bCs/>
          <w:color w:val="auto"/>
          <w:sz w:val="22"/>
          <w:szCs w:val="22"/>
        </w:rPr>
        <w:lastRenderedPageBreak/>
        <w:t>Goal 17: Partnership for the Goals</w:t>
      </w:r>
      <w:bookmarkEnd w:id="40"/>
      <w:bookmarkEnd w:id="41"/>
    </w:p>
    <w:p w14:paraId="751927E2"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To achieve the 17 goals, there is need for robust global cooperation and partnerships. For a successful development agenda, inclusive partnerships built on values and principles are vital. Many nations need to have Official Development Assistance to encourage trade and growth. Yet, there is a decline is aid levels and donor states have failed to live up to their pledge that requires them to ramp up development finance. Projections of the impacts of COVID-19 pandemic on the global economy in 2019 showed a possible sharp contract of about 3% by 2020.</w:t>
      </w:r>
    </w:p>
    <w:p w14:paraId="611BFDC3" w14:textId="77777777" w:rsidR="000C4B08" w:rsidRPr="00FF7222" w:rsidRDefault="000C4B08" w:rsidP="000C4B08">
      <w:pPr>
        <w:pStyle w:val="Heading1"/>
        <w:spacing w:line="480" w:lineRule="auto"/>
        <w:jc w:val="center"/>
        <w:rPr>
          <w:rFonts w:ascii="Arial" w:hAnsi="Arial" w:cs="Arial"/>
          <w:b/>
          <w:bCs/>
          <w:color w:val="auto"/>
          <w:sz w:val="22"/>
          <w:szCs w:val="22"/>
        </w:rPr>
      </w:pPr>
      <w:bookmarkStart w:id="42" w:name="_Toc80708594"/>
      <w:bookmarkStart w:id="43" w:name="_Toc80710121"/>
      <w:r w:rsidRPr="00FF7222">
        <w:rPr>
          <w:rFonts w:ascii="Arial" w:hAnsi="Arial" w:cs="Arial"/>
          <w:b/>
          <w:bCs/>
          <w:color w:val="auto"/>
          <w:sz w:val="22"/>
          <w:szCs w:val="22"/>
        </w:rPr>
        <w:t>2c. Goal 3, Goal 4, Goal 17 Further Discussed</w:t>
      </w:r>
      <w:bookmarkEnd w:id="42"/>
      <w:bookmarkEnd w:id="43"/>
    </w:p>
    <w:p w14:paraId="09E31B01" w14:textId="77777777" w:rsidR="000C4B08" w:rsidRPr="00FF7222" w:rsidRDefault="000C4B08" w:rsidP="000C4B08">
      <w:pPr>
        <w:pStyle w:val="Heading2"/>
        <w:spacing w:line="480" w:lineRule="auto"/>
        <w:rPr>
          <w:rFonts w:ascii="Arial" w:hAnsi="Arial" w:cs="Arial"/>
          <w:b/>
          <w:bCs/>
          <w:color w:val="auto"/>
          <w:sz w:val="22"/>
          <w:szCs w:val="22"/>
        </w:rPr>
      </w:pPr>
      <w:bookmarkStart w:id="44" w:name="_Toc80708595"/>
      <w:bookmarkStart w:id="45" w:name="_Toc80710122"/>
      <w:r w:rsidRPr="00FF7222">
        <w:rPr>
          <w:rFonts w:ascii="Arial" w:hAnsi="Arial" w:cs="Arial"/>
          <w:b/>
          <w:bCs/>
          <w:color w:val="auto"/>
          <w:sz w:val="22"/>
          <w:szCs w:val="22"/>
        </w:rPr>
        <w:t>I. Goal 3</w:t>
      </w:r>
      <w:bookmarkEnd w:id="44"/>
      <w:bookmarkEnd w:id="45"/>
    </w:p>
    <w:p w14:paraId="688F9DD3" w14:textId="21080ED3"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Goal 3 (SDG 3) aims to promote health and well-being for all. Since the Millennium Development Goals were created the world has seen historic achievements in reducing child mortality, tackling, malaria, HIV/AIDS, tuberculosis and other diseases as well as enhancing maternal health. Irrespective of this essential progress, AIDS remains the leading cause of mortalities among youths and individuals living with AIDS lack access to life-saving ARV therapy.  Chronic and catastrophic disease remains a major factor promoting poverty and depravation in many regions in the UK (Nilsson, Griggs and Visbeck, 2016). SDG 3 is an initiative with the ability to ensure well-being and health through a bold commitment to end tuberculosis, AIDS, and malaria epidemics by 2030. The objective is to establish universal health </w:t>
      </w:r>
      <w:r w:rsidR="00EF254D" w:rsidRPr="00FF7222">
        <w:rPr>
          <w:rFonts w:ascii="Arial" w:hAnsi="Arial" w:cs="Arial"/>
        </w:rPr>
        <w:t>coverage and</w:t>
      </w:r>
      <w:r w:rsidRPr="00FF7222">
        <w:rPr>
          <w:rFonts w:ascii="Arial" w:hAnsi="Arial" w:cs="Arial"/>
        </w:rPr>
        <w:t xml:space="preserve"> offer access to effective and safe vaccines and medicines for all. Supporting and promoting adequate research for vaccines is a crucial part of the SDG 3 process, not to mention expanding access to affordable medication. Since 2005, childhood mortality has reduced by half, which is proof for global progress in the fight against most diseases (Leal Filho et al., 2020). Yet, a lot of resources and fundings are spent on treatment for diseases that are easily preventable. The SDG 3 therefore promotes preventive measure, </w:t>
      </w:r>
      <w:r w:rsidRPr="00FF7222">
        <w:rPr>
          <w:rFonts w:ascii="Arial" w:hAnsi="Arial" w:cs="Arial"/>
        </w:rPr>
        <w:lastRenderedPageBreak/>
        <w:t>healthy lifestyles and modern effective healthcare for all.</w:t>
      </w:r>
    </w:p>
    <w:p w14:paraId="68A684C9" w14:textId="77777777" w:rsidR="000C4B08" w:rsidRPr="00FF7222" w:rsidRDefault="000C4B08" w:rsidP="000C4B08">
      <w:pPr>
        <w:pStyle w:val="Heading2"/>
        <w:spacing w:line="480" w:lineRule="auto"/>
        <w:rPr>
          <w:rFonts w:ascii="Arial" w:hAnsi="Arial" w:cs="Arial"/>
          <w:b/>
          <w:bCs/>
          <w:color w:val="auto"/>
          <w:sz w:val="22"/>
          <w:szCs w:val="22"/>
        </w:rPr>
      </w:pPr>
      <w:bookmarkStart w:id="46" w:name="_Toc80708596"/>
      <w:bookmarkStart w:id="47" w:name="_Toc80710123"/>
      <w:r w:rsidRPr="00FF7222">
        <w:rPr>
          <w:rFonts w:ascii="Arial" w:hAnsi="Arial" w:cs="Arial"/>
          <w:b/>
          <w:bCs/>
          <w:color w:val="auto"/>
          <w:sz w:val="22"/>
          <w:szCs w:val="22"/>
        </w:rPr>
        <w:t>II. Goal 4</w:t>
      </w:r>
      <w:bookmarkEnd w:id="46"/>
      <w:bookmarkEnd w:id="47"/>
    </w:p>
    <w:p w14:paraId="57410AC1"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The Sustainable Development Goal 4 is an action plan for people, the planet and success. In other words, the primary focus is ensuring equitable and inclusive quality education and support lifelong opportunities for learning to all and sundry. Notwithstanding immense needs globally for education, companies and businesses have the aptitude to leverage resources as well as core competencies to supports governments' education goals. Therefore, the aim is to help businesses make long-term strategic educational investments to lead to a larger, more qualified pool of future workers (Brent, 2017). As such, investing in SDG 4 can help enhance innovation while facilitating access to new markets. Since education is practically a local issue, businesses in the UK are required to function within local systems of education to determine beneficial resource utilization of resources. Most importantly, businesses ought to apply best practices and engage responsibly in education. For this reason, the government is emphasizing on the need to promote topics on sustainable development in higher education and reinforces the ability of the public sector to offer equitable opportunities for quality learning.</w:t>
      </w:r>
    </w:p>
    <w:p w14:paraId="754671FD" w14:textId="77777777" w:rsidR="000C4B08" w:rsidRPr="00FF7222" w:rsidRDefault="000C4B08" w:rsidP="000C4B08">
      <w:pPr>
        <w:pStyle w:val="Heading2"/>
        <w:spacing w:line="480" w:lineRule="auto"/>
        <w:rPr>
          <w:rFonts w:ascii="Arial" w:hAnsi="Arial" w:cs="Arial"/>
          <w:b/>
          <w:bCs/>
          <w:color w:val="auto"/>
          <w:sz w:val="22"/>
          <w:szCs w:val="22"/>
        </w:rPr>
      </w:pPr>
      <w:bookmarkStart w:id="48" w:name="_Toc80708597"/>
      <w:bookmarkStart w:id="49" w:name="_Toc80710124"/>
      <w:r w:rsidRPr="00FF7222">
        <w:rPr>
          <w:rFonts w:ascii="Arial" w:hAnsi="Arial" w:cs="Arial"/>
          <w:b/>
          <w:bCs/>
          <w:color w:val="auto"/>
          <w:sz w:val="22"/>
          <w:szCs w:val="22"/>
        </w:rPr>
        <w:t>III. Goal 17</w:t>
      </w:r>
      <w:bookmarkEnd w:id="48"/>
      <w:bookmarkEnd w:id="49"/>
    </w:p>
    <w:p w14:paraId="2A8FFBFC"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To achieve the other 16 SDGs, there is need to embrace goal 17 on partnerships by establishing a robust commitment to global cooperation and partnership. Most countries need Official Development Assistance to promote trade and growth. Given the current interconnections across the world, enhancing access to knowledge and technology is a fundamental means to foster innovation and share ideas (Sachs et al., 2019). Therefore, the UK is making significant steps in coordinating policies to assist developing nations manage debt and fostering investment for the least advanced. SDG 17 aims to enhance cooperation by promoting nationwide plans attain all the objectives. SDG 17 also focuses on the need to strengthen every country's resource mobilization through support for developing nations to </w:t>
      </w:r>
      <w:r w:rsidRPr="00FF7222">
        <w:rPr>
          <w:rFonts w:ascii="Arial" w:hAnsi="Arial" w:cs="Arial"/>
        </w:rPr>
        <w:lastRenderedPageBreak/>
        <w:t>foster domestic capacity for collection of tax and other revenue. Lastly, goal 17 will help promote an open, universal, rule-based, equitable and non-discriminatory trading system through the World Trading Organization (WTO) (Ban, 2016).</w:t>
      </w:r>
    </w:p>
    <w:p w14:paraId="70C2BCCC" w14:textId="77777777" w:rsidR="000C4B08" w:rsidRPr="00FF7222" w:rsidRDefault="000C4B08" w:rsidP="000C4B08">
      <w:pPr>
        <w:pStyle w:val="Heading1"/>
        <w:spacing w:line="480" w:lineRule="auto"/>
        <w:jc w:val="center"/>
        <w:rPr>
          <w:rFonts w:ascii="Arial" w:hAnsi="Arial" w:cs="Arial"/>
          <w:b/>
          <w:bCs/>
          <w:color w:val="auto"/>
          <w:sz w:val="22"/>
          <w:szCs w:val="22"/>
        </w:rPr>
      </w:pPr>
      <w:bookmarkStart w:id="50" w:name="_Toc80708598"/>
      <w:bookmarkStart w:id="51" w:name="_Toc80710125"/>
      <w:r w:rsidRPr="00FF7222">
        <w:rPr>
          <w:rFonts w:ascii="Arial" w:hAnsi="Arial" w:cs="Arial"/>
          <w:b/>
          <w:bCs/>
          <w:color w:val="auto"/>
          <w:sz w:val="22"/>
          <w:szCs w:val="22"/>
        </w:rPr>
        <w:t>2d. UK Government Policies/Initiatives for Meeting Goal 3, Goal 4, and Goal 17</w:t>
      </w:r>
      <w:bookmarkEnd w:id="50"/>
      <w:bookmarkEnd w:id="51"/>
    </w:p>
    <w:p w14:paraId="79D1DE89" w14:textId="77777777" w:rsidR="000C4B08" w:rsidRPr="00FF7222" w:rsidRDefault="000C4B08" w:rsidP="000C4B08">
      <w:pPr>
        <w:pStyle w:val="Heading2"/>
        <w:spacing w:line="480" w:lineRule="auto"/>
        <w:rPr>
          <w:rFonts w:ascii="Arial" w:hAnsi="Arial" w:cs="Arial"/>
          <w:b/>
          <w:bCs/>
          <w:color w:val="auto"/>
          <w:sz w:val="22"/>
          <w:szCs w:val="22"/>
        </w:rPr>
      </w:pPr>
      <w:bookmarkStart w:id="52" w:name="_Toc80708599"/>
      <w:bookmarkStart w:id="53" w:name="_Toc80710126"/>
      <w:r w:rsidRPr="00FF7222">
        <w:rPr>
          <w:rFonts w:ascii="Arial" w:hAnsi="Arial" w:cs="Arial"/>
          <w:b/>
          <w:bCs/>
          <w:color w:val="auto"/>
          <w:sz w:val="22"/>
          <w:szCs w:val="22"/>
        </w:rPr>
        <w:t>I. Goal 3 (SDG 3) Policies/Initiatives</w:t>
      </w:r>
      <w:bookmarkEnd w:id="52"/>
      <w:bookmarkEnd w:id="53"/>
    </w:p>
    <w:p w14:paraId="03531480"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The UK has an initiative dedicated to offering the highest quality of healthcare by averting and reacting to world health crises. As a global leader, the country is protecting, promoting and enhancing reproductive and sexual health. Tackling the contemporary health crises around the world is one of the UK's primary objectives. Well aware that disease do not respect borders, the country has a universal health support program that has supported 5 million births with professional birth attendants, saved more than 105, 000 women's lives during pregnancy and delivery, immunized 67 million children and provided about 10 million women and girls with access to voluntary family planning (Biermann, Kanie, and Kim, 2017). Women play a fundamental role in responding to the COVID-19 by participating as frontline healthcare givers in care facilities and at home. Through this initiative, the target was to continue saving lives by immunizing 75 million children against killer diseases by 2020. Currently, the country is applying a new global program to speed up the rate of vaccines and drugs development to eliminate some of the world's most detrimental infectious diseases. By tackling major global health crises, this initiative will promote health among adults to ensure they are more productive and in return reinforce national economy (Sachs et al., 2019).</w:t>
      </w:r>
    </w:p>
    <w:p w14:paraId="2546272D"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The other initiative targets to invest in Global Funds to fight HIV/AIDS, Tuberculosis, and Malaria including offering adequate life-saving Anti-retroviral therapy for 1.5 million individuals living with HIV (Ban, 2016). Through partnerships with global partners like UN and G20, the country is making efforts to secure concerted international efforts on Antimicrobial Resistance (AMR). Most importantly, the country is a key voice and primary donor in international policies </w:t>
      </w:r>
      <w:r w:rsidRPr="00FF7222">
        <w:rPr>
          <w:rFonts w:ascii="Arial" w:hAnsi="Arial" w:cs="Arial"/>
        </w:rPr>
        <w:lastRenderedPageBreak/>
        <w:t>supporting, safeguarding and promoting Sexual and Reproductive Health and Rights (SRHR). World Health Organization research demonstrates a massive gap between available health services funding and funding need to achieve Universal Health Coverage (UHC). Notably, the country's bilateral health aid was found to rebound in 2017 but there are concerns regarding the quality of UK aid for health (Schramade, 2017). For instance, amount of health aid directed outside the UK’s Department for International Development (DFID) has augmented and health system-focused approaches are said to have correspondingly declined (Leal Filho et al., 2019). As part of the UHC initiative, direct budget support has been withdrawn. The UK expects to set the trend and illustrate more publicly the way to compensate for loss of investments and fundings for key health systems reinforcement, including salaries for health workers.</w:t>
      </w:r>
    </w:p>
    <w:p w14:paraId="0F59B76E" w14:textId="77777777" w:rsidR="000C4B08" w:rsidRPr="00FF7222" w:rsidRDefault="000C4B08" w:rsidP="000C4B08">
      <w:pPr>
        <w:pStyle w:val="Heading2"/>
        <w:spacing w:line="480" w:lineRule="auto"/>
        <w:rPr>
          <w:rFonts w:ascii="Arial" w:hAnsi="Arial" w:cs="Arial"/>
          <w:b/>
          <w:bCs/>
          <w:color w:val="auto"/>
          <w:sz w:val="22"/>
          <w:szCs w:val="22"/>
        </w:rPr>
      </w:pPr>
      <w:bookmarkStart w:id="54" w:name="_Toc80708600"/>
      <w:bookmarkStart w:id="55" w:name="_Toc80710127"/>
      <w:r w:rsidRPr="00FF7222">
        <w:rPr>
          <w:rFonts w:ascii="Arial" w:hAnsi="Arial" w:cs="Arial"/>
          <w:b/>
          <w:bCs/>
          <w:color w:val="auto"/>
          <w:sz w:val="22"/>
          <w:szCs w:val="22"/>
        </w:rPr>
        <w:t>II. Goal 4 (SDG 4) Policies/Initiatives</w:t>
      </w:r>
      <w:bookmarkEnd w:id="54"/>
      <w:bookmarkEnd w:id="55"/>
    </w:p>
    <w:p w14:paraId="7FDEA56A"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In education, the UK is a leading donor and is a fundamental and one of the biggest donors to Global Partnership for Education (GPE). Notably, GPE is an international funding mechanism that aids countries to establish strong national systems of education. Therefore, the UK started an initiative in 2017 in support for GPE and pledged £225 million for three years. Nevertheless, the amount was lower than the expectation of the civil society handling international education. Therefore, being a GPE leader is an affirmative step towards the education for all objective as well as its effort in strengthening and reforming the Partnership. There is need, therefore, to push these efforts to an even greater degree and support the other SDGs. The UK ought to augment the budget for DFID's aid spent on education because it rests at 7.07% (Schramade, 2017). Notably, this is below the 10% recommended by IDC and the 15% called for by the civil society. Through this GPE initiative, the UK should invest equitably and apply "progressive universalism. The policy will also address the challenges linked with new funding models like the International Financing facility for education and the Education Outcomes fund.</w:t>
      </w:r>
    </w:p>
    <w:p w14:paraId="1B7CC507" w14:textId="65508582"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lastRenderedPageBreak/>
        <w:tab/>
        <w:t xml:space="preserve">Given that the largest percentage of funds used for education emanates from state budgets, DFID aims to support countries to enhance mobilization of domestic resources and promote this agenda. Through the Education Cannot Wait funding initiative, the UK has taken a leadership function for crises-affected children. For instance, the country pledged £30 million in 2016, which was expected to support more than 1 million kids by the end 2018. After signing the Safe School Declaration in 2018, the UK is currently implementing guidelines to protect institutions from being used during armed conflict. According to Assembly (2015), the aim of this policy is to expand partnerships by implementing the Declaration across all necessary departments such as the </w:t>
      </w:r>
      <w:r w:rsidR="00EF254D" w:rsidRPr="00FF7222">
        <w:rPr>
          <w:rFonts w:ascii="Arial" w:hAnsi="Arial" w:cs="Arial"/>
        </w:rPr>
        <w:t>Défense</w:t>
      </w:r>
      <w:r w:rsidRPr="00FF7222">
        <w:rPr>
          <w:rFonts w:ascii="Arial" w:hAnsi="Arial" w:cs="Arial"/>
        </w:rPr>
        <w:t xml:space="preserve"> Ministry and FCO and support other states to endorse them</w:t>
      </w:r>
      <w:r w:rsidR="00FF7222" w:rsidRPr="00FF7222">
        <w:rPr>
          <w:rFonts w:ascii="Arial" w:hAnsi="Arial" w:cs="Arial"/>
        </w:rPr>
        <w:t>.</w:t>
      </w:r>
      <w:r w:rsidRPr="00FF7222">
        <w:rPr>
          <w:rFonts w:ascii="Arial" w:hAnsi="Arial" w:cs="Arial"/>
        </w:rPr>
        <w:t xml:space="preserve"> These measures play a vital role in establishing and promoting fresh technologies, facilitating global trade and augmenting efficacy in the use of resources. Notwithstanding these facts, the least developed nations ought to accelerate development in the manufacturing sector to meet the 2030 target. It is worth noting that the UK is one of the leaders on girl's education and promotes such initiatives as the Platform for Girl's Education and Girl's Education Campaign.</w:t>
      </w:r>
    </w:p>
    <w:p w14:paraId="1C9F5837" w14:textId="77777777" w:rsidR="000C4B08" w:rsidRPr="00FF7222" w:rsidRDefault="000C4B08" w:rsidP="000C4B08">
      <w:pPr>
        <w:pStyle w:val="Heading2"/>
        <w:spacing w:line="480" w:lineRule="auto"/>
        <w:rPr>
          <w:rFonts w:ascii="Arial" w:hAnsi="Arial" w:cs="Arial"/>
          <w:b/>
          <w:bCs/>
          <w:color w:val="auto"/>
          <w:sz w:val="22"/>
          <w:szCs w:val="22"/>
        </w:rPr>
      </w:pPr>
      <w:bookmarkStart w:id="56" w:name="_Toc80708601"/>
      <w:bookmarkStart w:id="57" w:name="_Toc80710128"/>
      <w:r w:rsidRPr="00FF7222">
        <w:rPr>
          <w:rFonts w:ascii="Arial" w:hAnsi="Arial" w:cs="Arial"/>
          <w:b/>
          <w:bCs/>
          <w:color w:val="auto"/>
          <w:sz w:val="22"/>
          <w:szCs w:val="22"/>
        </w:rPr>
        <w:t>III. Goal 17 (SDG 17) Policies/Initiatives</w:t>
      </w:r>
      <w:bookmarkEnd w:id="56"/>
      <w:bookmarkEnd w:id="57"/>
    </w:p>
    <w:p w14:paraId="2807F213" w14:textId="3743C67E"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The UK is using the triangular cooperation as a policy to enhance partnerships with other countries. Notably, this initiative covers the provision of financial resources, knowledge exchange, technical assistance, expertise, information sharing and best practi</w:t>
      </w:r>
      <w:r w:rsidR="00FF7222">
        <w:rPr>
          <w:rFonts w:ascii="Arial" w:hAnsi="Arial" w:cs="Arial"/>
        </w:rPr>
        <w:t>c</w:t>
      </w:r>
      <w:r w:rsidRPr="00FF7222">
        <w:rPr>
          <w:rFonts w:ascii="Arial" w:hAnsi="Arial" w:cs="Arial"/>
        </w:rPr>
        <w:t xml:space="preserve">es. Notably, the prompt expansion of triangular cooperation has accentuated the need to attain a conceptual coherence on these forms of arrangement and partnerships. Notably, this initiative has two prominent attributes. Firstly, it is demand-driven in </w:t>
      </w:r>
      <w:r w:rsidR="00EF254D" w:rsidRPr="00FF7222">
        <w:rPr>
          <w:rFonts w:ascii="Arial" w:hAnsi="Arial" w:cs="Arial"/>
        </w:rPr>
        <w:t>nature,</w:t>
      </w:r>
      <w:r w:rsidRPr="00FF7222">
        <w:rPr>
          <w:rFonts w:ascii="Arial" w:hAnsi="Arial" w:cs="Arial"/>
        </w:rPr>
        <w:t xml:space="preserve"> and it attempts to specify the part played by each partner. In triangular cooperation, partners are normally encouraged by mutual gain pursuance (Assembly, 2015). The U</w:t>
      </w:r>
      <w:r w:rsidR="00FF7222">
        <w:rPr>
          <w:rFonts w:ascii="Arial" w:hAnsi="Arial" w:cs="Arial"/>
        </w:rPr>
        <w:t>K</w:t>
      </w:r>
      <w:r w:rsidRPr="00FF7222">
        <w:rPr>
          <w:rFonts w:ascii="Arial" w:hAnsi="Arial" w:cs="Arial"/>
        </w:rPr>
        <w:t xml:space="preserve"> is encouraging developing nations with which it is in partnerships to use triangular cooperation to signal their precise demands for international partnership and increase opportunities for joint projects.  Research shows that triangular </w:t>
      </w:r>
      <w:r w:rsidRPr="00FF7222">
        <w:rPr>
          <w:rFonts w:ascii="Arial" w:hAnsi="Arial" w:cs="Arial"/>
        </w:rPr>
        <w:lastRenderedPageBreak/>
        <w:t>projects respond positively to the demands of the 2030 Agenda</w:t>
      </w:r>
      <w:r w:rsidR="00FF7222">
        <w:rPr>
          <w:rFonts w:ascii="Arial" w:hAnsi="Arial" w:cs="Arial"/>
        </w:rPr>
        <w:t xml:space="preserve"> </w:t>
      </w:r>
      <w:r w:rsidR="00FF7222" w:rsidRPr="00FF7222">
        <w:rPr>
          <w:rFonts w:ascii="Arial" w:hAnsi="Arial" w:cs="Arial"/>
        </w:rPr>
        <w:t>(Assembly, 2015)</w:t>
      </w:r>
      <w:r w:rsidRPr="00FF7222">
        <w:rPr>
          <w:rFonts w:ascii="Arial" w:hAnsi="Arial" w:cs="Arial"/>
        </w:rPr>
        <w:t>. Therefore, it is a mechanism proven to integrate distinct perspectives and encourages the multiplicity and diversity of contemporary development stakeholders. Thus, the DFID's Civil Society Partnership Review is committed to contribute to building an effective, diverse and resilient civil society.</w:t>
      </w:r>
    </w:p>
    <w:p w14:paraId="53DE904D" w14:textId="67BA72C2"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Through its "Leave No One Behind" initiative, the UK government is determined to ensure every individual has a fair chance in life irrespective of who or where they are. To achieve the objectives of this policy, a comprehensive and all-inclusive approach across all the SDGs is necessary. Since relevant left behind groups change based on context, the UK government is taking precise mainstream actions to engage lowest income societies and those marginali</w:t>
      </w:r>
      <w:r w:rsidR="00FF7222" w:rsidRPr="00FF7222">
        <w:rPr>
          <w:rFonts w:ascii="Arial" w:hAnsi="Arial" w:cs="Arial"/>
        </w:rPr>
        <w:t>s</w:t>
      </w:r>
      <w:r w:rsidRPr="00FF7222">
        <w:rPr>
          <w:rFonts w:ascii="Arial" w:hAnsi="Arial" w:cs="Arial"/>
        </w:rPr>
        <w:t>ed through identity and conflict status (Schramade, 2017). Through DFID, the country has progressed in planning and establishing inclusive approaches and policies. Hence, the success of this initiative is contingent on the ability of all UK government bodies and departments to commit more meaningfully to engagement and ongoing negotiations with civil society and service users. For instance, DFID supported the establishment of the Inclusive Data Charter and committed partners to ensure inclusivity in the measurement and pursuit of economic and social progress.</w:t>
      </w:r>
    </w:p>
    <w:p w14:paraId="1C52CC2A" w14:textId="77777777" w:rsidR="000C4B08" w:rsidRPr="00FF7222" w:rsidRDefault="000C4B08" w:rsidP="00695071">
      <w:pPr>
        <w:pStyle w:val="Heading1"/>
        <w:spacing w:line="480" w:lineRule="auto"/>
        <w:rPr>
          <w:rFonts w:ascii="Arial" w:hAnsi="Arial" w:cs="Arial"/>
          <w:b/>
          <w:bCs/>
          <w:color w:val="auto"/>
          <w:sz w:val="22"/>
          <w:szCs w:val="22"/>
        </w:rPr>
      </w:pPr>
      <w:bookmarkStart w:id="58" w:name="_Toc80708602"/>
      <w:bookmarkStart w:id="59" w:name="_Toc80710129"/>
      <w:r w:rsidRPr="00FF7222">
        <w:rPr>
          <w:rFonts w:ascii="Arial" w:hAnsi="Arial" w:cs="Arial"/>
          <w:b/>
          <w:bCs/>
          <w:color w:val="auto"/>
          <w:sz w:val="22"/>
          <w:szCs w:val="22"/>
        </w:rPr>
        <w:t>2e. Introduction on Enfield Council Borough</w:t>
      </w:r>
      <w:bookmarkEnd w:id="58"/>
      <w:bookmarkEnd w:id="59"/>
    </w:p>
    <w:p w14:paraId="2F6F3A34" w14:textId="53F130C6"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Enfield Council Borough totals 31.74 </w:t>
      </w:r>
      <w:r w:rsidR="00FF7222" w:rsidRPr="00FF7222">
        <w:rPr>
          <w:rFonts w:ascii="Arial" w:hAnsi="Arial" w:cs="Arial"/>
        </w:rPr>
        <w:t>sq.</w:t>
      </w:r>
      <w:r w:rsidRPr="00FF7222">
        <w:rPr>
          <w:rFonts w:ascii="Arial" w:hAnsi="Arial" w:cs="Arial"/>
        </w:rPr>
        <w:t xml:space="preserve"> mi (82.20 km2) in size and its estimated population is 333, 794. The borough's main towns </w:t>
      </w:r>
      <w:r w:rsidR="00EF254D" w:rsidRPr="00FF7222">
        <w:rPr>
          <w:rFonts w:ascii="Arial" w:hAnsi="Arial" w:cs="Arial"/>
        </w:rPr>
        <w:t>include</w:t>
      </w:r>
      <w:r w:rsidRPr="00FF7222">
        <w:rPr>
          <w:rFonts w:ascii="Arial" w:hAnsi="Arial" w:cs="Arial"/>
        </w:rPr>
        <w:t xml:space="preserve"> Southgate, Enfield, Edmonton, and Palmers Green. Notably, Enfield is London's northernmost borough. The main health need in this region is to offer better solutions for individuals with mental health support needs through approaches that are supportive of health and wellbeing for everyone. In 2012, Enfield's rate of inpatient admission for cognitive health disorders among young people and children (0-17 years) was the highest in London (Nilsson, Griggs and Visbeck, 2016). Moreover, it had the third highest rate of mortality among individuals with mental challenges in London. </w:t>
      </w:r>
    </w:p>
    <w:p w14:paraId="5918B9A7" w14:textId="77777777" w:rsidR="000C4B08" w:rsidRPr="00FF7222" w:rsidRDefault="000C4B08" w:rsidP="000C4B08">
      <w:pPr>
        <w:pStyle w:val="Heading1"/>
        <w:spacing w:line="480" w:lineRule="auto"/>
        <w:jc w:val="center"/>
        <w:rPr>
          <w:rFonts w:ascii="Arial" w:hAnsi="Arial" w:cs="Arial"/>
          <w:b/>
          <w:bCs/>
          <w:color w:val="auto"/>
          <w:sz w:val="22"/>
          <w:szCs w:val="22"/>
        </w:rPr>
      </w:pPr>
      <w:bookmarkStart w:id="60" w:name="_Toc80708603"/>
      <w:bookmarkStart w:id="61" w:name="_Toc80710130"/>
      <w:r w:rsidRPr="00FF7222">
        <w:rPr>
          <w:rFonts w:ascii="Arial" w:hAnsi="Arial" w:cs="Arial"/>
          <w:b/>
          <w:bCs/>
          <w:color w:val="auto"/>
          <w:sz w:val="22"/>
          <w:szCs w:val="22"/>
        </w:rPr>
        <w:lastRenderedPageBreak/>
        <w:t>2f. Policy/Initiative to Meet Goal 3, Goal 4 and Goal 17</w:t>
      </w:r>
      <w:bookmarkEnd w:id="60"/>
      <w:bookmarkEnd w:id="61"/>
    </w:p>
    <w:p w14:paraId="24971090" w14:textId="77777777" w:rsidR="000C4B08" w:rsidRPr="00FF7222" w:rsidRDefault="000C4B08" w:rsidP="000C4B08">
      <w:pPr>
        <w:pStyle w:val="Heading2"/>
        <w:spacing w:line="480" w:lineRule="auto"/>
        <w:rPr>
          <w:rFonts w:ascii="Arial" w:hAnsi="Arial" w:cs="Arial"/>
          <w:b/>
          <w:bCs/>
          <w:color w:val="auto"/>
          <w:sz w:val="22"/>
          <w:szCs w:val="22"/>
        </w:rPr>
      </w:pPr>
      <w:bookmarkStart w:id="62" w:name="_Toc80708604"/>
      <w:bookmarkStart w:id="63" w:name="_Toc80710131"/>
      <w:r w:rsidRPr="00FF7222">
        <w:rPr>
          <w:rFonts w:ascii="Arial" w:hAnsi="Arial" w:cs="Arial"/>
          <w:b/>
          <w:bCs/>
          <w:color w:val="auto"/>
          <w:sz w:val="22"/>
          <w:szCs w:val="22"/>
        </w:rPr>
        <w:t>I. Goal 3 Policy/Initiative for Enfield Council Borough</w:t>
      </w:r>
      <w:bookmarkEnd w:id="62"/>
      <w:bookmarkEnd w:id="63"/>
    </w:p>
    <w:p w14:paraId="5263366F"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Through a proactive health check, the borough is seeking to improve disease diagnosis and prevention measure. For instance, more than 3, 000 people were within the first 6 months of 2017 and half this number were helped to stop smoking (Brent, 2017). Moreover, a combination of programmes supports one policy whose objective is to improve health and wellbeing in the area. Hence, through the ‘Changing Habits in Enfield Families’ (CHEF) initiative, the local area aims to help individuals reduce obesity and support families. Therefore, to transform healthcare provision and decrease health disparities, Enfield Council should embrace partnerships between boroughs, the PHE and NHS and targets. Moreover, there is need to ensure that private-for-profit health facilities raise standards and offer choice (Le Blanc, 2015). </w:t>
      </w:r>
    </w:p>
    <w:p w14:paraId="432C1D29" w14:textId="77777777" w:rsidR="000C4B08" w:rsidRPr="00FF7222" w:rsidRDefault="000C4B08" w:rsidP="000C4B08">
      <w:pPr>
        <w:pStyle w:val="Heading2"/>
        <w:spacing w:line="480" w:lineRule="auto"/>
        <w:rPr>
          <w:rFonts w:ascii="Arial" w:hAnsi="Arial" w:cs="Arial"/>
          <w:b/>
          <w:bCs/>
          <w:color w:val="auto"/>
          <w:sz w:val="22"/>
          <w:szCs w:val="22"/>
        </w:rPr>
      </w:pPr>
      <w:bookmarkStart w:id="64" w:name="_Toc80708605"/>
      <w:bookmarkStart w:id="65" w:name="_Toc80710132"/>
      <w:r w:rsidRPr="00FF7222">
        <w:rPr>
          <w:rFonts w:ascii="Arial" w:hAnsi="Arial" w:cs="Arial"/>
          <w:b/>
          <w:bCs/>
          <w:color w:val="auto"/>
          <w:sz w:val="22"/>
          <w:szCs w:val="22"/>
        </w:rPr>
        <w:t>II. Goal 4 Policy/Initiative for Enfield Council Borough</w:t>
      </w:r>
      <w:bookmarkEnd w:id="64"/>
      <w:bookmarkEnd w:id="65"/>
    </w:p>
    <w:p w14:paraId="0E6789C3" w14:textId="77777777"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Enfield Borough recently established the Education for Sustainable Development (ESD) policy to outline the role of education in representing significant change to earlier understanding of ecological education. In other words, the initiative broadly supports basic education and its connections to social concerns like peace, human rights, and gender inequality (Marmot and Bell, 2018). Most importantly, the policy calls for a change in teaching and learning strategies to highlight development and ecological challenges. This will happen through a shift from transmission mode to one whose objective is to provider learners with knowledge and skills to make informed decisions. Therefore, it is recommended that a cohesive and joint approach for global citizenship education be embraced locally to reinforce the country's education and development sectors. </w:t>
      </w:r>
    </w:p>
    <w:p w14:paraId="351CA57A" w14:textId="77777777" w:rsidR="000C4B08" w:rsidRPr="00FF7222" w:rsidRDefault="000C4B08" w:rsidP="000C4B08">
      <w:pPr>
        <w:pStyle w:val="Heading2"/>
        <w:spacing w:line="480" w:lineRule="auto"/>
        <w:rPr>
          <w:rFonts w:ascii="Arial" w:hAnsi="Arial" w:cs="Arial"/>
          <w:b/>
          <w:bCs/>
          <w:color w:val="auto"/>
          <w:sz w:val="22"/>
          <w:szCs w:val="22"/>
        </w:rPr>
      </w:pPr>
      <w:bookmarkStart w:id="66" w:name="_Toc80708606"/>
      <w:bookmarkStart w:id="67" w:name="_Toc80710133"/>
      <w:r w:rsidRPr="00FF7222">
        <w:rPr>
          <w:rFonts w:ascii="Arial" w:hAnsi="Arial" w:cs="Arial"/>
          <w:b/>
          <w:bCs/>
          <w:color w:val="auto"/>
          <w:sz w:val="22"/>
          <w:szCs w:val="22"/>
        </w:rPr>
        <w:t>III. Goal 17 Policy/Initiative for Enfield Council Borough</w:t>
      </w:r>
      <w:bookmarkEnd w:id="66"/>
      <w:bookmarkEnd w:id="67"/>
    </w:p>
    <w:p w14:paraId="27051688" w14:textId="35B13806"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 xml:space="preserve">Enfield is part of Grundtvig Learning Partnership with three other partners including </w:t>
      </w:r>
      <w:r w:rsidRPr="00FF7222">
        <w:rPr>
          <w:rFonts w:ascii="Arial" w:hAnsi="Arial" w:cs="Arial"/>
        </w:rPr>
        <w:lastRenderedPageBreak/>
        <w:t xml:space="preserve">Poland's National Research </w:t>
      </w:r>
      <w:r w:rsidR="00EF254D" w:rsidRPr="00FF7222">
        <w:rPr>
          <w:rFonts w:ascii="Arial" w:hAnsi="Arial" w:cs="Arial"/>
        </w:rPr>
        <w:t>Institute, FAID</w:t>
      </w:r>
      <w:r w:rsidRPr="00FF7222">
        <w:rPr>
          <w:rFonts w:ascii="Arial" w:hAnsi="Arial" w:cs="Arial"/>
        </w:rPr>
        <w:t xml:space="preserve"> in France and Legambiente in Italy. The goal for the partnership is to promote comprehensive knowledge and understanding of the SDG issues and goals. The project has been engaging adults in learning that promotes change in personal </w:t>
      </w:r>
      <w:r w:rsidR="00EF254D" w:rsidRPr="00FF7222">
        <w:rPr>
          <w:rFonts w:ascii="Arial" w:hAnsi="Arial" w:cs="Arial"/>
        </w:rPr>
        <w:t>behaviour</w:t>
      </w:r>
      <w:r w:rsidRPr="00FF7222">
        <w:rPr>
          <w:rFonts w:ascii="Arial" w:hAnsi="Arial" w:cs="Arial"/>
        </w:rPr>
        <w:t xml:space="preserve">. According to Moyer and Hedden (2020), the policy is promoting good employment practices like the provision of supple working conditions and opportunities. By doing so, jobs will be more accessible and the challenge of access to affordable childcare will be addressed. The area will need to develop local employment partnerships to strengthen links between the private sector and educational establishments. </w:t>
      </w:r>
    </w:p>
    <w:p w14:paraId="093E37C0" w14:textId="77777777" w:rsidR="000C4B08" w:rsidRPr="00FF7222" w:rsidRDefault="000C4B08" w:rsidP="00EF254D">
      <w:pPr>
        <w:pStyle w:val="Heading1"/>
        <w:spacing w:line="480" w:lineRule="auto"/>
        <w:rPr>
          <w:rFonts w:ascii="Arial" w:hAnsi="Arial" w:cs="Arial"/>
          <w:b/>
          <w:bCs/>
          <w:color w:val="auto"/>
          <w:sz w:val="22"/>
          <w:szCs w:val="22"/>
        </w:rPr>
      </w:pPr>
      <w:bookmarkStart w:id="68" w:name="_Toc80708607"/>
      <w:bookmarkStart w:id="69" w:name="_Toc80710134"/>
      <w:r w:rsidRPr="00FF7222">
        <w:rPr>
          <w:rFonts w:ascii="Arial" w:hAnsi="Arial" w:cs="Arial"/>
          <w:b/>
          <w:bCs/>
          <w:color w:val="auto"/>
          <w:sz w:val="22"/>
          <w:szCs w:val="22"/>
        </w:rPr>
        <w:t>Conclusion</w:t>
      </w:r>
      <w:bookmarkEnd w:id="68"/>
      <w:bookmarkEnd w:id="69"/>
    </w:p>
    <w:p w14:paraId="32ED7A25" w14:textId="3B035641" w:rsidR="000C4B08" w:rsidRPr="00FF7222" w:rsidRDefault="000C4B08" w:rsidP="000C4B08">
      <w:pPr>
        <w:widowControl w:val="0"/>
        <w:autoSpaceDE w:val="0"/>
        <w:autoSpaceDN w:val="0"/>
        <w:adjustRightInd w:val="0"/>
        <w:spacing w:after="200" w:line="480" w:lineRule="auto"/>
        <w:rPr>
          <w:rFonts w:ascii="Arial" w:hAnsi="Arial" w:cs="Arial"/>
        </w:rPr>
      </w:pPr>
      <w:r w:rsidRPr="00FF7222">
        <w:rPr>
          <w:rFonts w:ascii="Arial" w:hAnsi="Arial" w:cs="Arial"/>
        </w:rPr>
        <w:tab/>
        <w:t>In summary, 17 Sustainable Development Goals are discussed extensively, with primary focus being on Goal 3, goal 4 and Goal 17, not to mention detailed discussions of policies/</w:t>
      </w:r>
      <w:r w:rsidR="00FF7222" w:rsidRPr="00FF7222">
        <w:rPr>
          <w:rFonts w:ascii="Arial" w:hAnsi="Arial" w:cs="Arial"/>
        </w:rPr>
        <w:t>initiatives</w:t>
      </w:r>
      <w:r w:rsidRPr="00FF7222">
        <w:rPr>
          <w:rFonts w:ascii="Arial" w:hAnsi="Arial" w:cs="Arial"/>
        </w:rPr>
        <w:t xml:space="preserve"> implemented by the UK as a nation and UK's Enfield Council Borough. The SDGs strongly focus on enhancing equity to meet the needs of children, women and disadvantaged populations. The SDGs agenda builds on the Millennium Development Goals (MDGs), which encompass 8 objectives signed by the UN member countries in September 2000. </w:t>
      </w:r>
    </w:p>
    <w:p w14:paraId="5B73BC86" w14:textId="77777777" w:rsidR="000C4B08" w:rsidRPr="00FF7222" w:rsidRDefault="000C4B08" w:rsidP="000C4B08">
      <w:pPr>
        <w:widowControl w:val="0"/>
        <w:autoSpaceDE w:val="0"/>
        <w:autoSpaceDN w:val="0"/>
        <w:adjustRightInd w:val="0"/>
        <w:spacing w:after="200" w:line="480" w:lineRule="auto"/>
        <w:rPr>
          <w:rFonts w:ascii="Arial" w:hAnsi="Arial" w:cs="Arial"/>
        </w:rPr>
      </w:pPr>
    </w:p>
    <w:p w14:paraId="02144DC8" w14:textId="75D62672" w:rsidR="000C4B08" w:rsidRPr="00FF7222" w:rsidRDefault="000C4B08" w:rsidP="000C4B08">
      <w:pPr>
        <w:widowControl w:val="0"/>
        <w:autoSpaceDE w:val="0"/>
        <w:autoSpaceDN w:val="0"/>
        <w:adjustRightInd w:val="0"/>
        <w:spacing w:after="200" w:line="480" w:lineRule="auto"/>
        <w:rPr>
          <w:rFonts w:ascii="Arial" w:hAnsi="Arial" w:cs="Arial"/>
        </w:rPr>
      </w:pPr>
    </w:p>
    <w:p w14:paraId="338DD5E8" w14:textId="6353EDBC" w:rsidR="000C4B08" w:rsidRPr="00FF7222" w:rsidRDefault="000C4B08" w:rsidP="000C4B08">
      <w:pPr>
        <w:widowControl w:val="0"/>
        <w:autoSpaceDE w:val="0"/>
        <w:autoSpaceDN w:val="0"/>
        <w:adjustRightInd w:val="0"/>
        <w:spacing w:after="200" w:line="480" w:lineRule="auto"/>
        <w:rPr>
          <w:rFonts w:ascii="Arial" w:hAnsi="Arial" w:cs="Arial"/>
        </w:rPr>
      </w:pPr>
    </w:p>
    <w:p w14:paraId="25D437F0" w14:textId="5972C894" w:rsidR="000C4B08" w:rsidRPr="00FF7222" w:rsidRDefault="000C4B08" w:rsidP="000C4B08">
      <w:pPr>
        <w:widowControl w:val="0"/>
        <w:autoSpaceDE w:val="0"/>
        <w:autoSpaceDN w:val="0"/>
        <w:adjustRightInd w:val="0"/>
        <w:spacing w:after="200" w:line="480" w:lineRule="auto"/>
        <w:rPr>
          <w:rFonts w:ascii="Arial" w:hAnsi="Arial" w:cs="Arial"/>
        </w:rPr>
      </w:pPr>
    </w:p>
    <w:p w14:paraId="2385C02A" w14:textId="77777777" w:rsidR="000C4B08" w:rsidRPr="00FF7222" w:rsidRDefault="000C4B08" w:rsidP="000C4B08">
      <w:pPr>
        <w:widowControl w:val="0"/>
        <w:autoSpaceDE w:val="0"/>
        <w:autoSpaceDN w:val="0"/>
        <w:adjustRightInd w:val="0"/>
        <w:spacing w:after="200" w:line="480" w:lineRule="auto"/>
        <w:rPr>
          <w:rFonts w:ascii="Arial" w:hAnsi="Arial" w:cs="Arial"/>
        </w:rPr>
      </w:pPr>
    </w:p>
    <w:p w14:paraId="5FF890C0" w14:textId="77777777" w:rsidR="000C4B08" w:rsidRPr="00FF7222" w:rsidRDefault="000C4B08" w:rsidP="000C4B08">
      <w:pPr>
        <w:widowControl w:val="0"/>
        <w:autoSpaceDE w:val="0"/>
        <w:autoSpaceDN w:val="0"/>
        <w:adjustRightInd w:val="0"/>
        <w:spacing w:after="200" w:line="480" w:lineRule="auto"/>
        <w:rPr>
          <w:rFonts w:ascii="Arial" w:hAnsi="Arial" w:cs="Arial"/>
        </w:rPr>
      </w:pPr>
    </w:p>
    <w:p w14:paraId="5DD5FE33" w14:textId="77777777" w:rsidR="000C4B08" w:rsidRPr="00FF7222" w:rsidRDefault="000C4B08" w:rsidP="00EF254D">
      <w:pPr>
        <w:pStyle w:val="Heading1"/>
        <w:spacing w:line="480" w:lineRule="auto"/>
        <w:rPr>
          <w:rFonts w:ascii="Arial" w:hAnsi="Arial" w:cs="Arial"/>
          <w:b/>
          <w:bCs/>
          <w:color w:val="auto"/>
          <w:sz w:val="22"/>
          <w:szCs w:val="22"/>
        </w:rPr>
      </w:pPr>
      <w:bookmarkStart w:id="70" w:name="_Toc80708608"/>
      <w:bookmarkStart w:id="71" w:name="_Toc80710135"/>
      <w:r w:rsidRPr="00FF7222">
        <w:rPr>
          <w:rFonts w:ascii="Arial" w:hAnsi="Arial" w:cs="Arial"/>
          <w:b/>
          <w:bCs/>
          <w:color w:val="auto"/>
          <w:sz w:val="22"/>
          <w:szCs w:val="22"/>
        </w:rPr>
        <w:lastRenderedPageBreak/>
        <w:t>Reference</w:t>
      </w:r>
      <w:bookmarkEnd w:id="70"/>
      <w:r w:rsidRPr="00FF7222">
        <w:rPr>
          <w:rFonts w:ascii="Arial" w:hAnsi="Arial" w:cs="Arial"/>
          <w:b/>
          <w:bCs/>
          <w:color w:val="auto"/>
          <w:sz w:val="22"/>
          <w:szCs w:val="22"/>
        </w:rPr>
        <w:t xml:space="preserve"> List</w:t>
      </w:r>
      <w:bookmarkEnd w:id="71"/>
    </w:p>
    <w:p w14:paraId="7585E34F"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Assembly, G., (2015). Sustainable development goals. </w:t>
      </w:r>
      <w:r w:rsidRPr="00FF7222">
        <w:rPr>
          <w:rFonts w:ascii="Arial" w:hAnsi="Arial" w:cs="Arial"/>
          <w:i/>
          <w:iCs/>
        </w:rPr>
        <w:t>SDGs Transform Our World</w:t>
      </w:r>
      <w:r w:rsidRPr="00FF7222">
        <w:rPr>
          <w:rFonts w:ascii="Arial" w:hAnsi="Arial" w:cs="Arial"/>
        </w:rPr>
        <w:t>, 2030.</w:t>
      </w:r>
    </w:p>
    <w:p w14:paraId="2C6E4669"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Ban, K.M., (2016). Sustainable Development Goals.</w:t>
      </w:r>
    </w:p>
    <w:p w14:paraId="1D8FF59A" w14:textId="700B658C"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Biermann, F., Kanie, N. and Kim, R.E., (2017). Global governance by </w:t>
      </w:r>
      <w:r w:rsidR="00122005" w:rsidRPr="00FF7222">
        <w:rPr>
          <w:rFonts w:ascii="Arial" w:hAnsi="Arial" w:cs="Arial"/>
        </w:rPr>
        <w:t>goal setting</w:t>
      </w:r>
      <w:r w:rsidRPr="00FF7222">
        <w:rPr>
          <w:rFonts w:ascii="Arial" w:hAnsi="Arial" w:cs="Arial"/>
        </w:rPr>
        <w:t xml:space="preserve">: the novel approach of the UN Sustainable Development Goals. </w:t>
      </w:r>
      <w:r w:rsidRPr="00FF7222">
        <w:rPr>
          <w:rFonts w:ascii="Arial" w:hAnsi="Arial" w:cs="Arial"/>
          <w:i/>
          <w:iCs/>
        </w:rPr>
        <w:t>Current Opinion in Environmental Sustainability</w:t>
      </w:r>
      <w:r w:rsidRPr="00FF7222">
        <w:rPr>
          <w:rFonts w:ascii="Arial" w:hAnsi="Arial" w:cs="Arial"/>
        </w:rPr>
        <w:t>, 26, pp.26-31.</w:t>
      </w:r>
    </w:p>
    <w:p w14:paraId="36CDC50D"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Brent, C., (2017). Prepared for: London Boroughs of Barking and Dagenham, Brent, Camden, Croydon, Enfield, Greenwich, Islington, Lambeth, Merton, Newham, Southwark, Tower Hamlets and Waltham Forest.</w:t>
      </w:r>
    </w:p>
    <w:p w14:paraId="0F0D4EBB"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Le Blanc, D., (2015). Towards integration at last? The sustainable development goals as a network of targets. </w:t>
      </w:r>
      <w:r w:rsidRPr="00FF7222">
        <w:rPr>
          <w:rFonts w:ascii="Arial" w:hAnsi="Arial" w:cs="Arial"/>
          <w:i/>
          <w:iCs/>
        </w:rPr>
        <w:t>Sustainable Development</w:t>
      </w:r>
      <w:r w:rsidRPr="00FF7222">
        <w:rPr>
          <w:rFonts w:ascii="Arial" w:hAnsi="Arial" w:cs="Arial"/>
        </w:rPr>
        <w:t>, 23(3), pp.176-187.</w:t>
      </w:r>
    </w:p>
    <w:p w14:paraId="0C920898"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Leal Filho, W., Brandli, L.L., Lange Salvia, A., Rayman-Bacchus, L. and Platje, J., (2020). COVID-19 and the UN sustainable development goals: threat to solidarity or an opportunity. </w:t>
      </w:r>
      <w:r w:rsidRPr="00FF7222">
        <w:rPr>
          <w:rFonts w:ascii="Arial" w:hAnsi="Arial" w:cs="Arial"/>
          <w:i/>
          <w:iCs/>
        </w:rPr>
        <w:t>Sustainability</w:t>
      </w:r>
      <w:r w:rsidRPr="00FF7222">
        <w:rPr>
          <w:rFonts w:ascii="Arial" w:hAnsi="Arial" w:cs="Arial"/>
        </w:rPr>
        <w:t>, 12(13), p.5343.</w:t>
      </w:r>
    </w:p>
    <w:p w14:paraId="59606C95"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Leal Filho, W., Tripathi, S.K., Andrade Guerra, J.B.S.O.D., Giné-Garriga, R., Orlovic Lovren, V. and Willats, J., (2019). Using the sustainable development goals towards a better understanding of sustainability challenges. </w:t>
      </w:r>
      <w:r w:rsidRPr="00FF7222">
        <w:rPr>
          <w:rFonts w:ascii="Arial" w:hAnsi="Arial" w:cs="Arial"/>
          <w:i/>
          <w:iCs/>
        </w:rPr>
        <w:t>International Journal of Sustainable Development &amp; World Ecology</w:t>
      </w:r>
      <w:r w:rsidRPr="00FF7222">
        <w:rPr>
          <w:rFonts w:ascii="Arial" w:hAnsi="Arial" w:cs="Arial"/>
        </w:rPr>
        <w:t>, 26(2), pp.179-190.</w:t>
      </w:r>
    </w:p>
    <w:p w14:paraId="63328743"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Marmot, M. and Bell, R., (2018). The sustainable development goals and health equity. </w:t>
      </w:r>
      <w:r w:rsidRPr="00FF7222">
        <w:rPr>
          <w:rFonts w:ascii="Arial" w:hAnsi="Arial" w:cs="Arial"/>
          <w:i/>
          <w:iCs/>
        </w:rPr>
        <w:t>Epidemiology</w:t>
      </w:r>
      <w:r w:rsidRPr="00FF7222">
        <w:rPr>
          <w:rFonts w:ascii="Arial" w:hAnsi="Arial" w:cs="Arial"/>
        </w:rPr>
        <w:t>, 29(1), pp.5-7.</w:t>
      </w:r>
    </w:p>
    <w:p w14:paraId="247C0E34"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Moyer, J.D. and Hedden, S., (2020). Are we on the right path to achieve the sustainable development goals? </w:t>
      </w:r>
      <w:r w:rsidRPr="00FF7222">
        <w:rPr>
          <w:rFonts w:ascii="Arial" w:hAnsi="Arial" w:cs="Arial"/>
          <w:i/>
          <w:iCs/>
        </w:rPr>
        <w:t>World Development</w:t>
      </w:r>
      <w:r w:rsidRPr="00FF7222">
        <w:rPr>
          <w:rFonts w:ascii="Arial" w:hAnsi="Arial" w:cs="Arial"/>
        </w:rPr>
        <w:t>, 127, p.104749.</w:t>
      </w:r>
    </w:p>
    <w:p w14:paraId="463993D8"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lastRenderedPageBreak/>
        <w:t xml:space="preserve">Nilsson, M., Griggs, D. and Visbeck, M., (2016). Policy: map the interactions between Sustainable Development Goals. </w:t>
      </w:r>
      <w:r w:rsidRPr="00FF7222">
        <w:rPr>
          <w:rFonts w:ascii="Arial" w:hAnsi="Arial" w:cs="Arial"/>
          <w:i/>
          <w:iCs/>
        </w:rPr>
        <w:t>Nature News</w:t>
      </w:r>
      <w:r w:rsidRPr="00FF7222">
        <w:rPr>
          <w:rFonts w:ascii="Arial" w:hAnsi="Arial" w:cs="Arial"/>
        </w:rPr>
        <w:t>, 534(7607), p.320.</w:t>
      </w:r>
    </w:p>
    <w:p w14:paraId="29E98CBA"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Pedersen, C.S., (2018). The UN sustainable development goals (SDGs) are a great gift to business! </w:t>
      </w:r>
      <w:r w:rsidRPr="00FF7222">
        <w:rPr>
          <w:rFonts w:ascii="Arial" w:hAnsi="Arial" w:cs="Arial"/>
          <w:i/>
          <w:iCs/>
        </w:rPr>
        <w:t>Procedia Cirp</w:t>
      </w:r>
      <w:r w:rsidRPr="00FF7222">
        <w:rPr>
          <w:rFonts w:ascii="Arial" w:hAnsi="Arial" w:cs="Arial"/>
        </w:rPr>
        <w:t>, 69, pp.21-24.</w:t>
      </w:r>
    </w:p>
    <w:p w14:paraId="7FC88B71"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Sachs, J.D., (2012). From millennium development goals to sustainable development goals. </w:t>
      </w:r>
      <w:r w:rsidRPr="00FF7222">
        <w:rPr>
          <w:rFonts w:ascii="Arial" w:hAnsi="Arial" w:cs="Arial"/>
          <w:i/>
          <w:iCs/>
        </w:rPr>
        <w:t>The lancet</w:t>
      </w:r>
      <w:r w:rsidRPr="00FF7222">
        <w:rPr>
          <w:rFonts w:ascii="Arial" w:hAnsi="Arial" w:cs="Arial"/>
        </w:rPr>
        <w:t>, 379(9832), pp.2206-2211.</w:t>
      </w:r>
    </w:p>
    <w:p w14:paraId="4B9A6004"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Sachs, J.D., Schmidt-Traub, G., Mazzucato, M., Messner, D., Nakicenovic, N. and Rockström, J., (2019). Six transformations to achieve the sustainable development goals. </w:t>
      </w:r>
      <w:r w:rsidRPr="00FF7222">
        <w:rPr>
          <w:rFonts w:ascii="Arial" w:hAnsi="Arial" w:cs="Arial"/>
          <w:i/>
          <w:iCs/>
        </w:rPr>
        <w:t>Nature Sustainability</w:t>
      </w:r>
      <w:r w:rsidRPr="00FF7222">
        <w:rPr>
          <w:rFonts w:ascii="Arial" w:hAnsi="Arial" w:cs="Arial"/>
        </w:rPr>
        <w:t>, 2(9), pp.805-814.</w:t>
      </w:r>
    </w:p>
    <w:p w14:paraId="7C625DEE"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Salvia, A.L., Leal Filho, W., Brandli, L.L. and Griebeler, J.S., (2019). Assessing research trends related to Sustainable Development Goals: Local and global issues. </w:t>
      </w:r>
      <w:r w:rsidRPr="00FF7222">
        <w:rPr>
          <w:rFonts w:ascii="Arial" w:hAnsi="Arial" w:cs="Arial"/>
          <w:i/>
          <w:iCs/>
        </w:rPr>
        <w:t>Journal of cleaner production</w:t>
      </w:r>
      <w:r w:rsidRPr="00FF7222">
        <w:rPr>
          <w:rFonts w:ascii="Arial" w:hAnsi="Arial" w:cs="Arial"/>
        </w:rPr>
        <w:t>, 208, pp.841-849.</w:t>
      </w:r>
    </w:p>
    <w:p w14:paraId="64BA638D" w14:textId="77777777" w:rsidR="000C4B08" w:rsidRPr="00FF7222" w:rsidRDefault="000C4B08" w:rsidP="000C4B08">
      <w:pPr>
        <w:widowControl w:val="0"/>
        <w:autoSpaceDE w:val="0"/>
        <w:autoSpaceDN w:val="0"/>
        <w:adjustRightInd w:val="0"/>
        <w:spacing w:after="200" w:line="480" w:lineRule="auto"/>
        <w:ind w:left="720" w:hanging="720"/>
        <w:rPr>
          <w:rFonts w:ascii="Arial" w:hAnsi="Arial" w:cs="Arial"/>
        </w:rPr>
      </w:pPr>
      <w:r w:rsidRPr="00FF7222">
        <w:rPr>
          <w:rFonts w:ascii="Arial" w:hAnsi="Arial" w:cs="Arial"/>
        </w:rPr>
        <w:t xml:space="preserve">Schramade, W., (2017). Investing in the UN sustainable development goals: opportunities for companies and investors. </w:t>
      </w:r>
      <w:r w:rsidRPr="00FF7222">
        <w:rPr>
          <w:rFonts w:ascii="Arial" w:hAnsi="Arial" w:cs="Arial"/>
          <w:i/>
          <w:iCs/>
        </w:rPr>
        <w:t>Journal of Applied Corporate Finance</w:t>
      </w:r>
      <w:r w:rsidRPr="00FF7222">
        <w:rPr>
          <w:rFonts w:ascii="Arial" w:hAnsi="Arial" w:cs="Arial"/>
        </w:rPr>
        <w:t>, 29(2), pp.87-99.</w:t>
      </w:r>
    </w:p>
    <w:p w14:paraId="5D8A0E3C" w14:textId="77777777" w:rsidR="000C4B08" w:rsidRPr="00FF7222" w:rsidRDefault="000C4B08" w:rsidP="000C4B08">
      <w:pPr>
        <w:widowControl w:val="0"/>
        <w:autoSpaceDE w:val="0"/>
        <w:autoSpaceDN w:val="0"/>
        <w:adjustRightInd w:val="0"/>
        <w:spacing w:after="200" w:line="480" w:lineRule="auto"/>
        <w:rPr>
          <w:rFonts w:ascii="Arial" w:hAnsi="Arial" w:cs="Arial"/>
        </w:rPr>
      </w:pPr>
    </w:p>
    <w:p w14:paraId="1450F0DC" w14:textId="77777777" w:rsidR="000C4B08" w:rsidRPr="00FF7222" w:rsidRDefault="000C4B08" w:rsidP="000C4B08">
      <w:pPr>
        <w:widowControl w:val="0"/>
        <w:autoSpaceDE w:val="0"/>
        <w:autoSpaceDN w:val="0"/>
        <w:adjustRightInd w:val="0"/>
        <w:spacing w:after="200" w:line="480" w:lineRule="auto"/>
        <w:rPr>
          <w:rFonts w:ascii="Arial" w:hAnsi="Arial" w:cs="Arial"/>
        </w:rPr>
      </w:pPr>
    </w:p>
    <w:p w14:paraId="07ECF351" w14:textId="77777777" w:rsidR="00162FE9" w:rsidRPr="00FF7222" w:rsidRDefault="00162FE9"/>
    <w:sectPr w:rsidR="00162FE9" w:rsidRPr="00FF7222">
      <w:headerReference w:type="default" r:id="rId8"/>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C1DBD" w14:textId="77777777" w:rsidR="00904BBF" w:rsidRDefault="00904BBF">
      <w:pPr>
        <w:spacing w:after="0" w:line="240" w:lineRule="auto"/>
      </w:pPr>
      <w:r>
        <w:separator/>
      </w:r>
    </w:p>
  </w:endnote>
  <w:endnote w:type="continuationSeparator" w:id="0">
    <w:p w14:paraId="33960269" w14:textId="77777777" w:rsidR="00904BBF" w:rsidRDefault="00904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A537F" w14:textId="77777777" w:rsidR="00904BBF" w:rsidRDefault="00904BBF">
      <w:pPr>
        <w:spacing w:after="0" w:line="240" w:lineRule="auto"/>
      </w:pPr>
      <w:r>
        <w:separator/>
      </w:r>
    </w:p>
  </w:footnote>
  <w:footnote w:type="continuationSeparator" w:id="0">
    <w:p w14:paraId="7786D758" w14:textId="77777777" w:rsidR="00904BBF" w:rsidRDefault="00904B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72104" w14:textId="77777777" w:rsidR="00A60FB7" w:rsidRDefault="003108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FE9"/>
    <w:rsid w:val="000C4B08"/>
    <w:rsid w:val="00122005"/>
    <w:rsid w:val="00162FE9"/>
    <w:rsid w:val="0031085C"/>
    <w:rsid w:val="00312EF0"/>
    <w:rsid w:val="00695071"/>
    <w:rsid w:val="00865897"/>
    <w:rsid w:val="00904BBF"/>
    <w:rsid w:val="00EF254D"/>
    <w:rsid w:val="00FF7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2CAF5"/>
  <w15:chartTrackingRefBased/>
  <w15:docId w15:val="{A4C83A0A-493F-49AC-A480-285D7666B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B08"/>
    <w:rPr>
      <w:rFonts w:eastAsiaTheme="minorEastAsia"/>
      <w:lang w:eastAsia="en-GB"/>
    </w:rPr>
  </w:style>
  <w:style w:type="paragraph" w:styleId="Heading1">
    <w:name w:val="heading 1"/>
    <w:basedOn w:val="Normal"/>
    <w:next w:val="Normal"/>
    <w:link w:val="Heading1Char"/>
    <w:uiPriority w:val="9"/>
    <w:qFormat/>
    <w:rsid w:val="000C4B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B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B0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0C4B08"/>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0C4B08"/>
    <w:pPr>
      <w:outlineLvl w:val="9"/>
    </w:pPr>
    <w:rPr>
      <w:lang w:val="en-US" w:eastAsia="en-US"/>
    </w:rPr>
  </w:style>
  <w:style w:type="paragraph" w:styleId="TOC1">
    <w:name w:val="toc 1"/>
    <w:basedOn w:val="Normal"/>
    <w:next w:val="Normal"/>
    <w:autoRedefine/>
    <w:uiPriority w:val="39"/>
    <w:unhideWhenUsed/>
    <w:rsid w:val="000C4B08"/>
    <w:pPr>
      <w:spacing w:after="100"/>
    </w:pPr>
  </w:style>
  <w:style w:type="paragraph" w:styleId="TOC2">
    <w:name w:val="toc 2"/>
    <w:basedOn w:val="Normal"/>
    <w:next w:val="Normal"/>
    <w:autoRedefine/>
    <w:uiPriority w:val="39"/>
    <w:unhideWhenUsed/>
    <w:rsid w:val="000C4B08"/>
    <w:pPr>
      <w:spacing w:after="100"/>
      <w:ind w:left="220"/>
    </w:pPr>
  </w:style>
  <w:style w:type="character" w:styleId="Hyperlink">
    <w:name w:val="Hyperlink"/>
    <w:basedOn w:val="DefaultParagraphFont"/>
    <w:uiPriority w:val="99"/>
    <w:unhideWhenUsed/>
    <w:rsid w:val="000C4B08"/>
    <w:rPr>
      <w:color w:val="0563C1" w:themeColor="hyperlink"/>
      <w:u w:val="single"/>
    </w:rPr>
  </w:style>
  <w:style w:type="paragraph" w:styleId="Header">
    <w:name w:val="header"/>
    <w:basedOn w:val="Normal"/>
    <w:link w:val="HeaderChar"/>
    <w:uiPriority w:val="99"/>
    <w:unhideWhenUsed/>
    <w:rsid w:val="000C4B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4B08"/>
    <w:rPr>
      <w:rFonts w:eastAsiaTheme="minorEastAsia"/>
      <w:lang w:eastAsia="en-GB"/>
    </w:rPr>
  </w:style>
  <w:style w:type="table" w:styleId="TableGrid">
    <w:name w:val="Table Grid"/>
    <w:basedOn w:val="TableNormal"/>
    <w:uiPriority w:val="39"/>
    <w:rsid w:val="000C4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F2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54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6736961-31A4-41CF-BB27-F82BD62A61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5336</Words>
  <Characters>30419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Gladys A</cp:lastModifiedBy>
  <cp:revision>2</cp:revision>
  <dcterms:created xsi:type="dcterms:W3CDTF">2021-08-25T02:30:00Z</dcterms:created>
  <dcterms:modified xsi:type="dcterms:W3CDTF">2021-08-25T02:30:00Z</dcterms:modified>
</cp:coreProperties>
</file>