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18654" w14:textId="77777777" w:rsidR="00A30351" w:rsidRDefault="00A30351" w:rsidP="001B6889">
      <w:pPr>
        <w:jc w:val="center"/>
        <w:rPr>
          <w:rStyle w:val="bumpedfont15"/>
          <w:rFonts w:ascii="-webkit-standard" w:hAnsi="-webkit-standard"/>
          <w:b/>
          <w:bCs/>
          <w:i/>
          <w:iCs/>
          <w:color w:val="000000"/>
          <w:sz w:val="33"/>
          <w:szCs w:val="32"/>
        </w:rPr>
      </w:pPr>
    </w:p>
    <w:p w14:paraId="1AE37EF2" w14:textId="77777777" w:rsidR="00A30351" w:rsidRDefault="00A30351" w:rsidP="001B6889">
      <w:pPr>
        <w:jc w:val="center"/>
        <w:rPr>
          <w:rStyle w:val="bumpedfont15"/>
          <w:rFonts w:ascii="-webkit-standard" w:hAnsi="-webkit-standard"/>
          <w:b/>
          <w:bCs/>
          <w:i/>
          <w:iCs/>
          <w:color w:val="000000"/>
          <w:sz w:val="33"/>
          <w:szCs w:val="32"/>
        </w:rPr>
      </w:pPr>
    </w:p>
    <w:p w14:paraId="5395329A" w14:textId="77777777" w:rsidR="00A30351" w:rsidRDefault="00A30351" w:rsidP="001B6889">
      <w:pPr>
        <w:jc w:val="center"/>
        <w:rPr>
          <w:rStyle w:val="bumpedfont15"/>
          <w:rFonts w:ascii="-webkit-standard" w:hAnsi="-webkit-standard"/>
          <w:b/>
          <w:bCs/>
          <w:i/>
          <w:iCs/>
          <w:color w:val="000000"/>
          <w:sz w:val="33"/>
          <w:szCs w:val="32"/>
        </w:rPr>
      </w:pPr>
    </w:p>
    <w:p w14:paraId="6262B572" w14:textId="77777777" w:rsidR="00A30351" w:rsidRDefault="00A30351" w:rsidP="001B6889">
      <w:pPr>
        <w:jc w:val="center"/>
        <w:rPr>
          <w:rStyle w:val="bumpedfont15"/>
          <w:rFonts w:ascii="-webkit-standard" w:hAnsi="-webkit-standard"/>
          <w:b/>
          <w:bCs/>
          <w:i/>
          <w:iCs/>
          <w:color w:val="000000"/>
          <w:sz w:val="33"/>
          <w:szCs w:val="32"/>
        </w:rPr>
      </w:pPr>
    </w:p>
    <w:p w14:paraId="13829D68" w14:textId="77777777" w:rsidR="00A30351" w:rsidRDefault="00A30351" w:rsidP="001B6889">
      <w:pPr>
        <w:jc w:val="center"/>
        <w:rPr>
          <w:rStyle w:val="bumpedfont15"/>
          <w:rFonts w:ascii="-webkit-standard" w:hAnsi="-webkit-standard"/>
          <w:b/>
          <w:bCs/>
          <w:i/>
          <w:iCs/>
          <w:color w:val="000000"/>
          <w:sz w:val="33"/>
          <w:szCs w:val="32"/>
        </w:rPr>
      </w:pPr>
    </w:p>
    <w:p w14:paraId="0641E2B0" w14:textId="7FD7C3E1" w:rsidR="003D7063" w:rsidRDefault="001B6889" w:rsidP="001B6889">
      <w:pPr>
        <w:jc w:val="center"/>
        <w:rPr>
          <w:rStyle w:val="bumpedfont15"/>
          <w:rFonts w:ascii="-webkit-standard" w:hAnsi="-webkit-standard"/>
          <w:b/>
          <w:bCs/>
          <w:i/>
          <w:iCs/>
          <w:color w:val="000000"/>
          <w:sz w:val="33"/>
          <w:szCs w:val="32"/>
        </w:rPr>
      </w:pPr>
      <w:r w:rsidRPr="001B6889">
        <w:rPr>
          <w:rStyle w:val="bumpedfont15"/>
          <w:rFonts w:ascii="-webkit-standard" w:hAnsi="-webkit-standard"/>
          <w:b/>
          <w:bCs/>
          <w:i/>
          <w:iCs/>
          <w:color w:val="000000"/>
          <w:sz w:val="33"/>
          <w:szCs w:val="32"/>
        </w:rPr>
        <w:t>Name:</w:t>
      </w:r>
      <w:r w:rsidR="003D7063">
        <w:rPr>
          <w:rStyle w:val="bumpedfont15"/>
          <w:rFonts w:ascii="-webkit-standard" w:hAnsi="-webkit-standard"/>
          <w:b/>
          <w:bCs/>
          <w:i/>
          <w:iCs/>
          <w:color w:val="000000"/>
          <w:sz w:val="33"/>
          <w:szCs w:val="32"/>
        </w:rPr>
        <w:t xml:space="preserve"> Ruth Bannor</w:t>
      </w:r>
      <w:r w:rsidRPr="001B6889">
        <w:rPr>
          <w:rFonts w:ascii="-webkit-standard" w:hAnsi="-webkit-standard"/>
          <w:b/>
          <w:bCs/>
          <w:i/>
          <w:iCs/>
          <w:color w:val="000000"/>
          <w:sz w:val="33"/>
          <w:szCs w:val="32"/>
        </w:rPr>
        <w:br/>
      </w:r>
      <w:r w:rsidRPr="001B6889">
        <w:rPr>
          <w:rStyle w:val="bumpedfont15"/>
          <w:rFonts w:ascii="-webkit-standard" w:hAnsi="-webkit-standard"/>
          <w:b/>
          <w:bCs/>
          <w:i/>
          <w:iCs/>
          <w:color w:val="000000"/>
          <w:sz w:val="33"/>
          <w:szCs w:val="32"/>
        </w:rPr>
        <w:t>Student ID:</w:t>
      </w:r>
      <w:r w:rsidR="003D7063">
        <w:rPr>
          <w:rStyle w:val="bumpedfont15"/>
          <w:rFonts w:ascii="-webkit-standard" w:hAnsi="-webkit-standard"/>
          <w:b/>
          <w:bCs/>
          <w:i/>
          <w:iCs/>
          <w:color w:val="000000"/>
          <w:sz w:val="33"/>
          <w:szCs w:val="32"/>
        </w:rPr>
        <w:t xml:space="preserve"> 2432011</w:t>
      </w:r>
      <w:r w:rsidRPr="001B6889">
        <w:rPr>
          <w:rFonts w:ascii="-webkit-standard" w:hAnsi="-webkit-standard"/>
          <w:b/>
          <w:bCs/>
          <w:i/>
          <w:iCs/>
          <w:color w:val="000000"/>
          <w:sz w:val="33"/>
          <w:szCs w:val="32"/>
        </w:rPr>
        <w:br/>
      </w:r>
      <w:r w:rsidRPr="001B6889">
        <w:rPr>
          <w:rStyle w:val="bumpedfont15"/>
          <w:rFonts w:ascii="-webkit-standard" w:hAnsi="-webkit-standard"/>
          <w:b/>
          <w:bCs/>
          <w:i/>
          <w:iCs/>
          <w:color w:val="000000"/>
          <w:sz w:val="33"/>
          <w:szCs w:val="32"/>
        </w:rPr>
        <w:t>Programme: BSc Health and Social Care</w:t>
      </w:r>
      <w:r w:rsidRPr="001B6889">
        <w:rPr>
          <w:rFonts w:ascii="-webkit-standard" w:hAnsi="-webkit-standard"/>
          <w:b/>
          <w:bCs/>
          <w:i/>
          <w:iCs/>
          <w:color w:val="000000"/>
          <w:sz w:val="33"/>
          <w:szCs w:val="32"/>
        </w:rPr>
        <w:br/>
      </w:r>
      <w:r w:rsidRPr="001B6889">
        <w:rPr>
          <w:rStyle w:val="bumpedfont15"/>
          <w:rFonts w:ascii="-webkit-standard" w:hAnsi="-webkit-standard"/>
          <w:b/>
          <w:bCs/>
          <w:i/>
          <w:iCs/>
          <w:color w:val="000000"/>
          <w:sz w:val="33"/>
          <w:szCs w:val="32"/>
        </w:rPr>
        <w:t>Module Code: BMHP5016</w:t>
      </w:r>
    </w:p>
    <w:p w14:paraId="11647941" w14:textId="14DD4C44" w:rsidR="00A30351" w:rsidRDefault="003D7063" w:rsidP="00A30351">
      <w:pPr>
        <w:jc w:val="center"/>
        <w:rPr>
          <w:rFonts w:ascii="-webkit-standard" w:hAnsi="-webkit-standard"/>
          <w:b/>
          <w:bCs/>
          <w:i/>
          <w:iCs/>
          <w:color w:val="000000"/>
          <w:sz w:val="33"/>
          <w:szCs w:val="32"/>
        </w:rPr>
      </w:pPr>
      <w:r>
        <w:rPr>
          <w:rStyle w:val="bumpedfont15"/>
          <w:rFonts w:ascii="-webkit-standard" w:hAnsi="-webkit-standard"/>
          <w:b/>
          <w:bCs/>
          <w:i/>
          <w:iCs/>
          <w:color w:val="000000"/>
          <w:sz w:val="33"/>
          <w:szCs w:val="32"/>
        </w:rPr>
        <w:t>Lecturer Name</w:t>
      </w:r>
      <w:r w:rsidR="00A30351">
        <w:rPr>
          <w:rStyle w:val="bumpedfont15"/>
          <w:rFonts w:ascii="-webkit-standard" w:hAnsi="-webkit-standard"/>
          <w:b/>
          <w:bCs/>
          <w:i/>
          <w:iCs/>
          <w:color w:val="000000"/>
          <w:sz w:val="33"/>
          <w:szCs w:val="32"/>
        </w:rPr>
        <w:t>: Azida Zainol</w:t>
      </w:r>
      <w:r w:rsidR="001B6889" w:rsidRPr="001B6889">
        <w:rPr>
          <w:rFonts w:ascii="-webkit-standard" w:hAnsi="-webkit-standard"/>
          <w:b/>
          <w:bCs/>
          <w:i/>
          <w:iCs/>
          <w:color w:val="000000"/>
          <w:sz w:val="33"/>
          <w:szCs w:val="32"/>
        </w:rPr>
        <w:br/>
      </w:r>
      <w:r w:rsidR="001B6889" w:rsidRPr="001B6889">
        <w:rPr>
          <w:rStyle w:val="bumpedfont15"/>
          <w:rFonts w:ascii="-webkit-standard" w:hAnsi="-webkit-standard"/>
          <w:b/>
          <w:bCs/>
          <w:i/>
          <w:iCs/>
          <w:color w:val="000000"/>
          <w:sz w:val="33"/>
          <w:szCs w:val="32"/>
        </w:rPr>
        <w:t>Module Name: Principles of Health and Social Care Practice</w:t>
      </w:r>
    </w:p>
    <w:p w14:paraId="6454C518" w14:textId="77777777" w:rsidR="00A30351" w:rsidRDefault="00A30351" w:rsidP="001B6889">
      <w:pPr>
        <w:rPr>
          <w:rFonts w:ascii="-webkit-standard" w:hAnsi="-webkit-standard"/>
          <w:b/>
          <w:bCs/>
          <w:i/>
          <w:iCs/>
          <w:color w:val="000000"/>
          <w:sz w:val="33"/>
          <w:szCs w:val="32"/>
        </w:rPr>
      </w:pPr>
    </w:p>
    <w:p w14:paraId="79841C57" w14:textId="568C6D95" w:rsidR="001B6889" w:rsidRPr="001B6889" w:rsidRDefault="001B6889" w:rsidP="001B6889">
      <w:pPr>
        <w:rPr>
          <w:rFonts w:ascii="-webkit-standard" w:hAnsi="-webkit-standard"/>
          <w:b/>
          <w:bCs/>
          <w:i/>
          <w:iCs/>
          <w:color w:val="000000"/>
          <w:sz w:val="33"/>
          <w:szCs w:val="32"/>
        </w:rPr>
      </w:pPr>
      <w:r w:rsidRPr="001B6889">
        <w:rPr>
          <w:rFonts w:ascii="-webkit-standard" w:hAnsi="-webkit-standard"/>
          <w:b/>
          <w:bCs/>
          <w:i/>
          <w:iCs/>
          <w:color w:val="000000"/>
          <w:sz w:val="33"/>
          <w:szCs w:val="32"/>
        </w:rPr>
        <w:br/>
      </w:r>
      <w:r w:rsidRPr="001B6889">
        <w:rPr>
          <w:rStyle w:val="bumpedfont15"/>
          <w:rFonts w:ascii="-webkit-standard" w:hAnsi="-webkit-standard"/>
          <w:b/>
          <w:bCs/>
          <w:i/>
          <w:iCs/>
          <w:color w:val="000000"/>
          <w:sz w:val="33"/>
          <w:szCs w:val="32"/>
        </w:rPr>
        <w:t xml:space="preserve">Assignment Title:  </w:t>
      </w:r>
      <w:r w:rsidR="004C6939" w:rsidRPr="004C6939">
        <w:rPr>
          <w:rStyle w:val="bumpedfont15"/>
          <w:rFonts w:ascii="-webkit-standard" w:hAnsi="-webkit-standard"/>
          <w:i/>
          <w:iCs/>
          <w:color w:val="000000"/>
          <w:sz w:val="33"/>
          <w:szCs w:val="32"/>
        </w:rPr>
        <w:t>Evaluating Person-Centred Care and Partnership Working in a Residential Care Home for Older Adults Living with Dementia: An Analysis of Broomfield’s Approach</w:t>
      </w:r>
      <w:r w:rsidRPr="001B6889">
        <w:rPr>
          <w:rStyle w:val="bumpedfont15"/>
          <w:rFonts w:ascii="-webkit-standard" w:hAnsi="-webkit-standard"/>
          <w:b/>
          <w:bCs/>
          <w:i/>
          <w:iCs/>
          <w:color w:val="000000"/>
          <w:sz w:val="33"/>
          <w:szCs w:val="32"/>
        </w:rPr>
        <w:br/>
        <w:t>Word Count:</w:t>
      </w:r>
      <w:r w:rsidRPr="001B6889">
        <w:rPr>
          <w:rStyle w:val="bumpedfont15"/>
          <w:rFonts w:ascii="-webkit-standard" w:hAnsi="-webkit-standard"/>
          <w:i/>
          <w:iCs/>
          <w:color w:val="000000"/>
          <w:sz w:val="33"/>
          <w:szCs w:val="32"/>
        </w:rPr>
        <w:t xml:space="preserve"> </w:t>
      </w:r>
      <w:r w:rsidR="00A30351">
        <w:rPr>
          <w:rStyle w:val="bumpedfont15"/>
          <w:rFonts w:ascii="-webkit-standard" w:hAnsi="-webkit-standard"/>
          <w:i/>
          <w:iCs/>
          <w:color w:val="000000"/>
          <w:sz w:val="33"/>
          <w:szCs w:val="32"/>
        </w:rPr>
        <w:t>2087</w:t>
      </w:r>
    </w:p>
    <w:p w14:paraId="063FA4F3" w14:textId="77777777" w:rsidR="00006CB0" w:rsidRDefault="00006CB0"/>
    <w:p w14:paraId="1FFC4CB1" w14:textId="77777777" w:rsidR="008D0815" w:rsidRDefault="008D0815"/>
    <w:p w14:paraId="3BFFDB0C" w14:textId="77777777" w:rsidR="00A05CE1" w:rsidRDefault="00A05CE1" w:rsidP="00497DCB">
      <w:pPr>
        <w:pStyle w:val="Heading1"/>
        <w:spacing w:line="360" w:lineRule="auto"/>
      </w:pPr>
    </w:p>
    <w:p w14:paraId="4885B1B2" w14:textId="77777777" w:rsidR="00433B56" w:rsidRDefault="00433B56" w:rsidP="00433B56"/>
    <w:p w14:paraId="084461B7" w14:textId="77777777" w:rsidR="00433B56" w:rsidRDefault="00433B56" w:rsidP="00433B56"/>
    <w:p w14:paraId="4436457D" w14:textId="77777777" w:rsidR="00433B56" w:rsidRDefault="00433B56" w:rsidP="00433B56"/>
    <w:p w14:paraId="3FF5BA07" w14:textId="77777777" w:rsidR="00433B56" w:rsidRDefault="00433B56" w:rsidP="00433B56"/>
    <w:p w14:paraId="650EF5FB" w14:textId="77777777" w:rsidR="00433B56" w:rsidRDefault="00433B56" w:rsidP="00433B56"/>
    <w:p w14:paraId="2D7A9880" w14:textId="77777777" w:rsidR="00433B56" w:rsidRDefault="00433B56" w:rsidP="00433B56"/>
    <w:p w14:paraId="56775A80" w14:textId="77777777" w:rsidR="00433B56" w:rsidRDefault="00433B56" w:rsidP="00433B56"/>
    <w:p w14:paraId="600E5684" w14:textId="77777777" w:rsidR="00433B56" w:rsidRDefault="00433B56" w:rsidP="00433B56"/>
    <w:p w14:paraId="7923FAFC" w14:textId="77777777" w:rsidR="00433B56" w:rsidRDefault="00433B56" w:rsidP="00433B56"/>
    <w:p w14:paraId="355B5B28" w14:textId="77777777" w:rsidR="00433B56" w:rsidRPr="00433B56" w:rsidRDefault="00433B56" w:rsidP="00433B56"/>
    <w:p w14:paraId="7E2FFEA4" w14:textId="77777777" w:rsidR="00A05CE1" w:rsidRPr="00A05CE1" w:rsidRDefault="00A05CE1" w:rsidP="00A05CE1"/>
    <w:p w14:paraId="3C7CE719" w14:textId="1248D045" w:rsidR="00A05CE1" w:rsidRDefault="008D0815" w:rsidP="00A05CE1">
      <w:pPr>
        <w:pStyle w:val="Heading1"/>
        <w:spacing w:line="360" w:lineRule="auto"/>
      </w:pPr>
      <w:bookmarkStart w:id="0" w:name="_Toc235540208"/>
      <w:r w:rsidRPr="008D0815">
        <w:t>Abstract</w:t>
      </w:r>
      <w:bookmarkEnd w:id="0"/>
    </w:p>
    <w:p w14:paraId="24D80C87" w14:textId="783C4DAD" w:rsidR="004C6939" w:rsidRDefault="00E60021" w:rsidP="004C6939">
      <w:pPr>
        <w:spacing w:line="360" w:lineRule="auto"/>
      </w:pPr>
      <w:r w:rsidRPr="00E60021">
        <w:t xml:space="preserve">This research assesses the implementation of person-centred care (PCC) and partnership working (PW) in a residential care facility that serves older persons living with dementia. Person-centred care is a fundamental premise of UK health and social care practice because it acknowledges that </w:t>
      </w:r>
      <w:proofErr w:type="gramStart"/>
      <w:r w:rsidRPr="00E60021">
        <w:t>each individual</w:t>
      </w:r>
      <w:proofErr w:type="gramEnd"/>
      <w:r w:rsidRPr="00E60021">
        <w:t xml:space="preserve"> is unique, with their own values, preferences, life experiences, and care requirements. This strategy is complemented by effective partnership functioning, which encourages collaboration among care staff, health experts, service users, families, and external organisations </w:t>
      </w:r>
      <w:proofErr w:type="gramStart"/>
      <w:r w:rsidRPr="00E60021">
        <w:t>in order to</w:t>
      </w:r>
      <w:proofErr w:type="gramEnd"/>
      <w:r w:rsidRPr="00E60021">
        <w:t xml:space="preserve"> provide coordinated, safe, and high-quality care.</w:t>
      </w:r>
    </w:p>
    <w:p w14:paraId="7F2B0756" w14:textId="3672EF9D" w:rsidR="008D0815" w:rsidRDefault="00E60021" w:rsidP="004C6939">
      <w:pPr>
        <w:spacing w:line="360" w:lineRule="auto"/>
      </w:pPr>
      <w:r w:rsidRPr="00E60021">
        <w:t>The report critically examines the principles, benefits, and limitations of person-centred care using Broomfield's approach, which focuses on dignity, respect, individual needs, meaningful relationships, and holistic support for dementia patients. It also explores the ethical concepts that support professional practice, including autonomy, beneficence, non-maleficence and justice, alongside the relevance of interdisciplinary partnership working in residential care settings. Relevant UK legislation and policies, such as the Care Act 2014, the Mental Capacity Act 2005, and Care Quality Commission requirements, are examined to demonstrate how legal frameworks promote safe and effective care delivery. Finally, the research presents recommendations to enhance future adoption of person-centred care and partnership working in UK residential care institutions.</w:t>
      </w:r>
      <w:r w:rsidR="001B6889">
        <w:br/>
      </w:r>
      <w:r w:rsidR="001659FC">
        <w:rPr>
          <w:noProof/>
        </w:rPr>
        <mc:AlternateContent>
          <mc:Choice Requires="wps">
            <w:drawing>
              <wp:anchor distT="0" distB="0" distL="114300" distR="114300" simplePos="0" relativeHeight="251677696" behindDoc="0" locked="0" layoutInCell="1" allowOverlap="1" wp14:anchorId="661242A7" wp14:editId="6593DE40">
                <wp:simplePos x="0" y="0"/>
                <wp:positionH relativeFrom="column">
                  <wp:posOffset>0</wp:posOffset>
                </wp:positionH>
                <wp:positionV relativeFrom="paragraph">
                  <wp:posOffset>3068955</wp:posOffset>
                </wp:positionV>
                <wp:extent cx="6049108" cy="0"/>
                <wp:effectExtent l="0" t="0" r="8890" b="12700"/>
                <wp:wrapNone/>
                <wp:docPr id="1179339173" name="Straight Connector 5"/>
                <wp:cNvGraphicFramePr/>
                <a:graphic xmlns:a="http://schemas.openxmlformats.org/drawingml/2006/main">
                  <a:graphicData uri="http://schemas.microsoft.com/office/word/2010/wordprocessingShape">
                    <wps:wsp>
                      <wps:cNvCnPr/>
                      <wps:spPr>
                        <a:xfrm>
                          <a:off x="0" y="0"/>
                          <a:ext cx="60491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D64F43" id="Straight Connector 5"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0,241.65pt" to="476.3pt,24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" strokecolor="#156082 [3204]" strokeweight=".5pt">
                <v:stroke joinstyle="miter"/>
              </v:line>
            </w:pict>
          </mc:Fallback>
        </mc:AlternateContent>
      </w:r>
    </w:p>
    <w:p w14:paraId="068D17DF" w14:textId="22C3B856" w:rsidR="008D0815" w:rsidRDefault="008D0815" w:rsidP="00497DCB">
      <w:pPr>
        <w:pStyle w:val="Heading1"/>
        <w:spacing w:line="360" w:lineRule="auto"/>
      </w:pPr>
      <w:bookmarkStart w:id="1" w:name="_Toc235540209"/>
      <w:r>
        <w:lastRenderedPageBreak/>
        <w:t>Introduction</w:t>
      </w:r>
      <w:bookmarkEnd w:id="1"/>
    </w:p>
    <w:p w14:paraId="0B1923B8" w14:textId="60F5B5A3" w:rsidR="001659FC" w:rsidRDefault="00E60021" w:rsidP="001659FC">
      <w:pPr>
        <w:spacing w:line="360" w:lineRule="auto"/>
      </w:pPr>
      <w:r w:rsidRPr="00E60021">
        <w:t xml:space="preserve">Person-centred care is a core premise of modern health and social care since it prioritises the individual in all care and support choices. Rather than concentrating simply on disease or disability, this approach sees </w:t>
      </w:r>
      <w:proofErr w:type="gramStart"/>
      <w:r w:rsidRPr="00E60021">
        <w:t>each individual</w:t>
      </w:r>
      <w:proofErr w:type="gramEnd"/>
      <w:r w:rsidRPr="00E60021">
        <w:t xml:space="preserve"> as unique, with their own beliefs, preferences, experiences and needs. Person-centred care is especially crucial in residential care facilities for older individuals with dementia because it helps preserve dignity, identity, and quality of life in the face of cognitive loss. It encourages care that is courteous, responsive and individualised to the individual rather than routine-led or task-focused.</w:t>
      </w:r>
    </w:p>
    <w:p w14:paraId="5E7BFC1E" w14:textId="77777777" w:rsidR="001659FC" w:rsidRDefault="001659FC" w:rsidP="001659FC">
      <w:pPr>
        <w:spacing w:line="360" w:lineRule="auto"/>
      </w:pPr>
    </w:p>
    <w:p w14:paraId="40E48EEE" w14:textId="7D901AB0" w:rsidR="001B6889" w:rsidRDefault="00E60021" w:rsidP="001659FC">
      <w:pPr>
        <w:spacing w:line="360" w:lineRule="auto"/>
      </w:pPr>
      <w:r w:rsidRPr="00E60021">
        <w:t>Broomfield's approach to dementia care strengthens this perspective by encouraging care that is tailored to the individual's history, routines, and abilities. This is especially important in residential settings, when people are at danger of losing independence, social connection, and control over their lives. Effective person-centred care requires collaboration among care staff, healthcare professionals, residents, and families to ensure treatment is coordinated, comprehensive, and consistent. This paper reviews person-centred care and partnership working in a residential care facility for older individuals living with dementia, with the ethical principles, law and policy that underpin successful practice (McCormack and McCance, 2021).</w:t>
      </w:r>
    </w:p>
    <w:p w14:paraId="28FC7D76" w14:textId="73CF0C78" w:rsidR="00497DCB" w:rsidRDefault="00497DCB" w:rsidP="00497DCB">
      <w:pPr>
        <w:spacing w:line="360" w:lineRule="auto"/>
      </w:pPr>
      <w:r>
        <w:rPr>
          <w:noProof/>
        </w:rPr>
        <mc:AlternateContent>
          <mc:Choice Requires="wps">
            <w:drawing>
              <wp:anchor distT="0" distB="0" distL="114300" distR="114300" simplePos="0" relativeHeight="251661312" behindDoc="0" locked="0" layoutInCell="1" allowOverlap="1" wp14:anchorId="691E5DCA" wp14:editId="4D00F482">
                <wp:simplePos x="0" y="0"/>
                <wp:positionH relativeFrom="column">
                  <wp:posOffset>0</wp:posOffset>
                </wp:positionH>
                <wp:positionV relativeFrom="paragraph">
                  <wp:posOffset>0</wp:posOffset>
                </wp:positionV>
                <wp:extent cx="6049108" cy="0"/>
                <wp:effectExtent l="0" t="0" r="8890" b="12700"/>
                <wp:wrapNone/>
                <wp:docPr id="1908708382" name="Straight Connector 5"/>
                <wp:cNvGraphicFramePr/>
                <a:graphic xmlns:a="http://schemas.openxmlformats.org/drawingml/2006/main">
                  <a:graphicData uri="http://schemas.microsoft.com/office/word/2010/wordprocessingShape">
                    <wps:wsp>
                      <wps:cNvCnPr/>
                      <wps:spPr>
                        <a:xfrm>
                          <a:off x="0" y="0"/>
                          <a:ext cx="60491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D15F6C" id="Straight Connector 5"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0" to="476.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" strokecolor="#156082 [3204]" strokeweight=".5pt">
                <v:stroke joinstyle="miter"/>
              </v:line>
            </w:pict>
          </mc:Fallback>
        </mc:AlternateContent>
      </w:r>
    </w:p>
    <w:p w14:paraId="351B0898" w14:textId="77777777" w:rsidR="004C6939" w:rsidRDefault="004C6939" w:rsidP="004C6939">
      <w:pPr>
        <w:pStyle w:val="Heading1"/>
      </w:pPr>
      <w:bookmarkStart w:id="2" w:name="_Toc235540210"/>
      <w:r>
        <w:t>Critically examining Broomfield’s approach</w:t>
      </w:r>
      <w:bookmarkEnd w:id="2"/>
    </w:p>
    <w:p w14:paraId="00CF5AF3" w14:textId="3C666F65" w:rsidR="001659FC" w:rsidRDefault="00E60021" w:rsidP="001659FC">
      <w:pPr>
        <w:spacing w:line="360" w:lineRule="auto"/>
      </w:pPr>
      <w:r w:rsidRPr="00E60021">
        <w:t xml:space="preserve">Broomfield’s approach to person-centred care places the individual at the core of assistance by understanding their history, preferences, talents and personality rather than concentrating exclusively on the dementia diagnosis. In residential care, this means that staff should adapt support to each resident, preserve dignity and encourage involvement in decisions, daily routines and activities. This approach reflects a broader notion of person-centred dementia care, which underlines that persons with dementia </w:t>
      </w:r>
      <w:r w:rsidRPr="00E60021">
        <w:lastRenderedPageBreak/>
        <w:t>should be treated as individuals with distinct identities, experiences, and connections rather than being defined exclusively by their illness (Alzheimer's Society, 2026).</w:t>
      </w:r>
    </w:p>
    <w:p w14:paraId="2DE0CD5B" w14:textId="77777777" w:rsidR="001659FC" w:rsidRDefault="001659FC" w:rsidP="001659FC">
      <w:pPr>
        <w:spacing w:line="360" w:lineRule="auto"/>
      </w:pPr>
    </w:p>
    <w:p w14:paraId="2432F4ED" w14:textId="0D0A32A8" w:rsidR="001659FC" w:rsidRDefault="00E60021" w:rsidP="001659FC">
      <w:pPr>
        <w:spacing w:line="360" w:lineRule="auto"/>
      </w:pPr>
      <w:r w:rsidRPr="00E60021">
        <w:t xml:space="preserve">Broomfield's approach is notable for its emphasis on more humanistic, flexible, and responsive treatment to residents' actual experiences. Staff can </w:t>
      </w:r>
      <w:proofErr w:type="gramStart"/>
      <w:r w:rsidRPr="00E60021">
        <w:t>provide assistance</w:t>
      </w:r>
      <w:proofErr w:type="gramEnd"/>
      <w:r w:rsidRPr="00E60021">
        <w:t xml:space="preserve"> that helps individuals preserve their identity, self-esteem, and emotional well-being by appreciating their history and current preferences. It also fosters closer ties among residents, staff, and family members, which is especially essential in residential care homes, where social contact may have a significant impact on quality of life. Person-centred care can lessen discomfort by making care feel less institutional and more supportive (Alzheimer's Society, 2026).</w:t>
      </w:r>
    </w:p>
    <w:p w14:paraId="51EAF769" w14:textId="77777777" w:rsidR="001659FC" w:rsidRDefault="001659FC" w:rsidP="001659FC">
      <w:pPr>
        <w:spacing w:line="360" w:lineRule="auto"/>
      </w:pPr>
    </w:p>
    <w:p w14:paraId="5F1E80A9" w14:textId="4E7F599C" w:rsidR="001659FC" w:rsidRDefault="00E60021" w:rsidP="001659FC">
      <w:pPr>
        <w:spacing w:line="360" w:lineRule="auto"/>
      </w:pPr>
      <w:r w:rsidRPr="00E60021">
        <w:t xml:space="preserve">However, Broomfield's strategy may be difficult to maintain in practice. Person-centred care takes time, training, effective communication, and a supportive care culture, all of which can be hampered by personnel shortages, heavy workloads, and resource constraints. Furthermore, NICE emphasises that effective dementia care should engage both the people and their </w:t>
      </w:r>
      <w:proofErr w:type="spellStart"/>
      <w:r w:rsidRPr="00E60021">
        <w:t>carers</w:t>
      </w:r>
      <w:proofErr w:type="spellEnd"/>
      <w:r w:rsidRPr="00E60021">
        <w:t>, demonstrating that successful person-centred treatment is dependent not just on staff attitudes but also on broader organisational support and coordinated cooperation (NICE, 2018). Thus, while Broomfield's method provides a solid framework for dementia care, its efficacy is dependent on constant execution in the care setting.</w:t>
      </w:r>
    </w:p>
    <w:p w14:paraId="31EE1595" w14:textId="069D88C5" w:rsidR="001659FC" w:rsidRDefault="001659FC" w:rsidP="001659FC">
      <w:pPr>
        <w:spacing w:line="360" w:lineRule="auto"/>
      </w:pPr>
      <w:r>
        <w:rPr>
          <w:noProof/>
        </w:rPr>
        <mc:AlternateContent>
          <mc:Choice Requires="wps">
            <w:drawing>
              <wp:anchor distT="0" distB="0" distL="114300" distR="114300" simplePos="0" relativeHeight="251679744" behindDoc="0" locked="0" layoutInCell="1" allowOverlap="1" wp14:anchorId="50B598B1" wp14:editId="61AFA480">
                <wp:simplePos x="0" y="0"/>
                <wp:positionH relativeFrom="column">
                  <wp:posOffset>0</wp:posOffset>
                </wp:positionH>
                <wp:positionV relativeFrom="paragraph">
                  <wp:posOffset>0</wp:posOffset>
                </wp:positionV>
                <wp:extent cx="6049108" cy="0"/>
                <wp:effectExtent l="0" t="0" r="8890" b="12700"/>
                <wp:wrapNone/>
                <wp:docPr id="1897688753" name="Straight Connector 5"/>
                <wp:cNvGraphicFramePr/>
                <a:graphic xmlns:a="http://schemas.openxmlformats.org/drawingml/2006/main">
                  <a:graphicData uri="http://schemas.microsoft.com/office/word/2010/wordprocessingShape">
                    <wps:wsp>
                      <wps:cNvCnPr/>
                      <wps:spPr>
                        <a:xfrm>
                          <a:off x="0" y="0"/>
                          <a:ext cx="60491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69BA1F" id="Straight Connector 5"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0,0" to="476.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" strokecolor="#156082 [3204]" strokeweight=".5pt">
                <v:stroke joinstyle="miter"/>
              </v:line>
            </w:pict>
          </mc:Fallback>
        </mc:AlternateContent>
      </w:r>
    </w:p>
    <w:p w14:paraId="38541DE9" w14:textId="12CE0B1E" w:rsidR="008D0815" w:rsidRDefault="004C6939" w:rsidP="00497DCB">
      <w:pPr>
        <w:pStyle w:val="Heading1"/>
        <w:spacing w:line="360" w:lineRule="auto"/>
      </w:pPr>
      <w:bookmarkStart w:id="3" w:name="_Toc235540211"/>
      <w:r w:rsidRPr="004C6939">
        <w:t>Ethical fundamentals underpinning person-centred care</w:t>
      </w:r>
      <w:bookmarkEnd w:id="3"/>
    </w:p>
    <w:p w14:paraId="46FC2F38" w14:textId="3AC2EB19" w:rsidR="00E60021" w:rsidRDefault="00E60021" w:rsidP="00E60021">
      <w:pPr>
        <w:spacing w:line="360" w:lineRule="auto"/>
      </w:pPr>
      <w:r w:rsidRPr="00E60021">
        <w:t xml:space="preserve">Person-centred care in dementia is based on ethical principles that encourage carers to respect autonomy, promote well-being, avoid damage, and treat individuals equitably, even when decision-making competence varies over time (Chiong et al., 2021). In residential care, this entails balancing a resident's right to choose with the obligation to protect them from harm, while also including them as much as possible in daily </w:t>
      </w:r>
      <w:r w:rsidRPr="00E60021">
        <w:lastRenderedPageBreak/>
        <w:t>decisions. Ethical care is more than just obeying the regulations; it is about seeing the resident as a person with dignity, values, and rights. This is especially crucial in dementia care, since cognitive decline can impair memory, communication, and independence.</w:t>
      </w:r>
    </w:p>
    <w:p w14:paraId="15B31E3D" w14:textId="5FF0D3D9" w:rsidR="00E60021" w:rsidRDefault="00E60021" w:rsidP="00E60021">
      <w:pPr>
        <w:spacing w:line="360" w:lineRule="auto"/>
      </w:pPr>
      <w:r w:rsidRPr="00E60021">
        <w:t>Autonomy is particularly crucial since dementia can gradually decrease a person’s capacity to make autonomous choices. Care personnel must consequently presume capacity until there is evidence to the contrary and should encourage the client to participate in decision-making whenever feasible. When making decisions on someone's behalf, they should be based on the person's best interests and the least restrictive alternative. These concepts are clearly represented in the Mental ability Act of 2005, which establishes a legal framework for decision-making for individuals who may lack ability. Applying these principles ensures that care is lawful, courteous, and responsive rather than too controlling.</w:t>
      </w:r>
    </w:p>
    <w:p w14:paraId="62B06579" w14:textId="70F4FCBB" w:rsidR="008D0815" w:rsidRDefault="00E60021" w:rsidP="00E60021">
      <w:pPr>
        <w:spacing w:line="360" w:lineRule="auto"/>
      </w:pPr>
      <w:r w:rsidRPr="00E60021">
        <w:t>Beneficence and nonmaleficence also influence good practice by forcing staff to act in ways that benefit the resident and avoid unnecessary damage. This might involve employing calm communication, safe mobility support, and non-restrictive behaviour control strategies. Justice is equally crucial since all people, regardless of age, disability, ethnicity, or origin, should have equal access to dignity, safety, and tailored care. Together, these principles lay the ethical groundwork for person-centred dementia care, assisting care facilities in providing compassionate, legal, and high-quality care (Chiong et al., 2021).</w:t>
      </w:r>
    </w:p>
    <w:p w14:paraId="38B974D4" w14:textId="603D2DA3" w:rsidR="001B6889" w:rsidRPr="001B6889" w:rsidRDefault="00497DCB" w:rsidP="00497DCB">
      <w:pPr>
        <w:spacing w:line="360" w:lineRule="auto"/>
      </w:pPr>
      <w:r>
        <w:rPr>
          <w:noProof/>
        </w:rPr>
        <mc:AlternateContent>
          <mc:Choice Requires="wps">
            <w:drawing>
              <wp:anchor distT="0" distB="0" distL="114300" distR="114300" simplePos="0" relativeHeight="251665408" behindDoc="0" locked="0" layoutInCell="1" allowOverlap="1" wp14:anchorId="31661BF5" wp14:editId="354B51C2">
                <wp:simplePos x="0" y="0"/>
                <wp:positionH relativeFrom="column">
                  <wp:posOffset>0</wp:posOffset>
                </wp:positionH>
                <wp:positionV relativeFrom="paragraph">
                  <wp:posOffset>0</wp:posOffset>
                </wp:positionV>
                <wp:extent cx="6049108" cy="0"/>
                <wp:effectExtent l="0" t="0" r="8890" b="12700"/>
                <wp:wrapNone/>
                <wp:docPr id="1744900050" name="Straight Connector 5"/>
                <wp:cNvGraphicFramePr/>
                <a:graphic xmlns:a="http://schemas.openxmlformats.org/drawingml/2006/main">
                  <a:graphicData uri="http://schemas.microsoft.com/office/word/2010/wordprocessingShape">
                    <wps:wsp>
                      <wps:cNvCnPr/>
                      <wps:spPr>
                        <a:xfrm>
                          <a:off x="0" y="0"/>
                          <a:ext cx="60491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0F07AE" id="Straight Connector 5"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0,0" to="476.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" strokecolor="#156082 [3204]" strokeweight=".5pt">
                <v:stroke joinstyle="miter"/>
              </v:line>
            </w:pict>
          </mc:Fallback>
        </mc:AlternateContent>
      </w:r>
    </w:p>
    <w:p w14:paraId="2373A09E" w14:textId="1BFFA3AE" w:rsidR="008D0815" w:rsidRDefault="004C6939" w:rsidP="00497DCB">
      <w:pPr>
        <w:pStyle w:val="Heading1"/>
        <w:spacing w:line="360" w:lineRule="auto"/>
      </w:pPr>
      <w:bookmarkStart w:id="4" w:name="_Toc235540212"/>
      <w:r w:rsidRPr="004C6939">
        <w:t>Critically Evaluating Partnership Working in Residential Dementia Care</w:t>
      </w:r>
      <w:bookmarkEnd w:id="4"/>
    </w:p>
    <w:p w14:paraId="357A277E" w14:textId="15875344" w:rsidR="001659FC" w:rsidRDefault="00E60021" w:rsidP="001659FC">
      <w:pPr>
        <w:spacing w:line="360" w:lineRule="auto"/>
      </w:pPr>
      <w:r w:rsidRPr="00E60021">
        <w:t xml:space="preserve">Partnership working is an essential component of residential dementia care since clients may have complex physical, emotional, and social requirements that cannot be handled by a single professional group. Collaboration among care personnel, nurses, general practitioners, social workers, occupational therapists, residents, and family </w:t>
      </w:r>
      <w:r w:rsidRPr="00E60021">
        <w:lastRenderedPageBreak/>
        <w:t>members ensures that care is coordinated, responsive, and person-centred. Residents are more likely to get consistent care that is tailored to their specific needs and preferences when professionals share information and strive toward similar goals (Glasby and Dickinson, 2021).</w:t>
      </w:r>
    </w:p>
    <w:p w14:paraId="2A49CD10" w14:textId="77777777" w:rsidR="001659FC" w:rsidRDefault="001659FC" w:rsidP="001659FC">
      <w:pPr>
        <w:spacing w:line="360" w:lineRule="auto"/>
      </w:pPr>
    </w:p>
    <w:p w14:paraId="6C4CB2CE" w14:textId="7078DC2A" w:rsidR="001659FC" w:rsidRDefault="00E60021" w:rsidP="001659FC">
      <w:pPr>
        <w:spacing w:line="360" w:lineRule="auto"/>
      </w:pPr>
      <w:r w:rsidRPr="00E60021">
        <w:t>One significant advantage of collaborative working is that it allows care facilities to adjust more effectively to people' changing conditions and situations. People with dementia may suffer variations in memory, speech, behaviour, and mobility, which means their care requirements may fluctuate over time. Involving family members is very beneficial since they may give specific information on the resident's life history, personality, cultural background, routines, and preferences. This information can assist workers deliver more personalised care, increase communication, and alleviate suffering. Furthermore, excellent partnership functioning can foster trust among staff, residents, and families, promoting emotional well-being and continuity of care (NICE, 2018).</w:t>
      </w:r>
    </w:p>
    <w:p w14:paraId="55747A6D" w14:textId="77777777" w:rsidR="001659FC" w:rsidRDefault="001659FC" w:rsidP="001659FC">
      <w:pPr>
        <w:spacing w:line="360" w:lineRule="auto"/>
      </w:pPr>
    </w:p>
    <w:p w14:paraId="42656147" w14:textId="459ADE5F" w:rsidR="008D0815" w:rsidRDefault="00E60021" w:rsidP="001659FC">
      <w:pPr>
        <w:spacing w:line="360" w:lineRule="auto"/>
      </w:pPr>
      <w:r w:rsidRPr="00E60021">
        <w:t>However, cooperative working is not always straightforward to implement in practice. Poor communication, high staff turnover, limited time, unclear professional duties, and inadequate information exchange across businesses can all impede efficient collaboration. These issues may result in fragmented treatment, delays in decision-making, and inferior results for residents. In certain circumstances, families may feel excluded from care planning or unsure of who is accountable for important choices. While collaboration is crucial for successful dementia care, its success is dependent on strong leadership, clear communication systems, mutual respect, and a shared commitment to the resident's well-being (Care Quality Commission, 2023).</w:t>
      </w:r>
    </w:p>
    <w:p w14:paraId="6F7C5F47" w14:textId="6E73ACA0" w:rsidR="00497DCB" w:rsidRDefault="00497DCB" w:rsidP="00497DCB">
      <w:pPr>
        <w:spacing w:line="360" w:lineRule="auto"/>
      </w:pPr>
      <w:r>
        <w:rPr>
          <w:noProof/>
        </w:rPr>
        <mc:AlternateContent>
          <mc:Choice Requires="wps">
            <w:drawing>
              <wp:anchor distT="0" distB="0" distL="114300" distR="114300" simplePos="0" relativeHeight="251667456" behindDoc="0" locked="0" layoutInCell="1" allowOverlap="1" wp14:anchorId="7D444C54" wp14:editId="4031277B">
                <wp:simplePos x="0" y="0"/>
                <wp:positionH relativeFrom="column">
                  <wp:posOffset>0</wp:posOffset>
                </wp:positionH>
                <wp:positionV relativeFrom="paragraph">
                  <wp:posOffset>0</wp:posOffset>
                </wp:positionV>
                <wp:extent cx="6049108" cy="0"/>
                <wp:effectExtent l="0" t="0" r="8890" b="12700"/>
                <wp:wrapNone/>
                <wp:docPr id="1902516915" name="Straight Connector 5"/>
                <wp:cNvGraphicFramePr/>
                <a:graphic xmlns:a="http://schemas.openxmlformats.org/drawingml/2006/main">
                  <a:graphicData uri="http://schemas.microsoft.com/office/word/2010/wordprocessingShape">
                    <wps:wsp>
                      <wps:cNvCnPr/>
                      <wps:spPr>
                        <a:xfrm>
                          <a:off x="0" y="0"/>
                          <a:ext cx="60491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B7BFED" id="Straight Connector 5"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0,0" to="476.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" strokecolor="#156082 [3204]" strokeweight=".5pt">
                <v:stroke joinstyle="miter"/>
              </v:line>
            </w:pict>
          </mc:Fallback>
        </mc:AlternateContent>
      </w:r>
      <w:r>
        <w:rPr>
          <w:noProof/>
        </w:rPr>
        <mc:AlternateContent>
          <mc:Choice Requires="wps">
            <w:drawing>
              <wp:anchor distT="0" distB="0" distL="114300" distR="114300" simplePos="0" relativeHeight="251669504" behindDoc="0" locked="0" layoutInCell="1" allowOverlap="1" wp14:anchorId="0DAC27F5" wp14:editId="20858C31">
                <wp:simplePos x="0" y="0"/>
                <wp:positionH relativeFrom="column">
                  <wp:posOffset>0</wp:posOffset>
                </wp:positionH>
                <wp:positionV relativeFrom="paragraph">
                  <wp:posOffset>-635</wp:posOffset>
                </wp:positionV>
                <wp:extent cx="6049108" cy="0"/>
                <wp:effectExtent l="0" t="0" r="8890" b="12700"/>
                <wp:wrapNone/>
                <wp:docPr id="1186964382" name="Straight Connector 5"/>
                <wp:cNvGraphicFramePr/>
                <a:graphic xmlns:a="http://schemas.openxmlformats.org/drawingml/2006/main">
                  <a:graphicData uri="http://schemas.microsoft.com/office/word/2010/wordprocessingShape">
                    <wps:wsp>
                      <wps:cNvCnPr/>
                      <wps:spPr>
                        <a:xfrm>
                          <a:off x="0" y="0"/>
                          <a:ext cx="60491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E98BCC" id="Straight Connector 5"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0,-.05pt" to="47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" strokecolor="#156082 [3204]" strokeweight=".5pt">
                <v:stroke joinstyle="miter"/>
              </v:line>
            </w:pict>
          </mc:Fallback>
        </mc:AlternateContent>
      </w:r>
    </w:p>
    <w:p w14:paraId="5EAAD954" w14:textId="07167F40" w:rsidR="00B54EAE" w:rsidRDefault="00B54EAE" w:rsidP="00497DCB">
      <w:pPr>
        <w:pStyle w:val="Heading1"/>
        <w:spacing w:line="360" w:lineRule="auto"/>
      </w:pPr>
      <w:bookmarkStart w:id="5" w:name="_Toc235540213"/>
      <w:r w:rsidRPr="00B54EAE">
        <w:lastRenderedPageBreak/>
        <w:t>Policy and Legislation Supporting Person-Centred Care</w:t>
      </w:r>
      <w:bookmarkEnd w:id="5"/>
    </w:p>
    <w:p w14:paraId="4FBDD699" w14:textId="3CFB1337" w:rsidR="001659FC" w:rsidRDefault="00E60021" w:rsidP="001659FC">
      <w:pPr>
        <w:spacing w:line="360" w:lineRule="auto"/>
      </w:pPr>
      <w:r w:rsidRPr="00E60021">
        <w:t>Policy and regulations establish a legal and professional foundation for providing person-centred care in residential dementia settings. The Care Act of 2014 is particularly significant because it prioritises individual wellness in adult social care and mandates services to promote dignity, independence, choice, and control, all of which are basic ideals of person-centred practice (Care Act, 2014). In residential care facilities, this means that support should be tailored to the resident's specific requirements, preferences, and results rather than being arranged only around routines or duties.</w:t>
      </w:r>
    </w:p>
    <w:p w14:paraId="34860856" w14:textId="380B568C" w:rsidR="001659FC" w:rsidRDefault="00E60021" w:rsidP="001659FC">
      <w:pPr>
        <w:spacing w:line="360" w:lineRule="auto"/>
      </w:pPr>
      <w:r w:rsidRPr="00E60021">
        <w:t>The Mental Capacity Act of 2005 is especially important in dementia care since it protects the rights of persons who may be unable to make certain decisions for themselves. It requires professionals to presume ability unless proven otherwise, to encourage persons to participate in decision-making wherever feasible, and to act in the person's best interests by utilising the least restrictive alternative (Mental ability Act, 2005). This is especially important in dementia care, where people may require various amounts of decision-making help.</w:t>
      </w:r>
    </w:p>
    <w:p w14:paraId="2EA76A5F" w14:textId="3E193FC8" w:rsidR="00B54EAE" w:rsidRDefault="00E60021" w:rsidP="001659FC">
      <w:pPr>
        <w:spacing w:line="360" w:lineRule="auto"/>
      </w:pPr>
      <w:r w:rsidRPr="00E60021">
        <w:t xml:space="preserve">Furthermore, Regulation 9 of the Care Quality Commission states that care and treatment must be appropriate, meet people's needs, and reflect their preferences, whereas NICE dementia guidance emphasises the importance of dignity, relationships, and support for both the individual and their </w:t>
      </w:r>
      <w:proofErr w:type="spellStart"/>
      <w:r w:rsidRPr="00E60021">
        <w:t>carers</w:t>
      </w:r>
      <w:proofErr w:type="spellEnd"/>
      <w:r w:rsidRPr="00E60021">
        <w:t>. These frameworks work together to guarantee that residential care facilities offer care that is lawful, safe, respectful, and truly person-centred.</w:t>
      </w:r>
    </w:p>
    <w:p w14:paraId="2E46905B" w14:textId="563B7076" w:rsidR="00497DCB" w:rsidRDefault="00497DCB" w:rsidP="00497DCB">
      <w:pPr>
        <w:spacing w:line="360" w:lineRule="auto"/>
      </w:pPr>
      <w:r>
        <w:rPr>
          <w:noProof/>
        </w:rPr>
        <mc:AlternateContent>
          <mc:Choice Requires="wps">
            <w:drawing>
              <wp:anchor distT="0" distB="0" distL="114300" distR="114300" simplePos="0" relativeHeight="251671552" behindDoc="0" locked="0" layoutInCell="1" allowOverlap="1" wp14:anchorId="1C756E2D" wp14:editId="601074EF">
                <wp:simplePos x="0" y="0"/>
                <wp:positionH relativeFrom="column">
                  <wp:posOffset>0</wp:posOffset>
                </wp:positionH>
                <wp:positionV relativeFrom="paragraph">
                  <wp:posOffset>-635</wp:posOffset>
                </wp:positionV>
                <wp:extent cx="6049108" cy="0"/>
                <wp:effectExtent l="0" t="0" r="8890" b="12700"/>
                <wp:wrapNone/>
                <wp:docPr id="1764914138" name="Straight Connector 5"/>
                <wp:cNvGraphicFramePr/>
                <a:graphic xmlns:a="http://schemas.openxmlformats.org/drawingml/2006/main">
                  <a:graphicData uri="http://schemas.microsoft.com/office/word/2010/wordprocessingShape">
                    <wps:wsp>
                      <wps:cNvCnPr/>
                      <wps:spPr>
                        <a:xfrm>
                          <a:off x="0" y="0"/>
                          <a:ext cx="60491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C4A4C4" id="Straight Connector 5"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0,-.05pt" to="47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" strokecolor="#156082 [3204]" strokeweight=".5pt">
                <v:stroke joinstyle="miter"/>
              </v:line>
            </w:pict>
          </mc:Fallback>
        </mc:AlternateContent>
      </w:r>
    </w:p>
    <w:p w14:paraId="0FBCDCE6" w14:textId="77777777" w:rsidR="00B54EAE" w:rsidRDefault="00B54EAE" w:rsidP="00497DCB">
      <w:pPr>
        <w:pStyle w:val="Heading1"/>
        <w:spacing w:line="360" w:lineRule="auto"/>
      </w:pPr>
      <w:bookmarkStart w:id="6" w:name="_Toc235540214"/>
      <w:r>
        <w:t>Recommendations</w:t>
      </w:r>
      <w:bookmarkEnd w:id="6"/>
    </w:p>
    <w:p w14:paraId="6FF05BA5" w14:textId="1653242F" w:rsidR="00B54EAE" w:rsidRDefault="00E60021" w:rsidP="001659FC">
      <w:pPr>
        <w:spacing w:line="360" w:lineRule="auto"/>
      </w:pPr>
      <w:r w:rsidRPr="00E60021">
        <w:t xml:space="preserve">To improve person-centred care in residential dementia facilities, providers should invest in ongoing staff training on dementia care, communication skills, and person-centred practice. Staff should get training to better understand each resident's history, interests, and skills, allowing for more flexible, courteous, and responsive care. </w:t>
      </w:r>
      <w:r w:rsidRPr="00E60021">
        <w:lastRenderedPageBreak/>
        <w:t>According to NICE, successful dementia care is dependent on identifying individuality, maintaining connections, and valuing both the person and their carers' viewpoints (NICE, 2018).</w:t>
      </w:r>
      <w:r w:rsidR="00A05CE1">
        <w:br/>
      </w:r>
      <w:r w:rsidR="00A05CE1" w:rsidRPr="00A05CE1">
        <w:t>Care facilities could also increase collaboration by incorporating families more frequently in care planning and evaluation procedures. Better communication across multidisciplinary teams, backed up by regular meetings and accurate care records, can promote continuity and minimise fragmented care. Furthermore, maintaining safe staffing levels is critical so that employees have enough time to form meaningful relationships with residents and provide high-quality care.</w:t>
      </w:r>
    </w:p>
    <w:p w14:paraId="143DF982" w14:textId="7B1CC3F8" w:rsidR="00497DCB" w:rsidRDefault="00497DCB" w:rsidP="00497DCB">
      <w:pPr>
        <w:spacing w:line="360" w:lineRule="auto"/>
      </w:pPr>
      <w:r>
        <w:rPr>
          <w:noProof/>
        </w:rPr>
        <mc:AlternateContent>
          <mc:Choice Requires="wps">
            <w:drawing>
              <wp:anchor distT="0" distB="0" distL="114300" distR="114300" simplePos="0" relativeHeight="251673600" behindDoc="0" locked="0" layoutInCell="1" allowOverlap="1" wp14:anchorId="1996F6E2" wp14:editId="4F8A0442">
                <wp:simplePos x="0" y="0"/>
                <wp:positionH relativeFrom="column">
                  <wp:posOffset>0</wp:posOffset>
                </wp:positionH>
                <wp:positionV relativeFrom="paragraph">
                  <wp:posOffset>-635</wp:posOffset>
                </wp:positionV>
                <wp:extent cx="6049108" cy="0"/>
                <wp:effectExtent l="0" t="0" r="8890" b="12700"/>
                <wp:wrapNone/>
                <wp:docPr id="226717776" name="Straight Connector 5"/>
                <wp:cNvGraphicFramePr/>
                <a:graphic xmlns:a="http://schemas.openxmlformats.org/drawingml/2006/main">
                  <a:graphicData uri="http://schemas.microsoft.com/office/word/2010/wordprocessingShape">
                    <wps:wsp>
                      <wps:cNvCnPr/>
                      <wps:spPr>
                        <a:xfrm>
                          <a:off x="0" y="0"/>
                          <a:ext cx="60491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44DF82" id="Straight Connector 5"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0,-.05pt" to="47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" strokecolor="#156082 [3204]" strokeweight=".5pt">
                <v:stroke joinstyle="miter"/>
              </v:line>
            </w:pict>
          </mc:Fallback>
        </mc:AlternateContent>
      </w:r>
    </w:p>
    <w:p w14:paraId="365B742E" w14:textId="2CDED80D" w:rsidR="00B54EAE" w:rsidRDefault="00B54EAE" w:rsidP="00497DCB">
      <w:pPr>
        <w:pStyle w:val="Heading1"/>
        <w:spacing w:line="360" w:lineRule="auto"/>
      </w:pPr>
      <w:bookmarkStart w:id="7" w:name="_Toc235540215"/>
      <w:r>
        <w:t>Conclusion</w:t>
      </w:r>
      <w:bookmarkEnd w:id="7"/>
    </w:p>
    <w:p w14:paraId="3A802693" w14:textId="5BFBBF21" w:rsidR="001659FC" w:rsidRDefault="00A05CE1" w:rsidP="001659FC">
      <w:pPr>
        <w:spacing w:line="360" w:lineRule="auto"/>
      </w:pPr>
      <w:r w:rsidRPr="00A05CE1">
        <w:t>Finally, person-centred care is critical to provide high-quality assistance for older persons living with dementia in residential care facilities. This analysis demonstrated that successful dementia care is dependent on treating each resident as a person with distinct preferences, life experiences, and support requirements. When care is tailored to the individual rather than the task, it can foster dignity, autonomy, inclusion, and emotional well-being. NICE advice also states that appropriate dementia care should recognise the person's point of view, foster connections, and acknowledge the contributions of relatives and carers (2018).</w:t>
      </w:r>
    </w:p>
    <w:p w14:paraId="06DF85B4" w14:textId="1B021AE5" w:rsidR="001659FC" w:rsidRDefault="00A05CE1" w:rsidP="001659FC">
      <w:pPr>
        <w:spacing w:line="360" w:lineRule="auto"/>
      </w:pPr>
      <w:r w:rsidRPr="00A05CE1">
        <w:t>The research also showed that collaboration is critical to make person-centred care effective in practice. Collaboration among care workers, health professionals, residents, and families ensures that care is coordinated, responsive, and comprehensive. However, the continuous implementation of this method can be hampered by personnel shortages, excessive workloads, poor communication, and inadequate resources, all of which are persistent difficulties in adult social care.</w:t>
      </w:r>
    </w:p>
    <w:p w14:paraId="4A4E0446" w14:textId="47786426" w:rsidR="00B54EAE" w:rsidRDefault="00A05CE1" w:rsidP="001659FC">
      <w:pPr>
        <w:spacing w:line="360" w:lineRule="auto"/>
      </w:pPr>
      <w:r w:rsidRPr="00A05CE1">
        <w:t>Overall, person-centred care and collaboration lay a solid basis for successful dementia care. Residential care facilities may enhance care experiences and results for residents and their families by investing in ongoing staff training, interdisciplinary communication, and supportive leadership (Kim and Park, 2017).</w:t>
      </w:r>
    </w:p>
    <w:p w14:paraId="08E3299F" w14:textId="11273B59" w:rsidR="00B54EAE" w:rsidRDefault="00497DCB" w:rsidP="00497DCB">
      <w:pPr>
        <w:spacing w:line="360" w:lineRule="auto"/>
      </w:pPr>
      <w:r>
        <w:rPr>
          <w:noProof/>
        </w:rPr>
        <w:lastRenderedPageBreak/>
        <mc:AlternateContent>
          <mc:Choice Requires="wps">
            <w:drawing>
              <wp:anchor distT="0" distB="0" distL="114300" distR="114300" simplePos="0" relativeHeight="251675648" behindDoc="0" locked="0" layoutInCell="1" allowOverlap="1" wp14:anchorId="20832889" wp14:editId="62B6C6B1">
                <wp:simplePos x="0" y="0"/>
                <wp:positionH relativeFrom="column">
                  <wp:posOffset>0</wp:posOffset>
                </wp:positionH>
                <wp:positionV relativeFrom="paragraph">
                  <wp:posOffset>-635</wp:posOffset>
                </wp:positionV>
                <wp:extent cx="6049108" cy="0"/>
                <wp:effectExtent l="0" t="0" r="8890" b="12700"/>
                <wp:wrapNone/>
                <wp:docPr id="751786690" name="Straight Connector 5"/>
                <wp:cNvGraphicFramePr/>
                <a:graphic xmlns:a="http://schemas.openxmlformats.org/drawingml/2006/main">
                  <a:graphicData uri="http://schemas.microsoft.com/office/word/2010/wordprocessingShape">
                    <wps:wsp>
                      <wps:cNvCnPr/>
                      <wps:spPr>
                        <a:xfrm>
                          <a:off x="0" y="0"/>
                          <a:ext cx="60491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39A824" id="Straight Connector 5"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0,-.05pt" to="47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" strokecolor="#156082 [3204]" strokeweight=".5pt">
                <v:stroke joinstyle="miter"/>
              </v:line>
            </w:pict>
          </mc:Fallback>
        </mc:AlternateContent>
      </w:r>
    </w:p>
    <w:p w14:paraId="55877F18" w14:textId="77777777" w:rsidR="00E60021" w:rsidRDefault="00E60021" w:rsidP="00E60021"/>
    <w:p w14:paraId="542469FD" w14:textId="77777777" w:rsidR="00E60021" w:rsidRDefault="00E60021" w:rsidP="00E60021"/>
    <w:p w14:paraId="4FBEB2E0" w14:textId="77777777" w:rsidR="00E60021" w:rsidRDefault="00E60021" w:rsidP="00E60021"/>
    <w:p w14:paraId="7214C6DF" w14:textId="77777777" w:rsidR="00E60021" w:rsidRDefault="00E60021" w:rsidP="00E60021"/>
    <w:p w14:paraId="298A17E7" w14:textId="77777777" w:rsidR="00E60021" w:rsidRPr="00E60021" w:rsidRDefault="00E60021" w:rsidP="00E60021"/>
    <w:p w14:paraId="296718F2" w14:textId="129B24EE" w:rsidR="00B54EAE" w:rsidRDefault="00B54EAE" w:rsidP="00497DCB">
      <w:pPr>
        <w:pStyle w:val="Heading1"/>
        <w:spacing w:line="360" w:lineRule="auto"/>
      </w:pPr>
      <w:bookmarkStart w:id="8" w:name="_Toc235540216"/>
      <w:r>
        <w:t>References</w:t>
      </w:r>
      <w:bookmarkEnd w:id="8"/>
    </w:p>
    <w:p w14:paraId="0D6628F7" w14:textId="4AF6DC62" w:rsidR="00E60021" w:rsidRDefault="00E60021" w:rsidP="00E60021">
      <w:r>
        <w:t xml:space="preserve">Alzheimer’s Society (2026) Person-centred care. Available at: </w:t>
      </w:r>
      <w:hyperlink r:id="rId4" w:history="1">
        <w:r w:rsidRPr="00631BA7">
          <w:rPr>
            <w:rStyle w:val="Hyperlink"/>
          </w:rPr>
          <w:t>https://www.alzheimers.org.uk/get-support/help-dementia-care/person-centred-care</w:t>
        </w:r>
      </w:hyperlink>
      <w:r>
        <w:t xml:space="preserve">  (Accessed: 21 July 2026).</w:t>
      </w:r>
    </w:p>
    <w:p w14:paraId="28A0C82F" w14:textId="77777777" w:rsidR="00E60021" w:rsidRDefault="00E60021" w:rsidP="00E60021">
      <w:r>
        <w:t xml:space="preserve">Beauchamp, T.L. and Childress, J.F. (2019) Principles of biomedical ethics. 8th </w:t>
      </w:r>
      <w:proofErr w:type="spellStart"/>
      <w:r>
        <w:t>edn</w:t>
      </w:r>
      <w:proofErr w:type="spellEnd"/>
      <w:r>
        <w:t>. New York: Oxford University Press.</w:t>
      </w:r>
    </w:p>
    <w:p w14:paraId="3304EE46" w14:textId="77777777" w:rsidR="00E60021" w:rsidRDefault="00E60021" w:rsidP="00E60021">
      <w:r>
        <w:t>Brooker, D. (2007) Person-centred dementia care: making services better. London: Jessica Kingsley Publishers.</w:t>
      </w:r>
    </w:p>
    <w:p w14:paraId="2B4D818E" w14:textId="77777777" w:rsidR="00E60021" w:rsidRDefault="00E60021" w:rsidP="00E60021">
      <w:r>
        <w:t>Care Act 2014. c.23. London: The Stationery Office.</w:t>
      </w:r>
    </w:p>
    <w:p w14:paraId="7B221410" w14:textId="77777777" w:rsidR="00E60021" w:rsidRDefault="00E60021" w:rsidP="00E60021">
      <w:r>
        <w:t>Care Quality Commission (2023) The state of health care and adult social care in England 2022/23. London: Care Quality Commission.</w:t>
      </w:r>
    </w:p>
    <w:p w14:paraId="7C8B5EF8" w14:textId="77777777" w:rsidR="00E60021" w:rsidRDefault="00E60021" w:rsidP="00E60021">
      <w:r>
        <w:t>Chiong, W. (2021) ‘Ethical considerations in dementia diagnosis and care’, Neurology, 97(3), pp. 107–115.</w:t>
      </w:r>
    </w:p>
    <w:p w14:paraId="40688DE0" w14:textId="77777777" w:rsidR="00E60021" w:rsidRDefault="00E60021" w:rsidP="00E60021">
      <w:r>
        <w:t xml:space="preserve">Glasby, J. and Dickinson, H. (2021) Partnership working in health and social care. 3rd </w:t>
      </w:r>
      <w:proofErr w:type="spellStart"/>
      <w:r>
        <w:t>edn</w:t>
      </w:r>
      <w:proofErr w:type="spellEnd"/>
      <w:r>
        <w:t>. Bristol: Policy Press.</w:t>
      </w:r>
    </w:p>
    <w:p w14:paraId="5165E1C9" w14:textId="77777777" w:rsidR="00E60021" w:rsidRDefault="00E60021" w:rsidP="00E60021">
      <w:r>
        <w:t>Health Education England (2021) Person-centred approaches: framework. London: Health Education England.</w:t>
      </w:r>
    </w:p>
    <w:p w14:paraId="59CE696E" w14:textId="77777777" w:rsidR="00E60021" w:rsidRDefault="00E60021" w:rsidP="00E60021">
      <w:r>
        <w:t>Kim, S.K. and Park, M. (2017) ‘Effectiveness of person-</w:t>
      </w:r>
      <w:proofErr w:type="spellStart"/>
      <w:r>
        <w:t>centered</w:t>
      </w:r>
      <w:proofErr w:type="spellEnd"/>
      <w:r>
        <w:t xml:space="preserve"> care on people with dementia: a systematic review and meta-analysis’, Clinical Interventions in Aging, 12, pp. 381–397.</w:t>
      </w:r>
    </w:p>
    <w:p w14:paraId="0D267ABA" w14:textId="77777777" w:rsidR="00E60021" w:rsidRDefault="00E60021" w:rsidP="00E60021">
      <w:r>
        <w:t xml:space="preserve">McCormack, B. and McCance, T. (2021) Person-centred practice in nursing and health care: theory and practice. 3rd </w:t>
      </w:r>
      <w:proofErr w:type="spellStart"/>
      <w:r>
        <w:t>edn</w:t>
      </w:r>
      <w:proofErr w:type="spellEnd"/>
      <w:r>
        <w:t>. Oxford: Wiley-Blackwell.</w:t>
      </w:r>
    </w:p>
    <w:p w14:paraId="3EC93BD6" w14:textId="77777777" w:rsidR="00E60021" w:rsidRDefault="00E60021" w:rsidP="00E60021">
      <w:r>
        <w:t>Mental Capacity Act 2005. c.9. London: The Stationery Office.</w:t>
      </w:r>
    </w:p>
    <w:p w14:paraId="7121D7F6" w14:textId="0D652D40" w:rsidR="00E60021" w:rsidRDefault="00E60021" w:rsidP="00E60021">
      <w:r>
        <w:lastRenderedPageBreak/>
        <w:t xml:space="preserve">National Institute for Health and Care Excellence (2018) Dementia: assessment, management and support for people living with dementia and their </w:t>
      </w:r>
      <w:proofErr w:type="spellStart"/>
      <w:r>
        <w:t>carers</w:t>
      </w:r>
      <w:proofErr w:type="spellEnd"/>
      <w:r>
        <w:t>. NG97. London: NICE.</w:t>
      </w:r>
    </w:p>
    <w:p w14:paraId="34CDB1E8" w14:textId="39170C42" w:rsidR="00B54EAE" w:rsidRPr="00B54EAE" w:rsidRDefault="00E60021" w:rsidP="00E60021">
      <w:r>
        <w:t xml:space="preserve">National Institute for Health and Care Excellence (2018) Person-centred care | Dementia: assessment, management and support for people living with dementia and their carers. Available at: </w:t>
      </w:r>
      <w:hyperlink r:id="rId5" w:history="1">
        <w:r w:rsidRPr="00631BA7">
          <w:rPr>
            <w:rStyle w:val="Hyperlink"/>
          </w:rPr>
          <w:t>https://www.nice.org.uk/guidance/ng97/chapter/Person-centred-care</w:t>
        </w:r>
      </w:hyperlink>
      <w:r>
        <w:t xml:space="preserve">  (Accessed: 20 July 2026).</w:t>
      </w:r>
    </w:p>
    <w:sectPr w:rsidR="00B54EAE" w:rsidRPr="00B54E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webkit-standard">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815"/>
    <w:rsid w:val="00006CB0"/>
    <w:rsid w:val="000D6484"/>
    <w:rsid w:val="001659FC"/>
    <w:rsid w:val="001B6889"/>
    <w:rsid w:val="003D7063"/>
    <w:rsid w:val="004220E1"/>
    <w:rsid w:val="004226FC"/>
    <w:rsid w:val="00433B56"/>
    <w:rsid w:val="00497DCB"/>
    <w:rsid w:val="004B2E22"/>
    <w:rsid w:val="004C6939"/>
    <w:rsid w:val="004E7688"/>
    <w:rsid w:val="00604DDE"/>
    <w:rsid w:val="00630EBC"/>
    <w:rsid w:val="006A5DBA"/>
    <w:rsid w:val="007625A1"/>
    <w:rsid w:val="007E5E8A"/>
    <w:rsid w:val="00872261"/>
    <w:rsid w:val="00892B46"/>
    <w:rsid w:val="008D0815"/>
    <w:rsid w:val="0094320C"/>
    <w:rsid w:val="00A05CE1"/>
    <w:rsid w:val="00A30351"/>
    <w:rsid w:val="00B15791"/>
    <w:rsid w:val="00B54EAE"/>
    <w:rsid w:val="00BC31BA"/>
    <w:rsid w:val="00E60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81F44"/>
  <w15:chartTrackingRefBased/>
  <w15:docId w15:val="{DA488309-51B2-F24E-9C8A-DA0692E1C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8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08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08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08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08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08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08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08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08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8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08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08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08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08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08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08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08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0815"/>
    <w:rPr>
      <w:rFonts w:eastAsiaTheme="majorEastAsia" w:cstheme="majorBidi"/>
      <w:color w:val="272727" w:themeColor="text1" w:themeTint="D8"/>
    </w:rPr>
  </w:style>
  <w:style w:type="paragraph" w:styleId="Title">
    <w:name w:val="Title"/>
    <w:basedOn w:val="Normal"/>
    <w:next w:val="Normal"/>
    <w:link w:val="TitleChar"/>
    <w:uiPriority w:val="10"/>
    <w:qFormat/>
    <w:rsid w:val="008D08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08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08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08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0815"/>
    <w:pPr>
      <w:spacing w:before="160"/>
      <w:jc w:val="center"/>
    </w:pPr>
    <w:rPr>
      <w:i/>
      <w:iCs/>
      <w:color w:val="404040" w:themeColor="text1" w:themeTint="BF"/>
    </w:rPr>
  </w:style>
  <w:style w:type="character" w:customStyle="1" w:styleId="QuoteChar">
    <w:name w:val="Quote Char"/>
    <w:basedOn w:val="DefaultParagraphFont"/>
    <w:link w:val="Quote"/>
    <w:uiPriority w:val="29"/>
    <w:rsid w:val="008D0815"/>
    <w:rPr>
      <w:i/>
      <w:iCs/>
      <w:color w:val="404040" w:themeColor="text1" w:themeTint="BF"/>
    </w:rPr>
  </w:style>
  <w:style w:type="paragraph" w:styleId="ListParagraph">
    <w:name w:val="List Paragraph"/>
    <w:basedOn w:val="Normal"/>
    <w:uiPriority w:val="34"/>
    <w:qFormat/>
    <w:rsid w:val="008D0815"/>
    <w:pPr>
      <w:ind w:left="720"/>
      <w:contextualSpacing/>
    </w:pPr>
  </w:style>
  <w:style w:type="character" w:styleId="IntenseEmphasis">
    <w:name w:val="Intense Emphasis"/>
    <w:basedOn w:val="DefaultParagraphFont"/>
    <w:uiPriority w:val="21"/>
    <w:qFormat/>
    <w:rsid w:val="008D0815"/>
    <w:rPr>
      <w:i/>
      <w:iCs/>
      <w:color w:val="0F4761" w:themeColor="accent1" w:themeShade="BF"/>
    </w:rPr>
  </w:style>
  <w:style w:type="paragraph" w:styleId="IntenseQuote">
    <w:name w:val="Intense Quote"/>
    <w:basedOn w:val="Normal"/>
    <w:next w:val="Normal"/>
    <w:link w:val="IntenseQuoteChar"/>
    <w:uiPriority w:val="30"/>
    <w:qFormat/>
    <w:rsid w:val="008D08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0815"/>
    <w:rPr>
      <w:i/>
      <w:iCs/>
      <w:color w:val="0F4761" w:themeColor="accent1" w:themeShade="BF"/>
    </w:rPr>
  </w:style>
  <w:style w:type="character" w:styleId="IntenseReference">
    <w:name w:val="Intense Reference"/>
    <w:basedOn w:val="DefaultParagraphFont"/>
    <w:uiPriority w:val="32"/>
    <w:qFormat/>
    <w:rsid w:val="008D0815"/>
    <w:rPr>
      <w:b/>
      <w:bCs/>
      <w:smallCaps/>
      <w:color w:val="0F4761" w:themeColor="accent1" w:themeShade="BF"/>
      <w:spacing w:val="5"/>
    </w:rPr>
  </w:style>
  <w:style w:type="character" w:customStyle="1" w:styleId="bumpedfont15">
    <w:name w:val="bumpedfont15"/>
    <w:basedOn w:val="DefaultParagraphFont"/>
    <w:rsid w:val="001B6889"/>
  </w:style>
  <w:style w:type="paragraph" w:styleId="TOCHeading">
    <w:name w:val="TOC Heading"/>
    <w:basedOn w:val="Heading1"/>
    <w:next w:val="Normal"/>
    <w:uiPriority w:val="39"/>
    <w:unhideWhenUsed/>
    <w:qFormat/>
    <w:rsid w:val="001B688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B6889"/>
    <w:pPr>
      <w:spacing w:before="120" w:after="0"/>
    </w:pPr>
    <w:rPr>
      <w:b/>
      <w:bCs/>
      <w:i/>
      <w:iCs/>
    </w:rPr>
  </w:style>
  <w:style w:type="character" w:styleId="Hyperlink">
    <w:name w:val="Hyperlink"/>
    <w:basedOn w:val="DefaultParagraphFont"/>
    <w:uiPriority w:val="99"/>
    <w:unhideWhenUsed/>
    <w:rsid w:val="001B6889"/>
    <w:rPr>
      <w:color w:val="467886" w:themeColor="hyperlink"/>
      <w:u w:val="single"/>
    </w:rPr>
  </w:style>
  <w:style w:type="paragraph" w:styleId="TOC2">
    <w:name w:val="toc 2"/>
    <w:basedOn w:val="Normal"/>
    <w:next w:val="Normal"/>
    <w:autoRedefine/>
    <w:uiPriority w:val="39"/>
    <w:semiHidden/>
    <w:unhideWhenUsed/>
    <w:rsid w:val="001B6889"/>
    <w:pPr>
      <w:spacing w:before="120" w:after="0"/>
      <w:ind w:left="240"/>
    </w:pPr>
    <w:rPr>
      <w:b/>
      <w:bCs/>
      <w:sz w:val="22"/>
      <w:szCs w:val="22"/>
    </w:rPr>
  </w:style>
  <w:style w:type="paragraph" w:styleId="TOC3">
    <w:name w:val="toc 3"/>
    <w:basedOn w:val="Normal"/>
    <w:next w:val="Normal"/>
    <w:autoRedefine/>
    <w:uiPriority w:val="39"/>
    <w:semiHidden/>
    <w:unhideWhenUsed/>
    <w:rsid w:val="001B6889"/>
    <w:pPr>
      <w:spacing w:after="0"/>
      <w:ind w:left="480"/>
    </w:pPr>
    <w:rPr>
      <w:sz w:val="20"/>
      <w:szCs w:val="20"/>
    </w:rPr>
  </w:style>
  <w:style w:type="paragraph" w:styleId="TOC4">
    <w:name w:val="toc 4"/>
    <w:basedOn w:val="Normal"/>
    <w:next w:val="Normal"/>
    <w:autoRedefine/>
    <w:uiPriority w:val="39"/>
    <w:semiHidden/>
    <w:unhideWhenUsed/>
    <w:rsid w:val="001B6889"/>
    <w:pPr>
      <w:spacing w:after="0"/>
      <w:ind w:left="720"/>
    </w:pPr>
    <w:rPr>
      <w:sz w:val="20"/>
      <w:szCs w:val="20"/>
    </w:rPr>
  </w:style>
  <w:style w:type="paragraph" w:styleId="TOC5">
    <w:name w:val="toc 5"/>
    <w:basedOn w:val="Normal"/>
    <w:next w:val="Normal"/>
    <w:autoRedefine/>
    <w:uiPriority w:val="39"/>
    <w:semiHidden/>
    <w:unhideWhenUsed/>
    <w:rsid w:val="001B6889"/>
    <w:pPr>
      <w:spacing w:after="0"/>
      <w:ind w:left="960"/>
    </w:pPr>
    <w:rPr>
      <w:sz w:val="20"/>
      <w:szCs w:val="20"/>
    </w:rPr>
  </w:style>
  <w:style w:type="paragraph" w:styleId="TOC6">
    <w:name w:val="toc 6"/>
    <w:basedOn w:val="Normal"/>
    <w:next w:val="Normal"/>
    <w:autoRedefine/>
    <w:uiPriority w:val="39"/>
    <w:semiHidden/>
    <w:unhideWhenUsed/>
    <w:rsid w:val="001B6889"/>
    <w:pPr>
      <w:spacing w:after="0"/>
      <w:ind w:left="1200"/>
    </w:pPr>
    <w:rPr>
      <w:sz w:val="20"/>
      <w:szCs w:val="20"/>
    </w:rPr>
  </w:style>
  <w:style w:type="paragraph" w:styleId="TOC7">
    <w:name w:val="toc 7"/>
    <w:basedOn w:val="Normal"/>
    <w:next w:val="Normal"/>
    <w:autoRedefine/>
    <w:uiPriority w:val="39"/>
    <w:semiHidden/>
    <w:unhideWhenUsed/>
    <w:rsid w:val="001B6889"/>
    <w:pPr>
      <w:spacing w:after="0"/>
      <w:ind w:left="1440"/>
    </w:pPr>
    <w:rPr>
      <w:sz w:val="20"/>
      <w:szCs w:val="20"/>
    </w:rPr>
  </w:style>
  <w:style w:type="paragraph" w:styleId="TOC8">
    <w:name w:val="toc 8"/>
    <w:basedOn w:val="Normal"/>
    <w:next w:val="Normal"/>
    <w:autoRedefine/>
    <w:uiPriority w:val="39"/>
    <w:semiHidden/>
    <w:unhideWhenUsed/>
    <w:rsid w:val="001B6889"/>
    <w:pPr>
      <w:spacing w:after="0"/>
      <w:ind w:left="1680"/>
    </w:pPr>
    <w:rPr>
      <w:sz w:val="20"/>
      <w:szCs w:val="20"/>
    </w:rPr>
  </w:style>
  <w:style w:type="paragraph" w:styleId="TOC9">
    <w:name w:val="toc 9"/>
    <w:basedOn w:val="Normal"/>
    <w:next w:val="Normal"/>
    <w:autoRedefine/>
    <w:uiPriority w:val="39"/>
    <w:semiHidden/>
    <w:unhideWhenUsed/>
    <w:rsid w:val="001B6889"/>
    <w:pPr>
      <w:spacing w:after="0"/>
      <w:ind w:left="1920"/>
    </w:pPr>
    <w:rPr>
      <w:sz w:val="20"/>
      <w:szCs w:val="20"/>
    </w:rPr>
  </w:style>
  <w:style w:type="character" w:styleId="UnresolvedMention">
    <w:name w:val="Unresolved Mention"/>
    <w:basedOn w:val="DefaultParagraphFont"/>
    <w:uiPriority w:val="99"/>
    <w:semiHidden/>
    <w:unhideWhenUsed/>
    <w:rsid w:val="004B2E22"/>
    <w:rPr>
      <w:color w:val="605E5C"/>
      <w:shd w:val="clear" w:color="auto" w:fill="E1DFDD"/>
    </w:rPr>
  </w:style>
  <w:style w:type="paragraph" w:styleId="Revision">
    <w:name w:val="Revision"/>
    <w:hidden/>
    <w:uiPriority w:val="99"/>
    <w:semiHidden/>
    <w:rsid w:val="00A3035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ice.org.uk/guidance/ng97/chapter/Person-centred-care" TargetMode="External"/><Relationship Id="rId4" Type="http://schemas.openxmlformats.org/officeDocument/2006/relationships/hyperlink" Target="https://www.alzheimers.org.uk/get-support/help-dementia-care/person-centr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2348</Words>
  <Characters>13386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Ruth Bannor</cp:lastModifiedBy>
  <cp:revision>2</cp:revision>
  <dcterms:created xsi:type="dcterms:W3CDTF">2026-07-23T07:20:00Z</dcterms:created>
  <dcterms:modified xsi:type="dcterms:W3CDTF">2026-07-23T07:20:00Z</dcterms:modified>
</cp:coreProperties>
</file>