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3"/>
        <w:spacing w:line="360" w:lineRule="auto"/>
        <w:ind w:right="1141"/>
      </w:pPr>
      <w:r>
        <w:rPr/>
        <w:t>Does UNESCO’s ‘cultural landscape’ reflect biocultural heritage? An analysis of two</w:t>
      </w:r>
      <w:r>
        <w:rPr>
          <w:spacing w:val="-52"/>
        </w:rPr>
        <w:t> </w:t>
      </w:r>
      <w:r>
        <w:rPr/>
        <w:t>‘inaugural’</w:t>
      </w:r>
      <w:r>
        <w:rPr>
          <w:spacing w:val="-2"/>
        </w:rPr>
        <w:t> </w:t>
      </w:r>
      <w:r>
        <w:rPr/>
        <w:t>cultural</w:t>
      </w:r>
      <w:r>
        <w:rPr>
          <w:spacing w:val="-1"/>
        </w:rPr>
        <w:t> </w:t>
      </w:r>
      <w:r>
        <w:rPr/>
        <w:t>landscapes.</w:t>
      </w:r>
    </w:p>
    <w:p>
      <w:pPr>
        <w:spacing w:line="360" w:lineRule="auto" w:before="161"/>
        <w:ind w:left="820" w:right="0" w:firstLine="0"/>
        <w:jc w:val="left"/>
        <w:rPr>
          <w:i/>
          <w:sz w:val="22"/>
        </w:rPr>
      </w:pPr>
      <w:r>
        <w:rPr>
          <w:i/>
          <w:sz w:val="22"/>
        </w:rPr>
        <w:t>“The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current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biodiversity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crisis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can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seldom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be</w:t>
      </w:r>
      <w:r>
        <w:rPr>
          <w:i/>
          <w:spacing w:val="-8"/>
          <w:sz w:val="22"/>
        </w:rPr>
        <w:t> </w:t>
      </w:r>
      <w:r>
        <w:rPr>
          <w:i/>
          <w:sz w:val="22"/>
        </w:rPr>
        <w:t>explained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by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the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loss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of</w:t>
      </w:r>
      <w:r>
        <w:rPr>
          <w:i/>
          <w:spacing w:val="-8"/>
          <w:sz w:val="22"/>
        </w:rPr>
        <w:t> </w:t>
      </w:r>
      <w:r>
        <w:rPr>
          <w:i/>
          <w:sz w:val="22"/>
        </w:rPr>
        <w:t>uninhabited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wildlands,</w:t>
      </w:r>
      <w:r>
        <w:rPr>
          <w:i/>
          <w:spacing w:val="-52"/>
          <w:sz w:val="22"/>
        </w:rPr>
        <w:t> </w:t>
      </w:r>
      <w:r>
        <w:rPr>
          <w:i/>
          <w:sz w:val="22"/>
        </w:rPr>
        <w:t>resulting instead from the appropriation, colonization, and intensifying use of the biodiverse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cultural landscapes long shaped and sustained by prior societies. Recognizing this deep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cultural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connection with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biodiversity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will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therefore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be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essential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to resolve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the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crisis.”</w:t>
      </w:r>
    </w:p>
    <w:p>
      <w:pPr>
        <w:pStyle w:val="BodyText"/>
        <w:spacing w:before="159"/>
        <w:ind w:left="6582"/>
      </w:pPr>
      <w:r>
        <w:rPr/>
        <w:t>(Ellis</w:t>
      </w:r>
      <w:r>
        <w:rPr>
          <w:spacing w:val="-3"/>
        </w:rPr>
        <w:t> </w:t>
      </w:r>
      <w:r>
        <w:rPr/>
        <w:t>et</w:t>
      </w:r>
      <w:r>
        <w:rPr>
          <w:spacing w:val="-3"/>
        </w:rPr>
        <w:t> </w:t>
      </w:r>
      <w:r>
        <w:rPr/>
        <w:t>al,</w:t>
      </w:r>
      <w:r>
        <w:rPr>
          <w:spacing w:val="-1"/>
        </w:rPr>
        <w:t> </w:t>
      </w:r>
      <w:r>
        <w:rPr/>
        <w:t>2021, p.1)</w:t>
      </w:r>
    </w:p>
    <w:p>
      <w:pPr>
        <w:pStyle w:val="BodyText"/>
        <w:spacing w:before="2"/>
        <w:rPr>
          <w:sz w:val="25"/>
        </w:rPr>
      </w:pPr>
    </w:p>
    <w:p>
      <w:pPr>
        <w:pStyle w:val="Heading1"/>
      </w:pPr>
      <w:r>
        <w:rPr/>
        <w:t>Introduction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4"/>
        <w:rPr>
          <w:b/>
        </w:rPr>
      </w:pPr>
    </w:p>
    <w:p>
      <w:pPr>
        <w:pStyle w:val="BodyText"/>
        <w:spacing w:line="360" w:lineRule="auto"/>
        <w:ind w:left="100" w:right="148"/>
      </w:pPr>
      <w:r>
        <w:rPr/>
        <w:t>Ellis et al (2021) demonstrate how ‘uninhabited wildlands’ have rarely existed.</w:t>
      </w:r>
      <w:r>
        <w:rPr>
          <w:spacing w:val="1"/>
        </w:rPr>
        <w:t> </w:t>
      </w:r>
      <w:r>
        <w:rPr/>
        <w:t>As social, cultural,</w:t>
      </w:r>
      <w:r>
        <w:rPr>
          <w:spacing w:val="1"/>
        </w:rPr>
        <w:t> </w:t>
      </w:r>
      <w:r>
        <w:rPr/>
        <w:t>and political constructs, however, these imagined ‘wilderness’ spaces untouched by humans have</w:t>
      </w:r>
      <w:r>
        <w:rPr>
          <w:spacing w:val="1"/>
        </w:rPr>
        <w:t> </w:t>
      </w:r>
      <w:r>
        <w:rPr/>
        <w:t>been instrumental in the formation of the dominant heritage conservation paradigms (West and</w:t>
      </w:r>
      <w:r>
        <w:rPr>
          <w:spacing w:val="1"/>
        </w:rPr>
        <w:t> </w:t>
      </w:r>
      <w:r>
        <w:rPr/>
        <w:t>Ndlovu,</w:t>
      </w:r>
      <w:r>
        <w:rPr>
          <w:spacing w:val="-8"/>
        </w:rPr>
        <w:t> </w:t>
      </w:r>
      <w:r>
        <w:rPr/>
        <w:t>2010).</w:t>
      </w:r>
      <w:r>
        <w:rPr>
          <w:spacing w:val="-7"/>
        </w:rPr>
        <w:t> </w:t>
      </w:r>
      <w:r>
        <w:rPr/>
        <w:t>Scientific</w:t>
      </w:r>
      <w:r>
        <w:rPr>
          <w:spacing w:val="-6"/>
        </w:rPr>
        <w:t> </w:t>
      </w:r>
      <w:r>
        <w:rPr/>
        <w:t>theoretical</w:t>
      </w:r>
      <w:r>
        <w:rPr>
          <w:spacing w:val="-6"/>
        </w:rPr>
        <w:t> </w:t>
      </w:r>
      <w:r>
        <w:rPr/>
        <w:t>assumptions</w:t>
      </w:r>
      <w:r>
        <w:rPr>
          <w:spacing w:val="-5"/>
        </w:rPr>
        <w:t> </w:t>
      </w:r>
      <w:r>
        <w:rPr/>
        <w:t>and</w:t>
      </w:r>
      <w:r>
        <w:rPr>
          <w:spacing w:val="-7"/>
        </w:rPr>
        <w:t> </w:t>
      </w:r>
      <w:r>
        <w:rPr/>
        <w:t>empirical</w:t>
      </w:r>
      <w:r>
        <w:rPr>
          <w:spacing w:val="-5"/>
        </w:rPr>
        <w:t> </w:t>
      </w:r>
      <w:r>
        <w:rPr/>
        <w:t>limitations</w:t>
      </w:r>
      <w:r>
        <w:rPr>
          <w:spacing w:val="-6"/>
        </w:rPr>
        <w:t> </w:t>
      </w:r>
      <w:r>
        <w:rPr/>
        <w:t>regarding</w:t>
      </w:r>
      <w:r>
        <w:rPr>
          <w:spacing w:val="-3"/>
        </w:rPr>
        <w:t> </w:t>
      </w:r>
      <w:r>
        <w:rPr/>
        <w:t>histories</w:t>
      </w:r>
      <w:r>
        <w:rPr>
          <w:spacing w:val="-6"/>
        </w:rPr>
        <w:t> </w:t>
      </w:r>
      <w:r>
        <w:rPr/>
        <w:t>of</w:t>
      </w:r>
      <w:r>
        <w:rPr>
          <w:spacing w:val="-5"/>
        </w:rPr>
        <w:t> </w:t>
      </w:r>
      <w:r>
        <w:rPr/>
        <w:t>land</w:t>
      </w:r>
      <w:r>
        <w:rPr>
          <w:spacing w:val="1"/>
        </w:rPr>
        <w:t> </w:t>
      </w:r>
      <w:r>
        <w:rPr/>
        <w:t>use have resulted in the persistence of a protectionist conservation model. This model seeks to protect</w:t>
      </w:r>
      <w:r>
        <w:rPr>
          <w:spacing w:val="-52"/>
        </w:rPr>
        <w:t> </w:t>
      </w:r>
      <w:r>
        <w:rPr/>
        <w:t>areas of the landscape by excluding the ‘damaging’ effects of human interference. But as it lacks</w:t>
      </w:r>
      <w:r>
        <w:rPr>
          <w:spacing w:val="1"/>
        </w:rPr>
        <w:t> </w:t>
      </w:r>
      <w:r>
        <w:rPr/>
        <w:t>“understanding of how ecological systems and their biodiversity relate to the cultural nature of</w:t>
      </w:r>
      <w:r>
        <w:rPr>
          <w:spacing w:val="1"/>
        </w:rPr>
        <w:t> </w:t>
      </w:r>
      <w:r>
        <w:rPr/>
        <w:t>landscapes is hugely problematic” (Rotherham, 2015, p.3405) and “morally questionable”</w:t>
      </w:r>
      <w:r>
        <w:rPr>
          <w:spacing w:val="1"/>
        </w:rPr>
        <w:t> </w:t>
      </w:r>
      <w:r>
        <w:rPr/>
        <w:t>(Wilshusen, 2002,</w:t>
      </w:r>
      <w:r>
        <w:rPr>
          <w:spacing w:val="-3"/>
        </w:rPr>
        <w:t> </w:t>
      </w:r>
      <w:r>
        <w:rPr/>
        <w:t>p.18).</w:t>
      </w:r>
    </w:p>
    <w:p>
      <w:pPr>
        <w:pStyle w:val="BodyText"/>
        <w:spacing w:line="360" w:lineRule="auto" w:before="161"/>
        <w:ind w:left="100" w:right="178"/>
      </w:pPr>
      <w:r>
        <w:rPr/>
        <w:t>The ineffectiveness of the current framework is evidenced by the ‘conservation paradox’ in which</w:t>
      </w:r>
      <w:r>
        <w:rPr>
          <w:spacing w:val="1"/>
        </w:rPr>
        <w:t> </w:t>
      </w:r>
      <w:r>
        <w:rPr/>
        <w:t>protected areas are increasing yet biodiversity is decreasing (Adams, 2005), It also disregards the fact</w:t>
      </w:r>
      <w:r>
        <w:rPr>
          <w:spacing w:val="-52"/>
        </w:rPr>
        <w:t> </w:t>
      </w:r>
      <w:r>
        <w:rPr/>
        <w:t>that “areas under Indigenous management today are recognized as some of the most biodiverse areas</w:t>
      </w:r>
      <w:r>
        <w:rPr>
          <w:spacing w:val="1"/>
        </w:rPr>
        <w:t> </w:t>
      </w:r>
      <w:r>
        <w:rPr/>
        <w:t>remaining on the planet” (Ellis et al, 2021). By not recognising biocultural diversity and the</w:t>
      </w:r>
      <w:r>
        <w:rPr>
          <w:spacing w:val="1"/>
        </w:rPr>
        <w:t> </w:t>
      </w:r>
      <w:r>
        <w:rPr/>
        <w:t>inextricable link between nature and culture inherent in traditional practices it threatens not only the</w:t>
      </w:r>
      <w:r>
        <w:rPr>
          <w:spacing w:val="1"/>
        </w:rPr>
        <w:t> </w:t>
      </w:r>
      <w:r>
        <w:rPr/>
        <w:t>landscapes and the biodiversity which inhabits them, but also the cultural diversity required for their</w:t>
      </w:r>
      <w:r>
        <w:rPr>
          <w:spacing w:val="1"/>
        </w:rPr>
        <w:t> </w:t>
      </w:r>
      <w:r>
        <w:rPr/>
        <w:t>creation and maintenance (Bridgewater and Rotherham, 2019). Thus, by situation the cultural,</w:t>
      </w:r>
      <w:r>
        <w:rPr>
          <w:spacing w:val="1"/>
        </w:rPr>
        <w:t> </w:t>
      </w:r>
      <w:r>
        <w:rPr/>
        <w:t>comprising the inherited belief systems, rituals, knowledge, and skills, in opposition to the biological</w:t>
      </w:r>
      <w:r>
        <w:rPr>
          <w:spacing w:val="-52"/>
        </w:rPr>
        <w:t> </w:t>
      </w:r>
      <w:r>
        <w:rPr/>
        <w:t>we</w:t>
      </w:r>
      <w:r>
        <w:rPr>
          <w:spacing w:val="-2"/>
        </w:rPr>
        <w:t> </w:t>
      </w:r>
      <w:r>
        <w:rPr/>
        <w:t>risk</w:t>
      </w:r>
      <w:r>
        <w:rPr>
          <w:spacing w:val="3"/>
        </w:rPr>
        <w:t> </w:t>
      </w:r>
      <w:r>
        <w:rPr/>
        <w:t>‘cultural</w:t>
      </w:r>
      <w:r>
        <w:rPr>
          <w:spacing w:val="-1"/>
        </w:rPr>
        <w:t> </w:t>
      </w:r>
      <w:r>
        <w:rPr/>
        <w:t>severance’</w:t>
      </w:r>
      <w:r>
        <w:rPr>
          <w:spacing w:val="-2"/>
        </w:rPr>
        <w:t> </w:t>
      </w:r>
      <w:r>
        <w:rPr/>
        <w:t>(Rotherham</w:t>
      </w:r>
      <w:r>
        <w:rPr>
          <w:spacing w:val="1"/>
        </w:rPr>
        <w:t> </w:t>
      </w:r>
      <w:r>
        <w:rPr/>
        <w:t>2008).</w:t>
      </w:r>
    </w:p>
    <w:p>
      <w:pPr>
        <w:pStyle w:val="BodyText"/>
        <w:spacing w:line="360" w:lineRule="auto" w:before="162"/>
        <w:ind w:left="100" w:right="172"/>
      </w:pPr>
      <w:r>
        <w:rPr/>
        <w:t>This severance is made possible by the nature-culture dualism that forms a central tenant of Western</w:t>
      </w:r>
      <w:r>
        <w:rPr>
          <w:spacing w:val="1"/>
        </w:rPr>
        <w:t> </w:t>
      </w:r>
      <w:r>
        <w:rPr/>
        <w:t>ontology. These binaries pervade the Authorised Heritage Discourse (AHD) where they have become</w:t>
      </w:r>
      <w:r>
        <w:rPr>
          <w:spacing w:val="-52"/>
        </w:rPr>
        <w:t> </w:t>
      </w:r>
      <w:r>
        <w:rPr/>
        <w:t>so naturalised that the existence of additional perspectives is barely considered (Smith, 2006). This</w:t>
      </w:r>
      <w:r>
        <w:rPr>
          <w:spacing w:val="1"/>
        </w:rPr>
        <w:t> </w:t>
      </w:r>
      <w:r>
        <w:rPr/>
        <w:t>imposition of the Western worldview is seen as “one of the most significant acts of colonialism” and</w:t>
      </w:r>
      <w:r>
        <w:rPr>
          <w:spacing w:val="1"/>
        </w:rPr>
        <w:t> </w:t>
      </w:r>
      <w:r>
        <w:rPr/>
        <w:t>where</w:t>
      </w:r>
      <w:r>
        <w:rPr>
          <w:spacing w:val="-5"/>
        </w:rPr>
        <w:t> </w:t>
      </w:r>
      <w:r>
        <w:rPr/>
        <w:t>it</w:t>
      </w:r>
      <w:r>
        <w:rPr>
          <w:spacing w:val="-5"/>
        </w:rPr>
        <w:t> </w:t>
      </w:r>
      <w:r>
        <w:rPr/>
        <w:t>persists</w:t>
      </w:r>
      <w:r>
        <w:rPr>
          <w:spacing w:val="-5"/>
        </w:rPr>
        <w:t> </w:t>
      </w:r>
      <w:r>
        <w:rPr/>
        <w:t>unchallenged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current</w:t>
      </w:r>
      <w:r>
        <w:rPr>
          <w:spacing w:val="-1"/>
        </w:rPr>
        <w:t> </w:t>
      </w:r>
      <w:r>
        <w:rPr/>
        <w:t>heritage</w:t>
      </w:r>
      <w:r>
        <w:rPr>
          <w:spacing w:val="-5"/>
        </w:rPr>
        <w:t> </w:t>
      </w:r>
      <w:r>
        <w:rPr/>
        <w:t>practices,</w:t>
      </w:r>
      <w:r>
        <w:rPr>
          <w:spacing w:val="-3"/>
        </w:rPr>
        <w:t> </w:t>
      </w:r>
      <w:r>
        <w:rPr/>
        <w:t>continues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/>
        <w:t>“act</w:t>
      </w:r>
      <w:r>
        <w:rPr>
          <w:spacing w:val="-5"/>
        </w:rPr>
        <w:t> </w:t>
      </w:r>
      <w:r>
        <w:rPr/>
        <w:t>as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tool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colonialism”</w:t>
      </w:r>
      <w:r>
        <w:rPr>
          <w:spacing w:val="1"/>
        </w:rPr>
        <w:t> </w:t>
      </w:r>
      <w:r>
        <w:rPr/>
        <w:t>(Muller et al, 2019, p.399). As a result, the application of AHD in (post)colonial settings such as</w:t>
      </w:r>
      <w:r>
        <w:rPr>
          <w:spacing w:val="1"/>
        </w:rPr>
        <w:t> </w:t>
      </w:r>
      <w:r>
        <w:rPr/>
        <w:t>Australia</w:t>
      </w:r>
      <w:r>
        <w:rPr>
          <w:spacing w:val="-4"/>
        </w:rPr>
        <w:t> </w:t>
      </w:r>
      <w:r>
        <w:rPr/>
        <w:t>and</w:t>
      </w:r>
      <w:r>
        <w:rPr>
          <w:spacing w:val="1"/>
        </w:rPr>
        <w:t> </w:t>
      </w:r>
      <w:r>
        <w:rPr/>
        <w:t>Aotearoa-New</w:t>
      </w:r>
      <w:r>
        <w:rPr>
          <w:spacing w:val="-1"/>
        </w:rPr>
        <w:t> </w:t>
      </w:r>
      <w:r>
        <w:rPr/>
        <w:t>Zealand</w:t>
      </w:r>
      <w:r>
        <w:rPr>
          <w:spacing w:val="2"/>
        </w:rPr>
        <w:t> </w:t>
      </w:r>
      <w:r>
        <w:rPr/>
        <w:t>must</w:t>
      </w:r>
      <w:r>
        <w:rPr>
          <w:spacing w:val="-4"/>
        </w:rPr>
        <w:t> </w:t>
      </w:r>
      <w:r>
        <w:rPr/>
        <w:t>be</w:t>
      </w:r>
      <w:r>
        <w:rPr>
          <w:spacing w:val="-7"/>
        </w:rPr>
        <w:t> </w:t>
      </w:r>
      <w:r>
        <w:rPr/>
        <w:t>considerate</w:t>
      </w:r>
      <w:r>
        <w:rPr>
          <w:spacing w:val="-4"/>
        </w:rPr>
        <w:t> </w:t>
      </w:r>
      <w:r>
        <w:rPr/>
        <w:t>of Indigenous</w:t>
      </w:r>
      <w:r>
        <w:rPr>
          <w:spacing w:val="-4"/>
        </w:rPr>
        <w:t> </w:t>
      </w:r>
      <w:r>
        <w:rPr/>
        <w:t>injustices</w:t>
      </w:r>
      <w:r>
        <w:rPr>
          <w:spacing w:val="-4"/>
        </w:rPr>
        <w:t> </w:t>
      </w:r>
      <w:r>
        <w:rPr/>
        <w:t>and the risk</w:t>
      </w:r>
      <w:r>
        <w:rPr>
          <w:spacing w:val="-1"/>
        </w:rPr>
        <w:t> </w:t>
      </w:r>
      <w:r>
        <w:rPr/>
        <w:t>of</w:t>
      </w:r>
    </w:p>
    <w:p>
      <w:pPr>
        <w:spacing w:after="0" w:line="360" w:lineRule="auto"/>
        <w:sectPr>
          <w:footerReference w:type="default" r:id="rId5"/>
          <w:type w:val="continuous"/>
          <w:pgSz w:w="11910" w:h="16840"/>
          <w:pgMar w:footer="998" w:header="0" w:top="1360" w:bottom="1180" w:left="1340" w:right="1340"/>
          <w:pgNumType w:start="1"/>
        </w:sectPr>
      </w:pPr>
    </w:p>
    <w:p>
      <w:pPr>
        <w:pStyle w:val="BodyText"/>
        <w:spacing w:line="360" w:lineRule="auto" w:before="63"/>
        <w:ind w:left="100" w:right="172"/>
      </w:pPr>
      <w:r>
        <w:rPr/>
        <w:t>continuing</w:t>
      </w:r>
      <w:r>
        <w:rPr>
          <w:spacing w:val="-4"/>
        </w:rPr>
        <w:t> </w:t>
      </w:r>
      <w:r>
        <w:rPr/>
        <w:t>the</w:t>
      </w:r>
      <w:r>
        <w:rPr>
          <w:spacing w:val="-9"/>
        </w:rPr>
        <w:t> </w:t>
      </w:r>
      <w:r>
        <w:rPr/>
        <w:t>dispossession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marginalisation</w:t>
      </w:r>
      <w:r>
        <w:rPr>
          <w:spacing w:val="-8"/>
        </w:rPr>
        <w:t> </w:t>
      </w:r>
      <w:r>
        <w:rPr/>
        <w:t>of</w:t>
      </w:r>
      <w:r>
        <w:rPr>
          <w:spacing w:val="-6"/>
        </w:rPr>
        <w:t> </w:t>
      </w:r>
      <w:r>
        <w:rPr/>
        <w:t>Indigenous</w:t>
      </w:r>
      <w:r>
        <w:rPr>
          <w:spacing w:val="-7"/>
        </w:rPr>
        <w:t> </w:t>
      </w:r>
      <w:r>
        <w:rPr/>
        <w:t>peoples</w:t>
      </w:r>
      <w:r>
        <w:rPr>
          <w:spacing w:val="-6"/>
        </w:rPr>
        <w:t> </w:t>
      </w:r>
      <w:r>
        <w:rPr/>
        <w:t>through</w:t>
      </w:r>
      <w:r>
        <w:rPr>
          <w:spacing w:val="-4"/>
        </w:rPr>
        <w:t> </w:t>
      </w:r>
      <w:r>
        <w:rPr/>
        <w:t>its</w:t>
      </w:r>
      <w:r>
        <w:rPr>
          <w:spacing w:val="-6"/>
        </w:rPr>
        <w:t> </w:t>
      </w:r>
      <w:r>
        <w:rPr/>
        <w:t>practices</w:t>
      </w:r>
      <w:r>
        <w:rPr>
          <w:spacing w:val="-52"/>
        </w:rPr>
        <w:t> </w:t>
      </w:r>
      <w:r>
        <w:rPr/>
        <w:t>(Hemming,</w:t>
      </w:r>
      <w:r>
        <w:rPr>
          <w:spacing w:val="-2"/>
        </w:rPr>
        <w:t> </w:t>
      </w:r>
      <w:r>
        <w:rPr/>
        <w:t>2010).</w:t>
      </w:r>
    </w:p>
    <w:p>
      <w:pPr>
        <w:pStyle w:val="BodyText"/>
        <w:spacing w:line="360" w:lineRule="auto" w:before="161"/>
        <w:ind w:left="100" w:right="166"/>
      </w:pPr>
      <w:r>
        <w:rPr/>
        <w:t>Thus, to address these injustices and achieve more equitable and effective heritage practices, we must</w:t>
      </w:r>
      <w:r>
        <w:rPr>
          <w:spacing w:val="-52"/>
        </w:rPr>
        <w:t> </w:t>
      </w:r>
      <w:r>
        <w:rPr/>
        <w:t>consider</w:t>
      </w:r>
      <w:r>
        <w:rPr>
          <w:spacing w:val="-1"/>
        </w:rPr>
        <w:t> </w:t>
      </w:r>
      <w:r>
        <w:rPr/>
        <w:t>biocultural</w:t>
      </w:r>
      <w:r>
        <w:rPr>
          <w:spacing w:val="-1"/>
        </w:rPr>
        <w:t> </w:t>
      </w:r>
      <w:r>
        <w:rPr/>
        <w:t>heritage</w:t>
      </w:r>
      <w:r>
        <w:rPr>
          <w:spacing w:val="2"/>
        </w:rPr>
        <w:t> </w:t>
      </w:r>
      <w:r>
        <w:rPr/>
        <w:t>which:</w:t>
      </w:r>
    </w:p>
    <w:p>
      <w:pPr>
        <w:spacing w:line="360" w:lineRule="auto" w:before="157"/>
        <w:ind w:left="820" w:right="170" w:firstLine="0"/>
        <w:jc w:val="left"/>
        <w:rPr>
          <w:sz w:val="22"/>
        </w:rPr>
      </w:pPr>
      <w:r>
        <w:rPr>
          <w:sz w:val="22"/>
        </w:rPr>
        <w:t>“</w:t>
      </w:r>
      <w:r>
        <w:rPr>
          <w:i/>
          <w:sz w:val="22"/>
        </w:rPr>
        <w:t>reflects the holistic approach of many indigenous peoples and local communities. This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holistic and collective conceptual approach also recognizes knowledge as ‘heritage’, thereby</w:t>
      </w:r>
      <w:r>
        <w:rPr>
          <w:i/>
          <w:spacing w:val="-52"/>
          <w:sz w:val="22"/>
        </w:rPr>
        <w:t> </w:t>
      </w:r>
      <w:r>
        <w:rPr>
          <w:i/>
          <w:sz w:val="22"/>
        </w:rPr>
        <w:t>reflecting its custodial and intergenerational character. </w:t>
      </w:r>
      <w:r>
        <w:rPr>
          <w:b/>
          <w:i/>
          <w:sz w:val="22"/>
        </w:rPr>
        <w:t>The cultural landscapes inscribed</w:t>
      </w:r>
      <w:r>
        <w:rPr>
          <w:b/>
          <w:i/>
          <w:spacing w:val="1"/>
          <w:sz w:val="22"/>
        </w:rPr>
        <w:t> </w:t>
      </w:r>
      <w:r>
        <w:rPr>
          <w:b/>
          <w:i/>
          <w:sz w:val="22"/>
        </w:rPr>
        <w:t>under the World Heritage Convention are examples of biocultural heritage’ </w:t>
      </w:r>
      <w:r>
        <w:rPr>
          <w:sz w:val="22"/>
        </w:rPr>
        <w:t>(CBD, 2018 in</w:t>
      </w:r>
      <w:r>
        <w:rPr>
          <w:spacing w:val="-52"/>
          <w:sz w:val="22"/>
        </w:rPr>
        <w:t> </w:t>
      </w:r>
      <w:r>
        <w:rPr>
          <w:sz w:val="22"/>
        </w:rPr>
        <w:t>Bridgwater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1"/>
          <w:sz w:val="22"/>
        </w:rPr>
        <w:t> </w:t>
      </w:r>
      <w:r>
        <w:rPr>
          <w:sz w:val="22"/>
        </w:rPr>
        <w:t>Rotherham,</w:t>
      </w:r>
      <w:r>
        <w:rPr>
          <w:spacing w:val="1"/>
          <w:sz w:val="22"/>
        </w:rPr>
        <w:t> </w:t>
      </w:r>
      <w:r>
        <w:rPr>
          <w:sz w:val="22"/>
        </w:rPr>
        <w:t>2019,</w:t>
      </w:r>
      <w:r>
        <w:rPr>
          <w:spacing w:val="-4"/>
          <w:sz w:val="22"/>
        </w:rPr>
        <w:t> </w:t>
      </w:r>
      <w:r>
        <w:rPr>
          <w:sz w:val="22"/>
        </w:rPr>
        <w:t>p.297-298,</w:t>
      </w:r>
      <w:r>
        <w:rPr>
          <w:spacing w:val="-3"/>
          <w:sz w:val="22"/>
        </w:rPr>
        <w:t> </w:t>
      </w:r>
      <w:r>
        <w:rPr>
          <w:sz w:val="22"/>
        </w:rPr>
        <w:t>author’s</w:t>
      </w:r>
      <w:r>
        <w:rPr>
          <w:spacing w:val="-2"/>
          <w:sz w:val="22"/>
        </w:rPr>
        <w:t> </w:t>
      </w:r>
      <w:r>
        <w:rPr>
          <w:sz w:val="22"/>
        </w:rPr>
        <w:t>emphasis).</w:t>
      </w:r>
    </w:p>
    <w:p>
      <w:pPr>
        <w:pStyle w:val="BodyText"/>
        <w:spacing w:line="360" w:lineRule="auto" w:before="163"/>
        <w:ind w:left="100" w:right="228"/>
        <w:jc w:val="both"/>
      </w:pPr>
      <w:r>
        <w:rPr/>
        <w:t>As biocultural heritage here is defined in relation to existing World Heritage concepts, it is important</w:t>
      </w:r>
      <w:r>
        <w:rPr>
          <w:spacing w:val="-52"/>
        </w:rPr>
        <w:t> </w:t>
      </w:r>
      <w:r>
        <w:rPr/>
        <w:t>to understand how effective UNESCO’s cultural landscapes are at “[reflecting] the holistic approach</w:t>
      </w:r>
      <w:r>
        <w:rPr>
          <w:spacing w:val="1"/>
        </w:rPr>
        <w:t> </w:t>
      </w:r>
      <w:r>
        <w:rPr/>
        <w:t>of</w:t>
      </w:r>
      <w:r>
        <w:rPr>
          <w:spacing w:val="-2"/>
        </w:rPr>
        <w:t> </w:t>
      </w:r>
      <w:r>
        <w:rPr/>
        <w:t>many</w:t>
      </w:r>
      <w:r>
        <w:rPr>
          <w:spacing w:val="2"/>
        </w:rPr>
        <w:t> </w:t>
      </w:r>
      <w:r>
        <w:rPr/>
        <w:t>indigenous</w:t>
      </w:r>
      <w:r>
        <w:rPr>
          <w:spacing w:val="-1"/>
        </w:rPr>
        <w:t> </w:t>
      </w:r>
      <w:r>
        <w:rPr/>
        <w:t>peoples”.</w:t>
      </w:r>
    </w:p>
    <w:p>
      <w:pPr>
        <w:pStyle w:val="BodyText"/>
        <w:spacing w:line="360" w:lineRule="auto" w:before="158"/>
        <w:ind w:left="100" w:right="248"/>
      </w:pPr>
      <w:r>
        <w:rPr/>
        <w:t>In considering this question the following study will analyse the ‘inaugural’ UNESCO cultural</w:t>
      </w:r>
      <w:r>
        <w:rPr>
          <w:spacing w:val="1"/>
        </w:rPr>
        <w:t> </w:t>
      </w:r>
      <w:r>
        <w:rPr/>
        <w:t>landscapes: Uluru-Kata Tjuta National Park, Australia and Tongariro National Park, Aotearoa-</w:t>
      </w:r>
      <w:r>
        <w:rPr>
          <w:spacing w:val="1"/>
        </w:rPr>
        <w:t> </w:t>
      </w:r>
      <w:r>
        <w:rPr/>
        <w:t>Aotearoa-New Zealand. The c.40 years since their inscription provides a useful period to assess the</w:t>
      </w:r>
      <w:r>
        <w:rPr>
          <w:spacing w:val="1"/>
        </w:rPr>
        <w:t> </w:t>
      </w:r>
      <w:r>
        <w:rPr/>
        <w:t>impacts of their nomination. To do so, the essay will firstly outline the key implications of situating</w:t>
      </w:r>
      <w:r>
        <w:rPr>
          <w:spacing w:val="1"/>
        </w:rPr>
        <w:t> </w:t>
      </w:r>
      <w:r>
        <w:rPr/>
        <w:t>UNESCO heritage in an indigenous setting. It will then trace each site through three stages in their</w:t>
      </w:r>
      <w:r>
        <w:rPr>
          <w:spacing w:val="1"/>
        </w:rPr>
        <w:t> </w:t>
      </w:r>
      <w:r>
        <w:rPr/>
        <w:t>development as World Heritage: the acquisition as national heritage; the nomination and the</w:t>
      </w:r>
      <w:r>
        <w:rPr>
          <w:spacing w:val="1"/>
        </w:rPr>
        <w:t> </w:t>
      </w:r>
      <w:r>
        <w:rPr/>
        <w:t>subsequent management as World Heritage. Finally, the findings will be discussed as to whether the</w:t>
      </w:r>
      <w:r>
        <w:rPr>
          <w:spacing w:val="1"/>
        </w:rPr>
        <w:t> </w:t>
      </w:r>
      <w:r>
        <w:rPr/>
        <w:t>introduction</w:t>
      </w:r>
      <w:r>
        <w:rPr>
          <w:spacing w:val="-7"/>
        </w:rPr>
        <w:t> </w:t>
      </w:r>
      <w:r>
        <w:rPr/>
        <w:t>of</w:t>
      </w:r>
      <w:r>
        <w:rPr>
          <w:spacing w:val="-3"/>
        </w:rPr>
        <w:t> </w:t>
      </w:r>
      <w:r>
        <w:rPr/>
        <w:t>UNESCO’S</w:t>
      </w:r>
      <w:r>
        <w:rPr>
          <w:spacing w:val="-4"/>
        </w:rPr>
        <w:t> </w:t>
      </w:r>
      <w:r>
        <w:rPr/>
        <w:t>cultural</w:t>
      </w:r>
      <w:r>
        <w:rPr>
          <w:spacing w:val="-6"/>
        </w:rPr>
        <w:t> </w:t>
      </w:r>
      <w:r>
        <w:rPr/>
        <w:t>landscapes</w:t>
      </w:r>
      <w:r>
        <w:rPr>
          <w:spacing w:val="-3"/>
        </w:rPr>
        <w:t> </w:t>
      </w:r>
      <w:r>
        <w:rPr/>
        <w:t>reflects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approach</w:t>
      </w:r>
      <w:r>
        <w:rPr>
          <w:spacing w:val="-4"/>
        </w:rPr>
        <w:t> </w:t>
      </w:r>
      <w:r>
        <w:rPr/>
        <w:t>needed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biocultural</w:t>
      </w:r>
      <w:r>
        <w:rPr>
          <w:spacing w:val="-10"/>
        </w:rPr>
        <w:t> </w:t>
      </w:r>
      <w:r>
        <w:rPr/>
        <w:t>heritage.</w:t>
      </w:r>
    </w:p>
    <w:p>
      <w:pPr>
        <w:pStyle w:val="Heading1"/>
        <w:spacing w:before="164"/>
        <w:jc w:val="both"/>
      </w:pPr>
      <w:r>
        <w:rPr/>
        <w:t>UNESCO’s</w:t>
      </w:r>
      <w:r>
        <w:rPr>
          <w:spacing w:val="-4"/>
        </w:rPr>
        <w:t> </w:t>
      </w:r>
      <w:r>
        <w:rPr/>
        <w:t>World</w:t>
      </w:r>
      <w:r>
        <w:rPr>
          <w:spacing w:val="-3"/>
        </w:rPr>
        <w:t> </w:t>
      </w:r>
      <w:r>
        <w:rPr/>
        <w:t>Heritage</w:t>
      </w:r>
    </w:p>
    <w:p>
      <w:pPr>
        <w:pStyle w:val="BodyText"/>
        <w:spacing w:before="6"/>
        <w:rPr>
          <w:b/>
          <w:sz w:val="39"/>
        </w:rPr>
      </w:pPr>
    </w:p>
    <w:p>
      <w:pPr>
        <w:pStyle w:val="BodyText"/>
        <w:spacing w:line="360" w:lineRule="auto"/>
        <w:ind w:left="100" w:right="202"/>
      </w:pPr>
      <w:r>
        <w:rPr/>
        <w:t>The Convention for Biological Diversity’s explicit reference to World Heritage cultural landscapes</w:t>
      </w:r>
      <w:r>
        <w:rPr>
          <w:spacing w:val="1"/>
        </w:rPr>
        <w:t> </w:t>
      </w:r>
      <w:r>
        <w:rPr/>
        <w:t>brings into view UNESCO and all its political machinations. There have already been several</w:t>
      </w:r>
      <w:r>
        <w:rPr>
          <w:spacing w:val="1"/>
        </w:rPr>
        <w:t> </w:t>
      </w:r>
      <w:r>
        <w:rPr/>
        <w:t>international initiatives attempting to integrate indigenous communities and their heritage within</w:t>
      </w:r>
      <w:r>
        <w:rPr>
          <w:spacing w:val="1"/>
        </w:rPr>
        <w:t> </w:t>
      </w:r>
      <w:r>
        <w:rPr/>
        <w:t>UNESCO’s governance (Meskell, 2013). This is challenging particularly in the context of addressing</w:t>
      </w:r>
      <w:r>
        <w:rPr>
          <w:spacing w:val="-53"/>
        </w:rPr>
        <w:t> </w:t>
      </w:r>
      <w:r>
        <w:rPr/>
        <w:t>Indigenous</w:t>
      </w:r>
      <w:r>
        <w:rPr>
          <w:spacing w:val="-2"/>
        </w:rPr>
        <w:t> </w:t>
      </w:r>
      <w:r>
        <w:rPr/>
        <w:t>injustice</w:t>
      </w:r>
      <w:r>
        <w:rPr>
          <w:spacing w:val="-1"/>
        </w:rPr>
        <w:t> </w:t>
      </w:r>
      <w:r>
        <w:rPr/>
        <w:t>because:</w:t>
      </w:r>
    </w:p>
    <w:p>
      <w:pPr>
        <w:pStyle w:val="BodyText"/>
        <w:spacing w:line="360" w:lineRule="auto" w:before="163"/>
        <w:ind w:left="820" w:right="178"/>
      </w:pPr>
      <w:r>
        <w:rPr/>
        <w:t>“the export of the Western European model of heritage management around the world has</w:t>
      </w:r>
      <w:r>
        <w:rPr>
          <w:spacing w:val="1"/>
        </w:rPr>
        <w:t> </w:t>
      </w:r>
      <w:r>
        <w:rPr/>
        <w:t>been</w:t>
      </w:r>
      <w:r>
        <w:rPr>
          <w:spacing w:val="-2"/>
        </w:rPr>
        <w:t> </w:t>
      </w:r>
      <w:r>
        <w:rPr/>
        <w:t>identified</w:t>
      </w:r>
      <w:r>
        <w:rPr>
          <w:spacing w:val="-2"/>
        </w:rPr>
        <w:t> </w:t>
      </w:r>
      <w:r>
        <w:rPr/>
        <w:t>as</w:t>
      </w:r>
      <w:r>
        <w:rPr>
          <w:spacing w:val="-5"/>
        </w:rPr>
        <w:t> </w:t>
      </w:r>
      <w:r>
        <w:rPr/>
        <w:t>part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processes</w:t>
      </w:r>
      <w:r>
        <w:rPr>
          <w:spacing w:val="-5"/>
        </w:rPr>
        <w:t> </w:t>
      </w:r>
      <w:r>
        <w:rPr/>
        <w:t>of</w:t>
      </w:r>
      <w:r>
        <w:rPr>
          <w:spacing w:val="-4"/>
        </w:rPr>
        <w:t> </w:t>
      </w:r>
      <w:r>
        <w:rPr/>
        <w:t>Western</w:t>
      </w:r>
      <w:r>
        <w:rPr>
          <w:spacing w:val="-2"/>
        </w:rPr>
        <w:t> </w:t>
      </w:r>
      <w:r>
        <w:rPr/>
        <w:t>colonisation,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an</w:t>
      </w:r>
      <w:r>
        <w:rPr>
          <w:spacing w:val="-5"/>
        </w:rPr>
        <w:t> </w:t>
      </w:r>
      <w:r>
        <w:rPr/>
        <w:t>expansion</w:t>
      </w:r>
      <w:r>
        <w:rPr>
          <w:spacing w:val="-2"/>
        </w:rPr>
        <w:t> </w:t>
      </w:r>
      <w:r>
        <w:rPr/>
        <w:t>of</w:t>
      </w:r>
      <w:r>
        <w:rPr>
          <w:spacing w:val="-5"/>
        </w:rPr>
        <w:t> </w:t>
      </w:r>
      <w:r>
        <w:rPr/>
        <w:t>Western</w:t>
      </w:r>
      <w:r>
        <w:rPr>
          <w:spacing w:val="-52"/>
        </w:rPr>
        <w:t> </w:t>
      </w:r>
      <w:r>
        <w:rPr/>
        <w:t>cultural imperialism, that has tended to result in the alienation of the local communities from</w:t>
      </w:r>
      <w:r>
        <w:rPr>
          <w:spacing w:val="1"/>
        </w:rPr>
        <w:t> </w:t>
      </w:r>
      <w:r>
        <w:rPr/>
        <w:t>their</w:t>
      </w:r>
      <w:r>
        <w:rPr>
          <w:spacing w:val="-2"/>
        </w:rPr>
        <w:t> </w:t>
      </w:r>
      <w:r>
        <w:rPr/>
        <w:t>cultural</w:t>
      </w:r>
      <w:r>
        <w:rPr>
          <w:spacing w:val="-1"/>
        </w:rPr>
        <w:t> </w:t>
      </w:r>
      <w:r>
        <w:rPr/>
        <w:t>heritage”</w:t>
      </w:r>
      <w:r>
        <w:rPr>
          <w:spacing w:val="-1"/>
        </w:rPr>
        <w:t> </w:t>
      </w:r>
      <w:r>
        <w:rPr/>
        <w:t>(Smith, 2006,</w:t>
      </w:r>
      <w:r>
        <w:rPr>
          <w:spacing w:val="-3"/>
        </w:rPr>
        <w:t> </w:t>
      </w:r>
      <w:r>
        <w:rPr/>
        <w:t>p.279).</w:t>
      </w:r>
    </w:p>
    <w:p>
      <w:pPr>
        <w:pStyle w:val="BodyText"/>
        <w:spacing w:line="360" w:lineRule="auto" w:before="158"/>
        <w:ind w:left="100" w:right="269"/>
      </w:pPr>
      <w:r>
        <w:rPr/>
        <w:t>Furthermore, UNESCO’s continued and active role in supporting the power and scope of the nation-</w:t>
      </w:r>
      <w:r>
        <w:rPr>
          <w:spacing w:val="-52"/>
        </w:rPr>
        <w:t> </w:t>
      </w:r>
      <w:r>
        <w:rPr/>
        <w:t>state and its bureaucracy must be acknowledged. It extends the state’s ability to access previously</w:t>
      </w:r>
      <w:r>
        <w:rPr>
          <w:spacing w:val="1"/>
        </w:rPr>
        <w:t> </w:t>
      </w:r>
      <w:r>
        <w:rPr/>
        <w:t>private,</w:t>
      </w:r>
      <w:r>
        <w:rPr>
          <w:spacing w:val="-1"/>
        </w:rPr>
        <w:t> </w:t>
      </w:r>
      <w:r>
        <w:rPr/>
        <w:t>‘out</w:t>
      </w:r>
      <w:r>
        <w:rPr>
          <w:spacing w:val="-6"/>
        </w:rPr>
        <w:t> </w:t>
      </w:r>
      <w:r>
        <w:rPr/>
        <w:t>of</w:t>
      </w:r>
      <w:r>
        <w:rPr>
          <w:spacing w:val="-3"/>
        </w:rPr>
        <w:t> </w:t>
      </w:r>
      <w:r>
        <w:rPr/>
        <w:t>reach’</w:t>
      </w:r>
      <w:r>
        <w:rPr>
          <w:spacing w:val="-3"/>
        </w:rPr>
        <w:t> </w:t>
      </w:r>
      <w:r>
        <w:rPr/>
        <w:t>domains (De</w:t>
      </w:r>
      <w:r>
        <w:rPr>
          <w:spacing w:val="-3"/>
        </w:rPr>
        <w:t> </w:t>
      </w:r>
      <w:r>
        <w:rPr/>
        <w:t>Cesari, 2013)</w:t>
      </w:r>
      <w:r>
        <w:rPr>
          <w:spacing w:val="-3"/>
        </w:rPr>
        <w:t> </w:t>
      </w:r>
      <w:r>
        <w:rPr/>
        <w:t>and then insists</w:t>
      </w:r>
      <w:r>
        <w:rPr>
          <w:spacing w:val="-3"/>
        </w:rPr>
        <w:t> </w:t>
      </w:r>
      <w:r>
        <w:rPr/>
        <w:t>on</w:t>
      </w:r>
      <w:r>
        <w:rPr>
          <w:spacing w:val="1"/>
        </w:rPr>
        <w:t> </w:t>
      </w:r>
      <w:r>
        <w:rPr/>
        <w:t>‘proof’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they are</w:t>
      </w:r>
      <w:r>
        <w:rPr>
          <w:spacing w:val="-1"/>
        </w:rPr>
        <w:t> </w:t>
      </w:r>
      <w:r>
        <w:rPr/>
        <w:t>real</w:t>
      </w:r>
      <w:r>
        <w:rPr>
          <w:spacing w:val="-3"/>
        </w:rPr>
        <w:t> </w:t>
      </w:r>
      <w:r>
        <w:rPr/>
        <w:t>and</w:t>
      </w:r>
    </w:p>
    <w:p>
      <w:pPr>
        <w:spacing w:after="0" w:line="360" w:lineRule="auto"/>
        <w:sectPr>
          <w:pgSz w:w="11910" w:h="16840"/>
          <w:pgMar w:header="0" w:footer="998" w:top="1360" w:bottom="1180" w:left="1340" w:right="1340"/>
        </w:sectPr>
      </w:pPr>
    </w:p>
    <w:p>
      <w:pPr>
        <w:pStyle w:val="BodyText"/>
        <w:spacing w:line="360" w:lineRule="auto" w:before="63"/>
        <w:ind w:left="100" w:right="403"/>
      </w:pPr>
      <w:r>
        <w:rPr/>
        <w:t>authentic (Hemming, 2019). Additionally, as a tool for legitimising acts of nation-building through</w:t>
      </w:r>
      <w:r>
        <w:rPr>
          <w:spacing w:val="-52"/>
        </w:rPr>
        <w:t> </w:t>
      </w:r>
      <w:r>
        <w:rPr/>
        <w:t>silencing, boundary-drawing, and appropriation (Koch, 2015), UNESCO’s processes turn heritage</w:t>
      </w:r>
      <w:r>
        <w:rPr>
          <w:spacing w:val="1"/>
        </w:rPr>
        <w:t> </w:t>
      </w:r>
      <w:r>
        <w:rPr/>
        <w:t>into</w:t>
      </w:r>
      <w:r>
        <w:rPr>
          <w:spacing w:val="1"/>
        </w:rPr>
        <w:t> </w:t>
      </w:r>
      <w:r>
        <w:rPr/>
        <w:t>‘property’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state</w:t>
      </w:r>
      <w:r>
        <w:rPr>
          <w:spacing w:val="-1"/>
        </w:rPr>
        <w:t> </w:t>
      </w:r>
      <w:r>
        <w:rPr/>
        <w:t>(Isar, 2011).</w:t>
      </w:r>
    </w:p>
    <w:p>
      <w:pPr>
        <w:pStyle w:val="BodyText"/>
        <w:spacing w:line="360" w:lineRule="auto" w:before="162"/>
        <w:ind w:left="100" w:right="85"/>
      </w:pPr>
      <w:r>
        <w:rPr/>
        <w:t>As such, careful consideration is required before further implicating UNESCO in situations already</w:t>
      </w:r>
      <w:r>
        <w:rPr>
          <w:spacing w:val="1"/>
        </w:rPr>
        <w:t> </w:t>
      </w:r>
      <w:r>
        <w:rPr/>
        <w:t>marked by marginalisation, assimilation, and oppression at the hands of the nation-state. In</w:t>
      </w:r>
      <w:r>
        <w:rPr>
          <w:spacing w:val="1"/>
        </w:rPr>
        <w:t> </w:t>
      </w:r>
      <w:r>
        <w:rPr/>
        <w:t>(post)colonial contexts, such as Australia and Aotearoa-New Zealand with brutal histories of</w:t>
      </w:r>
      <w:r>
        <w:rPr>
          <w:spacing w:val="1"/>
        </w:rPr>
        <w:t> </w:t>
      </w:r>
      <w:r>
        <w:rPr/>
        <w:t>dispossession and</w:t>
      </w:r>
      <w:r>
        <w:rPr>
          <w:spacing w:val="1"/>
        </w:rPr>
        <w:t> </w:t>
      </w:r>
      <w:r>
        <w:rPr/>
        <w:t>assimilation by the state, any mechanism that risks perpetuating colonial ‘ways’</w:t>
      </w:r>
      <w:r>
        <w:rPr>
          <w:spacing w:val="1"/>
        </w:rPr>
        <w:t> </w:t>
      </w:r>
      <w:r>
        <w:rPr/>
        <w:t>necessitates close analysis of the power structures which underpins it (Hemming, 2010).This is</w:t>
      </w:r>
      <w:r>
        <w:rPr>
          <w:spacing w:val="1"/>
        </w:rPr>
        <w:t> </w:t>
      </w:r>
      <w:r>
        <w:rPr/>
        <w:t>candidly cautioned by De Cesari (2013) “we still do not know enough about the local impact of</w:t>
      </w:r>
      <w:r>
        <w:rPr>
          <w:spacing w:val="1"/>
        </w:rPr>
        <w:t> </w:t>
      </w:r>
      <w:r>
        <w:rPr/>
        <w:t>UNESCO’s interventions and about what happens with the growing heritagization of places, traditions</w:t>
      </w:r>
      <w:r>
        <w:rPr>
          <w:spacing w:val="-52"/>
        </w:rPr>
        <w:t> </w:t>
      </w:r>
      <w:r>
        <w:rPr/>
        <w:t>and cultures worldwide” ( p. 402-403). Following De Cesari’s rationale then, it is necessary to look</w:t>
      </w:r>
      <w:r>
        <w:rPr>
          <w:spacing w:val="1"/>
        </w:rPr>
        <w:t> </w:t>
      </w:r>
      <w:r>
        <w:rPr/>
        <w:t>both top-down in terms of how states adopt and adapt ‘heritage’ but also from below to identify if and</w:t>
      </w:r>
      <w:r>
        <w:rPr>
          <w:spacing w:val="-52"/>
        </w:rPr>
        <w:t> </w:t>
      </w:r>
      <w:r>
        <w:rPr/>
        <w:t>how “people decide to appropriate the language of heritage to further their goals, and the kinds of</w:t>
      </w:r>
      <w:r>
        <w:rPr>
          <w:spacing w:val="1"/>
        </w:rPr>
        <w:t> </w:t>
      </w:r>
      <w:r>
        <w:rPr/>
        <w:t>imaginaries</w:t>
      </w:r>
      <w:r>
        <w:rPr>
          <w:spacing w:val="-3"/>
        </w:rPr>
        <w:t> </w:t>
      </w:r>
      <w:r>
        <w:rPr/>
        <w:t>and</w:t>
      </w:r>
      <w:r>
        <w:rPr>
          <w:spacing w:val="1"/>
        </w:rPr>
        <w:t> </w:t>
      </w:r>
      <w:r>
        <w:rPr/>
        <w:t>expectations</w:t>
      </w:r>
      <w:r>
        <w:rPr>
          <w:spacing w:val="-2"/>
        </w:rPr>
        <w:t> </w:t>
      </w:r>
      <w:r>
        <w:rPr/>
        <w:t>elicited</w:t>
      </w:r>
      <w:r>
        <w:rPr>
          <w:spacing w:val="1"/>
        </w:rPr>
        <w:t> </w:t>
      </w:r>
      <w:r>
        <w:rPr/>
        <w:t>by</w:t>
      </w:r>
      <w:r>
        <w:rPr>
          <w:spacing w:val="1"/>
        </w:rPr>
        <w:t> </w:t>
      </w:r>
      <w:r>
        <w:rPr/>
        <w:t>the</w:t>
      </w:r>
      <w:r>
        <w:rPr>
          <w:spacing w:val="-2"/>
        </w:rPr>
        <w:t> </w:t>
      </w:r>
      <w:r>
        <w:rPr/>
        <w:t>heritage</w:t>
      </w:r>
      <w:r>
        <w:rPr>
          <w:spacing w:val="-2"/>
        </w:rPr>
        <w:t> </w:t>
      </w:r>
      <w:r>
        <w:rPr/>
        <w:t>discourse”</w:t>
      </w:r>
      <w:r>
        <w:rPr>
          <w:spacing w:val="-2"/>
        </w:rPr>
        <w:t> </w:t>
      </w:r>
      <w:r>
        <w:rPr/>
        <w:t>(De</w:t>
      </w:r>
      <w:r>
        <w:rPr>
          <w:spacing w:val="-2"/>
        </w:rPr>
        <w:t> </w:t>
      </w:r>
      <w:r>
        <w:rPr/>
        <w:t>Cesari, 2013,</w:t>
      </w:r>
      <w:r>
        <w:rPr>
          <w:spacing w:val="-4"/>
        </w:rPr>
        <w:t> </w:t>
      </w:r>
      <w:r>
        <w:rPr/>
        <w:t>p.406).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Heading2"/>
        <w:spacing w:before="148"/>
      </w:pPr>
      <w:r>
        <w:rPr/>
        <w:t>Cultural</w:t>
      </w:r>
      <w:r>
        <w:rPr>
          <w:spacing w:val="-5"/>
        </w:rPr>
        <w:t> </w:t>
      </w:r>
      <w:r>
        <w:rPr/>
        <w:t>Landscapes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7"/>
        <w:rPr>
          <w:b/>
        </w:rPr>
      </w:pPr>
    </w:p>
    <w:p>
      <w:pPr>
        <w:pStyle w:val="BodyText"/>
        <w:spacing w:line="360" w:lineRule="auto"/>
        <w:ind w:left="100" w:right="172"/>
      </w:pPr>
      <w:r>
        <w:rPr/>
        <w:t>An attempt to address the nature-culture binary in heritage discourse, cultural landscapes are</w:t>
      </w:r>
      <w:r>
        <w:rPr>
          <w:spacing w:val="1"/>
        </w:rPr>
        <w:t> </w:t>
      </w:r>
      <w:r>
        <w:rPr/>
        <w:t>recognised as one of the most significant developments in World Heritage (Harrison, 2013). As the</w:t>
      </w:r>
      <w:r>
        <w:rPr>
          <w:spacing w:val="1"/>
        </w:rPr>
        <w:t> </w:t>
      </w:r>
      <w:r>
        <w:rPr/>
        <w:t>“interface between nature and culture, tangible and intangible heritage, biological and cultural</w:t>
      </w:r>
      <w:r>
        <w:rPr>
          <w:spacing w:val="1"/>
        </w:rPr>
        <w:t> </w:t>
      </w:r>
      <w:r>
        <w:rPr/>
        <w:t>diversity”</w:t>
      </w:r>
      <w:r>
        <w:rPr>
          <w:spacing w:val="-5"/>
        </w:rPr>
        <w:t> </w:t>
      </w:r>
      <w:r>
        <w:rPr/>
        <w:t>(Rossler,</w:t>
      </w:r>
      <w:r>
        <w:rPr>
          <w:spacing w:val="-3"/>
        </w:rPr>
        <w:t> </w:t>
      </w:r>
      <w:r>
        <w:rPr/>
        <w:t>2006,</w:t>
      </w:r>
      <w:r>
        <w:rPr>
          <w:spacing w:val="-7"/>
        </w:rPr>
        <w:t> </w:t>
      </w:r>
      <w:r>
        <w:rPr/>
        <w:t>p.334),</w:t>
      </w:r>
      <w:r>
        <w:rPr>
          <w:spacing w:val="-1"/>
        </w:rPr>
        <w:t> </w:t>
      </w:r>
      <w:r>
        <w:rPr/>
        <w:t>this</w:t>
      </w:r>
      <w:r>
        <w:rPr>
          <w:spacing w:val="-5"/>
        </w:rPr>
        <w:t> </w:t>
      </w:r>
      <w:r>
        <w:rPr/>
        <w:t>development</w:t>
      </w:r>
      <w:r>
        <w:rPr>
          <w:spacing w:val="-5"/>
        </w:rPr>
        <w:t> </w:t>
      </w:r>
      <w:r>
        <w:rPr/>
        <w:t>permitted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nomination</w:t>
      </w:r>
      <w:r>
        <w:rPr>
          <w:spacing w:val="-6"/>
        </w:rPr>
        <w:t> </w:t>
      </w:r>
      <w:r>
        <w:rPr/>
        <w:t>of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site</w:t>
      </w:r>
      <w:r>
        <w:rPr>
          <w:spacing w:val="-5"/>
        </w:rPr>
        <w:t> </w:t>
      </w:r>
      <w:r>
        <w:rPr/>
        <w:t>as</w:t>
      </w:r>
      <w:r>
        <w:rPr>
          <w:spacing w:val="-5"/>
        </w:rPr>
        <w:t> </w:t>
      </w:r>
      <w:r>
        <w:rPr/>
        <w:t>Outstanding</w:t>
      </w:r>
      <w:r>
        <w:rPr>
          <w:spacing w:val="1"/>
        </w:rPr>
        <w:t> </w:t>
      </w:r>
      <w:r>
        <w:rPr/>
        <w:t>Universal Value if it sufficiently met a mixture of ‘natural’ and ‘cultural’ criteria (UNESCO, 1992).</w:t>
      </w:r>
      <w:r>
        <w:rPr>
          <w:spacing w:val="1"/>
        </w:rPr>
        <w:t> </w:t>
      </w:r>
      <w:r>
        <w:rPr/>
        <w:t>As such, it sought to address the forced dichotomy inherent in the original formats of the World</w:t>
      </w:r>
      <w:r>
        <w:rPr>
          <w:spacing w:val="1"/>
        </w:rPr>
        <w:t> </w:t>
      </w:r>
      <w:r>
        <w:rPr/>
        <w:t>Heritage processes. In addition, this introduction resulted the explicit articulation of the involvement</w:t>
      </w:r>
      <w:r>
        <w:rPr>
          <w:spacing w:val="1"/>
        </w:rPr>
        <w:t> </w:t>
      </w:r>
      <w:r>
        <w:rPr/>
        <w:t>of</w:t>
      </w:r>
      <w:r>
        <w:rPr>
          <w:spacing w:val="-2"/>
        </w:rPr>
        <w:t> </w:t>
      </w:r>
      <w:r>
        <w:rPr/>
        <w:t>Indigenous</w:t>
      </w:r>
      <w:r>
        <w:rPr>
          <w:spacing w:val="-6"/>
        </w:rPr>
        <w:t> </w:t>
      </w:r>
      <w:r>
        <w:rPr/>
        <w:t>Peoples</w:t>
      </w:r>
      <w:r>
        <w:rPr>
          <w:spacing w:val="-2"/>
        </w:rPr>
        <w:t> </w:t>
      </w:r>
      <w:r>
        <w:rPr/>
        <w:t>in</w:t>
      </w:r>
      <w:r>
        <w:rPr>
          <w:spacing w:val="1"/>
        </w:rPr>
        <w:t> </w:t>
      </w:r>
      <w:r>
        <w:rPr/>
        <w:t>its</w:t>
      </w:r>
      <w:r>
        <w:rPr>
          <w:spacing w:val="-2"/>
        </w:rPr>
        <w:t> </w:t>
      </w:r>
      <w:r>
        <w:rPr/>
        <w:t>processes. This</w:t>
      </w:r>
      <w:r>
        <w:rPr>
          <w:spacing w:val="-2"/>
        </w:rPr>
        <w:t> </w:t>
      </w:r>
      <w:r>
        <w:rPr/>
        <w:t>includes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role</w:t>
      </w:r>
      <w:r>
        <w:rPr>
          <w:spacing w:val="-1"/>
        </w:rPr>
        <w:t> </w:t>
      </w:r>
      <w:r>
        <w:rPr/>
        <w:t>in</w:t>
      </w:r>
      <w:r>
        <w:rPr>
          <w:spacing w:val="1"/>
        </w:rPr>
        <w:t> </w:t>
      </w:r>
      <w:r>
        <w:rPr/>
        <w:t>the</w:t>
      </w:r>
      <w:r>
        <w:rPr>
          <w:spacing w:val="-2"/>
        </w:rPr>
        <w:t> </w:t>
      </w:r>
      <w:r>
        <w:rPr/>
        <w:t>nomination</w:t>
      </w:r>
      <w:r>
        <w:rPr>
          <w:spacing w:val="-3"/>
        </w:rPr>
        <w:t> </w:t>
      </w:r>
      <w:r>
        <w:rPr/>
        <w:t>process:</w:t>
      </w:r>
    </w:p>
    <w:p>
      <w:pPr>
        <w:spacing w:line="360" w:lineRule="auto" w:before="161"/>
        <w:ind w:left="820" w:right="172" w:firstLine="0"/>
        <w:jc w:val="left"/>
        <w:rPr>
          <w:sz w:val="22"/>
        </w:rPr>
      </w:pPr>
      <w:r>
        <w:rPr>
          <w:i/>
          <w:sz w:val="22"/>
        </w:rPr>
        <w:t>“Effective and inclusive participation in the nomination process of local communities,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indigenous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peoples,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[…]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is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essential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to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enable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them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to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have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a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shared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responsibility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with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the</w:t>
      </w:r>
      <w:r>
        <w:rPr>
          <w:i/>
          <w:spacing w:val="-52"/>
          <w:sz w:val="22"/>
        </w:rPr>
        <w:t> </w:t>
      </w:r>
      <w:r>
        <w:rPr>
          <w:i/>
          <w:sz w:val="22"/>
        </w:rPr>
        <w:t>State Party in the maintenance of the property” </w:t>
      </w:r>
      <w:r>
        <w:rPr>
          <w:sz w:val="22"/>
        </w:rPr>
        <w:t>(UNESCO, 2019, Operational Guidelines,</w:t>
      </w:r>
      <w:r>
        <w:rPr>
          <w:spacing w:val="1"/>
          <w:sz w:val="22"/>
        </w:rPr>
        <w:t> </w:t>
      </w:r>
      <w:r>
        <w:rPr>
          <w:sz w:val="22"/>
        </w:rPr>
        <w:t>Art. 123)</w:t>
      </w:r>
    </w:p>
    <w:p>
      <w:pPr>
        <w:pStyle w:val="BodyText"/>
        <w:spacing w:before="162"/>
        <w:ind w:left="100"/>
      </w:pPr>
      <w:r>
        <w:rPr/>
        <w:t>And,</w:t>
      </w:r>
      <w:r>
        <w:rPr>
          <w:spacing w:val="-2"/>
        </w:rPr>
        <w:t> </w:t>
      </w:r>
      <w:r>
        <w:rPr/>
        <w:t>once</w:t>
      </w:r>
      <w:r>
        <w:rPr>
          <w:spacing w:val="-4"/>
        </w:rPr>
        <w:t> </w:t>
      </w:r>
      <w:r>
        <w:rPr/>
        <w:t>inscribed,</w:t>
      </w:r>
      <w:r>
        <w:rPr>
          <w:spacing w:val="-2"/>
        </w:rPr>
        <w:t> </w:t>
      </w:r>
      <w:r>
        <w:rPr/>
        <w:t>Indigenous</w:t>
      </w:r>
      <w:r>
        <w:rPr>
          <w:spacing w:val="-4"/>
        </w:rPr>
        <w:t> </w:t>
      </w:r>
      <w:r>
        <w:rPr/>
        <w:t>Peoples</w:t>
      </w:r>
      <w:r>
        <w:rPr>
          <w:spacing w:val="-4"/>
        </w:rPr>
        <w:t> </w:t>
      </w:r>
      <w:r>
        <w:rPr/>
        <w:t>have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role</w:t>
      </w:r>
      <w:r>
        <w:rPr>
          <w:spacing w:val="-3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4"/>
        </w:rPr>
        <w:t> </w:t>
      </w:r>
      <w:r>
        <w:rPr/>
        <w:t>management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site:</w:t>
      </w:r>
    </w:p>
    <w:p>
      <w:pPr>
        <w:pStyle w:val="BodyText"/>
        <w:rPr>
          <w:sz w:val="25"/>
        </w:rPr>
      </w:pPr>
    </w:p>
    <w:p>
      <w:pPr>
        <w:spacing w:line="360" w:lineRule="auto" w:before="0"/>
        <w:ind w:left="820" w:right="85" w:firstLine="0"/>
        <w:jc w:val="left"/>
        <w:rPr>
          <w:i/>
          <w:sz w:val="22"/>
        </w:rPr>
      </w:pPr>
      <w:r>
        <w:rPr>
          <w:i/>
          <w:sz w:val="22"/>
        </w:rPr>
        <w:t>“States Parties are responsible for implementing effective management activities for a World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Heritage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property.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States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Parties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should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do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so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in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close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collaboration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with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property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managers,</w:t>
      </w:r>
      <w:r>
        <w:rPr>
          <w:i/>
          <w:spacing w:val="-52"/>
          <w:sz w:val="22"/>
        </w:rPr>
        <w:t> </w:t>
      </w:r>
      <w:r>
        <w:rPr>
          <w:i/>
          <w:sz w:val="22"/>
        </w:rPr>
        <w:t>the agency with management authority and other partners, local communities and indigenous</w:t>
      </w:r>
      <w:r>
        <w:rPr>
          <w:i/>
          <w:spacing w:val="-52"/>
          <w:sz w:val="22"/>
        </w:rPr>
        <w:t> </w:t>
      </w:r>
      <w:r>
        <w:rPr>
          <w:i/>
          <w:sz w:val="22"/>
        </w:rPr>
        <w:t>peoples,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rights-holders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and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stakeholders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in property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management,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by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developing,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when</w:t>
      </w:r>
    </w:p>
    <w:p>
      <w:pPr>
        <w:spacing w:after="0" w:line="360" w:lineRule="auto"/>
        <w:jc w:val="left"/>
        <w:rPr>
          <w:sz w:val="22"/>
        </w:rPr>
        <w:sectPr>
          <w:pgSz w:w="11910" w:h="16840"/>
          <w:pgMar w:header="0" w:footer="998" w:top="1360" w:bottom="1180" w:left="1340" w:right="1340"/>
        </w:sectPr>
      </w:pPr>
    </w:p>
    <w:p>
      <w:pPr>
        <w:spacing w:line="360" w:lineRule="auto" w:before="63"/>
        <w:ind w:left="820" w:right="0" w:firstLine="0"/>
        <w:jc w:val="left"/>
        <w:rPr>
          <w:sz w:val="22"/>
        </w:rPr>
      </w:pPr>
      <w:r>
        <w:rPr>
          <w:i/>
          <w:sz w:val="22"/>
        </w:rPr>
        <w:t>appropriate,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equitable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governance</w:t>
      </w:r>
      <w:r>
        <w:rPr>
          <w:i/>
          <w:spacing w:val="-8"/>
          <w:sz w:val="22"/>
        </w:rPr>
        <w:t> </w:t>
      </w:r>
      <w:r>
        <w:rPr>
          <w:i/>
          <w:sz w:val="22"/>
        </w:rPr>
        <w:t>arrangements,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collaborative</w:t>
      </w:r>
      <w:r>
        <w:rPr>
          <w:i/>
          <w:spacing w:val="-8"/>
          <w:sz w:val="22"/>
        </w:rPr>
        <w:t> </w:t>
      </w:r>
      <w:r>
        <w:rPr>
          <w:i/>
          <w:sz w:val="22"/>
        </w:rPr>
        <w:t>management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systems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and</w:t>
      </w:r>
      <w:r>
        <w:rPr>
          <w:i/>
          <w:spacing w:val="-52"/>
          <w:sz w:val="22"/>
        </w:rPr>
        <w:t> </w:t>
      </w:r>
      <w:r>
        <w:rPr>
          <w:i/>
          <w:sz w:val="22"/>
        </w:rPr>
        <w:t>redress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mechanisms”.</w:t>
      </w:r>
      <w:r>
        <w:rPr>
          <w:i/>
          <w:spacing w:val="3"/>
          <w:sz w:val="22"/>
        </w:rPr>
        <w:t> </w:t>
      </w:r>
      <w:r>
        <w:rPr>
          <w:sz w:val="22"/>
        </w:rPr>
        <w:t>(UNESCO,</w:t>
      </w:r>
      <w:r>
        <w:rPr>
          <w:spacing w:val="-4"/>
          <w:sz w:val="22"/>
        </w:rPr>
        <w:t> </w:t>
      </w:r>
      <w:r>
        <w:rPr>
          <w:sz w:val="22"/>
        </w:rPr>
        <w:t>2019, Operational</w:t>
      </w:r>
      <w:r>
        <w:rPr>
          <w:spacing w:val="-2"/>
          <w:sz w:val="22"/>
        </w:rPr>
        <w:t> </w:t>
      </w:r>
      <w:r>
        <w:rPr>
          <w:sz w:val="22"/>
        </w:rPr>
        <w:t>Guidelines, Art.</w:t>
      </w:r>
      <w:r>
        <w:rPr>
          <w:spacing w:val="6"/>
          <w:sz w:val="22"/>
        </w:rPr>
        <w:t> </w:t>
      </w:r>
      <w:r>
        <w:rPr>
          <w:sz w:val="22"/>
        </w:rPr>
        <w:t>117)</w:t>
      </w:r>
    </w:p>
    <w:p>
      <w:pPr>
        <w:pStyle w:val="BodyText"/>
        <w:spacing w:line="360" w:lineRule="auto" w:before="161"/>
        <w:ind w:left="100"/>
      </w:pPr>
      <w:r>
        <w:rPr/>
        <w:t>Thus, the notions of ‘sharing’ and ‘collaboration’ in the nomination and management of cultural</w:t>
      </w:r>
      <w:r>
        <w:rPr>
          <w:spacing w:val="1"/>
        </w:rPr>
        <w:t> </w:t>
      </w:r>
      <w:r>
        <w:rPr/>
        <w:t>landscape sites is put forward as “exemplary for the evolution in protected area thinking and heritage</w:t>
      </w:r>
      <w:r>
        <w:rPr>
          <w:spacing w:val="1"/>
        </w:rPr>
        <w:t> </w:t>
      </w:r>
      <w:r>
        <w:rPr/>
        <w:t>conservation</w:t>
      </w:r>
      <w:r>
        <w:rPr>
          <w:spacing w:val="-2"/>
        </w:rPr>
        <w:t> </w:t>
      </w:r>
      <w:r>
        <w:rPr/>
        <w:t>as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whole”</w:t>
      </w:r>
      <w:r>
        <w:rPr>
          <w:spacing w:val="-5"/>
        </w:rPr>
        <w:t> </w:t>
      </w:r>
      <w:r>
        <w:rPr/>
        <w:t>(Rossler,</w:t>
      </w:r>
      <w:r>
        <w:rPr>
          <w:spacing w:val="-3"/>
        </w:rPr>
        <w:t> </w:t>
      </w:r>
      <w:r>
        <w:rPr/>
        <w:t>2006,</w:t>
      </w:r>
      <w:r>
        <w:rPr>
          <w:spacing w:val="-6"/>
        </w:rPr>
        <w:t> </w:t>
      </w:r>
      <w:r>
        <w:rPr/>
        <w:t>p.340),</w:t>
      </w:r>
      <w:r>
        <w:rPr>
          <w:spacing w:val="-2"/>
        </w:rPr>
        <w:t> </w:t>
      </w:r>
      <w:r>
        <w:rPr/>
        <w:t>albeit</w:t>
      </w:r>
      <w:r>
        <w:rPr>
          <w:spacing w:val="-4"/>
        </w:rPr>
        <w:t> </w:t>
      </w:r>
      <w:r>
        <w:rPr/>
        <w:t>as</w:t>
      </w:r>
      <w:r>
        <w:rPr>
          <w:spacing w:val="-5"/>
        </w:rPr>
        <w:t> </w:t>
      </w:r>
      <w:r>
        <w:rPr/>
        <w:t>“a</w:t>
      </w:r>
      <w:r>
        <w:rPr>
          <w:spacing w:val="-5"/>
        </w:rPr>
        <w:t> </w:t>
      </w:r>
      <w:r>
        <w:rPr/>
        <w:t>defensibly</w:t>
      </w:r>
      <w:r>
        <w:rPr>
          <w:spacing w:val="-2"/>
        </w:rPr>
        <w:t> </w:t>
      </w:r>
      <w:r>
        <w:rPr/>
        <w:t>imperfect,</w:t>
      </w:r>
      <w:r>
        <w:rPr>
          <w:spacing w:val="-3"/>
        </w:rPr>
        <w:t> </w:t>
      </w:r>
      <w:r>
        <w:rPr/>
        <w:t>‘tweakable’</w:t>
      </w:r>
      <w:r>
        <w:rPr>
          <w:spacing w:val="-5"/>
        </w:rPr>
        <w:t> </w:t>
      </w:r>
      <w:r>
        <w:rPr/>
        <w:t>system</w:t>
      </w:r>
      <w:r>
        <w:rPr>
          <w:spacing w:val="-52"/>
        </w:rPr>
        <w:t> </w:t>
      </w:r>
      <w:r>
        <w:rPr/>
        <w:t>that benefits both Indigenous and state parties, and […] a stepping-stone to Indigenous self-</w:t>
      </w:r>
      <w:r>
        <w:rPr>
          <w:spacing w:val="1"/>
        </w:rPr>
        <w:t> </w:t>
      </w:r>
      <w:r>
        <w:rPr/>
        <w:t>determination” (Grey and Kuokkanen. 2020, p.1234). However, beyond descriptive studies of their</w:t>
      </w:r>
      <w:r>
        <w:rPr>
          <w:spacing w:val="1"/>
        </w:rPr>
        <w:t> </w:t>
      </w:r>
      <w:r>
        <w:rPr/>
        <w:t>features, the effectiveness of these collaborative arrangements and their ability to meet indigenous</w:t>
      </w:r>
      <w:r>
        <w:rPr>
          <w:spacing w:val="1"/>
        </w:rPr>
        <w:t> </w:t>
      </w:r>
      <w:r>
        <w:rPr/>
        <w:t>peoples’</w:t>
      </w:r>
      <w:r>
        <w:rPr>
          <w:spacing w:val="-2"/>
        </w:rPr>
        <w:t> </w:t>
      </w:r>
      <w:r>
        <w:rPr/>
        <w:t>aspirations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little</w:t>
      </w:r>
      <w:r>
        <w:rPr>
          <w:spacing w:val="-1"/>
        </w:rPr>
        <w:t> </w:t>
      </w:r>
      <w:r>
        <w:rPr/>
        <w:t>researched</w:t>
      </w:r>
      <w:r>
        <w:rPr>
          <w:spacing w:val="1"/>
        </w:rPr>
        <w:t> </w:t>
      </w:r>
      <w:r>
        <w:rPr/>
        <w:t>(Lyver,</w:t>
      </w:r>
      <w:r>
        <w:rPr>
          <w:spacing w:val="1"/>
        </w:rPr>
        <w:t> </w:t>
      </w:r>
      <w:r>
        <w:rPr/>
        <w:t>2014).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Heading1"/>
        <w:spacing w:before="151"/>
      </w:pPr>
      <w:r>
        <w:rPr/>
        <w:t>The</w:t>
      </w:r>
      <w:r>
        <w:rPr>
          <w:spacing w:val="-3"/>
        </w:rPr>
        <w:t> </w:t>
      </w:r>
      <w:r>
        <w:rPr/>
        <w:t>National</w:t>
      </w:r>
      <w:r>
        <w:rPr>
          <w:spacing w:val="-2"/>
        </w:rPr>
        <w:t> </w:t>
      </w:r>
      <w:r>
        <w:rPr/>
        <w:t>Contexts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3"/>
        <w:rPr>
          <w:b/>
        </w:rPr>
      </w:pPr>
    </w:p>
    <w:p>
      <w:pPr>
        <w:pStyle w:val="BodyText"/>
        <w:spacing w:line="360" w:lineRule="auto" w:before="1"/>
        <w:ind w:left="100" w:right="92"/>
      </w:pPr>
      <w:r>
        <w:rPr/>
        <w:t>To provide some political context surrounding Uluru-Kata Tjuta National Park, Australia and</w:t>
      </w:r>
      <w:r>
        <w:rPr>
          <w:spacing w:val="1"/>
        </w:rPr>
        <w:t> </w:t>
      </w:r>
      <w:r>
        <w:rPr/>
        <w:t>Tongariro National Park, some salient points are summarised here. The intention is not to further</w:t>
      </w:r>
      <w:r>
        <w:rPr>
          <w:spacing w:val="1"/>
        </w:rPr>
        <w:t> </w:t>
      </w:r>
      <w:r>
        <w:rPr/>
        <w:t>appropriate, silence or side-line any particular narrative, although the reliance on academic</w:t>
      </w:r>
      <w:r>
        <w:rPr>
          <w:spacing w:val="1"/>
        </w:rPr>
        <w:t> </w:t>
      </w:r>
      <w:r>
        <w:rPr/>
        <w:t>publications in the English language is acknowledged. The term ‘Indigenous’ relates to “people who</w:t>
      </w:r>
      <w:r>
        <w:rPr>
          <w:spacing w:val="1"/>
        </w:rPr>
        <w:t> </w:t>
      </w:r>
      <w:r>
        <w:rPr/>
        <w:t>are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original</w:t>
      </w:r>
      <w:r>
        <w:rPr>
          <w:spacing w:val="-4"/>
        </w:rPr>
        <w:t> </w:t>
      </w:r>
      <w:r>
        <w:rPr/>
        <w:t>or</w:t>
      </w:r>
      <w:r>
        <w:rPr>
          <w:spacing w:val="-4"/>
        </w:rPr>
        <w:t> </w:t>
      </w:r>
      <w:r>
        <w:rPr/>
        <w:t>oldest</w:t>
      </w:r>
      <w:r>
        <w:rPr>
          <w:spacing w:val="-4"/>
        </w:rPr>
        <w:t> </w:t>
      </w:r>
      <w:r>
        <w:rPr/>
        <w:t>surviving</w:t>
      </w:r>
      <w:r>
        <w:rPr>
          <w:spacing w:val="-2"/>
        </w:rPr>
        <w:t> </w:t>
      </w:r>
      <w:r>
        <w:rPr/>
        <w:t>inhabitants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area,</w:t>
      </w:r>
      <w:r>
        <w:rPr>
          <w:spacing w:val="-3"/>
        </w:rPr>
        <w:t> </w:t>
      </w:r>
      <w:r>
        <w:rPr/>
        <w:t>who</w:t>
      </w:r>
      <w:r>
        <w:rPr>
          <w:spacing w:val="-5"/>
        </w:rPr>
        <w:t> </w:t>
      </w:r>
      <w:r>
        <w:rPr/>
        <w:t>have</w:t>
      </w:r>
      <w:r>
        <w:rPr>
          <w:spacing w:val="-4"/>
        </w:rPr>
        <w:t> </w:t>
      </w:r>
      <w:r>
        <w:rPr/>
        <w:t>lived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a</w:t>
      </w:r>
      <w:r>
        <w:rPr>
          <w:spacing w:val="-8"/>
        </w:rPr>
        <w:t> </w:t>
      </w:r>
      <w:r>
        <w:rPr/>
        <w:t>particular</w:t>
      </w:r>
      <w:r>
        <w:rPr>
          <w:spacing w:val="-4"/>
        </w:rPr>
        <w:t> </w:t>
      </w:r>
      <w:r>
        <w:rPr/>
        <w:t>homeland</w:t>
      </w:r>
      <w:r>
        <w:rPr>
          <w:spacing w:val="-1"/>
        </w:rPr>
        <w:t> </w:t>
      </w:r>
      <w:r>
        <w:rPr/>
        <w:t>for</w:t>
      </w:r>
      <w:r>
        <w:rPr>
          <w:spacing w:val="1"/>
        </w:rPr>
        <w:t> </w:t>
      </w:r>
      <w:r>
        <w:rPr/>
        <w:t>centuries, and who share a language, customs, and history” (after Maybury-Lewis, 2002, in Palmer,</w:t>
      </w:r>
      <w:r>
        <w:rPr>
          <w:spacing w:val="1"/>
        </w:rPr>
        <w:t> </w:t>
      </w:r>
      <w:r>
        <w:rPr/>
        <w:t>2018,</w:t>
      </w:r>
      <w:r>
        <w:rPr>
          <w:spacing w:val="-4"/>
        </w:rPr>
        <w:t> </w:t>
      </w:r>
      <w:r>
        <w:rPr/>
        <w:t>p.82). Where</w:t>
      </w:r>
      <w:r>
        <w:rPr>
          <w:spacing w:val="-1"/>
        </w:rPr>
        <w:t> </w:t>
      </w:r>
      <w:r>
        <w:rPr/>
        <w:t>known, local</w:t>
      </w:r>
      <w:r>
        <w:rPr>
          <w:spacing w:val="-1"/>
        </w:rPr>
        <w:t> </w:t>
      </w:r>
      <w:r>
        <w:rPr/>
        <w:t>language</w:t>
      </w:r>
      <w:r>
        <w:rPr>
          <w:spacing w:val="-1"/>
        </w:rPr>
        <w:t> </w:t>
      </w:r>
      <w:r>
        <w:rPr/>
        <w:t>terms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used.</w:t>
      </w:r>
    </w:p>
    <w:p>
      <w:pPr>
        <w:pStyle w:val="BodyText"/>
        <w:spacing w:line="360" w:lineRule="auto" w:before="160"/>
        <w:ind w:left="100" w:right="112"/>
      </w:pPr>
      <w:r>
        <w:rPr/>
        <w:t>The (post)colonial contexts of Australia and Aotearoa-New Zealand illustrate the challenges of</w:t>
      </w:r>
      <w:r>
        <w:rPr>
          <w:spacing w:val="1"/>
        </w:rPr>
        <w:t> </w:t>
      </w:r>
      <w:r>
        <w:rPr/>
        <w:t>reconstituting and recontextualizing heritage where “Indigenous peoples are reappropriating their own</w:t>
      </w:r>
      <w:r>
        <w:rPr>
          <w:spacing w:val="-52"/>
        </w:rPr>
        <w:t> </w:t>
      </w:r>
      <w:r>
        <w:rPr/>
        <w:t>cultures and working to assert themselves into stronger positions within their contemporary national</w:t>
      </w:r>
      <w:r>
        <w:rPr>
          <w:spacing w:val="1"/>
        </w:rPr>
        <w:t> </w:t>
      </w:r>
      <w:r>
        <w:rPr/>
        <w:t>narratives'' (Wallace, 2014, p.19). In doing so, these communities must devise “their own ‘heritage’ or</w:t>
      </w:r>
      <w:r>
        <w:rPr>
          <w:spacing w:val="-52"/>
        </w:rPr>
        <w:t> </w:t>
      </w:r>
      <w:r>
        <w:rPr/>
        <w:t>[require] states to acknowledge and incorporate their own concerns'' (Harrison and Hughes, 2010</w:t>
      </w:r>
      <w:r>
        <w:rPr>
          <w:spacing w:val="1"/>
        </w:rPr>
        <w:t> </w:t>
      </w:r>
      <w:r>
        <w:rPr/>
        <w:t>p.266). While clearly the issues, structures and cultures are not the same across these national</w:t>
      </w:r>
      <w:r>
        <w:rPr>
          <w:spacing w:val="1"/>
        </w:rPr>
        <w:t> </w:t>
      </w:r>
      <w:r>
        <w:rPr/>
        <w:t>contexts, heritage discourses and practices are influenced by the Indigenous lands and rights and the</w:t>
      </w:r>
      <w:r>
        <w:rPr>
          <w:spacing w:val="1"/>
        </w:rPr>
        <w:t> </w:t>
      </w:r>
      <w:r>
        <w:rPr/>
        <w:t>conservation movements of the 1970s: “This period was one of remarkable intensity for both</w:t>
      </w:r>
      <w:r>
        <w:rPr>
          <w:spacing w:val="1"/>
        </w:rPr>
        <w:t> </w:t>
      </w:r>
      <w:r>
        <w:rPr/>
        <w:t>countries. National revisions of identity, indigenous land rights, and, in the case of Aotearoa-New</w:t>
      </w:r>
      <w:r>
        <w:rPr>
          <w:spacing w:val="1"/>
        </w:rPr>
        <w:t> </w:t>
      </w:r>
      <w:r>
        <w:rPr/>
        <w:t>Zealand, economic restructuring, coincided with international developments in conservation to</w:t>
      </w:r>
      <w:r>
        <w:rPr>
          <w:spacing w:val="1"/>
        </w:rPr>
        <w:t> </w:t>
      </w:r>
      <w:r>
        <w:rPr/>
        <w:t>fundamentally challenge government policy” (Walliss, 2014, p.281). These ‘revisions’ included</w:t>
      </w:r>
      <w:r>
        <w:rPr>
          <w:spacing w:val="1"/>
        </w:rPr>
        <w:t> </w:t>
      </w:r>
      <w:r>
        <w:rPr/>
        <w:t>reconsideration of ‘premier iconic landscapes’ and defining them as national parks: Tongariro</w:t>
      </w:r>
      <w:r>
        <w:rPr>
          <w:spacing w:val="1"/>
        </w:rPr>
        <w:t> </w:t>
      </w:r>
      <w:r>
        <w:rPr/>
        <w:t>National Park, Aotearoa-New Zealand and Uluru-Kata Tjuta National Park, Australia. As such, these</w:t>
      </w:r>
      <w:r>
        <w:rPr>
          <w:spacing w:val="1"/>
        </w:rPr>
        <w:t> </w:t>
      </w:r>
      <w:r>
        <w:rPr/>
        <w:t>sites become places in which to observe the emerging interactions between “government and</w:t>
      </w:r>
      <w:r>
        <w:rPr>
          <w:spacing w:val="1"/>
        </w:rPr>
        <w:t> </w:t>
      </w:r>
      <w:r>
        <w:rPr/>
        <w:t>indigenous</w:t>
      </w:r>
      <w:r>
        <w:rPr>
          <w:spacing w:val="-2"/>
        </w:rPr>
        <w:t> </w:t>
      </w:r>
      <w:r>
        <w:rPr/>
        <w:t>aspirations, authority, and accountability”</w:t>
      </w:r>
      <w:r>
        <w:rPr>
          <w:spacing w:val="-2"/>
        </w:rPr>
        <w:t> </w:t>
      </w:r>
      <w:r>
        <w:rPr/>
        <w:t>(Lyver</w:t>
      </w:r>
      <w:r>
        <w:rPr>
          <w:spacing w:val="-1"/>
        </w:rPr>
        <w:t> </w:t>
      </w:r>
      <w:r>
        <w:rPr/>
        <w:t>et</w:t>
      </w:r>
      <w:r>
        <w:rPr>
          <w:spacing w:val="-2"/>
        </w:rPr>
        <w:t> </w:t>
      </w:r>
      <w:r>
        <w:rPr/>
        <w:t>al, 2014, p.91).</w:t>
      </w:r>
    </w:p>
    <w:p>
      <w:pPr>
        <w:spacing w:after="0" w:line="360" w:lineRule="auto"/>
        <w:sectPr>
          <w:pgSz w:w="11910" w:h="16840"/>
          <w:pgMar w:header="0" w:footer="998" w:top="1360" w:bottom="1180" w:left="1340" w:right="1340"/>
        </w:sectPr>
      </w:pPr>
    </w:p>
    <w:p>
      <w:pPr>
        <w:pStyle w:val="BodyText"/>
        <w:spacing w:before="7"/>
        <w:rPr>
          <w:sz w:val="25"/>
        </w:rPr>
      </w:pPr>
    </w:p>
    <w:p>
      <w:pPr>
        <w:pStyle w:val="Heading2"/>
      </w:pPr>
      <w:r>
        <w:rPr/>
        <w:t>Australia</w:t>
      </w:r>
      <w:r>
        <w:rPr>
          <w:spacing w:val="-3"/>
        </w:rPr>
        <w:t> </w:t>
      </w:r>
      <w:r>
        <w:rPr/>
        <w:t>National</w:t>
      </w:r>
      <w:r>
        <w:rPr>
          <w:spacing w:val="-3"/>
        </w:rPr>
        <w:t> </w:t>
      </w:r>
      <w:r>
        <w:rPr/>
        <w:t>Context</w:t>
      </w:r>
    </w:p>
    <w:p>
      <w:pPr>
        <w:pStyle w:val="BodyText"/>
        <w:rPr>
          <w:b/>
          <w:sz w:val="26"/>
        </w:rPr>
      </w:pPr>
    </w:p>
    <w:p>
      <w:pPr>
        <w:pStyle w:val="BodyText"/>
        <w:spacing w:line="357" w:lineRule="auto" w:before="155"/>
        <w:ind w:left="100" w:right="172"/>
      </w:pPr>
      <w:r>
        <w:rPr/>
        <w:t>The Aboriginal and Torres Strait Islander peoples are recognised as the Indigenous peoples of</w:t>
      </w:r>
      <w:r>
        <w:rPr>
          <w:spacing w:val="1"/>
        </w:rPr>
        <w:t> </w:t>
      </w:r>
      <w:r>
        <w:rPr/>
        <w:t>Australia.</w:t>
      </w:r>
      <w:r>
        <w:rPr>
          <w:spacing w:val="-4"/>
        </w:rPr>
        <w:t> </w:t>
      </w:r>
      <w:r>
        <w:rPr/>
        <w:t>These</w:t>
      </w:r>
      <w:r>
        <w:rPr>
          <w:spacing w:val="-6"/>
        </w:rPr>
        <w:t> </w:t>
      </w:r>
      <w:r>
        <w:rPr/>
        <w:t>communities</w:t>
      </w:r>
      <w:r>
        <w:rPr>
          <w:spacing w:val="-6"/>
        </w:rPr>
        <w:t> </w:t>
      </w:r>
      <w:r>
        <w:rPr/>
        <w:t>seek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manage</w:t>
      </w:r>
      <w:r>
        <w:rPr>
          <w:spacing w:val="-6"/>
        </w:rPr>
        <w:t> </w:t>
      </w:r>
      <w:r>
        <w:rPr/>
        <w:t>Country</w:t>
      </w:r>
      <w:r>
        <w:rPr>
          <w:spacing w:val="-3"/>
        </w:rPr>
        <w:t> </w:t>
      </w:r>
      <w:r>
        <w:rPr/>
        <w:t>according</w:t>
      </w:r>
      <w:r>
        <w:rPr>
          <w:spacing w:val="-7"/>
        </w:rPr>
        <w:t> </w:t>
      </w:r>
      <w:r>
        <w:rPr/>
        <w:t>to</w:t>
      </w:r>
      <w:r>
        <w:rPr>
          <w:spacing w:val="-6"/>
        </w:rPr>
        <w:t> </w:t>
      </w:r>
      <w:r>
        <w:rPr/>
        <w:t>diverse</w:t>
      </w:r>
      <w:r>
        <w:rPr>
          <w:spacing w:val="-6"/>
        </w:rPr>
        <w:t> </w:t>
      </w:r>
      <w:r>
        <w:rPr/>
        <w:t>and</w:t>
      </w:r>
      <w:r>
        <w:rPr>
          <w:spacing w:val="-3"/>
        </w:rPr>
        <w:t> </w:t>
      </w:r>
      <w:r>
        <w:rPr/>
        <w:t>dynamic</w:t>
      </w:r>
      <w:r>
        <w:rPr>
          <w:spacing w:val="-5"/>
        </w:rPr>
        <w:t> </w:t>
      </w:r>
      <w:r>
        <w:rPr/>
        <w:t>languages,</w:t>
      </w:r>
      <w:r>
        <w:rPr>
          <w:spacing w:val="-52"/>
        </w:rPr>
        <w:t> </w:t>
      </w:r>
      <w:r>
        <w:rPr/>
        <w:t>cultures</w:t>
      </w:r>
      <w:r>
        <w:rPr>
          <w:spacing w:val="-2"/>
        </w:rPr>
        <w:t> </w:t>
      </w:r>
      <w:r>
        <w:rPr/>
        <w:t>and</w:t>
      </w:r>
      <w:r>
        <w:rPr>
          <w:spacing w:val="1"/>
        </w:rPr>
        <w:t> </w:t>
      </w:r>
      <w:r>
        <w:rPr/>
        <w:t>traditions</w:t>
      </w:r>
      <w:r>
        <w:rPr>
          <w:spacing w:val="-1"/>
        </w:rPr>
        <w:t> </w:t>
      </w:r>
      <w:r>
        <w:rPr/>
        <w:t>passed</w:t>
      </w:r>
      <w:r>
        <w:rPr>
          <w:spacing w:val="1"/>
        </w:rPr>
        <w:t> </w:t>
      </w:r>
      <w:r>
        <w:rPr/>
        <w:t>on</w:t>
      </w:r>
      <w:r>
        <w:rPr>
          <w:spacing w:val="2"/>
        </w:rPr>
        <w:t> </w:t>
      </w:r>
      <w:r>
        <w:rPr/>
        <w:t>through</w:t>
      </w:r>
      <w:r>
        <w:rPr>
          <w:spacing w:val="-3"/>
        </w:rPr>
        <w:t> </w:t>
      </w:r>
      <w:r>
        <w:rPr/>
        <w:t>generations.</w:t>
      </w:r>
    </w:p>
    <w:p>
      <w:pPr>
        <w:pStyle w:val="BodyText"/>
        <w:spacing w:line="360" w:lineRule="auto" w:before="166"/>
        <w:ind w:left="100" w:right="172"/>
      </w:pPr>
      <w:r>
        <w:rPr>
          <w:sz w:val="21"/>
        </w:rPr>
        <w:t>As Australia is t</w:t>
      </w:r>
      <w:r>
        <w:rPr/>
        <w:t>he only British settler colony to not have any form of constitutional recognition,</w:t>
      </w:r>
      <w:r>
        <w:rPr>
          <w:spacing w:val="1"/>
        </w:rPr>
        <w:t> </w:t>
      </w:r>
      <w:r>
        <w:rPr/>
        <w:t>Indigenous Peoples continue to petition for its creation to achieve “acknowledgement of Aboriginal</w:t>
      </w:r>
      <w:r>
        <w:rPr>
          <w:spacing w:val="1"/>
        </w:rPr>
        <w:t> </w:t>
      </w:r>
      <w:r>
        <w:rPr/>
        <w:t>and Torres Strait Islander peoples’ heritage as part of Australia’s national heritage, including</w:t>
      </w:r>
      <w:r>
        <w:rPr>
          <w:spacing w:val="1"/>
        </w:rPr>
        <w:t> </w:t>
      </w:r>
      <w:r>
        <w:rPr/>
        <w:t>Indigenous Australians’ relationship with their traditional lands and waters” (Gaussen, 2017, p.8). In</w:t>
      </w:r>
      <w:r>
        <w:rPr>
          <w:spacing w:val="-52"/>
        </w:rPr>
        <w:t> </w:t>
      </w:r>
      <w:r>
        <w:rPr/>
        <w:t>its absence Aboriginal and Torres Strait Islander peoples rely on the ebbs and flows of a complex</w:t>
      </w:r>
      <w:r>
        <w:rPr>
          <w:spacing w:val="1"/>
        </w:rPr>
        <w:t> </w:t>
      </w:r>
      <w:r>
        <w:rPr/>
        <w:t>suite of federal state and territorial legislation and institutions to seek rights and restitution.</w:t>
      </w:r>
      <w:r>
        <w:rPr>
          <w:spacing w:val="1"/>
        </w:rPr>
        <w:t> </w:t>
      </w:r>
      <w:r>
        <w:rPr/>
        <w:t>(Hemming,</w:t>
      </w:r>
      <w:r>
        <w:rPr>
          <w:spacing w:val="-2"/>
        </w:rPr>
        <w:t> </w:t>
      </w:r>
      <w:r>
        <w:rPr/>
        <w:t>2010).</w:t>
      </w:r>
    </w:p>
    <w:p>
      <w:pPr>
        <w:spacing w:before="162"/>
        <w:ind w:left="100" w:right="0" w:firstLine="0"/>
        <w:jc w:val="left"/>
        <w:rPr>
          <w:sz w:val="24"/>
        </w:rPr>
      </w:pPr>
      <w:r>
        <w:rPr>
          <w:sz w:val="24"/>
        </w:rPr>
        <w:t>Aotearoa-New</w:t>
      </w:r>
      <w:r>
        <w:rPr>
          <w:spacing w:val="-5"/>
          <w:sz w:val="24"/>
        </w:rPr>
        <w:t> </w:t>
      </w:r>
      <w:r>
        <w:rPr>
          <w:sz w:val="24"/>
        </w:rPr>
        <w:t>Zealand</w:t>
      </w:r>
      <w:r>
        <w:rPr>
          <w:spacing w:val="-2"/>
          <w:sz w:val="24"/>
        </w:rPr>
        <w:t> </w:t>
      </w:r>
      <w:r>
        <w:rPr>
          <w:sz w:val="24"/>
        </w:rPr>
        <w:t>National</w:t>
      </w:r>
      <w:r>
        <w:rPr>
          <w:spacing w:val="-2"/>
          <w:sz w:val="24"/>
        </w:rPr>
        <w:t> </w:t>
      </w:r>
      <w:r>
        <w:rPr>
          <w:sz w:val="24"/>
        </w:rPr>
        <w:t>Context</w:t>
      </w:r>
    </w:p>
    <w:p>
      <w:pPr>
        <w:pStyle w:val="BodyText"/>
        <w:rPr>
          <w:sz w:val="26"/>
        </w:rPr>
      </w:pPr>
    </w:p>
    <w:p>
      <w:pPr>
        <w:spacing w:line="360" w:lineRule="auto" w:before="161"/>
        <w:ind w:left="100" w:right="158" w:firstLine="0"/>
        <w:jc w:val="left"/>
        <w:rPr>
          <w:sz w:val="21"/>
        </w:rPr>
      </w:pPr>
      <w:r>
        <w:rPr>
          <w:sz w:val="21"/>
        </w:rPr>
        <w:t>Maori </w:t>
      </w:r>
      <w:r>
        <w:rPr>
          <w:i/>
          <w:sz w:val="21"/>
        </w:rPr>
        <w:t>iwi </w:t>
      </w:r>
      <w:r>
        <w:rPr>
          <w:sz w:val="21"/>
        </w:rPr>
        <w:t>(tribes) arrived in Aotearoa-New Zealand throughout thirteenth century as </w:t>
      </w:r>
      <w:r>
        <w:rPr>
          <w:i/>
          <w:sz w:val="21"/>
        </w:rPr>
        <w:t>tengata whenua (first</w:t>
      </w:r>
      <w:r>
        <w:rPr>
          <w:i/>
          <w:spacing w:val="-50"/>
          <w:sz w:val="21"/>
        </w:rPr>
        <w:t> </w:t>
      </w:r>
      <w:r>
        <w:rPr>
          <w:i/>
          <w:sz w:val="21"/>
        </w:rPr>
        <w:t>peoples of Aotearoa-New Zealand)</w:t>
      </w:r>
      <w:r>
        <w:rPr>
          <w:sz w:val="21"/>
        </w:rPr>
        <w:t>.</w:t>
      </w:r>
      <w:r>
        <w:rPr>
          <w:spacing w:val="1"/>
          <w:sz w:val="21"/>
        </w:rPr>
        <w:t> </w:t>
      </w:r>
      <w:r>
        <w:rPr>
          <w:sz w:val="21"/>
        </w:rPr>
        <w:t>Establishing </w:t>
      </w:r>
      <w:r>
        <w:rPr>
          <w:i/>
          <w:sz w:val="21"/>
        </w:rPr>
        <w:t>tikanga, </w:t>
      </w:r>
      <w:r>
        <w:rPr>
          <w:sz w:val="21"/>
        </w:rPr>
        <w:t>broadly conceived as a customary system of</w:t>
      </w:r>
      <w:r>
        <w:rPr>
          <w:spacing w:val="1"/>
          <w:sz w:val="21"/>
        </w:rPr>
        <w:t> </w:t>
      </w:r>
      <w:r>
        <w:rPr>
          <w:sz w:val="21"/>
        </w:rPr>
        <w:t>values and practices, this first law of Aotearoa-New Zealand. </w:t>
      </w:r>
      <w:r>
        <w:rPr>
          <w:i/>
          <w:sz w:val="21"/>
        </w:rPr>
        <w:t>Tikanga </w:t>
      </w:r>
      <w:r>
        <w:rPr>
          <w:sz w:val="21"/>
        </w:rPr>
        <w:t>continues to evolve and inform</w:t>
      </w:r>
      <w:r>
        <w:rPr>
          <w:spacing w:val="1"/>
          <w:sz w:val="21"/>
        </w:rPr>
        <w:t> </w:t>
      </w:r>
      <w:r>
        <w:rPr>
          <w:sz w:val="21"/>
        </w:rPr>
        <w:t>Maori</w:t>
      </w:r>
      <w:r>
        <w:rPr>
          <w:spacing w:val="-1"/>
          <w:sz w:val="21"/>
        </w:rPr>
        <w:t> </w:t>
      </w:r>
      <w:r>
        <w:rPr>
          <w:sz w:val="21"/>
        </w:rPr>
        <w:t>social</w:t>
      </w:r>
      <w:r>
        <w:rPr>
          <w:spacing w:val="-4"/>
          <w:sz w:val="21"/>
        </w:rPr>
        <w:t> </w:t>
      </w:r>
      <w:r>
        <w:rPr>
          <w:sz w:val="21"/>
        </w:rPr>
        <w:t>and</w:t>
      </w:r>
      <w:r>
        <w:rPr>
          <w:spacing w:val="-3"/>
          <w:sz w:val="21"/>
        </w:rPr>
        <w:t> </w:t>
      </w:r>
      <w:r>
        <w:rPr>
          <w:sz w:val="21"/>
        </w:rPr>
        <w:t>cultural ways as custodians</w:t>
      </w:r>
      <w:r>
        <w:rPr>
          <w:spacing w:val="-4"/>
          <w:sz w:val="21"/>
        </w:rPr>
        <w:t> </w:t>
      </w:r>
      <w:r>
        <w:rPr>
          <w:sz w:val="21"/>
        </w:rPr>
        <w:t>of</w:t>
      </w:r>
      <w:r>
        <w:rPr>
          <w:spacing w:val="-4"/>
          <w:sz w:val="21"/>
        </w:rPr>
        <w:t> </w:t>
      </w:r>
      <w:r>
        <w:rPr>
          <w:sz w:val="21"/>
        </w:rPr>
        <w:t>the</w:t>
      </w:r>
      <w:r>
        <w:rPr>
          <w:spacing w:val="-3"/>
          <w:sz w:val="21"/>
        </w:rPr>
        <w:t> </w:t>
      </w:r>
      <w:r>
        <w:rPr>
          <w:sz w:val="21"/>
        </w:rPr>
        <w:t>land.</w:t>
      </w:r>
    </w:p>
    <w:p>
      <w:pPr>
        <w:spacing w:line="360" w:lineRule="auto" w:before="159"/>
        <w:ind w:left="100" w:right="172" w:firstLine="0"/>
        <w:jc w:val="left"/>
        <w:rPr>
          <w:sz w:val="21"/>
        </w:rPr>
      </w:pPr>
      <w:r>
        <w:rPr>
          <w:sz w:val="21"/>
        </w:rPr>
        <w:t>The Waitangi of Treaty /</w:t>
      </w:r>
      <w:r>
        <w:rPr>
          <w:i/>
          <w:sz w:val="21"/>
        </w:rPr>
        <w:t>Triti de Waitangi </w:t>
      </w:r>
      <w:r>
        <w:rPr>
          <w:sz w:val="21"/>
        </w:rPr>
        <w:t>(1840) is generally accepted to be a foundational document of</w:t>
      </w:r>
      <w:r>
        <w:rPr>
          <w:spacing w:val="1"/>
          <w:sz w:val="21"/>
        </w:rPr>
        <w:t> </w:t>
      </w:r>
      <w:r>
        <w:rPr>
          <w:sz w:val="21"/>
        </w:rPr>
        <w:t>the Aotearoa-New Zealand constitution. Put forward by the government as means of ‘negotiating’ the</w:t>
      </w:r>
      <w:r>
        <w:rPr>
          <w:spacing w:val="1"/>
          <w:sz w:val="21"/>
        </w:rPr>
        <w:t> </w:t>
      </w:r>
      <w:r>
        <w:rPr>
          <w:sz w:val="21"/>
        </w:rPr>
        <w:t>different system of laws and world views, its varying translations between English and Maori, the manner</w:t>
      </w:r>
      <w:r>
        <w:rPr>
          <w:spacing w:val="-50"/>
          <w:sz w:val="21"/>
        </w:rPr>
        <w:t> </w:t>
      </w:r>
      <w:r>
        <w:rPr>
          <w:sz w:val="21"/>
        </w:rPr>
        <w:t>through</w:t>
      </w:r>
      <w:r>
        <w:rPr>
          <w:spacing w:val="-2"/>
          <w:sz w:val="21"/>
        </w:rPr>
        <w:t> </w:t>
      </w:r>
      <w:r>
        <w:rPr>
          <w:sz w:val="21"/>
        </w:rPr>
        <w:t>which</w:t>
      </w:r>
      <w:r>
        <w:rPr>
          <w:spacing w:val="-5"/>
          <w:sz w:val="21"/>
        </w:rPr>
        <w:t> </w:t>
      </w:r>
      <w:r>
        <w:rPr>
          <w:sz w:val="21"/>
        </w:rPr>
        <w:t>signatures</w:t>
      </w:r>
      <w:r>
        <w:rPr>
          <w:spacing w:val="-6"/>
          <w:sz w:val="21"/>
        </w:rPr>
        <w:t> </w:t>
      </w:r>
      <w:r>
        <w:rPr>
          <w:sz w:val="21"/>
        </w:rPr>
        <w:t>of</w:t>
      </w:r>
      <w:r>
        <w:rPr>
          <w:spacing w:val="-6"/>
          <w:sz w:val="21"/>
        </w:rPr>
        <w:t> </w:t>
      </w:r>
      <w:r>
        <w:rPr>
          <w:sz w:val="21"/>
        </w:rPr>
        <w:t>the</w:t>
      </w:r>
      <w:r>
        <w:rPr>
          <w:spacing w:val="-1"/>
          <w:sz w:val="21"/>
        </w:rPr>
        <w:t> </w:t>
      </w:r>
      <w:r>
        <w:rPr>
          <w:sz w:val="21"/>
        </w:rPr>
        <w:t>Maori</w:t>
      </w:r>
      <w:r>
        <w:rPr>
          <w:spacing w:val="-2"/>
          <w:sz w:val="21"/>
        </w:rPr>
        <w:t> </w:t>
      </w:r>
      <w:r>
        <w:rPr>
          <w:sz w:val="21"/>
        </w:rPr>
        <w:t>chiefs</w:t>
      </w:r>
      <w:r>
        <w:rPr>
          <w:spacing w:val="-2"/>
          <w:sz w:val="21"/>
        </w:rPr>
        <w:t> </w:t>
      </w:r>
      <w:r>
        <w:rPr>
          <w:sz w:val="21"/>
        </w:rPr>
        <w:t>were</w:t>
      </w:r>
      <w:r>
        <w:rPr>
          <w:spacing w:val="-5"/>
          <w:sz w:val="21"/>
        </w:rPr>
        <w:t> </w:t>
      </w:r>
      <w:r>
        <w:rPr>
          <w:sz w:val="21"/>
        </w:rPr>
        <w:t>obtained</w:t>
      </w:r>
      <w:r>
        <w:rPr>
          <w:spacing w:val="-5"/>
          <w:sz w:val="21"/>
        </w:rPr>
        <w:t> </w:t>
      </w:r>
      <w:r>
        <w:rPr>
          <w:sz w:val="21"/>
        </w:rPr>
        <w:t>and</w:t>
      </w:r>
      <w:r>
        <w:rPr>
          <w:spacing w:val="-5"/>
          <w:sz w:val="21"/>
        </w:rPr>
        <w:t> </w:t>
      </w:r>
      <w:r>
        <w:rPr>
          <w:sz w:val="21"/>
        </w:rPr>
        <w:t>the</w:t>
      </w:r>
      <w:r>
        <w:rPr>
          <w:spacing w:val="-1"/>
          <w:sz w:val="21"/>
        </w:rPr>
        <w:t> </w:t>
      </w:r>
      <w:r>
        <w:rPr>
          <w:sz w:val="21"/>
        </w:rPr>
        <w:t>Government’s</w:t>
      </w:r>
      <w:r>
        <w:rPr>
          <w:spacing w:val="-2"/>
          <w:sz w:val="21"/>
        </w:rPr>
        <w:t> </w:t>
      </w:r>
      <w:r>
        <w:rPr>
          <w:sz w:val="21"/>
        </w:rPr>
        <w:t>adherence</w:t>
      </w:r>
      <w:r>
        <w:rPr>
          <w:spacing w:val="-1"/>
          <w:sz w:val="21"/>
        </w:rPr>
        <w:t> </w:t>
      </w:r>
      <w:r>
        <w:rPr>
          <w:sz w:val="21"/>
        </w:rPr>
        <w:t>to</w:t>
      </w:r>
      <w:r>
        <w:rPr>
          <w:spacing w:val="-1"/>
          <w:sz w:val="21"/>
        </w:rPr>
        <w:t> </w:t>
      </w:r>
      <w:r>
        <w:rPr>
          <w:sz w:val="21"/>
        </w:rPr>
        <w:t>it</w:t>
      </w:r>
      <w:r>
        <w:rPr>
          <w:spacing w:val="-3"/>
          <w:sz w:val="21"/>
        </w:rPr>
        <w:t> </w:t>
      </w:r>
      <w:r>
        <w:rPr>
          <w:sz w:val="21"/>
        </w:rPr>
        <w:t>(or</w:t>
      </w:r>
      <w:r>
        <w:rPr>
          <w:spacing w:val="-2"/>
          <w:sz w:val="21"/>
        </w:rPr>
        <w:t> </w:t>
      </w:r>
      <w:r>
        <w:rPr>
          <w:sz w:val="21"/>
        </w:rPr>
        <w:t>lack</w:t>
      </w:r>
      <w:r>
        <w:rPr>
          <w:spacing w:val="-49"/>
          <w:sz w:val="21"/>
        </w:rPr>
        <w:t> </w:t>
      </w:r>
      <w:r>
        <w:rPr>
          <w:sz w:val="21"/>
        </w:rPr>
        <w:t>thereof) have challenged its credibility (Salmond, 2014). Brought to life by continuing actions of Maori</w:t>
      </w:r>
      <w:r>
        <w:rPr>
          <w:spacing w:val="1"/>
          <w:sz w:val="21"/>
        </w:rPr>
        <w:t> </w:t>
      </w:r>
      <w:r>
        <w:rPr>
          <w:sz w:val="21"/>
        </w:rPr>
        <w:t>peoples, the Treaty Tribunal (1975) was established to determine whether government activities are</w:t>
      </w:r>
      <w:r>
        <w:rPr>
          <w:spacing w:val="1"/>
          <w:sz w:val="21"/>
        </w:rPr>
        <w:t> </w:t>
      </w:r>
      <w:r>
        <w:rPr>
          <w:sz w:val="21"/>
        </w:rPr>
        <w:t>consistent with the Treaty principles whereby “regaining levels of governance and decision-making for</w:t>
      </w:r>
      <w:r>
        <w:rPr>
          <w:spacing w:val="1"/>
          <w:sz w:val="21"/>
        </w:rPr>
        <w:t> </w:t>
      </w:r>
      <w:r>
        <w:rPr>
          <w:sz w:val="21"/>
        </w:rPr>
        <w:t>lands and environment […] have been significant parts of Treaty of Waitangi claims” (Lyver, 2019,</w:t>
      </w:r>
      <w:r>
        <w:rPr>
          <w:spacing w:val="1"/>
          <w:sz w:val="21"/>
        </w:rPr>
        <w:t> </w:t>
      </w:r>
      <w:r>
        <w:rPr>
          <w:sz w:val="21"/>
        </w:rPr>
        <w:t>p.395).</w:t>
      </w:r>
    </w:p>
    <w:p>
      <w:pPr>
        <w:pStyle w:val="BodyText"/>
      </w:pPr>
    </w:p>
    <w:p>
      <w:pPr>
        <w:pStyle w:val="BodyText"/>
      </w:pPr>
    </w:p>
    <w:p>
      <w:pPr>
        <w:pStyle w:val="Heading1"/>
        <w:spacing w:before="193"/>
      </w:pPr>
      <w:r>
        <w:rPr/>
        <w:t>Uluru-Kata</w:t>
      </w:r>
      <w:r>
        <w:rPr>
          <w:spacing w:val="-3"/>
        </w:rPr>
        <w:t> </w:t>
      </w:r>
      <w:r>
        <w:rPr/>
        <w:t>Tjuta</w:t>
      </w:r>
      <w:r>
        <w:rPr>
          <w:spacing w:val="-2"/>
        </w:rPr>
        <w:t> </w:t>
      </w:r>
      <w:r>
        <w:rPr/>
        <w:t>National</w:t>
      </w:r>
      <w:r>
        <w:rPr>
          <w:spacing w:val="-5"/>
        </w:rPr>
        <w:t> </w:t>
      </w:r>
      <w:r>
        <w:rPr/>
        <w:t>Park</w:t>
      </w:r>
    </w:p>
    <w:p>
      <w:pPr>
        <w:pStyle w:val="Heading2"/>
        <w:spacing w:before="187"/>
      </w:pPr>
      <w:r>
        <w:rPr/>
        <w:t>National Park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8"/>
        <w:rPr>
          <w:b/>
          <w:sz w:val="23"/>
        </w:rPr>
      </w:pPr>
    </w:p>
    <w:p>
      <w:pPr>
        <w:pStyle w:val="BodyText"/>
        <w:spacing w:line="360" w:lineRule="auto"/>
        <w:ind w:left="100" w:right="85"/>
      </w:pPr>
      <w:r>
        <w:rPr/>
        <w:t>Under colonial settlement, an area that included Uluru formed part of an ‘Aboriginal Reserve’ to</w:t>
      </w:r>
      <w:r>
        <w:rPr>
          <w:spacing w:val="1"/>
        </w:rPr>
        <w:t> </w:t>
      </w:r>
      <w:r>
        <w:rPr/>
        <w:t>‘protect’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Indigenous</w:t>
      </w:r>
      <w:r>
        <w:rPr>
          <w:spacing w:val="-3"/>
        </w:rPr>
        <w:t> </w:t>
      </w:r>
      <w:r>
        <w:rPr/>
        <w:t>peoples</w:t>
      </w:r>
      <w:r>
        <w:rPr>
          <w:spacing w:val="-4"/>
        </w:rPr>
        <w:t> </w:t>
      </w:r>
      <w:r>
        <w:rPr/>
        <w:t>who</w:t>
      </w:r>
      <w:r>
        <w:rPr>
          <w:spacing w:val="-4"/>
        </w:rPr>
        <w:t> </w:t>
      </w:r>
      <w:r>
        <w:rPr/>
        <w:t>were</w:t>
      </w:r>
      <w:r>
        <w:rPr>
          <w:spacing w:val="-3"/>
        </w:rPr>
        <w:t> </w:t>
      </w:r>
      <w:r>
        <w:rPr/>
        <w:t>‘beyond</w:t>
      </w:r>
      <w:r>
        <w:rPr>
          <w:spacing w:val="-1"/>
        </w:rPr>
        <w:t> </w:t>
      </w:r>
      <w:r>
        <w:rPr/>
        <w:t>change’</w:t>
      </w:r>
      <w:r>
        <w:rPr>
          <w:spacing w:val="-3"/>
        </w:rPr>
        <w:t> </w:t>
      </w:r>
      <w:r>
        <w:rPr/>
        <w:t>and so</w:t>
      </w:r>
      <w:r>
        <w:rPr>
          <w:spacing w:val="-5"/>
        </w:rPr>
        <w:t> </w:t>
      </w:r>
      <w:r>
        <w:rPr/>
        <w:t>could</w:t>
      </w:r>
      <w:r>
        <w:rPr>
          <w:spacing w:val="-4"/>
        </w:rPr>
        <w:t> </w:t>
      </w:r>
      <w:r>
        <w:rPr/>
        <w:t>not</w:t>
      </w:r>
      <w:r>
        <w:rPr>
          <w:spacing w:val="-3"/>
        </w:rPr>
        <w:t> </w:t>
      </w:r>
      <w:r>
        <w:rPr/>
        <w:t>be</w:t>
      </w:r>
      <w:r>
        <w:rPr>
          <w:spacing w:val="-4"/>
        </w:rPr>
        <w:t> </w:t>
      </w:r>
      <w:r>
        <w:rPr/>
        <w:t>otherwise</w:t>
      </w:r>
      <w:r>
        <w:rPr>
          <w:spacing w:val="-3"/>
        </w:rPr>
        <w:t> </w:t>
      </w:r>
      <w:r>
        <w:rPr/>
        <w:t>forced into</w:t>
      </w:r>
    </w:p>
    <w:p>
      <w:pPr>
        <w:spacing w:after="0" w:line="360" w:lineRule="auto"/>
        <w:sectPr>
          <w:pgSz w:w="11910" w:h="16840"/>
          <w:pgMar w:header="0" w:footer="998" w:top="1580" w:bottom="1180" w:left="1340" w:right="1340"/>
        </w:sectPr>
      </w:pPr>
    </w:p>
    <w:p>
      <w:pPr>
        <w:pStyle w:val="BodyText"/>
        <w:spacing w:line="360" w:lineRule="auto" w:before="63"/>
        <w:ind w:left="100" w:right="172"/>
      </w:pPr>
      <w:r>
        <w:rPr/>
        <w:t>the assimilation programmes underway across Australia. Then, following a period of national</w:t>
      </w:r>
      <w:r>
        <w:rPr>
          <w:spacing w:val="1"/>
        </w:rPr>
        <w:t> </w:t>
      </w:r>
      <w:r>
        <w:rPr/>
        <w:t>imagining and revisions, the previously inhospitable desert become “the heart of Australia” and was</w:t>
      </w:r>
      <w:r>
        <w:rPr>
          <w:spacing w:val="1"/>
        </w:rPr>
        <w:t> </w:t>
      </w:r>
      <w:r>
        <w:rPr/>
        <w:t>established as Ayers Rock–Mt. Olga National Park (1958). Essential to this was the presence of the</w:t>
      </w:r>
      <w:r>
        <w:rPr>
          <w:spacing w:val="1"/>
        </w:rPr>
        <w:t> </w:t>
      </w:r>
      <w:r>
        <w:rPr/>
        <w:t>Pitjantjatjara and Yankuntjatjara peoples (forming the linguistic group Anangu) whose Country</w:t>
      </w:r>
      <w:r>
        <w:rPr>
          <w:spacing w:val="1"/>
        </w:rPr>
        <w:t> </w:t>
      </w:r>
      <w:r>
        <w:rPr/>
        <w:t>incorporates</w:t>
      </w:r>
      <w:r>
        <w:rPr>
          <w:spacing w:val="-8"/>
        </w:rPr>
        <w:t> </w:t>
      </w:r>
      <w:r>
        <w:rPr/>
        <w:t>Uluru.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association</w:t>
      </w:r>
      <w:r>
        <w:rPr>
          <w:spacing w:val="-5"/>
        </w:rPr>
        <w:t> </w:t>
      </w:r>
      <w:r>
        <w:rPr/>
        <w:t>with</w:t>
      </w:r>
      <w:r>
        <w:rPr>
          <w:spacing w:val="-5"/>
        </w:rPr>
        <w:t> </w:t>
      </w:r>
      <w:r>
        <w:rPr/>
        <w:t>‘authentic</w:t>
      </w:r>
      <w:r>
        <w:rPr>
          <w:spacing w:val="-8"/>
        </w:rPr>
        <w:t> </w:t>
      </w:r>
      <w:r>
        <w:rPr/>
        <w:t>Aborigines’</w:t>
      </w:r>
      <w:r>
        <w:rPr>
          <w:spacing w:val="-8"/>
        </w:rPr>
        <w:t> </w:t>
      </w:r>
      <w:r>
        <w:rPr/>
        <w:t>and</w:t>
      </w:r>
      <w:r>
        <w:rPr>
          <w:spacing w:val="-5"/>
        </w:rPr>
        <w:t> </w:t>
      </w:r>
      <w:r>
        <w:rPr/>
        <w:t>their</w:t>
      </w:r>
      <w:r>
        <w:rPr>
          <w:spacing w:val="-7"/>
        </w:rPr>
        <w:t> </w:t>
      </w:r>
      <w:r>
        <w:rPr/>
        <w:t>‘ancient/prehistoric</w:t>
      </w:r>
      <w:r>
        <w:rPr>
          <w:spacing w:val="-8"/>
        </w:rPr>
        <w:t> </w:t>
      </w:r>
      <w:r>
        <w:rPr/>
        <w:t>culture’</w:t>
      </w:r>
      <w:r>
        <w:rPr>
          <w:spacing w:val="1"/>
        </w:rPr>
        <w:t> </w:t>
      </w:r>
      <w:r>
        <w:rPr/>
        <w:t>described the park’s ‘wilderness’ and ‘timelessness’. To accommodate this revision the Anangu</w:t>
      </w:r>
      <w:r>
        <w:rPr>
          <w:spacing w:val="1"/>
        </w:rPr>
        <w:t> </w:t>
      </w:r>
      <w:r>
        <w:rPr/>
        <w:t>communities were relocated to ‘villages’ built outside the park boundaries but still within its identity</w:t>
      </w:r>
      <w:r>
        <w:rPr>
          <w:spacing w:val="1"/>
        </w:rPr>
        <w:t> </w:t>
      </w:r>
      <w:r>
        <w:rPr/>
        <w:t>(Walliss, 2014).</w:t>
      </w:r>
    </w:p>
    <w:p>
      <w:pPr>
        <w:pStyle w:val="BodyText"/>
        <w:spacing w:line="360" w:lineRule="auto" w:before="161"/>
        <w:ind w:left="100" w:right="178"/>
      </w:pPr>
      <w:r>
        <w:rPr/>
        <w:t>Throughout the 1970s, the Anangu peoples negotiated a precedent that concluded with the ‘hand</w:t>
      </w:r>
      <w:r>
        <w:rPr>
          <w:spacing w:val="1"/>
        </w:rPr>
        <w:t> </w:t>
      </w:r>
      <w:r>
        <w:rPr/>
        <w:t>back’ of native title of the lands from the Australian government to the traditional owners in 1985.</w:t>
      </w:r>
      <w:r>
        <w:rPr>
          <w:spacing w:val="1"/>
        </w:rPr>
        <w:t> </w:t>
      </w:r>
      <w:r>
        <w:rPr/>
        <w:t>Among the associated conditions were rental of the National Park back to the Australian government</w:t>
      </w:r>
      <w:r>
        <w:rPr>
          <w:spacing w:val="-52"/>
        </w:rPr>
        <w:t> </w:t>
      </w:r>
      <w:r>
        <w:rPr/>
        <w:t>for an annual fee, the establishment of a Board of Management comprising a majority by traditional</w:t>
      </w:r>
      <w:r>
        <w:rPr>
          <w:spacing w:val="1"/>
        </w:rPr>
        <w:t> </w:t>
      </w:r>
      <w:r>
        <w:rPr/>
        <w:t>owners, and employment and commercial opportunities including a percentage of ticket sales</w:t>
      </w:r>
      <w:r>
        <w:rPr>
          <w:spacing w:val="1"/>
        </w:rPr>
        <w:t> </w:t>
      </w:r>
      <w:r>
        <w:rPr/>
        <w:t>(Baumann and Smyth, 2007 in Lyver, 2014). In addition, the Anangu communities were permitted to</w:t>
      </w:r>
      <w:r>
        <w:rPr>
          <w:spacing w:val="-52"/>
        </w:rPr>
        <w:t> </w:t>
      </w:r>
      <w:r>
        <w:rPr/>
        <w:t>live back within the Park boundaries. This agreement is seen as a benchmark in accommodating</w:t>
      </w:r>
      <w:r>
        <w:rPr>
          <w:spacing w:val="1"/>
        </w:rPr>
        <w:t> </w:t>
      </w:r>
      <w:r>
        <w:rPr/>
        <w:t>Indigenous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conservation</w:t>
      </w:r>
      <w:r>
        <w:rPr>
          <w:spacing w:val="-2"/>
        </w:rPr>
        <w:t> </w:t>
      </w:r>
      <w:r>
        <w:rPr/>
        <w:t>standards</w:t>
      </w:r>
      <w:r>
        <w:rPr>
          <w:spacing w:val="-5"/>
        </w:rPr>
        <w:t> </w:t>
      </w:r>
      <w:r>
        <w:rPr/>
        <w:t>in</w:t>
      </w:r>
      <w:r>
        <w:rPr>
          <w:spacing w:val="-3"/>
        </w:rPr>
        <w:t> </w:t>
      </w:r>
      <w:r>
        <w:rPr/>
        <w:t>Australia,</w:t>
      </w:r>
      <w:r>
        <w:rPr>
          <w:spacing w:val="-3"/>
        </w:rPr>
        <w:t> </w:t>
      </w:r>
      <w:r>
        <w:rPr/>
        <w:t>referred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as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‘Uluru</w:t>
      </w:r>
      <w:r>
        <w:rPr>
          <w:spacing w:val="-2"/>
        </w:rPr>
        <w:t> </w:t>
      </w:r>
      <w:r>
        <w:rPr/>
        <w:t>effect’</w:t>
      </w:r>
      <w:r>
        <w:rPr>
          <w:spacing w:val="-5"/>
        </w:rPr>
        <w:t> </w:t>
      </w:r>
      <w:r>
        <w:rPr/>
        <w:t>(Lyver,</w:t>
      </w:r>
      <w:r>
        <w:rPr>
          <w:spacing w:val="-4"/>
        </w:rPr>
        <w:t> </w:t>
      </w:r>
      <w:r>
        <w:rPr/>
        <w:t>2014).</w:t>
      </w:r>
      <w:r>
        <w:rPr>
          <w:spacing w:val="-3"/>
        </w:rPr>
        <w:t> </w:t>
      </w:r>
      <w:r>
        <w:rPr/>
        <w:t>In</w:t>
      </w:r>
      <w:r>
        <w:rPr>
          <w:spacing w:val="-52"/>
        </w:rPr>
        <w:t> </w:t>
      </w:r>
      <w:r>
        <w:rPr/>
        <w:t>1993, the</w:t>
      </w:r>
      <w:r>
        <w:rPr>
          <w:spacing w:val="-2"/>
        </w:rPr>
        <w:t> </w:t>
      </w:r>
      <w:r>
        <w:rPr/>
        <w:t>official</w:t>
      </w:r>
      <w:r>
        <w:rPr>
          <w:spacing w:val="-2"/>
        </w:rPr>
        <w:t> </w:t>
      </w:r>
      <w:r>
        <w:rPr/>
        <w:t>name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site</w:t>
      </w:r>
      <w:r>
        <w:rPr>
          <w:spacing w:val="-2"/>
        </w:rPr>
        <w:t> </w:t>
      </w:r>
      <w:r>
        <w:rPr/>
        <w:t>was</w:t>
      </w:r>
      <w:r>
        <w:rPr>
          <w:spacing w:val="-1"/>
        </w:rPr>
        <w:t> </w:t>
      </w:r>
      <w:r>
        <w:rPr/>
        <w:t>changed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Uluru-Kata</w:t>
      </w:r>
      <w:r>
        <w:rPr>
          <w:spacing w:val="-2"/>
        </w:rPr>
        <w:t> </w:t>
      </w:r>
      <w:r>
        <w:rPr/>
        <w:t>Tjuta</w:t>
      </w:r>
      <w:r>
        <w:rPr>
          <w:spacing w:val="-2"/>
        </w:rPr>
        <w:t> </w:t>
      </w:r>
      <w:r>
        <w:rPr/>
        <w:t>National</w:t>
      </w:r>
      <w:r>
        <w:rPr>
          <w:spacing w:val="-2"/>
        </w:rPr>
        <w:t> </w:t>
      </w:r>
      <w:r>
        <w:rPr/>
        <w:t>Park.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Heading2"/>
        <w:spacing w:before="151"/>
      </w:pPr>
      <w:r>
        <w:rPr/>
        <w:t>World</w:t>
      </w:r>
      <w:r>
        <w:rPr>
          <w:spacing w:val="-4"/>
        </w:rPr>
        <w:t> </w:t>
      </w:r>
      <w:r>
        <w:rPr/>
        <w:t>Heritage Nomination -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Promise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60" w:lineRule="auto"/>
        <w:ind w:left="100" w:right="172"/>
      </w:pPr>
      <w:r>
        <w:rPr/>
        <w:t>As detailed in Palmer (2016):</w:t>
      </w:r>
      <w:r>
        <w:rPr>
          <w:spacing w:val="1"/>
        </w:rPr>
        <w:t> </w:t>
      </w:r>
      <w:r>
        <w:rPr/>
        <w:t>Following petitioning by the Anangu peoples, in response to the 1987</w:t>
      </w:r>
      <w:r>
        <w:rPr>
          <w:spacing w:val="-52"/>
        </w:rPr>
        <w:t> </w:t>
      </w:r>
      <w:r>
        <w:rPr/>
        <w:t>‘natural site’ inscription, a revised nomination was submitted to UNESCO for recognition as a site</w:t>
      </w:r>
      <w:r>
        <w:rPr>
          <w:spacing w:val="1"/>
        </w:rPr>
        <w:t> </w:t>
      </w:r>
      <w:r>
        <w:rPr/>
        <w:t>with significant natural and cultural values. The Anangu peoples requested more involvement in the</w:t>
      </w:r>
      <w:r>
        <w:rPr>
          <w:spacing w:val="1"/>
        </w:rPr>
        <w:t> </w:t>
      </w:r>
      <w:r>
        <w:rPr/>
        <w:t>park’s</w:t>
      </w:r>
      <w:r>
        <w:rPr>
          <w:spacing w:val="-4"/>
        </w:rPr>
        <w:t> </w:t>
      </w:r>
      <w:r>
        <w:rPr/>
        <w:t>management,</w:t>
      </w:r>
      <w:r>
        <w:rPr>
          <w:spacing w:val="-1"/>
        </w:rPr>
        <w:t> </w:t>
      </w:r>
      <w:r>
        <w:rPr/>
        <w:t>protection,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/>
        <w:t>decision-making,</w:t>
      </w:r>
      <w:r>
        <w:rPr>
          <w:spacing w:val="-5"/>
        </w:rPr>
        <w:t> </w:t>
      </w:r>
      <w:r>
        <w:rPr/>
        <w:t>in keeping</w:t>
      </w:r>
      <w:r>
        <w:rPr>
          <w:spacing w:val="-1"/>
        </w:rPr>
        <w:t> </w:t>
      </w:r>
      <w:r>
        <w:rPr/>
        <w:t>with</w:t>
      </w:r>
      <w:r>
        <w:rPr>
          <w:spacing w:val="-4"/>
        </w:rPr>
        <w:t> </w:t>
      </w:r>
      <w:r>
        <w:rPr/>
        <w:t>‘hand</w:t>
      </w:r>
      <w:r>
        <w:rPr>
          <w:spacing w:val="-4"/>
        </w:rPr>
        <w:t> </w:t>
      </w:r>
      <w:r>
        <w:rPr/>
        <w:t>back’</w:t>
      </w:r>
      <w:r>
        <w:rPr>
          <w:spacing w:val="-4"/>
        </w:rPr>
        <w:t> </w:t>
      </w:r>
      <w:r>
        <w:rPr/>
        <w:t>agreement.</w:t>
      </w:r>
    </w:p>
    <w:p>
      <w:pPr>
        <w:pStyle w:val="BodyText"/>
        <w:spacing w:line="360" w:lineRule="auto" w:before="3"/>
        <w:ind w:left="100" w:right="92"/>
      </w:pPr>
      <w:r>
        <w:rPr/>
        <w:t>The revised nomination dossier accordingly made explicit the involvement of the Anangu in various</w:t>
      </w:r>
      <w:r>
        <w:rPr>
          <w:spacing w:val="1"/>
        </w:rPr>
        <w:t> </w:t>
      </w:r>
      <w:r>
        <w:rPr/>
        <w:t>positions in the park’s organisation. It also included development of an ‘information management</w:t>
      </w:r>
      <w:r>
        <w:rPr>
          <w:spacing w:val="1"/>
        </w:rPr>
        <w:t> </w:t>
      </w:r>
      <w:r>
        <w:rPr/>
        <w:t>system’ incorporating </w:t>
      </w:r>
      <w:r>
        <w:rPr>
          <w:i/>
        </w:rPr>
        <w:t>Tjukurpa </w:t>
      </w:r>
      <w:r>
        <w:rPr/>
        <w:t>(the Anangu philosophy that underpins customary law with which</w:t>
      </w:r>
      <w:r>
        <w:rPr>
          <w:spacing w:val="1"/>
        </w:rPr>
        <w:t> </w:t>
      </w:r>
      <w:r>
        <w:rPr/>
        <w:t>Country is protected). This facilitated the written mapping of Anangu ancestral journeys and the joint</w:t>
      </w:r>
      <w:r>
        <w:rPr>
          <w:spacing w:val="1"/>
        </w:rPr>
        <w:t> </w:t>
      </w:r>
      <w:r>
        <w:rPr/>
        <w:t>production of a wildlife survey that used Western and Anangu classification systems to form ‘hybrid</w:t>
      </w:r>
      <w:r>
        <w:rPr>
          <w:spacing w:val="1"/>
        </w:rPr>
        <w:t> </w:t>
      </w:r>
      <w:r>
        <w:rPr/>
        <w:t>knowledge’ that could be applied to sustainably conserve the lands and as such to evidence the</w:t>
      </w:r>
      <w:r>
        <w:rPr>
          <w:spacing w:val="1"/>
        </w:rPr>
        <w:t> </w:t>
      </w:r>
      <w:r>
        <w:rPr/>
        <w:t>‘interrelationship’ of the management system with the natural and cultural values necessary to the</w:t>
      </w:r>
      <w:r>
        <w:rPr>
          <w:spacing w:val="1"/>
        </w:rPr>
        <w:t> </w:t>
      </w:r>
      <w:r>
        <w:rPr/>
        <w:t>park’s and the Anangu’s wellbeing. It also “showed proof that sustainable collaborations have</w:t>
      </w:r>
      <w:r>
        <w:rPr>
          <w:spacing w:val="1"/>
        </w:rPr>
        <w:t> </w:t>
      </w:r>
      <w:r>
        <w:rPr/>
        <w:t>occurred between indigenous knowledge holders, scientist, and state actors” (Palmer, 2016, p.22). The</w:t>
      </w:r>
      <w:r>
        <w:rPr>
          <w:spacing w:val="-52"/>
        </w:rPr>
        <w:t> </w:t>
      </w:r>
      <w:r>
        <w:rPr/>
        <w:t>revised nomination was accepted by UNESCO and the park became the second World Heritage</w:t>
      </w:r>
      <w:r>
        <w:rPr>
          <w:spacing w:val="1"/>
        </w:rPr>
        <w:t> </w:t>
      </w:r>
      <w:r>
        <w:rPr/>
        <w:t>Cultural</w:t>
      </w:r>
      <w:r>
        <w:rPr>
          <w:spacing w:val="-2"/>
        </w:rPr>
        <w:t> </w:t>
      </w:r>
      <w:r>
        <w:rPr/>
        <w:t>Landscape.</w:t>
      </w:r>
    </w:p>
    <w:p>
      <w:pPr>
        <w:spacing w:after="0" w:line="360" w:lineRule="auto"/>
        <w:sectPr>
          <w:pgSz w:w="11910" w:h="16840"/>
          <w:pgMar w:header="0" w:footer="998" w:top="1360" w:bottom="1180" w:left="1340" w:right="1340"/>
        </w:sectPr>
      </w:pPr>
    </w:p>
    <w:p>
      <w:pPr>
        <w:pStyle w:val="BodyText"/>
        <w:spacing w:before="2"/>
        <w:rPr>
          <w:sz w:val="15"/>
        </w:rPr>
      </w:pPr>
    </w:p>
    <w:p>
      <w:pPr>
        <w:pStyle w:val="Heading2"/>
      </w:pPr>
      <w:r>
        <w:rPr/>
        <w:t>World</w:t>
      </w:r>
      <w:r>
        <w:rPr>
          <w:spacing w:val="-5"/>
        </w:rPr>
        <w:t> </w:t>
      </w:r>
      <w:r>
        <w:rPr/>
        <w:t>Heritage</w:t>
      </w:r>
      <w:r>
        <w:rPr>
          <w:spacing w:val="-1"/>
        </w:rPr>
        <w:t> </w:t>
      </w:r>
      <w:r>
        <w:rPr/>
        <w:t>Management -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Actuality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7"/>
        <w:rPr>
          <w:b/>
          <w:sz w:val="23"/>
        </w:rPr>
      </w:pPr>
    </w:p>
    <w:p>
      <w:pPr>
        <w:pStyle w:val="BodyText"/>
        <w:spacing w:line="360" w:lineRule="auto"/>
        <w:ind w:left="100" w:right="110"/>
      </w:pPr>
      <w:r>
        <w:rPr/>
        <w:t>When the 1994 nomination was accepted it established a new standard for World Heritage</w:t>
      </w:r>
      <w:r>
        <w:rPr>
          <w:spacing w:val="1"/>
        </w:rPr>
        <w:t> </w:t>
      </w:r>
      <w:r>
        <w:rPr/>
        <w:t>management (Harrison, 2013) due to its declared collaborative management approach and the</w:t>
      </w:r>
      <w:r>
        <w:rPr>
          <w:spacing w:val="1"/>
        </w:rPr>
        <w:t> </w:t>
      </w:r>
      <w:r>
        <w:rPr/>
        <w:t>incorporation of ecosystem and cultural perspectives of the Anangu peoples in its conservation</w:t>
      </w:r>
      <w:r>
        <w:rPr>
          <w:spacing w:val="1"/>
        </w:rPr>
        <w:t> </w:t>
      </w:r>
      <w:r>
        <w:rPr/>
        <w:t>methods. However, researching the park 30 years later, Lyver (2014) observes how, despite its initial</w:t>
      </w:r>
      <w:r>
        <w:rPr>
          <w:spacing w:val="1"/>
        </w:rPr>
        <w:t> </w:t>
      </w:r>
      <w:r>
        <w:rPr/>
        <w:t>and hard won, achievements, the model has failed to live up to its potential in “instigating cultural and</w:t>
      </w:r>
      <w:r>
        <w:rPr>
          <w:spacing w:val="-52"/>
        </w:rPr>
        <w:t> </w:t>
      </w:r>
      <w:r>
        <w:rPr/>
        <w:t>economic</w:t>
      </w:r>
      <w:r>
        <w:rPr>
          <w:spacing w:val="-2"/>
        </w:rPr>
        <w:t> </w:t>
      </w:r>
      <w:r>
        <w:rPr/>
        <w:t>resurgence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Anangu”</w:t>
      </w:r>
      <w:r>
        <w:rPr>
          <w:spacing w:val="-1"/>
        </w:rPr>
        <w:t> </w:t>
      </w:r>
      <w:r>
        <w:rPr/>
        <w:t>(Lyver,</w:t>
      </w:r>
      <w:r>
        <w:rPr>
          <w:spacing w:val="-4"/>
        </w:rPr>
        <w:t> </w:t>
      </w:r>
      <w:r>
        <w:rPr/>
        <w:t>2014,</w:t>
      </w:r>
      <w:r>
        <w:rPr>
          <w:spacing w:val="-3"/>
        </w:rPr>
        <w:t> </w:t>
      </w:r>
      <w:r>
        <w:rPr/>
        <w:t>p.1234).</w:t>
      </w:r>
    </w:p>
    <w:p>
      <w:pPr>
        <w:pStyle w:val="BodyText"/>
        <w:spacing w:line="360" w:lineRule="auto" w:before="160"/>
        <w:ind w:left="100" w:right="110"/>
      </w:pPr>
      <w:r>
        <w:rPr/>
        <w:t>The ‘ground-breaking’ collaboration established in the Management Board does not extend to Anangu</w:t>
      </w:r>
      <w:r>
        <w:rPr>
          <w:spacing w:val="-53"/>
        </w:rPr>
        <w:t> </w:t>
      </w:r>
      <w:r>
        <w:rPr/>
        <w:t>authority</w:t>
      </w:r>
      <w:r>
        <w:rPr>
          <w:spacing w:val="5"/>
        </w:rPr>
        <w:t> </w:t>
      </w:r>
      <w:r>
        <w:rPr/>
        <w:t>or</w:t>
      </w:r>
      <w:r>
        <w:rPr>
          <w:spacing w:val="2"/>
        </w:rPr>
        <w:t> </w:t>
      </w:r>
      <w:r>
        <w:rPr/>
        <w:t>roles</w:t>
      </w:r>
      <w:r>
        <w:rPr>
          <w:spacing w:val="2"/>
        </w:rPr>
        <w:t> </w:t>
      </w:r>
      <w:r>
        <w:rPr/>
        <w:t>in</w:t>
      </w:r>
      <w:r>
        <w:rPr>
          <w:spacing w:val="5"/>
        </w:rPr>
        <w:t> </w:t>
      </w:r>
      <w:r>
        <w:rPr/>
        <w:t>decision-making,</w:t>
      </w:r>
      <w:r>
        <w:rPr>
          <w:spacing w:val="4"/>
        </w:rPr>
        <w:t> </w:t>
      </w:r>
      <w:r>
        <w:rPr/>
        <w:t>here</w:t>
      </w:r>
      <w:r>
        <w:rPr>
          <w:spacing w:val="3"/>
        </w:rPr>
        <w:t> </w:t>
      </w:r>
      <w:r>
        <w:rPr/>
        <w:t>the</w:t>
      </w:r>
      <w:r>
        <w:rPr>
          <w:spacing w:val="2"/>
        </w:rPr>
        <w:t> </w:t>
      </w:r>
      <w:r>
        <w:rPr/>
        <w:t>government</w:t>
      </w:r>
      <w:r>
        <w:rPr>
          <w:spacing w:val="2"/>
        </w:rPr>
        <w:t> </w:t>
      </w:r>
      <w:r>
        <w:rPr/>
        <w:t>parties</w:t>
      </w:r>
      <w:r>
        <w:rPr>
          <w:spacing w:val="2"/>
        </w:rPr>
        <w:t> </w:t>
      </w:r>
      <w:r>
        <w:rPr/>
        <w:t>still</w:t>
      </w:r>
      <w:r>
        <w:rPr>
          <w:spacing w:val="2"/>
        </w:rPr>
        <w:t> </w:t>
      </w:r>
      <w:r>
        <w:rPr/>
        <w:t>dominate,</w:t>
      </w:r>
      <w:r>
        <w:rPr>
          <w:spacing w:val="5"/>
        </w:rPr>
        <w:t> </w:t>
      </w:r>
      <w:r>
        <w:rPr/>
        <w:t>and</w:t>
      </w:r>
      <w:r>
        <w:rPr>
          <w:spacing w:val="5"/>
        </w:rPr>
        <w:t> </w:t>
      </w:r>
      <w:r>
        <w:rPr/>
        <w:t>the</w:t>
      </w:r>
      <w:r>
        <w:rPr>
          <w:spacing w:val="1"/>
        </w:rPr>
        <w:t> </w:t>
      </w:r>
      <w:r>
        <w:rPr/>
        <w:t>Management Board plays more of an ‘advisory’ role. And although commercial and employment</w:t>
      </w:r>
      <w:r>
        <w:rPr>
          <w:spacing w:val="1"/>
        </w:rPr>
        <w:t> </w:t>
      </w:r>
      <w:r>
        <w:rPr/>
        <w:t>opportunities do exist, employment is mostly in the ‘lower ranking’ jobs with minimal influence and</w:t>
      </w:r>
      <w:r>
        <w:rPr>
          <w:spacing w:val="1"/>
        </w:rPr>
        <w:t> </w:t>
      </w:r>
      <w:r>
        <w:rPr/>
        <w:t>retention is low. Similarly, despite the explicit inclusion in the park’s management plan, Anangu</w:t>
      </w:r>
      <w:r>
        <w:rPr>
          <w:spacing w:val="1"/>
        </w:rPr>
        <w:t> </w:t>
      </w:r>
      <w:r>
        <w:rPr/>
        <w:t>conservation</w:t>
      </w:r>
      <w:r>
        <w:rPr>
          <w:spacing w:val="3"/>
        </w:rPr>
        <w:t> </w:t>
      </w:r>
      <w:r>
        <w:rPr/>
        <w:t>practices</w:t>
      </w:r>
      <w:r>
        <w:rPr>
          <w:spacing w:val="-2"/>
        </w:rPr>
        <w:t> </w:t>
      </w:r>
      <w:r>
        <w:rPr/>
        <w:t>are</w:t>
      </w:r>
      <w:r>
        <w:rPr>
          <w:spacing w:val="-2"/>
        </w:rPr>
        <w:t> </w:t>
      </w:r>
      <w:r>
        <w:rPr/>
        <w:t>sporadically</w:t>
      </w:r>
      <w:r>
        <w:rPr>
          <w:spacing w:val="2"/>
        </w:rPr>
        <w:t> </w:t>
      </w:r>
      <w:r>
        <w:rPr/>
        <w:t>applied</w:t>
      </w:r>
      <w:r>
        <w:rPr>
          <w:spacing w:val="1"/>
        </w:rPr>
        <w:t> </w:t>
      </w:r>
      <w:r>
        <w:rPr/>
        <w:t>in</w:t>
      </w:r>
      <w:r>
        <w:rPr>
          <w:spacing w:val="-3"/>
        </w:rPr>
        <w:t> </w:t>
      </w:r>
      <w:r>
        <w:rPr/>
        <w:t>practice</w:t>
      </w:r>
      <w:r>
        <w:rPr>
          <w:spacing w:val="-1"/>
        </w:rPr>
        <w:t> </w:t>
      </w:r>
      <w:r>
        <w:rPr/>
        <w:t>(Lyver, 2014).</w:t>
      </w:r>
    </w:p>
    <w:p>
      <w:pPr>
        <w:pStyle w:val="BodyText"/>
        <w:spacing w:line="360" w:lineRule="auto" w:before="159"/>
        <w:ind w:left="100" w:right="172"/>
      </w:pPr>
      <w:r>
        <w:rPr/>
        <w:t>Perhaps indicative of how the co-management arrangements operates in reality is the ‘Please don’t</w:t>
      </w:r>
      <w:r>
        <w:rPr>
          <w:spacing w:val="1"/>
        </w:rPr>
        <w:t> </w:t>
      </w:r>
      <w:r>
        <w:rPr/>
        <w:t>climb’</w:t>
      </w:r>
      <w:r>
        <w:rPr>
          <w:spacing w:val="-4"/>
        </w:rPr>
        <w:t> </w:t>
      </w:r>
      <w:r>
        <w:rPr/>
        <w:t>campaign.</w:t>
      </w:r>
      <w:r>
        <w:rPr>
          <w:spacing w:val="-2"/>
        </w:rPr>
        <w:t> </w:t>
      </w:r>
      <w:r>
        <w:rPr/>
        <w:t>Following</w:t>
      </w:r>
      <w:r>
        <w:rPr>
          <w:spacing w:val="-4"/>
        </w:rPr>
        <w:t> </w:t>
      </w:r>
      <w:r>
        <w:rPr/>
        <w:t>decades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requests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/>
        <w:t>visitors</w:t>
      </w:r>
      <w:r>
        <w:rPr>
          <w:spacing w:val="-4"/>
        </w:rPr>
        <w:t> </w:t>
      </w:r>
      <w:r>
        <w:rPr/>
        <w:t>not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/>
        <w:t>climb</w:t>
      </w:r>
      <w:r>
        <w:rPr>
          <w:spacing w:val="-1"/>
        </w:rPr>
        <w:t> </w:t>
      </w:r>
      <w:r>
        <w:rPr/>
        <w:t>the</w:t>
      </w:r>
      <w:r>
        <w:rPr>
          <w:spacing w:val="-4"/>
        </w:rPr>
        <w:t> </w:t>
      </w:r>
      <w:r>
        <w:rPr/>
        <w:t>face</w:t>
      </w:r>
      <w:r>
        <w:rPr>
          <w:spacing w:val="-3"/>
        </w:rPr>
        <w:t> </w:t>
      </w:r>
      <w:r>
        <w:rPr/>
        <w:t>of</w:t>
      </w:r>
      <w:r>
        <w:rPr>
          <w:spacing w:val="-4"/>
        </w:rPr>
        <w:t> </w:t>
      </w:r>
      <w:r>
        <w:rPr/>
        <w:t>UL,</w:t>
      </w:r>
      <w:r>
        <w:rPr>
          <w:spacing w:val="-2"/>
        </w:rPr>
        <w:t> </w:t>
      </w:r>
      <w:r>
        <w:rPr/>
        <w:t>in</w:t>
      </w:r>
      <w:r>
        <w:rPr>
          <w:spacing w:val="-4"/>
        </w:rPr>
        <w:t> </w:t>
      </w:r>
      <w:r>
        <w:rPr/>
        <w:t>2017</w:t>
      </w:r>
      <w:r>
        <w:rPr>
          <w:spacing w:val="-1"/>
        </w:rPr>
        <w:t> </w:t>
      </w:r>
      <w:r>
        <w:rPr/>
        <w:t>the</w:t>
      </w:r>
      <w:r>
        <w:rPr>
          <w:spacing w:val="-52"/>
        </w:rPr>
        <w:t> </w:t>
      </w:r>
      <w:r>
        <w:rPr/>
        <w:t>Park’s management board finally agreed to the request. The ‘climb’ was permanently closed and</w:t>
      </w:r>
      <w:r>
        <w:rPr>
          <w:spacing w:val="1"/>
        </w:rPr>
        <w:t> </w:t>
      </w:r>
      <w:r>
        <w:rPr/>
        <w:t>dismantled in 2019. Notably, however, this was only agreed upon </w:t>
      </w:r>
      <w:r>
        <w:rPr>
          <w:i/>
        </w:rPr>
        <w:t>after </w:t>
      </w:r>
      <w:r>
        <w:rPr/>
        <w:t>conditions were met such as</w:t>
      </w:r>
      <w:r>
        <w:rPr>
          <w:spacing w:val="-52"/>
        </w:rPr>
        <w:t> </w:t>
      </w:r>
      <w:r>
        <w:rPr/>
        <w:t>assurance that less than 20% of visitors would be impacted by the change and evidence that cultural</w:t>
      </w:r>
      <w:r>
        <w:rPr>
          <w:spacing w:val="-52"/>
        </w:rPr>
        <w:t> </w:t>
      </w:r>
      <w:r>
        <w:rPr/>
        <w:t>and natural</w:t>
      </w:r>
      <w:r>
        <w:rPr>
          <w:spacing w:val="-1"/>
        </w:rPr>
        <w:t> </w:t>
      </w:r>
      <w:r>
        <w:rPr/>
        <w:t>features</w:t>
      </w:r>
      <w:r>
        <w:rPr>
          <w:spacing w:val="-2"/>
        </w:rPr>
        <w:t> </w:t>
      </w:r>
      <w:r>
        <w:rPr/>
        <w:t>were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prime</w:t>
      </w:r>
      <w:r>
        <w:rPr>
          <w:spacing w:val="-2"/>
        </w:rPr>
        <w:t> </w:t>
      </w:r>
      <w:r>
        <w:rPr/>
        <w:t>drivers</w:t>
      </w:r>
      <w:r>
        <w:rPr>
          <w:spacing w:val="-2"/>
        </w:rPr>
        <w:t> </w:t>
      </w:r>
      <w:r>
        <w:rPr/>
        <w:t>for</w:t>
      </w:r>
      <w:r>
        <w:rPr>
          <w:spacing w:val="2"/>
        </w:rPr>
        <w:t> </w:t>
      </w:r>
      <w:r>
        <w:rPr/>
        <w:t>visitors</w:t>
      </w:r>
      <w:r>
        <w:rPr>
          <w:spacing w:val="-2"/>
        </w:rPr>
        <w:t> </w:t>
      </w:r>
      <w:r>
        <w:rPr/>
        <w:t>(Bickersteth</w:t>
      </w:r>
      <w:r>
        <w:rPr>
          <w:spacing w:val="1"/>
        </w:rPr>
        <w:t> </w:t>
      </w:r>
      <w:r>
        <w:rPr/>
        <w:t>et</w:t>
      </w:r>
      <w:r>
        <w:rPr>
          <w:spacing w:val="-2"/>
        </w:rPr>
        <w:t> </w:t>
      </w:r>
      <w:r>
        <w:rPr/>
        <w:t>al, 2020).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Heading1"/>
        <w:spacing w:before="151"/>
      </w:pPr>
      <w:r>
        <w:rPr/>
        <w:t>Tongariro</w:t>
      </w:r>
      <w:r>
        <w:rPr>
          <w:spacing w:val="-2"/>
        </w:rPr>
        <w:t> </w:t>
      </w:r>
      <w:r>
        <w:rPr/>
        <w:t>National</w:t>
      </w:r>
      <w:r>
        <w:rPr>
          <w:spacing w:val="-4"/>
        </w:rPr>
        <w:t> </w:t>
      </w:r>
      <w:r>
        <w:rPr/>
        <w:t>Park</w:t>
      </w:r>
    </w:p>
    <w:p>
      <w:pPr>
        <w:pStyle w:val="Heading2"/>
        <w:spacing w:before="188"/>
      </w:pPr>
      <w:r>
        <w:rPr/>
        <w:t>National</w:t>
      </w:r>
      <w:r>
        <w:rPr>
          <w:spacing w:val="-1"/>
        </w:rPr>
        <w:t> </w:t>
      </w:r>
      <w:r>
        <w:rPr/>
        <w:t>Park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7"/>
        <w:rPr>
          <w:b/>
          <w:sz w:val="23"/>
        </w:rPr>
      </w:pPr>
    </w:p>
    <w:p>
      <w:pPr>
        <w:pStyle w:val="BodyText"/>
        <w:spacing w:line="360" w:lineRule="auto"/>
        <w:ind w:left="100" w:right="115"/>
      </w:pPr>
      <w:r>
        <w:rPr>
          <w:sz w:val="21"/>
        </w:rPr>
        <w:t>One of Aotearoa-New Zealand’s national narratives commonly asserts to it being “the </w:t>
      </w:r>
      <w:r>
        <w:rPr/>
        <w:t>first Western</w:t>
      </w:r>
      <w:r>
        <w:rPr>
          <w:spacing w:val="1"/>
        </w:rPr>
        <w:t> </w:t>
      </w:r>
      <w:r>
        <w:rPr/>
        <w:t>country</w:t>
      </w:r>
      <w:r>
        <w:rPr>
          <w:spacing w:val="4"/>
        </w:rPr>
        <w:t> </w:t>
      </w:r>
      <w:r>
        <w:rPr/>
        <w:t>to</w:t>
      </w:r>
      <w:r>
        <w:rPr>
          <w:spacing w:val="1"/>
        </w:rPr>
        <w:t> </w:t>
      </w:r>
      <w:r>
        <w:rPr/>
        <w:t>reserve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/>
        <w:t>national</w:t>
      </w:r>
      <w:r>
        <w:rPr>
          <w:spacing w:val="2"/>
        </w:rPr>
        <w:t> </w:t>
      </w:r>
      <w:r>
        <w:rPr/>
        <w:t>park</w:t>
      </w:r>
      <w:r>
        <w:rPr>
          <w:spacing w:val="5"/>
        </w:rPr>
        <w:t> </w:t>
      </w:r>
      <w:r>
        <w:rPr/>
        <w:t>in</w:t>
      </w:r>
      <w:r>
        <w:rPr>
          <w:spacing w:val="4"/>
        </w:rPr>
        <w:t> </w:t>
      </w:r>
      <w:r>
        <w:rPr/>
        <w:t>cooperation</w:t>
      </w:r>
      <w:r>
        <w:rPr>
          <w:spacing w:val="1"/>
        </w:rPr>
        <w:t> </w:t>
      </w:r>
      <w:r>
        <w:rPr/>
        <w:t>with</w:t>
      </w:r>
      <w:r>
        <w:rPr>
          <w:spacing w:val="5"/>
        </w:rPr>
        <w:t> </w:t>
      </w:r>
      <w:r>
        <w:rPr/>
        <w:t>its</w:t>
      </w:r>
      <w:r>
        <w:rPr>
          <w:spacing w:val="1"/>
        </w:rPr>
        <w:t> </w:t>
      </w:r>
      <w:r>
        <w:rPr/>
        <w:t>indigenous</w:t>
      </w:r>
      <w:r>
        <w:rPr>
          <w:spacing w:val="2"/>
        </w:rPr>
        <w:t> </w:t>
      </w:r>
      <w:r>
        <w:rPr/>
        <w:t>people”</w:t>
      </w:r>
      <w:r>
        <w:rPr>
          <w:spacing w:val="2"/>
        </w:rPr>
        <w:t> </w:t>
      </w:r>
      <w:r>
        <w:rPr/>
        <w:t>(Ruru, 2004,</w:t>
      </w:r>
      <w:r>
        <w:rPr>
          <w:spacing w:val="3"/>
        </w:rPr>
        <w:t> </w:t>
      </w:r>
      <w:r>
        <w:rPr/>
        <w:t>p.123).</w:t>
      </w:r>
      <w:r>
        <w:rPr>
          <w:spacing w:val="1"/>
        </w:rPr>
        <w:t> </w:t>
      </w:r>
      <w:r>
        <w:rPr/>
        <w:t>This ‘cooperation’ refers to an offer made by the Paramount Chief of Ngati Tuwharetoa. The offer</w:t>
      </w:r>
      <w:r>
        <w:rPr>
          <w:spacing w:val="1"/>
        </w:rPr>
        <w:t> </w:t>
      </w:r>
      <w:r>
        <w:rPr/>
        <w:t>made in 1887 has been ‘interpreted’ as his gifting of ownership of Tongariro’s peaks to the</w:t>
      </w:r>
      <w:r>
        <w:rPr>
          <w:spacing w:val="1"/>
        </w:rPr>
        <w:t> </w:t>
      </w:r>
      <w:r>
        <w:rPr/>
        <w:t>government. In fact, the offer was a suggestion of partnership, made in an attempt to keep intact the</w:t>
      </w:r>
      <w:r>
        <w:rPr>
          <w:spacing w:val="1"/>
        </w:rPr>
        <w:t> </w:t>
      </w:r>
      <w:r>
        <w:rPr/>
        <w:t>lands of the Ngati Tuwharetoa iwi in the face of ongoing Maori dispossession and coercive land title</w:t>
      </w:r>
      <w:r>
        <w:rPr>
          <w:spacing w:val="1"/>
        </w:rPr>
        <w:t> </w:t>
      </w:r>
      <w:r>
        <w:rPr/>
        <w:t>rulings.</w:t>
      </w:r>
      <w:r>
        <w:rPr>
          <w:spacing w:val="-5"/>
        </w:rPr>
        <w:t> </w:t>
      </w:r>
      <w:r>
        <w:rPr/>
        <w:t>Following</w:t>
      </w:r>
      <w:r>
        <w:rPr>
          <w:spacing w:val="-3"/>
        </w:rPr>
        <w:t> </w:t>
      </w:r>
      <w:r>
        <w:rPr/>
        <w:t>seven</w:t>
      </w:r>
      <w:r>
        <w:rPr>
          <w:spacing w:val="-4"/>
        </w:rPr>
        <w:t> </w:t>
      </w:r>
      <w:r>
        <w:rPr/>
        <w:t>embattled</w:t>
      </w:r>
      <w:r>
        <w:rPr>
          <w:spacing w:val="-3"/>
        </w:rPr>
        <w:t> </w:t>
      </w:r>
      <w:r>
        <w:rPr/>
        <w:t>years,</w:t>
      </w:r>
      <w:r>
        <w:rPr>
          <w:spacing w:val="-5"/>
        </w:rPr>
        <w:t> </w:t>
      </w:r>
      <w:r>
        <w:rPr/>
        <w:t>Tongariro</w:t>
      </w:r>
      <w:r>
        <w:rPr>
          <w:spacing w:val="-3"/>
        </w:rPr>
        <w:t> </w:t>
      </w:r>
      <w:r>
        <w:rPr/>
        <w:t>National</w:t>
      </w:r>
      <w:r>
        <w:rPr>
          <w:spacing w:val="-6"/>
        </w:rPr>
        <w:t> </w:t>
      </w:r>
      <w:r>
        <w:rPr/>
        <w:t>Park</w:t>
      </w:r>
      <w:r>
        <w:rPr>
          <w:spacing w:val="-4"/>
        </w:rPr>
        <w:t> </w:t>
      </w:r>
      <w:r>
        <w:rPr/>
        <w:t>was</w:t>
      </w:r>
      <w:r>
        <w:rPr>
          <w:spacing w:val="-6"/>
        </w:rPr>
        <w:t> </w:t>
      </w:r>
      <w:r>
        <w:rPr/>
        <w:t>established</w:t>
      </w:r>
      <w:r>
        <w:rPr>
          <w:spacing w:val="-3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9"/>
        </w:rPr>
        <w:t> </w:t>
      </w:r>
      <w:r>
        <w:rPr/>
        <w:t>government</w:t>
      </w:r>
      <w:r>
        <w:rPr>
          <w:spacing w:val="-52"/>
        </w:rPr>
        <w:t> </w:t>
      </w:r>
      <w:r>
        <w:rPr/>
        <w:t>in 1894 (Ruru, 2004). In the revision of its identity as ‘a park for all New Zealanders’, the first official</w:t>
      </w:r>
      <w:r>
        <w:rPr>
          <w:spacing w:val="-52"/>
        </w:rPr>
        <w:t> </w:t>
      </w:r>
      <w:r>
        <w:rPr/>
        <w:t>guidebook</w:t>
      </w:r>
      <w:r>
        <w:rPr>
          <w:spacing w:val="2"/>
        </w:rPr>
        <w:t> </w:t>
      </w:r>
      <w:r>
        <w:rPr/>
        <w:t>(1927, in</w:t>
      </w:r>
      <w:r>
        <w:rPr>
          <w:spacing w:val="-2"/>
        </w:rPr>
        <w:t> </w:t>
      </w:r>
      <w:r>
        <w:rPr/>
        <w:t>Walliss,</w:t>
      </w:r>
      <w:r>
        <w:rPr>
          <w:spacing w:val="-1"/>
        </w:rPr>
        <w:t> </w:t>
      </w:r>
      <w:r>
        <w:rPr/>
        <w:t>2013)</w:t>
      </w:r>
      <w:r>
        <w:rPr>
          <w:spacing w:val="-4"/>
        </w:rPr>
        <w:t> </w:t>
      </w:r>
      <w:r>
        <w:rPr/>
        <w:t>defines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park solely by</w:t>
      </w:r>
      <w:r>
        <w:rPr>
          <w:spacing w:val="1"/>
        </w:rPr>
        <w:t> </w:t>
      </w:r>
      <w:r>
        <w:rPr/>
        <w:t>the</w:t>
      </w:r>
      <w:r>
        <w:rPr>
          <w:spacing w:val="-3"/>
        </w:rPr>
        <w:t> </w:t>
      </w:r>
      <w:r>
        <w:rPr/>
        <w:t>natural</w:t>
      </w:r>
      <w:r>
        <w:rPr>
          <w:spacing w:val="-2"/>
        </w:rPr>
        <w:t> </w:t>
      </w:r>
      <w:r>
        <w:rPr/>
        <w:t>wilderness.</w:t>
      </w:r>
      <w:r>
        <w:rPr>
          <w:spacing w:val="-1"/>
        </w:rPr>
        <w:t> </w:t>
      </w:r>
      <w:r>
        <w:rPr/>
        <w:t>No</w:t>
      </w:r>
    </w:p>
    <w:p>
      <w:pPr>
        <w:spacing w:after="0" w:line="360" w:lineRule="auto"/>
        <w:sectPr>
          <w:pgSz w:w="11910" w:h="16840"/>
          <w:pgMar w:header="0" w:footer="998" w:top="1580" w:bottom="1180" w:left="1340" w:right="1340"/>
        </w:sectPr>
      </w:pPr>
    </w:p>
    <w:p>
      <w:pPr>
        <w:pStyle w:val="BodyText"/>
        <w:spacing w:line="360" w:lineRule="auto" w:before="63"/>
        <w:ind w:left="100" w:right="166"/>
      </w:pPr>
      <w:r>
        <w:rPr/>
        <w:t>acknowledgement is given to the space as a Maori place of culture, despite first recordings describing</w:t>
      </w:r>
      <w:r>
        <w:rPr>
          <w:spacing w:val="-52"/>
        </w:rPr>
        <w:t> </w:t>
      </w:r>
      <w:r>
        <w:rPr/>
        <w:t>a Maori ‘cultural landscape’. As such, the Maori peoples and their histories were written out of the</w:t>
      </w:r>
      <w:r>
        <w:rPr>
          <w:spacing w:val="1"/>
        </w:rPr>
        <w:t> </w:t>
      </w:r>
      <w:r>
        <w:rPr/>
        <w:t>identity of the park. Further instituting the parks’ ‘wilderness’, the National Parks Act 1952 insists</w:t>
      </w:r>
      <w:r>
        <w:rPr>
          <w:spacing w:val="1"/>
        </w:rPr>
        <w:t> </w:t>
      </w:r>
      <w:r>
        <w:rPr/>
        <w:t>that the space “be kept and maintained in a state of nature” (Walliss, 2013, p.283), a state in which it</w:t>
      </w:r>
      <w:r>
        <w:rPr>
          <w:spacing w:val="1"/>
        </w:rPr>
        <w:t> </w:t>
      </w:r>
      <w:r>
        <w:rPr/>
        <w:t>is</w:t>
      </w:r>
      <w:r>
        <w:rPr>
          <w:spacing w:val="-2"/>
        </w:rPr>
        <w:t> </w:t>
      </w:r>
      <w:r>
        <w:rPr/>
        <w:t>not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</w:t>
      </w:r>
      <w:r>
        <w:rPr/>
        <w:t>never</w:t>
      </w:r>
      <w:r>
        <w:rPr>
          <w:spacing w:val="-1"/>
        </w:rPr>
        <w:t> </w:t>
      </w:r>
      <w:r>
        <w:rPr/>
        <w:t>has</w:t>
      </w:r>
      <w:r>
        <w:rPr>
          <w:spacing w:val="-1"/>
        </w:rPr>
        <w:t> </w:t>
      </w:r>
      <w:r>
        <w:rPr/>
        <w:t>been</w:t>
      </w:r>
      <w:r>
        <w:rPr>
          <w:spacing w:val="2"/>
        </w:rPr>
        <w:t> </w:t>
      </w:r>
      <w:r>
        <w:rPr/>
        <w:t>occupied.</w:t>
      </w:r>
    </w:p>
    <w:p>
      <w:pPr>
        <w:pStyle w:val="BodyText"/>
        <w:spacing w:before="11"/>
        <w:rPr>
          <w:sz w:val="32"/>
        </w:rPr>
      </w:pPr>
    </w:p>
    <w:p>
      <w:pPr>
        <w:pStyle w:val="BodyText"/>
        <w:spacing w:line="360" w:lineRule="auto"/>
        <w:ind w:left="100" w:right="166"/>
      </w:pPr>
      <w:r>
        <w:rPr/>
        <w:t>More recently, following the establishment of the Treaty Tribunal, the 1987 Conservation Act,</w:t>
      </w:r>
      <w:r>
        <w:rPr>
          <w:spacing w:val="1"/>
        </w:rPr>
        <w:t> </w:t>
      </w:r>
      <w:r>
        <w:rPr/>
        <w:t>established the Department of Conservation (DOC) as the government body charged with the park’s</w:t>
      </w:r>
      <w:r>
        <w:rPr>
          <w:spacing w:val="1"/>
        </w:rPr>
        <w:t> </w:t>
      </w:r>
      <w:r>
        <w:rPr/>
        <w:t>management. Its governance “should give effect to the principles of the Treaty of Waitangi (Ruru,</w:t>
      </w:r>
      <w:r>
        <w:rPr>
          <w:spacing w:val="1"/>
        </w:rPr>
        <w:t> </w:t>
      </w:r>
      <w:r>
        <w:rPr/>
        <w:t>2004, p.246) and in doing so, DOC was tasked with collaboratively managing the park through</w:t>
      </w:r>
      <w:r>
        <w:rPr>
          <w:spacing w:val="1"/>
        </w:rPr>
        <w:t> </w:t>
      </w:r>
      <w:r>
        <w:rPr/>
        <w:t>consultation</w:t>
      </w:r>
      <w:r>
        <w:rPr>
          <w:spacing w:val="-2"/>
        </w:rPr>
        <w:t> </w:t>
      </w:r>
      <w:r>
        <w:rPr/>
        <w:t>with</w:t>
      </w:r>
      <w:r>
        <w:rPr>
          <w:spacing w:val="1"/>
        </w:rPr>
        <w:t> </w:t>
      </w:r>
      <w:r>
        <w:rPr/>
        <w:t>Maori</w:t>
      </w:r>
      <w:r>
        <w:rPr>
          <w:spacing w:val="-4"/>
        </w:rPr>
        <w:t> </w:t>
      </w:r>
      <w:r>
        <w:rPr/>
        <w:t>groups</w:t>
      </w:r>
      <w:r>
        <w:rPr>
          <w:spacing w:val="-3"/>
        </w:rPr>
        <w:t> </w:t>
      </w:r>
      <w:r>
        <w:rPr/>
        <w:t>(Ruru,</w:t>
      </w:r>
      <w:r>
        <w:rPr>
          <w:spacing w:val="-6"/>
        </w:rPr>
        <w:t> </w:t>
      </w:r>
      <w:r>
        <w:rPr/>
        <w:t>2004).</w:t>
      </w:r>
      <w:r>
        <w:rPr>
          <w:spacing w:val="-8"/>
        </w:rPr>
        <w:t> </w:t>
      </w:r>
      <w:r>
        <w:rPr/>
        <w:t>However,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Treaty</w:t>
      </w:r>
      <w:r>
        <w:rPr>
          <w:spacing w:val="-2"/>
        </w:rPr>
        <w:t> </w:t>
      </w:r>
      <w:r>
        <w:rPr/>
        <w:t>Tribunal</w:t>
      </w:r>
      <w:r>
        <w:rPr>
          <w:spacing w:val="-4"/>
        </w:rPr>
        <w:t> </w:t>
      </w:r>
      <w:r>
        <w:rPr/>
        <w:t>found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DOC</w:t>
      </w:r>
      <w:r>
        <w:rPr>
          <w:spacing w:val="-9"/>
        </w:rPr>
        <w:t> </w:t>
      </w:r>
      <w:r>
        <w:rPr/>
        <w:t>in</w:t>
      </w:r>
      <w:r>
        <w:rPr>
          <w:spacing w:val="-1"/>
        </w:rPr>
        <w:t> </w:t>
      </w:r>
      <w:r>
        <w:rPr/>
        <w:t>breach</w:t>
      </w:r>
      <w:r>
        <w:rPr>
          <w:spacing w:val="-52"/>
        </w:rPr>
        <w:t> </w:t>
      </w:r>
      <w:r>
        <w:rPr/>
        <w:t>of its duties and so in settlement with the Maori claimants cultural, legal and financial redress was</w:t>
      </w:r>
      <w:r>
        <w:rPr>
          <w:spacing w:val="1"/>
        </w:rPr>
        <w:t> </w:t>
      </w:r>
      <w:r>
        <w:rPr/>
        <w:t>recommended. As such, the government must formally apologise for perpetuating the myth of ‘the</w:t>
      </w:r>
      <w:r>
        <w:rPr>
          <w:spacing w:val="1"/>
        </w:rPr>
        <w:t> </w:t>
      </w:r>
      <w:r>
        <w:rPr/>
        <w:t>gift of Tongariro ownership’; control of the park is to be moved from Department of Conservation to</w:t>
      </w:r>
      <w:r>
        <w:rPr>
          <w:spacing w:val="1"/>
        </w:rPr>
        <w:t> </w:t>
      </w:r>
      <w:r>
        <w:rPr/>
        <w:t>a new statutory body of Crown and iwi representatives along with new title held jointly by local iwi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</w:t>
      </w:r>
      <w:r>
        <w:rPr/>
        <w:t>government,</w:t>
      </w:r>
      <w:r>
        <w:rPr>
          <w:spacing w:val="-4"/>
        </w:rPr>
        <w:t> </w:t>
      </w:r>
      <w:r>
        <w:rPr/>
        <w:t>and</w:t>
      </w:r>
      <w:r>
        <w:rPr>
          <w:spacing w:val="-2"/>
        </w:rPr>
        <w:t> </w:t>
      </w:r>
      <w:r>
        <w:rPr/>
        <w:t>financial</w:t>
      </w:r>
      <w:r>
        <w:rPr>
          <w:spacing w:val="-1"/>
        </w:rPr>
        <w:t> </w:t>
      </w:r>
      <w:r>
        <w:rPr/>
        <w:t>settlement</w:t>
      </w:r>
      <w:r>
        <w:rPr>
          <w:spacing w:val="-2"/>
        </w:rPr>
        <w:t> </w:t>
      </w:r>
      <w:r>
        <w:rPr/>
        <w:t>was</w:t>
      </w:r>
      <w:r>
        <w:rPr>
          <w:spacing w:val="-1"/>
        </w:rPr>
        <w:t> </w:t>
      </w:r>
      <w:r>
        <w:rPr/>
        <w:t>administered.</w:t>
      </w:r>
    </w:p>
    <w:p>
      <w:pPr>
        <w:pStyle w:val="BodyText"/>
        <w:spacing w:before="1"/>
        <w:rPr>
          <w:sz w:val="35"/>
        </w:rPr>
      </w:pPr>
    </w:p>
    <w:p>
      <w:pPr>
        <w:pStyle w:val="Heading2"/>
        <w:spacing w:before="0"/>
      </w:pPr>
      <w:r>
        <w:rPr/>
        <w:t>World</w:t>
      </w:r>
      <w:r>
        <w:rPr>
          <w:spacing w:val="-4"/>
        </w:rPr>
        <w:t> </w:t>
      </w:r>
      <w:r>
        <w:rPr/>
        <w:t>Heritage Nomination -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Promise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line="360" w:lineRule="auto" w:before="220"/>
        <w:ind w:left="100" w:right="404"/>
      </w:pPr>
      <w:r>
        <w:rPr/>
        <w:t>Initially</w:t>
      </w:r>
      <w:r>
        <w:rPr>
          <w:spacing w:val="-3"/>
        </w:rPr>
        <w:t> </w:t>
      </w:r>
      <w:r>
        <w:rPr/>
        <w:t>submitted</w:t>
      </w:r>
      <w:r>
        <w:rPr>
          <w:spacing w:val="-2"/>
        </w:rPr>
        <w:t> </w:t>
      </w:r>
      <w:r>
        <w:rPr/>
        <w:t>as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site</w:t>
      </w:r>
      <w:r>
        <w:rPr>
          <w:spacing w:val="-5"/>
        </w:rPr>
        <w:t> </w:t>
      </w:r>
      <w:r>
        <w:rPr/>
        <w:t>of</w:t>
      </w:r>
      <w:r>
        <w:rPr>
          <w:spacing w:val="-4"/>
        </w:rPr>
        <w:t> </w:t>
      </w:r>
      <w:r>
        <w:rPr/>
        <w:t>‘mixed’</w:t>
      </w:r>
      <w:r>
        <w:rPr>
          <w:spacing w:val="-9"/>
        </w:rPr>
        <w:t> </w:t>
      </w:r>
      <w:r>
        <w:rPr/>
        <w:t>natural</w:t>
      </w:r>
      <w:r>
        <w:rPr>
          <w:spacing w:val="-5"/>
        </w:rPr>
        <w:t> </w:t>
      </w:r>
      <w:r>
        <w:rPr/>
        <w:t>and</w:t>
      </w:r>
      <w:r>
        <w:rPr>
          <w:spacing w:val="-2"/>
        </w:rPr>
        <w:t> </w:t>
      </w:r>
      <w:r>
        <w:rPr/>
        <w:t>cultural</w:t>
      </w:r>
      <w:r>
        <w:rPr>
          <w:spacing w:val="-5"/>
        </w:rPr>
        <w:t> </w:t>
      </w:r>
      <w:r>
        <w:rPr/>
        <w:t>criteria,</w:t>
      </w:r>
      <w:r>
        <w:rPr>
          <w:spacing w:val="-3"/>
        </w:rPr>
        <w:t> </w:t>
      </w:r>
      <w:r>
        <w:rPr/>
        <w:t>Tongariro</w:t>
      </w:r>
      <w:r>
        <w:rPr>
          <w:spacing w:val="-2"/>
        </w:rPr>
        <w:t> </w:t>
      </w:r>
      <w:r>
        <w:rPr/>
        <w:t>National</w:t>
      </w:r>
      <w:r>
        <w:rPr>
          <w:spacing w:val="-5"/>
        </w:rPr>
        <w:t> </w:t>
      </w:r>
      <w:r>
        <w:rPr/>
        <w:t>Park’s</w:t>
      </w:r>
      <w:r>
        <w:rPr>
          <w:spacing w:val="-5"/>
        </w:rPr>
        <w:t> </w:t>
      </w:r>
      <w:r>
        <w:rPr/>
        <w:t>1986</w:t>
      </w:r>
      <w:r>
        <w:rPr>
          <w:spacing w:val="1"/>
        </w:rPr>
        <w:t> </w:t>
      </w:r>
      <w:r>
        <w:rPr/>
        <w:t>nomination dossier maintained the existing national park’s identity as a “natural, pristine volcanic</w:t>
      </w:r>
      <w:r>
        <w:rPr>
          <w:spacing w:val="1"/>
        </w:rPr>
        <w:t> </w:t>
      </w:r>
      <w:r>
        <w:rPr/>
        <w:t>landscape”, excluding any significant reference to the Maori peoples’ cultural relationship with the</w:t>
      </w:r>
      <w:r>
        <w:rPr>
          <w:spacing w:val="-52"/>
        </w:rPr>
        <w:t> </w:t>
      </w:r>
      <w:r>
        <w:rPr/>
        <w:t>land. It was inscribed as ‘natural’ site and the exclusions of its cultural values were so stark that</w:t>
      </w:r>
      <w:r>
        <w:rPr>
          <w:spacing w:val="1"/>
        </w:rPr>
        <w:t> </w:t>
      </w:r>
      <w:r>
        <w:rPr/>
        <w:t>UNESCO’S</w:t>
      </w:r>
      <w:r>
        <w:rPr>
          <w:spacing w:val="-2"/>
        </w:rPr>
        <w:t> </w:t>
      </w:r>
      <w:r>
        <w:rPr/>
        <w:t>cultural</w:t>
      </w:r>
      <w:r>
        <w:rPr>
          <w:spacing w:val="-3"/>
        </w:rPr>
        <w:t> </w:t>
      </w:r>
      <w:r>
        <w:rPr/>
        <w:t>advisory</w:t>
      </w:r>
      <w:r>
        <w:rPr>
          <w:spacing w:val="-5"/>
        </w:rPr>
        <w:t> </w:t>
      </w:r>
      <w:r>
        <w:rPr/>
        <w:t>body</w:t>
      </w:r>
      <w:r>
        <w:rPr>
          <w:spacing w:val="-5"/>
        </w:rPr>
        <w:t> </w:t>
      </w:r>
      <w:r>
        <w:rPr/>
        <w:t>(ICOMOS)</w:t>
      </w:r>
      <w:r>
        <w:rPr>
          <w:spacing w:val="-4"/>
        </w:rPr>
        <w:t> </w:t>
      </w:r>
      <w:r>
        <w:rPr/>
        <w:t>was</w:t>
      </w:r>
      <w:r>
        <w:rPr>
          <w:spacing w:val="-4"/>
        </w:rPr>
        <w:t> </w:t>
      </w:r>
      <w:r>
        <w:rPr/>
        <w:t>absent</w:t>
      </w:r>
      <w:r>
        <w:rPr>
          <w:spacing w:val="-4"/>
        </w:rPr>
        <w:t> </w:t>
      </w:r>
      <w:r>
        <w:rPr/>
        <w:t>from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evaluation.</w:t>
      </w:r>
      <w:r>
        <w:rPr>
          <w:spacing w:val="-2"/>
        </w:rPr>
        <w:t> </w:t>
      </w:r>
      <w:r>
        <w:rPr/>
        <w:t>(Palmer,</w:t>
      </w:r>
      <w:r>
        <w:rPr>
          <w:spacing w:val="-2"/>
        </w:rPr>
        <w:t> </w:t>
      </w:r>
      <w:r>
        <w:rPr/>
        <w:t>2018).</w:t>
      </w:r>
    </w:p>
    <w:p>
      <w:pPr>
        <w:pStyle w:val="BodyText"/>
        <w:rPr>
          <w:sz w:val="33"/>
        </w:rPr>
      </w:pPr>
    </w:p>
    <w:p>
      <w:pPr>
        <w:pStyle w:val="BodyText"/>
        <w:spacing w:line="360" w:lineRule="auto"/>
        <w:ind w:left="100" w:right="172"/>
      </w:pPr>
      <w:r>
        <w:rPr/>
        <w:t>Seven years of deliberations followed in which the Aotearoa-New Zealand government found a</w:t>
      </w:r>
      <w:r>
        <w:rPr>
          <w:spacing w:val="1"/>
        </w:rPr>
        <w:t> </w:t>
      </w:r>
      <w:r>
        <w:rPr/>
        <w:t>satisfactory way to articulate the cultural significance of Tongariro National Park to UNESCO. To do</w:t>
      </w:r>
      <w:r>
        <w:rPr>
          <w:spacing w:val="-52"/>
        </w:rPr>
        <w:t> </w:t>
      </w:r>
      <w:r>
        <w:rPr/>
        <w:t>so, the government invited contributions to the nomination from iwi groups, the Paramount Chief of</w:t>
      </w:r>
      <w:r>
        <w:rPr>
          <w:spacing w:val="1"/>
        </w:rPr>
        <w:t> </w:t>
      </w:r>
      <w:r>
        <w:rPr/>
        <w:t>Ngati Tuwharetoa, and the Tuwharetoa Maori Trust Board. It also supplemented and augmented its</w:t>
      </w:r>
      <w:r>
        <w:rPr>
          <w:spacing w:val="1"/>
        </w:rPr>
        <w:t> </w:t>
      </w:r>
      <w:r>
        <w:rPr/>
        <w:t>historical and scientific texts with symbols, stories and use of the Maori language. These ‘hybrid</w:t>
      </w:r>
      <w:r>
        <w:rPr>
          <w:spacing w:val="1"/>
        </w:rPr>
        <w:t> </w:t>
      </w:r>
      <w:r>
        <w:rPr/>
        <w:t>maps’ documented scientific values and Maori spiritual values and ways of knowing. As such, they</w:t>
      </w:r>
      <w:r>
        <w:rPr>
          <w:spacing w:val="1"/>
        </w:rPr>
        <w:t> </w:t>
      </w:r>
      <w:r>
        <w:rPr/>
        <w:t>sought to complement each other through the inclusion of Maori origin stories and ancestral journeys</w:t>
      </w:r>
      <w:r>
        <w:rPr>
          <w:spacing w:val="-52"/>
        </w:rPr>
        <w:t> </w:t>
      </w:r>
      <w:r>
        <w:rPr/>
        <w:t>along with scientific vegetation categories and topographic maps. Rectifying the previous omission,</w:t>
      </w:r>
      <w:r>
        <w:rPr>
          <w:spacing w:val="1"/>
        </w:rPr>
        <w:t> </w:t>
      </w:r>
      <w:r>
        <w:rPr/>
        <w:t>these representations were placed ‘front and centre’ of the document (Palmer, 2018). This resulted in</w:t>
      </w:r>
      <w:r>
        <w:rPr>
          <w:spacing w:val="1"/>
        </w:rPr>
        <w:t> </w:t>
      </w:r>
      <w:r>
        <w:rPr/>
        <w:t>the</w:t>
      </w:r>
      <w:r>
        <w:rPr>
          <w:spacing w:val="-2"/>
        </w:rPr>
        <w:t> </w:t>
      </w:r>
      <w:r>
        <w:rPr/>
        <w:t>nomination</w:t>
      </w:r>
      <w:r>
        <w:rPr>
          <w:spacing w:val="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first</w:t>
      </w:r>
      <w:r>
        <w:rPr>
          <w:spacing w:val="-2"/>
        </w:rPr>
        <w:t> </w:t>
      </w:r>
      <w:r>
        <w:rPr/>
        <w:t>World</w:t>
      </w:r>
      <w:r>
        <w:rPr>
          <w:spacing w:val="2"/>
        </w:rPr>
        <w:t> </w:t>
      </w:r>
      <w:r>
        <w:rPr/>
        <w:t>Heritage</w:t>
      </w:r>
      <w:r>
        <w:rPr>
          <w:spacing w:val="-2"/>
        </w:rPr>
        <w:t> </w:t>
      </w:r>
      <w:r>
        <w:rPr/>
        <w:t>cultural</w:t>
      </w:r>
      <w:r>
        <w:rPr>
          <w:spacing w:val="-1"/>
        </w:rPr>
        <w:t> </w:t>
      </w:r>
      <w:r>
        <w:rPr/>
        <w:t>landscape.</w:t>
      </w:r>
    </w:p>
    <w:p>
      <w:pPr>
        <w:spacing w:after="0" w:line="360" w:lineRule="auto"/>
        <w:sectPr>
          <w:pgSz w:w="11910" w:h="16840"/>
          <w:pgMar w:header="0" w:footer="998" w:top="1360" w:bottom="1180" w:left="1340" w:right="1340"/>
        </w:sectPr>
      </w:pPr>
    </w:p>
    <w:p>
      <w:pPr>
        <w:pStyle w:val="Heading2"/>
        <w:spacing w:before="64"/>
      </w:pPr>
      <w:r>
        <w:rPr/>
        <w:t>World</w:t>
      </w:r>
      <w:r>
        <w:rPr>
          <w:spacing w:val="-5"/>
        </w:rPr>
        <w:t> </w:t>
      </w:r>
      <w:r>
        <w:rPr/>
        <w:t>Heritage</w:t>
      </w:r>
      <w:r>
        <w:rPr>
          <w:spacing w:val="-1"/>
        </w:rPr>
        <w:t> </w:t>
      </w:r>
      <w:r>
        <w:rPr/>
        <w:t>Management -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Actuality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7"/>
        <w:rPr>
          <w:b/>
          <w:sz w:val="23"/>
        </w:rPr>
      </w:pPr>
    </w:p>
    <w:p>
      <w:pPr>
        <w:pStyle w:val="BodyText"/>
        <w:spacing w:line="360" w:lineRule="auto"/>
        <w:ind w:left="100" w:right="113"/>
      </w:pPr>
      <w:r>
        <w:rPr/>
        <w:t>The nomination’s emphasis of Tongariro’s cultural values </w:t>
      </w:r>
      <w:r>
        <w:rPr>
          <w:i/>
        </w:rPr>
        <w:t>i.e., </w:t>
      </w:r>
      <w:r>
        <w:rPr/>
        <w:t>intangible spiritual and cultural</w:t>
      </w:r>
      <w:r>
        <w:rPr>
          <w:spacing w:val="1"/>
        </w:rPr>
        <w:t> </w:t>
      </w:r>
      <w:r>
        <w:rPr/>
        <w:t>elements, alongside the material, tangible, signified its Outstanding Universal Value and justified its</w:t>
      </w:r>
      <w:r>
        <w:rPr>
          <w:spacing w:val="1"/>
        </w:rPr>
        <w:t> </w:t>
      </w:r>
      <w:r>
        <w:rPr/>
        <w:t>inclusion</w:t>
      </w:r>
      <w:r>
        <w:rPr>
          <w:spacing w:val="4"/>
        </w:rPr>
        <w:t> </w:t>
      </w:r>
      <w:r>
        <w:rPr/>
        <w:t>in</w:t>
      </w:r>
      <w:r>
        <w:rPr>
          <w:spacing w:val="5"/>
        </w:rPr>
        <w:t> </w:t>
      </w:r>
      <w:r>
        <w:rPr/>
        <w:t>the</w:t>
      </w:r>
      <w:r>
        <w:rPr>
          <w:spacing w:val="2"/>
        </w:rPr>
        <w:t> </w:t>
      </w:r>
      <w:r>
        <w:rPr/>
        <w:t>World</w:t>
      </w:r>
      <w:r>
        <w:rPr>
          <w:spacing w:val="4"/>
        </w:rPr>
        <w:t> </w:t>
      </w:r>
      <w:r>
        <w:rPr/>
        <w:t>Heritage</w:t>
      </w:r>
      <w:r>
        <w:rPr>
          <w:spacing w:val="2"/>
        </w:rPr>
        <w:t> </w:t>
      </w:r>
      <w:r>
        <w:rPr/>
        <w:t>list.</w:t>
      </w:r>
      <w:r>
        <w:rPr>
          <w:spacing w:val="4"/>
        </w:rPr>
        <w:t> </w:t>
      </w:r>
      <w:r>
        <w:rPr/>
        <w:t>The</w:t>
      </w:r>
      <w:r>
        <w:rPr>
          <w:spacing w:val="2"/>
        </w:rPr>
        <w:t> </w:t>
      </w:r>
      <w:r>
        <w:rPr/>
        <w:t>accommodation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multiple</w:t>
      </w:r>
      <w:r>
        <w:rPr>
          <w:spacing w:val="2"/>
        </w:rPr>
        <w:t> </w:t>
      </w:r>
      <w:r>
        <w:rPr/>
        <w:t>worldviews</w:t>
      </w:r>
      <w:r>
        <w:rPr>
          <w:spacing w:val="2"/>
        </w:rPr>
        <w:t> </w:t>
      </w:r>
      <w:r>
        <w:rPr/>
        <w:t>set</w:t>
      </w:r>
      <w:r>
        <w:rPr>
          <w:spacing w:val="2"/>
        </w:rPr>
        <w:t> </w:t>
      </w:r>
      <w:r>
        <w:rPr/>
        <w:t>an</w:t>
      </w:r>
      <w:r>
        <w:rPr>
          <w:spacing w:val="5"/>
        </w:rPr>
        <w:t> </w:t>
      </w:r>
      <w:r>
        <w:rPr/>
        <w:t>expectation</w:t>
      </w:r>
      <w:r>
        <w:rPr>
          <w:spacing w:val="1"/>
        </w:rPr>
        <w:t> </w:t>
      </w:r>
      <w:r>
        <w:rPr/>
        <w:t>on the ‘new way forward’ for heritage definitions and practices (Rossler, 2006). This plurality,</w:t>
      </w:r>
      <w:r>
        <w:rPr>
          <w:spacing w:val="1"/>
        </w:rPr>
        <w:t> </w:t>
      </w:r>
      <w:r>
        <w:rPr/>
        <w:t>however, did not translate to Tongariro National Park’s Management Plan (Wallace, 2014). Wallace</w:t>
      </w:r>
      <w:r>
        <w:rPr>
          <w:spacing w:val="1"/>
        </w:rPr>
        <w:t> </w:t>
      </w:r>
      <w:r>
        <w:rPr/>
        <w:t>(2104) observes that the DOC makes no reference in the management document to the spiritual or</w:t>
      </w:r>
      <w:r>
        <w:rPr>
          <w:spacing w:val="1"/>
        </w:rPr>
        <w:t> </w:t>
      </w:r>
      <w:r>
        <w:rPr/>
        <w:t>religious</w:t>
      </w:r>
      <w:r>
        <w:rPr>
          <w:spacing w:val="-5"/>
        </w:rPr>
        <w:t> </w:t>
      </w:r>
      <w:r>
        <w:rPr/>
        <w:t>dimensions</w:t>
      </w:r>
      <w:r>
        <w:rPr>
          <w:spacing w:val="-4"/>
        </w:rPr>
        <w:t> </w:t>
      </w:r>
      <w:r>
        <w:rPr/>
        <w:t>which</w:t>
      </w:r>
      <w:r>
        <w:rPr>
          <w:spacing w:val="-6"/>
        </w:rPr>
        <w:t> </w:t>
      </w:r>
      <w:r>
        <w:rPr/>
        <w:t>were</w:t>
      </w:r>
      <w:r>
        <w:rPr>
          <w:spacing w:val="-4"/>
        </w:rPr>
        <w:t> </w:t>
      </w:r>
      <w:r>
        <w:rPr/>
        <w:t>key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5"/>
        </w:rPr>
        <w:t> </w:t>
      </w:r>
      <w:r>
        <w:rPr/>
        <w:t>site’s</w:t>
      </w:r>
      <w:r>
        <w:rPr>
          <w:spacing w:val="-4"/>
        </w:rPr>
        <w:t> </w:t>
      </w:r>
      <w:r>
        <w:rPr/>
        <w:t>inscription.</w:t>
      </w:r>
      <w:r>
        <w:rPr>
          <w:spacing w:val="-3"/>
        </w:rPr>
        <w:t> </w:t>
      </w:r>
      <w:r>
        <w:rPr/>
        <w:t>Where</w:t>
      </w:r>
      <w:r>
        <w:rPr>
          <w:spacing w:val="-4"/>
        </w:rPr>
        <w:t> </w:t>
      </w:r>
      <w:r>
        <w:rPr/>
        <w:t>there</w:t>
      </w:r>
      <w:r>
        <w:rPr>
          <w:spacing w:val="-5"/>
        </w:rPr>
        <w:t> </w:t>
      </w:r>
      <w:r>
        <w:rPr/>
        <w:t>is</w:t>
      </w:r>
      <w:r>
        <w:rPr>
          <w:spacing w:val="-4"/>
        </w:rPr>
        <w:t> </w:t>
      </w:r>
      <w:r>
        <w:rPr/>
        <w:t>reference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/>
        <w:t>‘culture’</w:t>
      </w:r>
      <w:r>
        <w:rPr>
          <w:spacing w:val="-4"/>
        </w:rPr>
        <w:t> </w:t>
      </w:r>
      <w:r>
        <w:rPr/>
        <w:t>it</w:t>
      </w:r>
      <w:r>
        <w:rPr>
          <w:spacing w:val="-5"/>
        </w:rPr>
        <w:t> </w:t>
      </w:r>
      <w:r>
        <w:rPr/>
        <w:t>is</w:t>
      </w:r>
      <w:r>
        <w:rPr>
          <w:spacing w:val="1"/>
        </w:rPr>
        <w:t> </w:t>
      </w:r>
      <w:r>
        <w:rPr/>
        <w:t>constrained to a distinct section on ‘Maori Heritage’, a significant change in focus to the ‘front and</w:t>
      </w:r>
      <w:r>
        <w:rPr>
          <w:spacing w:val="1"/>
        </w:rPr>
        <w:t> </w:t>
      </w:r>
      <w:r>
        <w:rPr/>
        <w:t>centre’ presentation in the nomination dossier. The section on ‘Park Heritage’ is articulated through</w:t>
      </w:r>
      <w:r>
        <w:rPr>
          <w:spacing w:val="1"/>
        </w:rPr>
        <w:t> </w:t>
      </w:r>
      <w:r>
        <w:rPr/>
        <w:t>‘European’ heritage values and</w:t>
      </w:r>
      <w:r>
        <w:rPr>
          <w:spacing w:val="4"/>
        </w:rPr>
        <w:t> </w:t>
      </w:r>
      <w:r>
        <w:rPr/>
        <w:t>history</w:t>
      </w:r>
      <w:r>
        <w:rPr>
          <w:spacing w:val="-1"/>
        </w:rPr>
        <w:t> </w:t>
      </w:r>
      <w:r>
        <w:rPr/>
        <w:t>of the</w:t>
      </w:r>
      <w:r>
        <w:rPr>
          <w:spacing w:val="-3"/>
        </w:rPr>
        <w:t> </w:t>
      </w:r>
      <w:r>
        <w:rPr/>
        <w:t>park’s infrastructure</w:t>
      </w:r>
      <w:r>
        <w:rPr>
          <w:spacing w:val="4"/>
        </w:rPr>
        <w:t> </w:t>
      </w:r>
      <w:r>
        <w:rPr/>
        <w:t>and</w:t>
      </w:r>
      <w:r>
        <w:rPr>
          <w:spacing w:val="4"/>
        </w:rPr>
        <w:t> </w:t>
      </w:r>
      <w:r>
        <w:rPr/>
        <w:t>as such</w:t>
      </w:r>
      <w:r>
        <w:rPr>
          <w:spacing w:val="3"/>
        </w:rPr>
        <w:t> </w:t>
      </w:r>
      <w:r>
        <w:rPr/>
        <w:t>it maintains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national park’s identity as still aligned with its ‘European’ history. Additionally, in a statement</w:t>
      </w:r>
      <w:r>
        <w:rPr>
          <w:spacing w:val="1"/>
        </w:rPr>
        <w:t> </w:t>
      </w:r>
      <w:r>
        <w:rPr/>
        <w:t>regarding its World Heritage status, the management plan claims that: “UNESCO views the park as a</w:t>
      </w:r>
      <w:r>
        <w:rPr>
          <w:spacing w:val="1"/>
        </w:rPr>
        <w:t> </w:t>
      </w:r>
      <w:r>
        <w:rPr/>
        <w:t>stable site</w:t>
      </w:r>
      <w:r>
        <w:rPr>
          <w:spacing w:val="1"/>
        </w:rPr>
        <w:t> </w:t>
      </w:r>
      <w:r>
        <w:rPr/>
        <w:t>in</w:t>
      </w:r>
      <w:r>
        <w:rPr>
          <w:spacing w:val="4"/>
        </w:rPr>
        <w:t> </w:t>
      </w:r>
      <w:r>
        <w:rPr/>
        <w:t>a protective</w:t>
      </w:r>
      <w:r>
        <w:rPr>
          <w:spacing w:val="1"/>
        </w:rPr>
        <w:t> </w:t>
      </w:r>
      <w:r>
        <w:rPr/>
        <w:t>legislative</w:t>
      </w:r>
      <w:r>
        <w:rPr>
          <w:spacing w:val="1"/>
        </w:rPr>
        <w:t> </w:t>
      </w:r>
      <w:r>
        <w:rPr/>
        <w:t>framework</w:t>
      </w:r>
      <w:r>
        <w:rPr>
          <w:spacing w:val="3"/>
        </w:rPr>
        <w:t> </w:t>
      </w:r>
      <w:r>
        <w:rPr/>
        <w:t>capable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having</w:t>
      </w:r>
      <w:r>
        <w:rPr>
          <w:spacing w:val="3"/>
        </w:rPr>
        <w:t> </w:t>
      </w:r>
      <w:r>
        <w:rPr/>
        <w:t>its</w:t>
      </w:r>
      <w:r>
        <w:rPr>
          <w:spacing w:val="1"/>
        </w:rPr>
        <w:t> </w:t>
      </w:r>
      <w:r>
        <w:rPr/>
        <w:t>attributes</w:t>
      </w:r>
      <w:r>
        <w:rPr>
          <w:spacing w:val="1"/>
        </w:rPr>
        <w:t> </w:t>
      </w:r>
      <w:r>
        <w:rPr/>
        <w:t>maintained</w:t>
      </w:r>
      <w:r>
        <w:rPr>
          <w:spacing w:val="3"/>
        </w:rPr>
        <w:t> </w:t>
      </w:r>
      <w:r>
        <w:rPr/>
        <w:t>in</w:t>
      </w:r>
      <w:r>
        <w:rPr>
          <w:spacing w:val="4"/>
        </w:rPr>
        <w:t> </w:t>
      </w:r>
      <w:r>
        <w:rPr/>
        <w:t>a</w:t>
      </w:r>
      <w:r>
        <w:rPr>
          <w:spacing w:val="1"/>
        </w:rPr>
        <w:t> </w:t>
      </w:r>
      <w:r>
        <w:rPr/>
        <w:t>pristine state in perpetuity” (DOC 2006, p. 26, in Wallace, 2014, p.202) at once allowing the</w:t>
      </w:r>
      <w:r>
        <w:rPr>
          <w:spacing w:val="1"/>
        </w:rPr>
        <w:t> </w:t>
      </w:r>
      <w:r>
        <w:rPr/>
        <w:t>continuity of the colonial concept of ‘pristine’ (i.e. untouched) lands and denying the dynamic,</w:t>
      </w:r>
      <w:r>
        <w:rPr>
          <w:spacing w:val="1"/>
        </w:rPr>
        <w:t> </w:t>
      </w:r>
      <w:r>
        <w:rPr/>
        <w:t>evolving</w:t>
      </w:r>
      <w:r>
        <w:rPr>
          <w:spacing w:val="-1"/>
        </w:rPr>
        <w:t> </w:t>
      </w:r>
      <w:r>
        <w:rPr/>
        <w:t>aspects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Maori</w:t>
      </w:r>
      <w:r>
        <w:rPr>
          <w:spacing w:val="-4"/>
        </w:rPr>
        <w:t> </w:t>
      </w:r>
      <w:r>
        <w:rPr/>
        <w:t>culture</w:t>
      </w:r>
      <w:r>
        <w:rPr>
          <w:spacing w:val="-4"/>
        </w:rPr>
        <w:t> </w:t>
      </w:r>
      <w:r>
        <w:rPr/>
        <w:t>and also</w:t>
      </w:r>
      <w:r>
        <w:rPr>
          <w:spacing w:val="-1"/>
        </w:rPr>
        <w:t> </w:t>
      </w:r>
      <w:r>
        <w:rPr/>
        <w:t>intrinsic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principles</w:t>
      </w:r>
      <w:r>
        <w:rPr>
          <w:spacing w:val="-4"/>
        </w:rPr>
        <w:t> </w:t>
      </w:r>
      <w:r>
        <w:rPr/>
        <w:t>UNESCO’s</w:t>
      </w:r>
      <w:r>
        <w:rPr>
          <w:spacing w:val="-3"/>
        </w:rPr>
        <w:t> </w:t>
      </w:r>
      <w:r>
        <w:rPr/>
        <w:t>cultural</w:t>
      </w:r>
      <w:r>
        <w:rPr>
          <w:spacing w:val="-4"/>
        </w:rPr>
        <w:t> </w:t>
      </w:r>
      <w:r>
        <w:rPr/>
        <w:t>landscape.</w:t>
      </w:r>
    </w:p>
    <w:p>
      <w:pPr>
        <w:pStyle w:val="BodyText"/>
        <w:spacing w:line="360" w:lineRule="auto" w:before="168"/>
        <w:ind w:left="100" w:right="111"/>
      </w:pPr>
      <w:r>
        <w:rPr>
          <w:sz w:val="21"/>
        </w:rPr>
        <w:t>While Wallace’s research focussed on the management plan itself, some inferences about its</w:t>
      </w:r>
      <w:r>
        <w:rPr>
          <w:spacing w:val="1"/>
          <w:sz w:val="21"/>
        </w:rPr>
        <w:t> </w:t>
      </w:r>
      <w:r>
        <w:rPr>
          <w:sz w:val="21"/>
        </w:rPr>
        <w:t>implementation can be observed through the park’s own reporting system. For example, an interim </w:t>
      </w:r>
      <w:r>
        <w:rPr/>
        <w:t>report.</w:t>
      </w:r>
      <w:r>
        <w:rPr>
          <w:spacing w:val="1"/>
        </w:rPr>
        <w:t> </w:t>
      </w:r>
      <w:r>
        <w:rPr/>
        <w:t>assessing the status of park management concludes that both Maori and DOC park management were</w:t>
      </w:r>
      <w:r>
        <w:rPr>
          <w:spacing w:val="1"/>
        </w:rPr>
        <w:t> </w:t>
      </w:r>
      <w:r>
        <w:rPr/>
        <w:t>relatively ‘content’ with the joint arrangement (Bayley and Derby, 2004). This is then detailed by way</w:t>
      </w:r>
      <w:r>
        <w:rPr>
          <w:spacing w:val="-52"/>
        </w:rPr>
        <w:t> </w:t>
      </w:r>
      <w:r>
        <w:rPr/>
        <w:t>of example in the dealing with the aftermath of volcanic eruptions in 1995/1996. The eruptions</w:t>
      </w:r>
      <w:r>
        <w:rPr>
          <w:spacing w:val="1"/>
        </w:rPr>
        <w:t> </w:t>
      </w:r>
      <w:r>
        <w:rPr/>
        <w:t>emptied a crater lake and made a destructive mudflow inevitable at some point in the future. To deal</w:t>
      </w:r>
      <w:r>
        <w:rPr>
          <w:spacing w:val="1"/>
        </w:rPr>
        <w:t> </w:t>
      </w:r>
      <w:r>
        <w:rPr/>
        <w:t>with this risk, a balance had to be struck between the views of Ngati Tuwharetoa, for whom the crater</w:t>
      </w:r>
      <w:r>
        <w:rPr>
          <w:spacing w:val="-52"/>
        </w:rPr>
        <w:t> </w:t>
      </w:r>
      <w:r>
        <w:rPr/>
        <w:t>is a traditional burial ground, and an engineering solution that would prevent the mudflow. The</w:t>
      </w:r>
      <w:r>
        <w:rPr>
          <w:spacing w:val="1"/>
        </w:rPr>
        <w:t> </w:t>
      </w:r>
      <w:r>
        <w:rPr/>
        <w:t>decision was made to use a warning system and not intervene with the site. So, while the outcome</w:t>
      </w:r>
      <w:r>
        <w:rPr>
          <w:spacing w:val="1"/>
        </w:rPr>
        <w:t> </w:t>
      </w:r>
      <w:r>
        <w:rPr/>
        <w:t>aligns with the wishes of the Ngati Tuwharetoa it should be observed that other interventions to the</w:t>
      </w:r>
      <w:r>
        <w:rPr>
          <w:spacing w:val="1"/>
        </w:rPr>
        <w:t> </w:t>
      </w:r>
      <w:r>
        <w:rPr/>
        <w:t>debate</w:t>
      </w:r>
      <w:r>
        <w:rPr>
          <w:spacing w:val="-3"/>
        </w:rPr>
        <w:t> </w:t>
      </w:r>
      <w:r>
        <w:rPr/>
        <w:t>included objections</w:t>
      </w:r>
      <w:r>
        <w:rPr>
          <w:spacing w:val="-2"/>
        </w:rPr>
        <w:t> </w:t>
      </w:r>
      <w:r>
        <w:rPr/>
        <w:t>by the</w:t>
      </w:r>
      <w:r>
        <w:rPr>
          <w:spacing w:val="-2"/>
        </w:rPr>
        <w:t> </w:t>
      </w:r>
      <w:r>
        <w:rPr/>
        <w:t>World Heritage</w:t>
      </w:r>
      <w:r>
        <w:rPr>
          <w:spacing w:val="-2"/>
        </w:rPr>
        <w:t> </w:t>
      </w:r>
      <w:r>
        <w:rPr/>
        <w:t>Committee</w:t>
      </w:r>
      <w:r>
        <w:rPr>
          <w:spacing w:val="5"/>
        </w:rPr>
        <w:t> </w:t>
      </w:r>
      <w:r>
        <w:rPr/>
        <w:t>(Bayley and</w:t>
      </w:r>
      <w:r>
        <w:rPr>
          <w:spacing w:val="1"/>
        </w:rPr>
        <w:t> </w:t>
      </w:r>
      <w:r>
        <w:rPr/>
        <w:t>Derby,</w:t>
      </w:r>
      <w:r>
        <w:rPr>
          <w:spacing w:val="-1"/>
        </w:rPr>
        <w:t> </w:t>
      </w:r>
      <w:r>
        <w:rPr/>
        <w:t>2004).</w:t>
      </w:r>
    </w:p>
    <w:p>
      <w:pPr>
        <w:pStyle w:val="BodyText"/>
        <w:rPr>
          <w:sz w:val="24"/>
        </w:rPr>
      </w:pPr>
    </w:p>
    <w:p>
      <w:pPr>
        <w:pStyle w:val="BodyText"/>
        <w:spacing w:before="8"/>
        <w:rPr>
          <w:sz w:val="21"/>
        </w:rPr>
      </w:pPr>
    </w:p>
    <w:p>
      <w:pPr>
        <w:pStyle w:val="Heading1"/>
      </w:pPr>
      <w:r>
        <w:rPr/>
        <w:t>Discussion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3"/>
        <w:rPr>
          <w:b/>
        </w:rPr>
      </w:pPr>
    </w:p>
    <w:p>
      <w:pPr>
        <w:pStyle w:val="BodyText"/>
        <w:spacing w:line="360" w:lineRule="auto"/>
        <w:ind w:left="100" w:right="281"/>
      </w:pPr>
      <w:r>
        <w:rPr/>
        <w:t>The introduction of cultural landscapes into the UNESCO World Heritage portfolio has certainly</w:t>
      </w:r>
      <w:r>
        <w:rPr>
          <w:spacing w:val="1"/>
        </w:rPr>
        <w:t> </w:t>
      </w:r>
      <w:r>
        <w:rPr/>
        <w:t>impacted AHD and has brought into awareness “that sites are not isolated islands, but that they have</w:t>
      </w:r>
      <w:r>
        <w:rPr>
          <w:spacing w:val="-53"/>
        </w:rPr>
        <w:t>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4"/>
        </w:rPr>
        <w:t> </w:t>
      </w:r>
      <w:r>
        <w:rPr/>
        <w:t>seen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ecological</w:t>
      </w:r>
      <w:r>
        <w:rPr>
          <w:spacing w:val="-4"/>
        </w:rPr>
        <w:t> </w:t>
      </w:r>
      <w:r>
        <w:rPr/>
        <w:t>system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their</w:t>
      </w:r>
      <w:r>
        <w:rPr>
          <w:spacing w:val="2"/>
        </w:rPr>
        <w:t> </w:t>
      </w:r>
      <w:r>
        <w:rPr/>
        <w:t>cultural</w:t>
      </w:r>
      <w:r>
        <w:rPr>
          <w:spacing w:val="-4"/>
        </w:rPr>
        <w:t> </w:t>
      </w:r>
      <w:r>
        <w:rPr/>
        <w:t>linkages</w:t>
      </w:r>
      <w:r>
        <w:rPr>
          <w:spacing w:val="-4"/>
        </w:rPr>
        <w:t> </w:t>
      </w:r>
      <w:r>
        <w:rPr/>
        <w:t>in</w:t>
      </w:r>
      <w:r>
        <w:rPr>
          <w:spacing w:val="-2"/>
        </w:rPr>
        <w:t> </w:t>
      </w:r>
      <w:r>
        <w:rPr/>
        <w:t>time</w:t>
      </w:r>
      <w:r>
        <w:rPr>
          <w:spacing w:val="-4"/>
        </w:rPr>
        <w:t> </w:t>
      </w:r>
      <w:r>
        <w:rPr/>
        <w:t>and</w:t>
      </w:r>
      <w:r>
        <w:rPr>
          <w:spacing w:val="-1"/>
        </w:rPr>
        <w:t> </w:t>
      </w:r>
      <w:r>
        <w:rPr/>
        <w:t>space</w:t>
      </w:r>
      <w:r>
        <w:rPr>
          <w:spacing w:val="-5"/>
        </w:rPr>
        <w:t> </w:t>
      </w:r>
      <w:r>
        <w:rPr/>
        <w:t>beyond</w:t>
      </w:r>
      <w:r>
        <w:rPr>
          <w:spacing w:val="-1"/>
        </w:rPr>
        <w:t> </w:t>
      </w:r>
      <w:r>
        <w:rPr/>
        <w:t>single</w:t>
      </w:r>
    </w:p>
    <w:p>
      <w:pPr>
        <w:spacing w:after="0" w:line="360" w:lineRule="auto"/>
        <w:sectPr>
          <w:pgSz w:w="11910" w:h="16840"/>
          <w:pgMar w:header="0" w:footer="998" w:top="1360" w:bottom="1180" w:left="1340" w:right="1340"/>
        </w:sectPr>
      </w:pPr>
    </w:p>
    <w:p>
      <w:pPr>
        <w:pStyle w:val="BodyText"/>
        <w:spacing w:line="360" w:lineRule="auto" w:before="63"/>
        <w:ind w:left="100" w:right="159"/>
      </w:pPr>
      <w:r>
        <w:rPr/>
        <w:t>monuments and strict nature reserves” (Rossler, 2006, p.340). This principle underpins the concept of</w:t>
      </w:r>
      <w:r>
        <w:rPr>
          <w:spacing w:val="-52"/>
        </w:rPr>
        <w:t> </w:t>
      </w:r>
      <w:r>
        <w:rPr/>
        <w:t>‘biocultural heritage’ in an effort to bring together the multiple worldviews that co-exist across</w:t>
      </w:r>
      <w:r>
        <w:rPr>
          <w:spacing w:val="1"/>
        </w:rPr>
        <w:t> </w:t>
      </w:r>
      <w:r>
        <w:rPr/>
        <w:t>societies. However, beyond the contribution to discourse, it is not clear that UNESCO’s cultural</w:t>
      </w:r>
      <w:r>
        <w:rPr>
          <w:spacing w:val="1"/>
        </w:rPr>
        <w:t> </w:t>
      </w:r>
      <w:r>
        <w:rPr/>
        <w:t>landscapes</w:t>
      </w:r>
      <w:r>
        <w:rPr>
          <w:spacing w:val="-1"/>
        </w:rPr>
        <w:t> </w:t>
      </w:r>
      <w:r>
        <w:rPr/>
        <w:t>contribute</w:t>
      </w:r>
      <w:r>
        <w:rPr>
          <w:spacing w:val="-1"/>
        </w:rPr>
        <w:t> </w:t>
      </w:r>
      <w:r>
        <w:rPr/>
        <w:t>in</w:t>
      </w:r>
      <w:r>
        <w:rPr>
          <w:spacing w:val="2"/>
        </w:rPr>
        <w:t> </w:t>
      </w:r>
      <w:r>
        <w:rPr/>
        <w:t>practice.</w:t>
      </w:r>
    </w:p>
    <w:p>
      <w:pPr>
        <w:pStyle w:val="BodyText"/>
        <w:spacing w:line="360" w:lineRule="auto" w:before="158"/>
        <w:ind w:left="100" w:right="201"/>
      </w:pPr>
      <w:r>
        <w:rPr/>
        <w:t>The collaborative management approach between state bodies and Indigenous groups is seen as</w:t>
      </w:r>
      <w:r>
        <w:rPr>
          <w:spacing w:val="1"/>
        </w:rPr>
        <w:t> </w:t>
      </w:r>
      <w:r>
        <w:rPr/>
        <w:t>pivotal to the future of protected area management (Ross et al 2012). However, what becomes clear</w:t>
      </w:r>
      <w:r>
        <w:rPr>
          <w:spacing w:val="1"/>
        </w:rPr>
        <w:t> </w:t>
      </w:r>
      <w:r>
        <w:rPr/>
        <w:t>on closer inspection, is that developing an approach that aligns with Indigenous goals and ways of</w:t>
      </w:r>
      <w:r>
        <w:rPr>
          <w:spacing w:val="1"/>
        </w:rPr>
        <w:t> </w:t>
      </w:r>
      <w:r>
        <w:rPr/>
        <w:t>governing does not necessarily result in its consistent and sustainable implementation. To nominate a</w:t>
      </w:r>
      <w:r>
        <w:rPr>
          <w:spacing w:val="-52"/>
        </w:rPr>
        <w:t> </w:t>
      </w:r>
      <w:r>
        <w:rPr/>
        <w:t>site for official recognition as a cultural landscape, the Operational Guidelines state it is ‘essential’</w:t>
      </w:r>
      <w:r>
        <w:rPr>
          <w:spacing w:val="1"/>
        </w:rPr>
        <w:t> </w:t>
      </w:r>
      <w:r>
        <w:rPr/>
        <w:t>that Indigenous communities are involved in the process such they can ‘share’ responsibility with the</w:t>
      </w:r>
      <w:r>
        <w:rPr>
          <w:spacing w:val="-52"/>
        </w:rPr>
        <w:t> </w:t>
      </w:r>
      <w:r>
        <w:rPr/>
        <w:t>state party. However, only the state party can engage directly with UNESCO and only the state party</w:t>
      </w:r>
      <w:r>
        <w:rPr>
          <w:spacing w:val="-52"/>
        </w:rPr>
        <w:t> </w:t>
      </w:r>
      <w:r>
        <w:rPr/>
        <w:t>submits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final nomination</w:t>
      </w:r>
      <w:r>
        <w:rPr>
          <w:spacing w:val="1"/>
        </w:rPr>
        <w:t> </w:t>
      </w:r>
      <w:r>
        <w:rPr/>
        <w:t>so</w:t>
      </w:r>
      <w:r>
        <w:rPr>
          <w:spacing w:val="-3"/>
        </w:rPr>
        <w:t> </w:t>
      </w:r>
      <w:r>
        <w:rPr/>
        <w:t>this</w:t>
      </w:r>
      <w:r>
        <w:rPr>
          <w:spacing w:val="-2"/>
        </w:rPr>
        <w:t> </w:t>
      </w:r>
      <w:r>
        <w:rPr/>
        <w:t>process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‘sharing’</w:t>
      </w:r>
      <w:r>
        <w:rPr>
          <w:spacing w:val="-2"/>
        </w:rPr>
        <w:t> </w:t>
      </w:r>
      <w:r>
        <w:rPr/>
        <w:t>is,</w:t>
      </w:r>
      <w:r>
        <w:rPr>
          <w:spacing w:val="1"/>
        </w:rPr>
        <w:t> </w:t>
      </w:r>
      <w:r>
        <w:rPr/>
        <w:t>by</w:t>
      </w:r>
      <w:r>
        <w:rPr>
          <w:spacing w:val="-3"/>
        </w:rPr>
        <w:t> </w:t>
      </w:r>
      <w:r>
        <w:rPr/>
        <w:t>definition,</w:t>
      </w:r>
      <w:r>
        <w:rPr>
          <w:spacing w:val="1"/>
        </w:rPr>
        <w:t> </w:t>
      </w:r>
      <w:r>
        <w:rPr/>
        <w:t>inequitable.</w:t>
      </w:r>
    </w:p>
    <w:p>
      <w:pPr>
        <w:pStyle w:val="BodyText"/>
        <w:spacing w:line="360" w:lineRule="auto" w:before="161"/>
        <w:ind w:left="100" w:right="215"/>
      </w:pPr>
      <w:r>
        <w:rPr/>
        <w:t>Once invited to participate in the process, Indigenous groups must comply with UNESCO concepts</w:t>
      </w:r>
      <w:r>
        <w:rPr>
          <w:spacing w:val="1"/>
        </w:rPr>
        <w:t> </w:t>
      </w:r>
      <w:r>
        <w:rPr/>
        <w:t>and systems such as nomination dossiers, management boards, and management plans. While clearly</w:t>
      </w:r>
      <w:r>
        <w:rPr>
          <w:spacing w:val="-52"/>
        </w:rPr>
        <w:t> </w:t>
      </w:r>
      <w:r>
        <w:rPr/>
        <w:t>not beyond the comprehension of other worldviews, these mechanisms may have no use or</w:t>
      </w:r>
      <w:r>
        <w:rPr>
          <w:spacing w:val="1"/>
        </w:rPr>
        <w:t> </w:t>
      </w:r>
      <w:r>
        <w:rPr/>
        <w:t>equivalence there. Yet, they are so familiar and automatic to the non-indigenous parties that it is</w:t>
      </w:r>
      <w:r>
        <w:rPr>
          <w:spacing w:val="1"/>
        </w:rPr>
        <w:t> </w:t>
      </w:r>
      <w:r>
        <w:rPr/>
        <w:t>assumed other knowledge systems can be ‘slotted in’ (Lyver, 2014). The dependence on structured,</w:t>
      </w:r>
      <w:r>
        <w:rPr>
          <w:spacing w:val="1"/>
        </w:rPr>
        <w:t> </w:t>
      </w:r>
      <w:r>
        <w:rPr/>
        <w:t>documented forms fails to account for the orality, non-linearity inherent in many traditional practices</w:t>
      </w:r>
      <w:r>
        <w:rPr>
          <w:spacing w:val="-52"/>
        </w:rPr>
        <w:t> </w:t>
      </w:r>
      <w:r>
        <w:rPr/>
        <w:t>and the insistence on making “the intangible tangible” (Palmer, 2018, p.81) treads closely to</w:t>
      </w:r>
      <w:r>
        <w:rPr>
          <w:spacing w:val="1"/>
        </w:rPr>
        <w:t> </w:t>
      </w:r>
      <w:r>
        <w:rPr/>
        <w:t>assimilations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past.</w:t>
      </w:r>
    </w:p>
    <w:p>
      <w:pPr>
        <w:pStyle w:val="BodyText"/>
        <w:spacing w:line="360" w:lineRule="auto" w:before="161"/>
        <w:ind w:left="100" w:right="153"/>
      </w:pPr>
      <w:r>
        <w:rPr/>
        <w:t>Once nominated, ‘effective’ management is required by UNESCO for which the state party is</w:t>
      </w:r>
      <w:r>
        <w:rPr>
          <w:spacing w:val="1"/>
        </w:rPr>
        <w:t> </w:t>
      </w:r>
      <w:r>
        <w:rPr/>
        <w:t>responsible. But how this effectiveness if defined and evaluated is not articulated and lines of</w:t>
      </w:r>
      <w:r>
        <w:rPr>
          <w:spacing w:val="1"/>
        </w:rPr>
        <w:t> </w:t>
      </w:r>
      <w:r>
        <w:rPr/>
        <w:t>accountability unclear. From the evidence presented above it is difficult to trace positive inputs made</w:t>
      </w:r>
      <w:r>
        <w:rPr>
          <w:spacing w:val="1"/>
        </w:rPr>
        <w:t> </w:t>
      </w:r>
      <w:r>
        <w:rPr/>
        <w:t>by the indigenous contributors through to positive outputs they could expect to receive. Lyver (2104),</w:t>
      </w:r>
      <w:r>
        <w:rPr>
          <w:spacing w:val="-52"/>
        </w:rPr>
        <w:t> </w:t>
      </w:r>
      <w:r>
        <w:rPr/>
        <w:t>explains how in Uluru-Kata Tjuta National Park employment opportunities are made available within</w:t>
      </w:r>
      <w:r>
        <w:rPr>
          <w:spacing w:val="-52"/>
        </w:rPr>
        <w:t> </w:t>
      </w:r>
      <w:r>
        <w:rPr/>
        <w:t>the government’s recruitment processes. Levels of authority increase as job grades increase, with</w:t>
      </w:r>
      <w:r>
        <w:rPr>
          <w:spacing w:val="1"/>
        </w:rPr>
        <w:t> </w:t>
      </w:r>
      <w:r>
        <w:rPr/>
        <w:t>more senior job roles commanding more respect and acquiring influence. However, to enter into this</w:t>
      </w:r>
      <w:r>
        <w:rPr>
          <w:spacing w:val="1"/>
        </w:rPr>
        <w:t> </w:t>
      </w:r>
      <w:r>
        <w:rPr/>
        <w:t>process requires specificity of skills and levels literacy which, after decades of educational</w:t>
      </w:r>
      <w:r>
        <w:rPr>
          <w:spacing w:val="1"/>
        </w:rPr>
        <w:t> </w:t>
      </w:r>
      <w:r>
        <w:rPr/>
        <w:t>impoverishment, social exclusion, and economic disadvantage, are still not available to many</w:t>
      </w:r>
      <w:r>
        <w:rPr>
          <w:spacing w:val="1"/>
        </w:rPr>
        <w:t> </w:t>
      </w:r>
      <w:r>
        <w:rPr/>
        <w:t>Indigenous peoples in Australia. Walliss (2013) observes that for Tongariro, the DOC’s management</w:t>
      </w:r>
      <w:r>
        <w:rPr>
          <w:spacing w:val="1"/>
        </w:rPr>
        <w:t> </w:t>
      </w:r>
      <w:r>
        <w:rPr/>
        <w:t>approach is heavily controlled by the government and hence its priorities are short-term and political.</w:t>
      </w:r>
      <w:r>
        <w:rPr>
          <w:spacing w:val="-52"/>
        </w:rPr>
        <w:t> </w:t>
      </w:r>
      <w:r>
        <w:rPr/>
        <w:t>The Maori peoples now rely on the Tribunal process, outside of the heritage system, to effect the</w:t>
      </w:r>
      <w:r>
        <w:rPr>
          <w:spacing w:val="1"/>
        </w:rPr>
        <w:t> </w:t>
      </w:r>
      <w:r>
        <w:rPr/>
        <w:t>change required to meet their aspirations. And in both cases, little evidence prevails regarding the</w:t>
      </w:r>
      <w:r>
        <w:rPr>
          <w:spacing w:val="1"/>
        </w:rPr>
        <w:t> </w:t>
      </w:r>
      <w:r>
        <w:rPr/>
        <w:t>significance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Indigenous</w:t>
      </w:r>
      <w:r>
        <w:rPr>
          <w:spacing w:val="-2"/>
        </w:rPr>
        <w:t> </w:t>
      </w:r>
      <w:r>
        <w:rPr/>
        <w:t>cultural</w:t>
      </w:r>
      <w:r>
        <w:rPr>
          <w:spacing w:val="-3"/>
        </w:rPr>
        <w:t> </w:t>
      </w:r>
      <w:r>
        <w:rPr/>
        <w:t>values</w:t>
      </w:r>
      <w:r>
        <w:rPr>
          <w:spacing w:val="-3"/>
        </w:rPr>
        <w:t> </w:t>
      </w:r>
      <w:r>
        <w:rPr/>
        <w:t>in</w:t>
      </w:r>
      <w:r>
        <w:rPr>
          <w:spacing w:val="1"/>
        </w:rPr>
        <w:t> </w:t>
      </w:r>
      <w:r>
        <w:rPr/>
        <w:t>the</w:t>
      </w:r>
      <w:r>
        <w:rPr>
          <w:spacing w:val="-3"/>
        </w:rPr>
        <w:t> </w:t>
      </w:r>
      <w:r>
        <w:rPr/>
        <w:t>application to</w:t>
      </w:r>
      <w:r>
        <w:rPr>
          <w:spacing w:val="6"/>
        </w:rPr>
        <w:t> </w:t>
      </w:r>
      <w:r>
        <w:rPr/>
        <w:t>conservation</w:t>
      </w:r>
      <w:r>
        <w:rPr>
          <w:spacing w:val="1"/>
        </w:rPr>
        <w:t> </w:t>
      </w:r>
      <w:r>
        <w:rPr/>
        <w:t>practices.</w:t>
      </w:r>
    </w:p>
    <w:p>
      <w:pPr>
        <w:spacing w:after="0" w:line="360" w:lineRule="auto"/>
        <w:sectPr>
          <w:pgSz w:w="11910" w:h="16840"/>
          <w:pgMar w:header="0" w:footer="998" w:top="1360" w:bottom="1180" w:left="1340" w:right="1340"/>
        </w:sectPr>
      </w:pPr>
    </w:p>
    <w:p>
      <w:pPr>
        <w:pStyle w:val="BodyText"/>
        <w:spacing w:line="360" w:lineRule="auto" w:before="63"/>
        <w:ind w:left="100" w:right="129"/>
      </w:pPr>
      <w:r>
        <w:rPr/>
        <w:t>Therefore, if biocultural heritage is the new framework to be used by heritage practitioners in</w:t>
      </w:r>
      <w:r>
        <w:rPr>
          <w:spacing w:val="1"/>
        </w:rPr>
        <w:t> </w:t>
      </w:r>
      <w:r>
        <w:rPr/>
        <w:t>addressing the current biocultural crises, UNESCO’s cultural landscape is unlikely the appropriate</w:t>
      </w:r>
      <w:r>
        <w:rPr>
          <w:spacing w:val="1"/>
        </w:rPr>
        <w:t> </w:t>
      </w:r>
      <w:r>
        <w:rPr/>
        <w:t>exemplar. The reliance on the nation-state inherent in UNESCO systems means the power imbalances</w:t>
      </w:r>
      <w:r>
        <w:rPr>
          <w:spacing w:val="-52"/>
        </w:rPr>
        <w:t> </w:t>
      </w:r>
      <w:r>
        <w:rPr/>
        <w:t>and political priorities are likely to perpetuate the side-lining and marginalisation of the Indigenous</w:t>
      </w:r>
      <w:r>
        <w:rPr>
          <w:spacing w:val="1"/>
        </w:rPr>
        <w:t> </w:t>
      </w:r>
      <w:r>
        <w:rPr/>
        <w:t>peoples. And</w:t>
      </w:r>
      <w:r>
        <w:rPr>
          <w:spacing w:val="1"/>
        </w:rPr>
        <w:t> </w:t>
      </w:r>
      <w:r>
        <w:rPr/>
        <w:t>these</w:t>
      </w:r>
      <w:r>
        <w:rPr>
          <w:spacing w:val="-1"/>
        </w:rPr>
        <w:t> </w:t>
      </w:r>
      <w:r>
        <w:rPr/>
        <w:t>are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very</w:t>
      </w:r>
      <w:r>
        <w:rPr>
          <w:spacing w:val="4"/>
        </w:rPr>
        <w:t> </w:t>
      </w:r>
      <w:r>
        <w:rPr/>
        <w:t>people</w:t>
      </w:r>
      <w:r>
        <w:rPr>
          <w:spacing w:val="-1"/>
        </w:rPr>
        <w:t> </w:t>
      </w:r>
      <w:r>
        <w:rPr/>
        <w:t>biocultural</w:t>
      </w:r>
      <w:r>
        <w:rPr>
          <w:spacing w:val="-1"/>
        </w:rPr>
        <w:t> </w:t>
      </w:r>
      <w:r>
        <w:rPr/>
        <w:t>heritage</w:t>
      </w:r>
      <w:r>
        <w:rPr>
          <w:spacing w:val="-2"/>
        </w:rPr>
        <w:t> </w:t>
      </w:r>
      <w:r>
        <w:rPr/>
        <w:t>needs.</w:t>
      </w:r>
    </w:p>
    <w:p>
      <w:pPr>
        <w:spacing w:after="0" w:line="360" w:lineRule="auto"/>
        <w:sectPr>
          <w:pgSz w:w="11910" w:h="16840"/>
          <w:pgMar w:header="0" w:footer="998" w:top="1360" w:bottom="1180" w:left="1340" w:right="1340"/>
        </w:sectPr>
      </w:pPr>
    </w:p>
    <w:p>
      <w:pPr>
        <w:pStyle w:val="Heading3"/>
      </w:pPr>
      <w:r>
        <w:rPr/>
        <w:t>Bibliography</w:t>
      </w:r>
    </w:p>
    <w:p>
      <w:pPr>
        <w:pStyle w:val="BodyText"/>
        <w:spacing w:before="11"/>
        <w:rPr>
          <w:b/>
          <w:sz w:val="24"/>
        </w:rPr>
      </w:pPr>
    </w:p>
    <w:p>
      <w:pPr>
        <w:spacing w:line="360" w:lineRule="auto" w:before="0"/>
        <w:ind w:left="552" w:right="283" w:hanging="452"/>
        <w:jc w:val="left"/>
        <w:rPr>
          <w:sz w:val="22"/>
        </w:rPr>
      </w:pPr>
      <w:r>
        <w:rPr>
          <w:sz w:val="22"/>
        </w:rPr>
        <w:t>Adams, M. (2005), "Beyond Yellowstone? Conservation and Indigenous rights in Australia and</w:t>
      </w:r>
      <w:r>
        <w:rPr>
          <w:spacing w:val="1"/>
          <w:sz w:val="22"/>
        </w:rPr>
        <w:t> </w:t>
      </w:r>
      <w:r>
        <w:rPr>
          <w:sz w:val="22"/>
        </w:rPr>
        <w:t>Sweden"</w:t>
      </w:r>
      <w:r>
        <w:rPr>
          <w:i/>
          <w:sz w:val="22"/>
        </w:rPr>
        <w:t>, University of Wollongong Australia, Faculty of Science - Papers (Archive), </w:t>
      </w:r>
      <w:r>
        <w:rPr>
          <w:sz w:val="22"/>
        </w:rPr>
        <w:t>available</w:t>
      </w:r>
      <w:r>
        <w:rPr>
          <w:spacing w:val="-52"/>
          <w:sz w:val="22"/>
        </w:rPr>
        <w:t> </w:t>
      </w:r>
      <w:r>
        <w:rPr>
          <w:sz w:val="22"/>
        </w:rPr>
        <w:t>at:</w:t>
      </w:r>
      <w:r>
        <w:rPr>
          <w:spacing w:val="-2"/>
          <w:sz w:val="22"/>
        </w:rPr>
        <w:t> </w:t>
      </w:r>
      <w:hyperlink r:id="rId6">
        <w:r>
          <w:rPr>
            <w:sz w:val="22"/>
            <w:u w:val="single"/>
          </w:rPr>
          <w:t>https://ro.uow.edu.au/scipapers/27</w:t>
        </w:r>
      </w:hyperlink>
      <w:r>
        <w:rPr>
          <w:sz w:val="22"/>
        </w:rPr>
        <w:t>. (accessed</w:t>
      </w:r>
      <w:r>
        <w:rPr>
          <w:spacing w:val="2"/>
          <w:sz w:val="22"/>
        </w:rPr>
        <w:t> </w:t>
      </w:r>
      <w:r>
        <w:rPr>
          <w:sz w:val="22"/>
        </w:rPr>
        <w:t>Apr</w:t>
      </w:r>
      <w:r>
        <w:rPr>
          <w:spacing w:val="-6"/>
          <w:sz w:val="22"/>
        </w:rPr>
        <w:t> </w:t>
      </w:r>
      <w:r>
        <w:rPr>
          <w:sz w:val="22"/>
        </w:rPr>
        <w:t>30,</w:t>
      </w:r>
      <w:r>
        <w:rPr>
          <w:spacing w:val="-3"/>
          <w:sz w:val="22"/>
        </w:rPr>
        <w:t> </w:t>
      </w:r>
      <w:r>
        <w:rPr>
          <w:sz w:val="22"/>
        </w:rPr>
        <w:t>2021).</w:t>
      </w:r>
    </w:p>
    <w:p>
      <w:pPr>
        <w:spacing w:before="174"/>
        <w:ind w:left="100" w:right="0" w:firstLine="0"/>
        <w:jc w:val="left"/>
        <w:rPr>
          <w:i/>
          <w:sz w:val="22"/>
        </w:rPr>
      </w:pPr>
      <w:r>
        <w:rPr>
          <w:sz w:val="22"/>
        </w:rPr>
        <w:t>Bayley,</w:t>
      </w:r>
      <w:r>
        <w:rPr>
          <w:spacing w:val="-1"/>
          <w:sz w:val="22"/>
        </w:rPr>
        <w:t> </w:t>
      </w:r>
      <w:r>
        <w:rPr>
          <w:sz w:val="22"/>
        </w:rPr>
        <w:t>N.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4"/>
          <w:sz w:val="22"/>
        </w:rPr>
        <w:t> </w:t>
      </w:r>
      <w:r>
        <w:rPr>
          <w:sz w:val="22"/>
        </w:rPr>
        <w:t>Derby,</w:t>
      </w:r>
      <w:r>
        <w:rPr>
          <w:spacing w:val="-2"/>
          <w:sz w:val="22"/>
        </w:rPr>
        <w:t> </w:t>
      </w:r>
      <w:r>
        <w:rPr>
          <w:sz w:val="22"/>
        </w:rPr>
        <w:t>M.</w:t>
      </w:r>
      <w:r>
        <w:rPr>
          <w:spacing w:val="-2"/>
          <w:sz w:val="22"/>
        </w:rPr>
        <w:t> </w:t>
      </w:r>
      <w:r>
        <w:rPr>
          <w:sz w:val="22"/>
        </w:rPr>
        <w:t>(2004)</w:t>
      </w:r>
      <w:r>
        <w:rPr>
          <w:spacing w:val="-2"/>
          <w:sz w:val="22"/>
        </w:rPr>
        <w:t> </w:t>
      </w:r>
      <w:r>
        <w:rPr>
          <w:i/>
          <w:sz w:val="22"/>
        </w:rPr>
        <w:t>Tongariro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National</w:t>
      </w:r>
      <w:r>
        <w:rPr>
          <w:i/>
          <w:spacing w:val="-8"/>
          <w:sz w:val="22"/>
        </w:rPr>
        <w:t> </w:t>
      </w:r>
      <w:r>
        <w:rPr>
          <w:i/>
          <w:sz w:val="22"/>
        </w:rPr>
        <w:t>Park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Management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from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1980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to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the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Present.</w:t>
      </w:r>
    </w:p>
    <w:p>
      <w:pPr>
        <w:pStyle w:val="BodyText"/>
        <w:spacing w:line="357" w:lineRule="auto" w:before="127"/>
        <w:ind w:left="552" w:right="788"/>
      </w:pPr>
      <w:r>
        <w:rPr/>
        <w:t>Waitangi Tribunal Reports. The Waitangi Tribunal, Ministry of Justice. Wellington. New</w:t>
      </w:r>
      <w:r>
        <w:rPr>
          <w:spacing w:val="-52"/>
        </w:rPr>
        <w:t> </w:t>
      </w:r>
      <w:r>
        <w:rPr/>
        <w:t>Zealand.</w:t>
      </w:r>
      <w:r>
        <w:rPr>
          <w:spacing w:val="1"/>
        </w:rPr>
        <w:t> </w:t>
      </w:r>
      <w:r>
        <w:rPr/>
        <w:t>(accessed</w:t>
      </w:r>
      <w:r>
        <w:rPr>
          <w:spacing w:val="2"/>
        </w:rPr>
        <w:t> </w:t>
      </w:r>
      <w:r>
        <w:rPr/>
        <w:t>Apr</w:t>
      </w:r>
      <w:r>
        <w:rPr>
          <w:spacing w:val="1"/>
        </w:rPr>
        <w:t> </w:t>
      </w:r>
      <w:r>
        <w:rPr/>
        <w:t>26,</w:t>
      </w:r>
      <w:r>
        <w:rPr>
          <w:spacing w:val="-3"/>
        </w:rPr>
        <w:t> </w:t>
      </w:r>
      <w:r>
        <w:rPr/>
        <w:t>2021)</w:t>
      </w:r>
    </w:p>
    <w:p>
      <w:pPr>
        <w:pStyle w:val="BodyText"/>
        <w:spacing w:line="360" w:lineRule="auto" w:before="162"/>
        <w:ind w:left="552" w:right="229" w:hanging="452"/>
      </w:pPr>
      <w:r>
        <w:rPr/>
        <w:t>Bickersteth, J., West, D. and Wallis, D. (2020), "Returning Uluru"</w:t>
      </w:r>
      <w:r>
        <w:rPr>
          <w:i/>
        </w:rPr>
        <w:t>, Studies in Conservation, </w:t>
      </w:r>
      <w:r>
        <w:rPr/>
        <w:t>Vol. 65,</w:t>
      </w:r>
      <w:r>
        <w:rPr>
          <w:spacing w:val="-52"/>
        </w:rPr>
        <w:t> </w:t>
      </w:r>
      <w:r>
        <w:rPr/>
        <w:t>No. sup1, pp. P9-P17. available at: </w:t>
      </w:r>
      <w:hyperlink r:id="rId7">
        <w:r>
          <w:rPr>
            <w:u w:val="single"/>
          </w:rPr>
          <w:t>https://doi.org/10.1080/00393630.2020.1774102</w:t>
        </w:r>
      </w:hyperlink>
      <w:r>
        <w:rPr/>
        <w:t>. (accessed</w:t>
      </w:r>
      <w:r>
        <w:rPr>
          <w:spacing w:val="1"/>
        </w:rPr>
        <w:t> </w:t>
      </w:r>
      <w:r>
        <w:rPr/>
        <w:t>May</w:t>
      </w:r>
      <w:r>
        <w:rPr>
          <w:spacing w:val="1"/>
        </w:rPr>
        <w:t> </w:t>
      </w:r>
      <w:r>
        <w:rPr/>
        <w:t>7,</w:t>
      </w:r>
      <w:r>
        <w:rPr>
          <w:spacing w:val="-3"/>
        </w:rPr>
        <w:t> </w:t>
      </w:r>
      <w:r>
        <w:rPr/>
        <w:t>2021).</w:t>
      </w:r>
    </w:p>
    <w:p>
      <w:pPr>
        <w:pStyle w:val="BodyText"/>
        <w:spacing w:line="360" w:lineRule="auto" w:before="174"/>
        <w:ind w:left="552" w:hanging="452"/>
      </w:pPr>
      <w:r>
        <w:rPr/>
        <w:t>Bridgewater, P. and Rotherham, I.D. (2019), "A critical perspective on the concept of biocultural</w:t>
      </w:r>
      <w:r>
        <w:rPr>
          <w:spacing w:val="1"/>
        </w:rPr>
        <w:t> </w:t>
      </w:r>
      <w:r>
        <w:rPr/>
        <w:t>diversity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its</w:t>
      </w:r>
      <w:r>
        <w:rPr>
          <w:spacing w:val="-4"/>
        </w:rPr>
        <w:t> </w:t>
      </w:r>
      <w:r>
        <w:rPr/>
        <w:t>emerging</w:t>
      </w:r>
      <w:r>
        <w:rPr>
          <w:spacing w:val="-2"/>
        </w:rPr>
        <w:t> </w:t>
      </w:r>
      <w:r>
        <w:rPr/>
        <w:t>role</w:t>
      </w:r>
      <w:r>
        <w:rPr>
          <w:spacing w:val="-4"/>
        </w:rPr>
        <w:t> </w:t>
      </w:r>
      <w:r>
        <w:rPr/>
        <w:t>in</w:t>
      </w:r>
      <w:r>
        <w:rPr>
          <w:spacing w:val="-2"/>
        </w:rPr>
        <w:t> </w:t>
      </w:r>
      <w:r>
        <w:rPr/>
        <w:t>nature</w:t>
      </w:r>
      <w:r>
        <w:rPr>
          <w:spacing w:val="-4"/>
        </w:rPr>
        <w:t> </w:t>
      </w:r>
      <w:r>
        <w:rPr/>
        <w:t>and</w:t>
      </w:r>
      <w:r>
        <w:rPr>
          <w:spacing w:val="-5"/>
        </w:rPr>
        <w:t> </w:t>
      </w:r>
      <w:r>
        <w:rPr/>
        <w:t>heritage</w:t>
      </w:r>
      <w:r>
        <w:rPr>
          <w:spacing w:val="-5"/>
        </w:rPr>
        <w:t> </w:t>
      </w:r>
      <w:r>
        <w:rPr/>
        <w:t>conservation"</w:t>
      </w:r>
      <w:r>
        <w:rPr>
          <w:i/>
        </w:rPr>
        <w:t>,</w:t>
      </w:r>
      <w:r>
        <w:rPr>
          <w:i/>
          <w:spacing w:val="-2"/>
        </w:rPr>
        <w:t> </w:t>
      </w:r>
      <w:r>
        <w:rPr>
          <w:i/>
        </w:rPr>
        <w:t>People</w:t>
      </w:r>
      <w:r>
        <w:rPr>
          <w:i/>
          <w:spacing w:val="-5"/>
        </w:rPr>
        <w:t> </w:t>
      </w:r>
      <w:r>
        <w:rPr>
          <w:i/>
        </w:rPr>
        <w:t>and</w:t>
      </w:r>
      <w:r>
        <w:rPr>
          <w:i/>
          <w:spacing w:val="-1"/>
        </w:rPr>
        <w:t> </w:t>
      </w:r>
      <w:r>
        <w:rPr>
          <w:i/>
        </w:rPr>
        <w:t>Nature, </w:t>
      </w:r>
      <w:r>
        <w:rPr/>
        <w:t>Vol.</w:t>
      </w:r>
      <w:r>
        <w:rPr>
          <w:spacing w:val="-2"/>
        </w:rPr>
        <w:t> </w:t>
      </w:r>
      <w:r>
        <w:rPr/>
        <w:t>1,</w:t>
      </w:r>
    </w:p>
    <w:p>
      <w:pPr>
        <w:pStyle w:val="BodyText"/>
        <w:spacing w:before="1"/>
        <w:ind w:left="552"/>
      </w:pPr>
      <w:r>
        <w:rPr/>
        <w:t>No.</w:t>
      </w:r>
      <w:r>
        <w:rPr>
          <w:spacing w:val="-5"/>
        </w:rPr>
        <w:t> </w:t>
      </w:r>
      <w:r>
        <w:rPr/>
        <w:t>3,</w:t>
      </w:r>
      <w:r>
        <w:rPr>
          <w:spacing w:val="-5"/>
        </w:rPr>
        <w:t> </w:t>
      </w:r>
      <w:r>
        <w:rPr/>
        <w:t>pp.</w:t>
      </w:r>
      <w:r>
        <w:rPr>
          <w:spacing w:val="-2"/>
        </w:rPr>
        <w:t> </w:t>
      </w:r>
      <w:r>
        <w:rPr/>
        <w:t>291-304.</w:t>
      </w:r>
      <w:r>
        <w:rPr>
          <w:spacing w:val="-1"/>
        </w:rPr>
        <w:t> </w:t>
      </w:r>
      <w:r>
        <w:rPr/>
        <w:t>available</w:t>
      </w:r>
    </w:p>
    <w:p>
      <w:pPr>
        <w:pStyle w:val="BodyText"/>
        <w:spacing w:line="360" w:lineRule="auto" w:before="127"/>
        <w:ind w:left="552" w:right="330"/>
      </w:pPr>
      <w:r>
        <w:rPr/>
        <w:t>at: </w:t>
      </w:r>
      <w:hyperlink r:id="rId8">
        <w:r>
          <w:rPr>
            <w:u w:val="single"/>
          </w:rPr>
          <w:t>https://besjournals.onlinelibrary.wiley.com/doi/abs/10.1002/pan3.10040</w:t>
        </w:r>
      </w:hyperlink>
      <w:r>
        <w:rPr/>
        <w:t>. (accessed Mar 15,</w:t>
      </w:r>
      <w:r>
        <w:rPr>
          <w:spacing w:val="-52"/>
        </w:rPr>
        <w:t> </w:t>
      </w:r>
      <w:r>
        <w:rPr/>
        <w:t>2021).</w:t>
      </w:r>
    </w:p>
    <w:p>
      <w:pPr>
        <w:spacing w:before="174"/>
        <w:ind w:left="100" w:right="0" w:firstLine="0"/>
        <w:jc w:val="left"/>
        <w:rPr>
          <w:sz w:val="22"/>
        </w:rPr>
      </w:pP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Cesari,</w:t>
      </w:r>
      <w:r>
        <w:rPr>
          <w:spacing w:val="-2"/>
          <w:sz w:val="22"/>
        </w:rPr>
        <w:t> </w:t>
      </w:r>
      <w:r>
        <w:rPr>
          <w:sz w:val="22"/>
        </w:rPr>
        <w:t>C.</w:t>
      </w:r>
      <w:r>
        <w:rPr>
          <w:spacing w:val="-2"/>
          <w:sz w:val="22"/>
        </w:rPr>
        <w:t> </w:t>
      </w:r>
      <w:r>
        <w:rPr>
          <w:sz w:val="22"/>
        </w:rPr>
        <w:t>(2013)</w:t>
      </w:r>
      <w:r>
        <w:rPr>
          <w:spacing w:val="-2"/>
          <w:sz w:val="22"/>
        </w:rPr>
        <w:t> </w:t>
      </w:r>
      <w:r>
        <w:rPr>
          <w:i/>
          <w:sz w:val="22"/>
        </w:rPr>
        <w:t>Thinking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Through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Heritage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Regimes</w:t>
      </w:r>
      <w:r>
        <w:rPr>
          <w:i/>
          <w:spacing w:val="-4"/>
          <w:sz w:val="22"/>
        </w:rPr>
        <w:t> </w:t>
      </w:r>
      <w:r>
        <w:rPr>
          <w:sz w:val="22"/>
        </w:rPr>
        <w:t>In.</w:t>
      </w:r>
      <w:r>
        <w:rPr>
          <w:spacing w:val="-6"/>
          <w:sz w:val="22"/>
        </w:rPr>
        <w:t> </w:t>
      </w:r>
      <w:r>
        <w:rPr>
          <w:sz w:val="22"/>
        </w:rPr>
        <w:t>Bendix,</w:t>
      </w:r>
      <w:r>
        <w:rPr>
          <w:spacing w:val="-2"/>
          <w:sz w:val="22"/>
        </w:rPr>
        <w:t> </w:t>
      </w:r>
      <w:r>
        <w:rPr>
          <w:sz w:val="22"/>
        </w:rPr>
        <w:t>R.,</w:t>
      </w:r>
      <w:r>
        <w:rPr>
          <w:spacing w:val="-6"/>
          <w:sz w:val="22"/>
        </w:rPr>
        <w:t> </w:t>
      </w:r>
      <w:r>
        <w:rPr>
          <w:sz w:val="22"/>
        </w:rPr>
        <w:t>Eggert,</w:t>
      </w:r>
      <w:r>
        <w:rPr>
          <w:spacing w:val="-2"/>
          <w:sz w:val="22"/>
        </w:rPr>
        <w:t> </w:t>
      </w:r>
      <w:r>
        <w:rPr>
          <w:sz w:val="22"/>
        </w:rPr>
        <w:t>A.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6"/>
          <w:sz w:val="22"/>
        </w:rPr>
        <w:t> </w:t>
      </w:r>
      <w:r>
        <w:rPr>
          <w:sz w:val="22"/>
        </w:rPr>
        <w:t>Peselmann,</w:t>
      </w:r>
    </w:p>
    <w:p>
      <w:pPr>
        <w:pStyle w:val="BodyText"/>
        <w:spacing w:line="357" w:lineRule="auto" w:before="127"/>
        <w:ind w:left="552" w:right="311"/>
      </w:pPr>
      <w:r>
        <w:rPr/>
        <w:t>A. (2013), </w:t>
      </w:r>
      <w:r>
        <w:rPr>
          <w:i/>
        </w:rPr>
        <w:t>, Heritage Regimes and the State </w:t>
      </w:r>
      <w:r>
        <w:rPr/>
        <w:t>[Homepage of Univ.-Verl. Göttingen], PP399-413</w:t>
      </w:r>
      <w:r>
        <w:rPr>
          <w:spacing w:val="-52"/>
        </w:rPr>
        <w:t> </w:t>
      </w:r>
      <w:r>
        <w:rPr/>
        <w:t>[Online].</w:t>
      </w:r>
      <w:r>
        <w:rPr>
          <w:spacing w:val="-6"/>
        </w:rPr>
        <w:t> </w:t>
      </w:r>
      <w:r>
        <w:rPr/>
        <w:t>Available:</w:t>
      </w:r>
      <w:r>
        <w:rPr>
          <w:spacing w:val="-5"/>
        </w:rPr>
        <w:t> </w:t>
      </w:r>
      <w:r>
        <w:rPr>
          <w:u w:val="single"/>
        </w:rPr>
        <w:t>https://nbn-resolving.org/urn:nbn:de:gbv:7-isbn-978-3-86395-122-1-7</w:t>
      </w:r>
      <w:r>
        <w:rPr/>
        <w:t>.</w:t>
      </w:r>
    </w:p>
    <w:p>
      <w:pPr>
        <w:pStyle w:val="BodyText"/>
        <w:spacing w:line="360" w:lineRule="auto" w:before="178"/>
        <w:ind w:left="552" w:right="172" w:hanging="452"/>
      </w:pPr>
      <w:r>
        <w:rPr/>
        <w:t>Ellis EC, Gauthier N, Klein Goldewijk K, Bliege Bird R, Boivin N, Díaz S, Fuller DQ, Gill JL,</w:t>
      </w:r>
      <w:r>
        <w:rPr>
          <w:spacing w:val="1"/>
        </w:rPr>
        <w:t> </w:t>
      </w:r>
      <w:r>
        <w:rPr/>
        <w:t>Kaplan</w:t>
      </w:r>
      <w:r>
        <w:rPr>
          <w:spacing w:val="-1"/>
        </w:rPr>
        <w:t> </w:t>
      </w:r>
      <w:r>
        <w:rPr/>
        <w:t>JO,</w:t>
      </w:r>
      <w:r>
        <w:rPr>
          <w:spacing w:val="-1"/>
        </w:rPr>
        <w:t> </w:t>
      </w:r>
      <w:r>
        <w:rPr/>
        <w:t>Kingston</w:t>
      </w:r>
      <w:r>
        <w:rPr>
          <w:spacing w:val="-4"/>
        </w:rPr>
        <w:t> </w:t>
      </w:r>
      <w:r>
        <w:rPr/>
        <w:t>N,</w:t>
      </w:r>
      <w:r>
        <w:rPr>
          <w:spacing w:val="-5"/>
        </w:rPr>
        <w:t> </w:t>
      </w:r>
      <w:r>
        <w:rPr/>
        <w:t>Locke</w:t>
      </w:r>
      <w:r>
        <w:rPr>
          <w:spacing w:val="-3"/>
        </w:rPr>
        <w:t> </w:t>
      </w:r>
      <w:r>
        <w:rPr/>
        <w:t>H,</w:t>
      </w:r>
      <w:r>
        <w:rPr>
          <w:spacing w:val="-1"/>
        </w:rPr>
        <w:t> </w:t>
      </w:r>
      <w:r>
        <w:rPr/>
        <w:t>McMichael</w:t>
      </w:r>
      <w:r>
        <w:rPr>
          <w:spacing w:val="1"/>
        </w:rPr>
        <w:t> </w:t>
      </w:r>
      <w:r>
        <w:rPr/>
        <w:t>CNH,</w:t>
      </w:r>
      <w:r>
        <w:rPr>
          <w:spacing w:val="-5"/>
        </w:rPr>
        <w:t> </w:t>
      </w:r>
      <w:r>
        <w:rPr/>
        <w:t>Ranco</w:t>
      </w:r>
      <w:r>
        <w:rPr>
          <w:spacing w:val="-4"/>
        </w:rPr>
        <w:t> </w:t>
      </w:r>
      <w:r>
        <w:rPr/>
        <w:t>D,</w:t>
      </w:r>
      <w:r>
        <w:rPr>
          <w:spacing w:val="-1"/>
        </w:rPr>
        <w:t> </w:t>
      </w:r>
      <w:r>
        <w:rPr/>
        <w:t>Rick</w:t>
      </w:r>
      <w:r>
        <w:rPr>
          <w:spacing w:val="-4"/>
        </w:rPr>
        <w:t> </w:t>
      </w:r>
      <w:r>
        <w:rPr/>
        <w:t>TC,</w:t>
      </w:r>
      <w:r>
        <w:rPr>
          <w:spacing w:val="-5"/>
        </w:rPr>
        <w:t> </w:t>
      </w:r>
      <w:r>
        <w:rPr/>
        <w:t>Shaw</w:t>
      </w:r>
      <w:r>
        <w:rPr>
          <w:spacing w:val="-1"/>
        </w:rPr>
        <w:t> </w:t>
      </w:r>
      <w:r>
        <w:rPr/>
        <w:t>MR,</w:t>
      </w:r>
      <w:r>
        <w:rPr>
          <w:spacing w:val="-5"/>
        </w:rPr>
        <w:t> </w:t>
      </w:r>
      <w:r>
        <w:rPr/>
        <w:t>Stephens</w:t>
      </w:r>
      <w:r>
        <w:rPr>
          <w:spacing w:val="-4"/>
        </w:rPr>
        <w:t> </w:t>
      </w:r>
      <w:r>
        <w:rPr/>
        <w:t>L,</w:t>
      </w:r>
      <w:r>
        <w:rPr>
          <w:spacing w:val="-52"/>
        </w:rPr>
        <w:t> </w:t>
      </w:r>
      <w:r>
        <w:rPr/>
        <w:t>Svenning JC, Watson JEM. (2021) “People have shaped most of terrestrial nature for at least</w:t>
      </w:r>
      <w:r>
        <w:rPr>
          <w:spacing w:val="1"/>
        </w:rPr>
        <w:t> </w:t>
      </w:r>
      <w:r>
        <w:rPr/>
        <w:t>12,000 years”. </w:t>
      </w:r>
      <w:r>
        <w:rPr>
          <w:i/>
        </w:rPr>
        <w:t>Proc Natl Acad Sci U S A</w:t>
      </w:r>
      <w:r>
        <w:rPr/>
        <w:t>. Vol. 118, No. 17) e2023483118. doi:</w:t>
      </w:r>
      <w:r>
        <w:rPr>
          <w:spacing w:val="1"/>
        </w:rPr>
        <w:t> </w:t>
      </w:r>
      <w:r>
        <w:rPr/>
        <w:t>10.1073/pnas.2023483118. PMID:</w:t>
      </w:r>
      <w:r>
        <w:rPr>
          <w:spacing w:val="-5"/>
        </w:rPr>
        <w:t> </w:t>
      </w:r>
      <w:r>
        <w:rPr/>
        <w:t>33875599.</w:t>
      </w:r>
      <w:r>
        <w:rPr>
          <w:spacing w:val="-3"/>
        </w:rPr>
        <w:t> </w:t>
      </w:r>
      <w:r>
        <w:rPr/>
        <w:t>(accessed</w:t>
      </w:r>
      <w:r>
        <w:rPr>
          <w:spacing w:val="3"/>
        </w:rPr>
        <w:t> </w:t>
      </w:r>
      <w:r>
        <w:rPr/>
        <w:t>April</w:t>
      </w:r>
      <w:r>
        <w:rPr>
          <w:spacing w:val="-2"/>
        </w:rPr>
        <w:t> </w:t>
      </w:r>
      <w:r>
        <w:rPr/>
        <w:t>27,</w:t>
      </w:r>
      <w:r>
        <w:rPr>
          <w:spacing w:val="-3"/>
        </w:rPr>
        <w:t> </w:t>
      </w:r>
      <w:r>
        <w:rPr/>
        <w:t>2021).</w:t>
      </w:r>
    </w:p>
    <w:p>
      <w:pPr>
        <w:pStyle w:val="BodyText"/>
        <w:spacing w:line="360" w:lineRule="auto" w:before="171"/>
        <w:ind w:left="552" w:right="171" w:hanging="452"/>
      </w:pPr>
      <w:r>
        <w:rPr/>
        <w:t>Grey, S. and Kuokkanen, R. (2020), "Indigenous governance of cultural heritage: searching for</w:t>
      </w:r>
      <w:r>
        <w:rPr>
          <w:spacing w:val="1"/>
        </w:rPr>
        <w:t> </w:t>
      </w:r>
      <w:r>
        <w:rPr/>
        <w:t>alternatives to co-management"</w:t>
      </w:r>
      <w:r>
        <w:rPr>
          <w:i/>
        </w:rPr>
        <w:t>, International Journal of Heritage Studies, </w:t>
      </w:r>
      <w:r>
        <w:rPr/>
        <w:t>Vol. 26, No. 10, pp.</w:t>
      </w:r>
      <w:r>
        <w:rPr>
          <w:spacing w:val="1"/>
        </w:rPr>
        <w:t> </w:t>
      </w:r>
      <w:r>
        <w:rPr/>
        <w:t>919-941.</w:t>
      </w:r>
      <w:r>
        <w:rPr>
          <w:spacing w:val="-6"/>
        </w:rPr>
        <w:t> </w:t>
      </w:r>
      <w:r>
        <w:rPr/>
        <w:t>available</w:t>
      </w:r>
      <w:r>
        <w:rPr>
          <w:spacing w:val="-7"/>
        </w:rPr>
        <w:t> </w:t>
      </w:r>
      <w:r>
        <w:rPr/>
        <w:t>at:</w:t>
      </w:r>
      <w:r>
        <w:rPr>
          <w:spacing w:val="-4"/>
        </w:rPr>
        <w:t> </w:t>
      </w:r>
      <w:hyperlink r:id="rId9">
        <w:r>
          <w:rPr>
            <w:u w:val="single"/>
          </w:rPr>
          <w:t>https://doi.org/10.1080/13527258.2019.1703202</w:t>
        </w:r>
      </w:hyperlink>
      <w:r>
        <w:rPr/>
        <w:t>.</w:t>
      </w:r>
      <w:r>
        <w:rPr>
          <w:spacing w:val="-6"/>
        </w:rPr>
        <w:t> </w:t>
      </w:r>
      <w:r>
        <w:rPr/>
        <w:t>(accessed</w:t>
      </w:r>
      <w:r>
        <w:rPr>
          <w:spacing w:val="-4"/>
        </w:rPr>
        <w:t> </w:t>
      </w:r>
      <w:r>
        <w:rPr/>
        <w:t>May</w:t>
      </w:r>
      <w:r>
        <w:rPr>
          <w:spacing w:val="-5"/>
        </w:rPr>
        <w:t> </w:t>
      </w:r>
      <w:r>
        <w:rPr/>
        <w:t>4,</w:t>
      </w:r>
      <w:r>
        <w:rPr>
          <w:spacing w:val="-9"/>
        </w:rPr>
        <w:t> </w:t>
      </w:r>
      <w:r>
        <w:rPr/>
        <w:t>2021).</w:t>
      </w:r>
    </w:p>
    <w:p>
      <w:pPr>
        <w:spacing w:line="360" w:lineRule="auto" w:before="174"/>
        <w:ind w:left="552" w:right="172" w:hanging="452"/>
        <w:jc w:val="left"/>
        <w:rPr>
          <w:sz w:val="22"/>
        </w:rPr>
      </w:pPr>
      <w:r>
        <w:rPr>
          <w:sz w:val="22"/>
        </w:rPr>
        <w:t>Harrison,</w:t>
      </w:r>
      <w:r>
        <w:rPr>
          <w:spacing w:val="-4"/>
          <w:sz w:val="22"/>
        </w:rPr>
        <w:t> </w:t>
      </w:r>
      <w:r>
        <w:rPr>
          <w:sz w:val="22"/>
        </w:rPr>
        <w:t>R.</w:t>
      </w:r>
      <w:r>
        <w:rPr>
          <w:spacing w:val="-4"/>
          <w:sz w:val="22"/>
        </w:rPr>
        <w:t> </w:t>
      </w:r>
      <w:r>
        <w:rPr>
          <w:sz w:val="22"/>
        </w:rPr>
        <w:t>(2013),</w:t>
      </w:r>
      <w:r>
        <w:rPr>
          <w:spacing w:val="-3"/>
          <w:sz w:val="22"/>
        </w:rPr>
        <w:t> </w:t>
      </w:r>
      <w:r>
        <w:rPr>
          <w:i/>
          <w:sz w:val="22"/>
        </w:rPr>
        <w:t>Heritage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: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Critical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Approaches</w:t>
      </w:r>
      <w:r>
        <w:rPr>
          <w:i/>
          <w:spacing w:val="-2"/>
          <w:sz w:val="22"/>
        </w:rPr>
        <w:t> </w:t>
      </w:r>
      <w:r>
        <w:rPr>
          <w:sz w:val="22"/>
        </w:rPr>
        <w:t>translated</w:t>
      </w:r>
      <w:r>
        <w:rPr>
          <w:spacing w:val="-3"/>
          <w:sz w:val="22"/>
        </w:rPr>
        <w:t> </w:t>
      </w:r>
      <w:r>
        <w:rPr>
          <w:sz w:val="22"/>
        </w:rPr>
        <w:t>by</w:t>
      </w:r>
      <w:r>
        <w:rPr>
          <w:spacing w:val="-3"/>
          <w:sz w:val="22"/>
        </w:rPr>
        <w:t> </w:t>
      </w:r>
      <w:r>
        <w:rPr>
          <w:sz w:val="22"/>
        </w:rPr>
        <w:t>Anonymous</w:t>
      </w:r>
      <w:r>
        <w:rPr>
          <w:spacing w:val="-6"/>
          <w:sz w:val="22"/>
        </w:rPr>
        <w:t> </w:t>
      </w:r>
      <w:r>
        <w:rPr>
          <w:sz w:val="22"/>
        </w:rPr>
        <w:t>Routledge,</w:t>
      </w:r>
      <w:r>
        <w:rPr>
          <w:spacing w:val="-7"/>
          <w:sz w:val="22"/>
        </w:rPr>
        <w:t> </w:t>
      </w:r>
      <w:r>
        <w:rPr>
          <w:sz w:val="22"/>
        </w:rPr>
        <w:t>Milton</w:t>
      </w:r>
      <w:r>
        <w:rPr>
          <w:spacing w:val="-52"/>
          <w:sz w:val="22"/>
        </w:rPr>
        <w:t> </w:t>
      </w:r>
      <w:r>
        <w:rPr>
          <w:sz w:val="22"/>
        </w:rPr>
        <w:t>Park, Abingdon.</w:t>
      </w:r>
    </w:p>
    <w:p>
      <w:pPr>
        <w:spacing w:line="360" w:lineRule="auto" w:before="173"/>
        <w:ind w:left="668" w:right="532" w:hanging="569"/>
        <w:jc w:val="left"/>
        <w:rPr>
          <w:sz w:val="22"/>
        </w:rPr>
      </w:pPr>
      <w:r>
        <w:rPr>
          <w:sz w:val="22"/>
        </w:rPr>
        <w:t>Harrison, R., and Hughes, L., (2010) ‘Heritage, colonialism and postcolonialism’ In Harrison, R.,</w:t>
      </w:r>
      <w:r>
        <w:rPr>
          <w:spacing w:val="-52"/>
          <w:sz w:val="22"/>
        </w:rPr>
        <w:t> </w:t>
      </w:r>
      <w:r>
        <w:rPr>
          <w:sz w:val="22"/>
        </w:rPr>
        <w:t>(2010)</w:t>
      </w:r>
      <w:r>
        <w:rPr>
          <w:spacing w:val="-5"/>
          <w:sz w:val="22"/>
        </w:rPr>
        <w:t> </w:t>
      </w:r>
      <w:r>
        <w:rPr>
          <w:i/>
          <w:sz w:val="22"/>
        </w:rPr>
        <w:t>Understanding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the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politics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of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heritage.</w:t>
      </w:r>
      <w:r>
        <w:rPr>
          <w:i/>
          <w:spacing w:val="2"/>
          <w:sz w:val="22"/>
        </w:rPr>
        <w:t> </w:t>
      </w:r>
      <w:r>
        <w:rPr>
          <w:sz w:val="22"/>
        </w:rPr>
        <w:t>Manchester:</w:t>
      </w:r>
      <w:r>
        <w:rPr>
          <w:spacing w:val="-6"/>
          <w:sz w:val="22"/>
        </w:rPr>
        <w:t> </w:t>
      </w:r>
      <w:r>
        <w:rPr>
          <w:sz w:val="22"/>
        </w:rPr>
        <w:t>Manchester</w:t>
      </w:r>
      <w:r>
        <w:rPr>
          <w:spacing w:val="-5"/>
          <w:sz w:val="22"/>
        </w:rPr>
        <w:t> </w:t>
      </w:r>
      <w:r>
        <w:rPr>
          <w:sz w:val="22"/>
        </w:rPr>
        <w:t>University</w:t>
      </w:r>
      <w:r>
        <w:rPr>
          <w:spacing w:val="-2"/>
          <w:sz w:val="22"/>
        </w:rPr>
        <w:t> </w:t>
      </w:r>
      <w:r>
        <w:rPr>
          <w:sz w:val="22"/>
        </w:rPr>
        <w:t>Press.</w:t>
      </w:r>
    </w:p>
    <w:p>
      <w:pPr>
        <w:spacing w:line="360" w:lineRule="auto" w:before="162"/>
        <w:ind w:left="552" w:right="172" w:hanging="452"/>
        <w:jc w:val="left"/>
        <w:rPr>
          <w:sz w:val="22"/>
        </w:rPr>
      </w:pPr>
      <w:r>
        <w:rPr>
          <w:sz w:val="22"/>
        </w:rPr>
        <w:t>Helmut,</w:t>
      </w:r>
      <w:r>
        <w:rPr>
          <w:spacing w:val="-4"/>
          <w:sz w:val="22"/>
        </w:rPr>
        <w:t> </w:t>
      </w:r>
      <w:r>
        <w:rPr>
          <w:sz w:val="22"/>
        </w:rPr>
        <w:t>K.A.</w:t>
      </w:r>
      <w:r>
        <w:rPr>
          <w:spacing w:val="-3"/>
          <w:sz w:val="22"/>
        </w:rPr>
        <w:t> </w:t>
      </w:r>
      <w:r>
        <w:rPr>
          <w:sz w:val="22"/>
        </w:rPr>
        <w:t>and</w:t>
      </w:r>
      <w:r>
        <w:rPr>
          <w:spacing w:val="-5"/>
          <w:sz w:val="22"/>
        </w:rPr>
        <w:t> </w:t>
      </w:r>
      <w:r>
        <w:rPr>
          <w:sz w:val="22"/>
        </w:rPr>
        <w:t>Yudhishthir,</w:t>
      </w:r>
      <w:r>
        <w:rPr>
          <w:spacing w:val="-7"/>
          <w:sz w:val="22"/>
        </w:rPr>
        <w:t> </w:t>
      </w:r>
      <w:r>
        <w:rPr>
          <w:sz w:val="22"/>
        </w:rPr>
        <w:t>R.I.</w:t>
      </w:r>
      <w:r>
        <w:rPr>
          <w:spacing w:val="-3"/>
          <w:sz w:val="22"/>
        </w:rPr>
        <w:t> </w:t>
      </w:r>
      <w:r>
        <w:rPr>
          <w:sz w:val="22"/>
        </w:rPr>
        <w:t>(2011),</w:t>
      </w:r>
      <w:r>
        <w:rPr>
          <w:spacing w:val="-3"/>
          <w:sz w:val="22"/>
        </w:rPr>
        <w:t> </w:t>
      </w:r>
      <w:r>
        <w:rPr>
          <w:i/>
          <w:sz w:val="22"/>
        </w:rPr>
        <w:t>Cultures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and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Globalization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: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Heritage,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Memory</w:t>
      </w:r>
      <w:r>
        <w:rPr>
          <w:i/>
          <w:spacing w:val="-9"/>
          <w:sz w:val="22"/>
        </w:rPr>
        <w:t> </w:t>
      </w:r>
      <w:r>
        <w:rPr>
          <w:i/>
          <w:sz w:val="22"/>
        </w:rPr>
        <w:t>and</w:t>
      </w:r>
      <w:r>
        <w:rPr>
          <w:i/>
          <w:spacing w:val="-52"/>
          <w:sz w:val="22"/>
        </w:rPr>
        <w:t> </w:t>
      </w:r>
      <w:r>
        <w:rPr>
          <w:i/>
          <w:sz w:val="22"/>
        </w:rPr>
        <w:t>Identity</w:t>
      </w:r>
      <w:r>
        <w:rPr>
          <w:i/>
          <w:spacing w:val="-1"/>
          <w:sz w:val="22"/>
        </w:rPr>
        <w:t> </w:t>
      </w:r>
      <w:r>
        <w:rPr>
          <w:sz w:val="22"/>
        </w:rPr>
        <w:t>translated</w:t>
      </w:r>
      <w:r>
        <w:rPr>
          <w:spacing w:val="1"/>
          <w:sz w:val="22"/>
        </w:rPr>
        <w:t> </w:t>
      </w:r>
      <w:r>
        <w:rPr>
          <w:sz w:val="22"/>
        </w:rPr>
        <w:t>by</w:t>
      </w:r>
      <w:r>
        <w:rPr>
          <w:spacing w:val="1"/>
          <w:sz w:val="22"/>
        </w:rPr>
        <w:t> </w:t>
      </w:r>
      <w:r>
        <w:rPr>
          <w:sz w:val="22"/>
        </w:rPr>
        <w:t>Anonymous</w:t>
      </w:r>
      <w:r>
        <w:rPr>
          <w:spacing w:val="-6"/>
          <w:sz w:val="22"/>
        </w:rPr>
        <w:t> </w:t>
      </w:r>
      <w:r>
        <w:rPr>
          <w:sz w:val="22"/>
        </w:rPr>
        <w:t>SAGE</w:t>
      </w:r>
      <w:r>
        <w:rPr>
          <w:spacing w:val="1"/>
          <w:sz w:val="22"/>
        </w:rPr>
        <w:t> </w:t>
      </w:r>
      <w:r>
        <w:rPr>
          <w:sz w:val="22"/>
        </w:rPr>
        <w:t>Publications</w:t>
      </w:r>
      <w:r>
        <w:rPr>
          <w:spacing w:val="-2"/>
          <w:sz w:val="22"/>
        </w:rPr>
        <w:t> </w:t>
      </w:r>
      <w:r>
        <w:rPr>
          <w:sz w:val="22"/>
        </w:rPr>
        <w:t>Ltd,</w:t>
      </w:r>
      <w:r>
        <w:rPr>
          <w:spacing w:val="-4"/>
          <w:sz w:val="22"/>
        </w:rPr>
        <w:t> </w:t>
      </w:r>
      <w:r>
        <w:rPr>
          <w:sz w:val="22"/>
        </w:rPr>
        <w:t>Los</w:t>
      </w:r>
      <w:r>
        <w:rPr>
          <w:spacing w:val="-2"/>
          <w:sz w:val="22"/>
        </w:rPr>
        <w:t> </w:t>
      </w:r>
      <w:r>
        <w:rPr>
          <w:sz w:val="22"/>
        </w:rPr>
        <w:t>Angeles, CA.</w:t>
      </w:r>
    </w:p>
    <w:p>
      <w:pPr>
        <w:spacing w:after="0" w:line="360" w:lineRule="auto"/>
        <w:jc w:val="left"/>
        <w:rPr>
          <w:sz w:val="22"/>
        </w:rPr>
        <w:sectPr>
          <w:pgSz w:w="11910" w:h="16840"/>
          <w:pgMar w:header="0" w:footer="998" w:top="1360" w:bottom="1180" w:left="1340" w:right="1340"/>
        </w:sectPr>
      </w:pPr>
    </w:p>
    <w:p>
      <w:pPr>
        <w:spacing w:line="360" w:lineRule="auto" w:before="63"/>
        <w:ind w:left="552" w:right="172" w:hanging="452"/>
        <w:jc w:val="left"/>
        <w:rPr>
          <w:sz w:val="22"/>
        </w:rPr>
      </w:pPr>
      <w:r>
        <w:rPr>
          <w:sz w:val="22"/>
        </w:rPr>
        <w:t>Hemming, S. and Rigney, D. (2010), "Decentring the new protectors: transforming Aboriginal</w:t>
      </w:r>
      <w:r>
        <w:rPr>
          <w:spacing w:val="1"/>
          <w:sz w:val="22"/>
        </w:rPr>
        <w:t> </w:t>
      </w:r>
      <w:r>
        <w:rPr>
          <w:sz w:val="22"/>
        </w:rPr>
        <w:t>heritage</w:t>
      </w:r>
      <w:r>
        <w:rPr>
          <w:spacing w:val="-4"/>
          <w:sz w:val="22"/>
        </w:rPr>
        <w:t> </w:t>
      </w:r>
      <w:r>
        <w:rPr>
          <w:sz w:val="22"/>
        </w:rPr>
        <w:t>in</w:t>
      </w:r>
      <w:r>
        <w:rPr>
          <w:spacing w:val="-1"/>
          <w:sz w:val="22"/>
        </w:rPr>
        <w:t> </w:t>
      </w:r>
      <w:r>
        <w:rPr>
          <w:sz w:val="22"/>
        </w:rPr>
        <w:t>South</w:t>
      </w:r>
      <w:r>
        <w:rPr>
          <w:spacing w:val="-5"/>
          <w:sz w:val="22"/>
        </w:rPr>
        <w:t> </w:t>
      </w:r>
      <w:r>
        <w:rPr>
          <w:sz w:val="22"/>
        </w:rPr>
        <w:t>Australia"</w:t>
      </w:r>
      <w:r>
        <w:rPr>
          <w:i/>
          <w:sz w:val="22"/>
        </w:rPr>
        <w:t>,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International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Journal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of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Heritage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Studies,</w:t>
      </w:r>
      <w:r>
        <w:rPr>
          <w:i/>
          <w:spacing w:val="4"/>
          <w:sz w:val="22"/>
        </w:rPr>
        <w:t> </w:t>
      </w:r>
      <w:r>
        <w:rPr>
          <w:sz w:val="22"/>
        </w:rPr>
        <w:t>Vol.</w:t>
      </w:r>
      <w:r>
        <w:rPr>
          <w:spacing w:val="-1"/>
          <w:sz w:val="22"/>
        </w:rPr>
        <w:t> </w:t>
      </w:r>
      <w:r>
        <w:rPr>
          <w:sz w:val="22"/>
        </w:rPr>
        <w:t>16,</w:t>
      </w:r>
      <w:r>
        <w:rPr>
          <w:spacing w:val="-6"/>
          <w:sz w:val="22"/>
        </w:rPr>
        <w:t> </w:t>
      </w:r>
      <w:r>
        <w:rPr>
          <w:sz w:val="22"/>
        </w:rPr>
        <w:t>No.</w:t>
      </w:r>
      <w:r>
        <w:rPr>
          <w:spacing w:val="-6"/>
          <w:sz w:val="22"/>
        </w:rPr>
        <w:t> </w:t>
      </w:r>
      <w:r>
        <w:rPr>
          <w:sz w:val="22"/>
        </w:rPr>
        <w:t>1-2,</w:t>
      </w:r>
      <w:r>
        <w:rPr>
          <w:spacing w:val="-1"/>
          <w:sz w:val="22"/>
        </w:rPr>
        <w:t> </w:t>
      </w:r>
      <w:r>
        <w:rPr>
          <w:sz w:val="22"/>
        </w:rPr>
        <w:t>pp.</w:t>
      </w:r>
      <w:r>
        <w:rPr>
          <w:spacing w:val="-2"/>
          <w:sz w:val="22"/>
        </w:rPr>
        <w:t> </w:t>
      </w:r>
      <w:r>
        <w:rPr>
          <w:sz w:val="22"/>
        </w:rPr>
        <w:t>90-</w:t>
      </w:r>
    </w:p>
    <w:p>
      <w:pPr>
        <w:pStyle w:val="BodyText"/>
        <w:spacing w:line="360" w:lineRule="auto" w:before="1"/>
        <w:ind w:left="552"/>
      </w:pPr>
      <w:r>
        <w:rPr/>
        <w:t>106. available</w:t>
      </w:r>
      <w:r>
        <w:rPr>
          <w:spacing w:val="-1"/>
        </w:rPr>
        <w:t> </w:t>
      </w:r>
      <w:r>
        <w:rPr/>
        <w:t>at:</w:t>
      </w:r>
      <w:r>
        <w:rPr>
          <w:spacing w:val="2"/>
        </w:rPr>
        <w:t> </w:t>
      </w:r>
      <w:hyperlink r:id="rId10">
        <w:r>
          <w:rPr>
            <w:u w:val="single"/>
          </w:rPr>
          <w:t>https://www-tandfonline-</w:t>
        </w:r>
      </w:hyperlink>
      <w:r>
        <w:rPr>
          <w:spacing w:val="1"/>
        </w:rPr>
        <w:t> </w:t>
      </w:r>
      <w:hyperlink r:id="rId10">
        <w:r>
          <w:rPr>
            <w:u w:val="single"/>
          </w:rPr>
          <w:t>com.ezproxy.uwtsd.ac.uk/doi/full/10.1080/13527250903441804</w:t>
        </w:r>
      </w:hyperlink>
      <w:r>
        <w:rPr/>
        <w:t>.</w:t>
      </w:r>
      <w:r>
        <w:rPr>
          <w:spacing w:val="-9"/>
        </w:rPr>
        <w:t> </w:t>
      </w:r>
      <w:r>
        <w:rPr/>
        <w:t>(accessed</w:t>
      </w:r>
      <w:r>
        <w:rPr>
          <w:spacing w:val="-7"/>
        </w:rPr>
        <w:t> </w:t>
      </w:r>
      <w:r>
        <w:rPr/>
        <w:t>Apr</w:t>
      </w:r>
      <w:r>
        <w:rPr>
          <w:spacing w:val="-10"/>
        </w:rPr>
        <w:t> </w:t>
      </w:r>
      <w:r>
        <w:rPr/>
        <w:t>10,</w:t>
      </w:r>
      <w:r>
        <w:rPr>
          <w:spacing w:val="-8"/>
        </w:rPr>
        <w:t> </w:t>
      </w:r>
      <w:r>
        <w:rPr/>
        <w:t>2021).</w:t>
      </w:r>
    </w:p>
    <w:p>
      <w:pPr>
        <w:spacing w:line="352" w:lineRule="auto" w:before="178"/>
        <w:ind w:left="552" w:right="295" w:hanging="452"/>
        <w:jc w:val="left"/>
        <w:rPr>
          <w:sz w:val="22"/>
        </w:rPr>
      </w:pPr>
      <w:r>
        <w:rPr>
          <w:sz w:val="21"/>
        </w:rPr>
        <w:t>Koch, N. (2015), "Gulf Nationalism and the Geopolitics of Constructing Falconry as a ‘Heritage Sport’"</w:t>
      </w:r>
      <w:r>
        <w:rPr>
          <w:i/>
          <w:sz w:val="21"/>
        </w:rPr>
        <w:t>,</w:t>
      </w:r>
      <w:r>
        <w:rPr>
          <w:i/>
          <w:spacing w:val="-50"/>
          <w:sz w:val="21"/>
        </w:rPr>
        <w:t> </w:t>
      </w:r>
      <w:r>
        <w:rPr>
          <w:i/>
          <w:sz w:val="21"/>
        </w:rPr>
        <w:t>Studies</w:t>
      </w:r>
      <w:r>
        <w:rPr>
          <w:i/>
          <w:spacing w:val="-5"/>
          <w:sz w:val="21"/>
        </w:rPr>
        <w:t> </w:t>
      </w:r>
      <w:r>
        <w:rPr>
          <w:i/>
          <w:sz w:val="21"/>
        </w:rPr>
        <w:t>in</w:t>
      </w:r>
      <w:r>
        <w:rPr>
          <w:i/>
          <w:spacing w:val="-3"/>
          <w:sz w:val="21"/>
        </w:rPr>
        <w:t> </w:t>
      </w:r>
      <w:r>
        <w:rPr>
          <w:i/>
          <w:sz w:val="21"/>
        </w:rPr>
        <w:t>ethnicity and</w:t>
      </w:r>
      <w:r>
        <w:rPr>
          <w:i/>
          <w:spacing w:val="1"/>
          <w:sz w:val="21"/>
        </w:rPr>
        <w:t> </w:t>
      </w:r>
      <w:r>
        <w:rPr>
          <w:i/>
          <w:sz w:val="21"/>
        </w:rPr>
        <w:t>nationalism,</w:t>
      </w:r>
      <w:r>
        <w:rPr>
          <w:i/>
          <w:spacing w:val="2"/>
          <w:sz w:val="21"/>
        </w:rPr>
        <w:t> </w:t>
      </w:r>
      <w:r>
        <w:rPr>
          <w:sz w:val="21"/>
        </w:rPr>
        <w:t>Vol.</w:t>
      </w:r>
      <w:r>
        <w:rPr>
          <w:spacing w:val="-2"/>
          <w:sz w:val="21"/>
        </w:rPr>
        <w:t> </w:t>
      </w:r>
      <w:r>
        <w:rPr>
          <w:sz w:val="21"/>
        </w:rPr>
        <w:t>15,</w:t>
      </w:r>
      <w:r>
        <w:rPr>
          <w:spacing w:val="-2"/>
          <w:sz w:val="21"/>
        </w:rPr>
        <w:t> </w:t>
      </w:r>
      <w:r>
        <w:rPr>
          <w:sz w:val="21"/>
        </w:rPr>
        <w:t>No.</w:t>
      </w:r>
      <w:r>
        <w:rPr>
          <w:spacing w:val="-3"/>
          <w:sz w:val="21"/>
        </w:rPr>
        <w:t> </w:t>
      </w:r>
      <w:r>
        <w:rPr>
          <w:sz w:val="21"/>
        </w:rPr>
        <w:t>3,</w:t>
      </w:r>
      <w:r>
        <w:rPr>
          <w:spacing w:val="-6"/>
          <w:sz w:val="21"/>
        </w:rPr>
        <w:t> </w:t>
      </w:r>
      <w:r>
        <w:rPr>
          <w:sz w:val="21"/>
        </w:rPr>
        <w:t>pp.</w:t>
      </w:r>
      <w:r>
        <w:rPr>
          <w:spacing w:val="-6"/>
          <w:sz w:val="21"/>
        </w:rPr>
        <w:t> </w:t>
      </w:r>
      <w:r>
        <w:rPr>
          <w:sz w:val="21"/>
        </w:rPr>
        <w:t>522-539.</w:t>
      </w:r>
      <w:r>
        <w:rPr>
          <w:spacing w:val="-3"/>
          <w:sz w:val="21"/>
        </w:rPr>
        <w:t> </w:t>
      </w:r>
      <w:r>
        <w:rPr>
          <w:sz w:val="22"/>
        </w:rPr>
        <w:t>(accessed</w:t>
      </w:r>
      <w:r>
        <w:rPr>
          <w:spacing w:val="3"/>
          <w:sz w:val="22"/>
        </w:rPr>
        <w:t> </w:t>
      </w:r>
      <w:r>
        <w:rPr>
          <w:sz w:val="22"/>
        </w:rPr>
        <w:t>Mar</w:t>
      </w:r>
      <w:r>
        <w:rPr>
          <w:spacing w:val="-2"/>
          <w:sz w:val="22"/>
        </w:rPr>
        <w:t> </w:t>
      </w:r>
      <w:r>
        <w:rPr>
          <w:sz w:val="22"/>
        </w:rPr>
        <w:t>10,</w:t>
      </w:r>
      <w:r>
        <w:rPr>
          <w:spacing w:val="1"/>
          <w:sz w:val="22"/>
        </w:rPr>
        <w:t> </w:t>
      </w:r>
      <w:r>
        <w:rPr>
          <w:sz w:val="22"/>
        </w:rPr>
        <w:t>2021)</w:t>
      </w:r>
    </w:p>
    <w:p>
      <w:pPr>
        <w:pStyle w:val="BodyText"/>
        <w:spacing w:before="181"/>
        <w:ind w:left="100"/>
      </w:pPr>
      <w:r>
        <w:rPr/>
        <w:t>Lyver,</w:t>
      </w:r>
      <w:r>
        <w:rPr>
          <w:spacing w:val="-8"/>
        </w:rPr>
        <w:t> </w:t>
      </w:r>
      <w:r>
        <w:rPr/>
        <w:t>P.O.,</w:t>
      </w:r>
      <w:r>
        <w:rPr>
          <w:spacing w:val="-3"/>
        </w:rPr>
        <w:t> </w:t>
      </w:r>
      <w:r>
        <w:rPr/>
        <w:t>Davies,</w:t>
      </w:r>
      <w:r>
        <w:rPr>
          <w:spacing w:val="-4"/>
        </w:rPr>
        <w:t> </w:t>
      </w:r>
      <w:r>
        <w:rPr/>
        <w:t>J.</w:t>
      </w:r>
      <w:r>
        <w:rPr>
          <w:spacing w:val="-3"/>
        </w:rPr>
        <w:t> </w:t>
      </w:r>
      <w:r>
        <w:rPr/>
        <w:t>and</w:t>
      </w:r>
      <w:r>
        <w:rPr>
          <w:spacing w:val="-7"/>
        </w:rPr>
        <w:t> </w:t>
      </w:r>
      <w:r>
        <w:rPr/>
        <w:t>Allen,</w:t>
      </w:r>
      <w:r>
        <w:rPr>
          <w:spacing w:val="-3"/>
        </w:rPr>
        <w:t> </w:t>
      </w:r>
      <w:r>
        <w:rPr/>
        <w:t>R.B.</w:t>
      </w:r>
      <w:r>
        <w:rPr>
          <w:spacing w:val="-4"/>
        </w:rPr>
        <w:t> </w:t>
      </w:r>
      <w:r>
        <w:rPr/>
        <w:t>(2014),</w:t>
      </w:r>
      <w:r>
        <w:rPr>
          <w:spacing w:val="-3"/>
        </w:rPr>
        <w:t> </w:t>
      </w:r>
      <w:r>
        <w:rPr/>
        <w:t>"Settling</w:t>
      </w:r>
      <w:r>
        <w:rPr>
          <w:spacing w:val="-3"/>
        </w:rPr>
        <w:t> </w:t>
      </w:r>
      <w:r>
        <w:rPr/>
        <w:t>Indigenous</w:t>
      </w:r>
      <w:r>
        <w:rPr>
          <w:spacing w:val="-5"/>
        </w:rPr>
        <w:t> </w:t>
      </w:r>
      <w:r>
        <w:rPr/>
        <w:t>Claims</w:t>
      </w:r>
      <w:r>
        <w:rPr>
          <w:spacing w:val="-6"/>
        </w:rPr>
        <w:t> </w:t>
      </w:r>
      <w:r>
        <w:rPr/>
        <w:t>to</w:t>
      </w:r>
      <w:r>
        <w:rPr>
          <w:spacing w:val="-2"/>
        </w:rPr>
        <w:t> </w:t>
      </w:r>
      <w:r>
        <w:rPr/>
        <w:t>Protected</w:t>
      </w:r>
      <w:r>
        <w:rPr>
          <w:spacing w:val="-3"/>
        </w:rPr>
        <w:t> </w:t>
      </w:r>
      <w:r>
        <w:rPr/>
        <w:t>Areas:</w:t>
      </w:r>
    </w:p>
    <w:p>
      <w:pPr>
        <w:pStyle w:val="BodyText"/>
        <w:spacing w:line="360" w:lineRule="auto" w:before="127"/>
        <w:ind w:left="552" w:right="332"/>
      </w:pPr>
      <w:r>
        <w:rPr/>
        <w:t>Weighing Māori Aspirations Against Australian Experiences"</w:t>
      </w:r>
      <w:r>
        <w:rPr>
          <w:i/>
        </w:rPr>
        <w:t>, Conservation and Society, </w:t>
      </w:r>
      <w:r>
        <w:rPr/>
        <w:t>Vol.</w:t>
      </w:r>
      <w:r>
        <w:rPr>
          <w:spacing w:val="-52"/>
        </w:rPr>
        <w:t> </w:t>
      </w:r>
      <w:r>
        <w:rPr/>
        <w:t>12,</w:t>
      </w:r>
      <w:r>
        <w:rPr>
          <w:spacing w:val="-7"/>
        </w:rPr>
        <w:t> </w:t>
      </w:r>
      <w:r>
        <w:rPr/>
        <w:t>No.</w:t>
      </w:r>
      <w:r>
        <w:rPr>
          <w:spacing w:val="-2"/>
        </w:rPr>
        <w:t> </w:t>
      </w:r>
      <w:r>
        <w:rPr/>
        <w:t>1,</w:t>
      </w:r>
      <w:r>
        <w:rPr>
          <w:spacing w:val="-3"/>
        </w:rPr>
        <w:t> </w:t>
      </w:r>
      <w:r>
        <w:rPr/>
        <w:t>pp.</w:t>
      </w:r>
      <w:r>
        <w:rPr>
          <w:spacing w:val="-6"/>
        </w:rPr>
        <w:t> </w:t>
      </w:r>
      <w:r>
        <w:rPr/>
        <w:t>89-106.</w:t>
      </w:r>
      <w:r>
        <w:rPr>
          <w:spacing w:val="-3"/>
        </w:rPr>
        <w:t> </w:t>
      </w:r>
      <w:r>
        <w:rPr/>
        <w:t>available</w:t>
      </w:r>
      <w:r>
        <w:rPr>
          <w:spacing w:val="-4"/>
        </w:rPr>
        <w:t> </w:t>
      </w:r>
      <w:r>
        <w:rPr/>
        <w:t>at:</w:t>
      </w:r>
      <w:r>
        <w:rPr>
          <w:spacing w:val="-3"/>
        </w:rPr>
        <w:t> </w:t>
      </w:r>
      <w:hyperlink r:id="rId11">
        <w:r>
          <w:rPr>
            <w:u w:val="single"/>
          </w:rPr>
          <w:t>https://www.jstor.org/stable/26393145</w:t>
        </w:r>
      </w:hyperlink>
      <w:r>
        <w:rPr/>
        <w:t>.</w:t>
      </w:r>
      <w:r>
        <w:rPr>
          <w:spacing w:val="-2"/>
        </w:rPr>
        <w:t> </w:t>
      </w:r>
      <w:r>
        <w:rPr/>
        <w:t>(accessed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2,</w:t>
      </w:r>
    </w:p>
    <w:p>
      <w:pPr>
        <w:pStyle w:val="BodyText"/>
        <w:spacing w:before="1"/>
        <w:ind w:left="552"/>
      </w:pPr>
      <w:r>
        <w:rPr/>
        <w:t>2021).</w:t>
      </w:r>
    </w:p>
    <w:p>
      <w:pPr>
        <w:pStyle w:val="BodyText"/>
        <w:rPr>
          <w:sz w:val="26"/>
        </w:rPr>
      </w:pPr>
    </w:p>
    <w:p>
      <w:pPr>
        <w:pStyle w:val="BodyText"/>
        <w:spacing w:line="360" w:lineRule="auto"/>
        <w:ind w:left="552" w:right="215" w:hanging="452"/>
      </w:pPr>
      <w:r>
        <w:rPr/>
        <w:t>Lyver, P.O., Ruru, J., Scott, N., Tylianakis, J.M., Arnold, J., Malinen, S.K., Bataille, C.Y., Herse,</w:t>
      </w:r>
      <w:r>
        <w:rPr>
          <w:spacing w:val="1"/>
        </w:rPr>
        <w:t> </w:t>
      </w:r>
      <w:r>
        <w:rPr/>
        <w:t>M.R., Jones, C.J., Gormley, A.M., Peltzer, D.A., Taura, Y., Timoti, P., Stone, C., Wilcox, M.</w:t>
      </w:r>
      <w:r>
        <w:rPr>
          <w:spacing w:val="1"/>
        </w:rPr>
        <w:t> </w:t>
      </w:r>
      <w:r>
        <w:rPr/>
        <w:t>and Moller, H. (2019), "Building biocultural approaches into Aotearoa – New Zealand’s</w:t>
      </w:r>
      <w:r>
        <w:rPr>
          <w:spacing w:val="1"/>
        </w:rPr>
        <w:t> </w:t>
      </w:r>
      <w:r>
        <w:rPr/>
        <w:t>conservation future"</w:t>
      </w:r>
      <w:r>
        <w:rPr>
          <w:i/>
        </w:rPr>
        <w:t>, Journal of the Royal Society of New Zealand, </w:t>
      </w:r>
      <w:r>
        <w:rPr/>
        <w:t>Vol. 49, No. 3, pp. 394-411.</w:t>
      </w:r>
      <w:r>
        <w:rPr>
          <w:spacing w:val="-52"/>
        </w:rPr>
        <w:t> </w:t>
      </w:r>
      <w:r>
        <w:rPr/>
        <w:t>available at:</w:t>
      </w:r>
      <w:r>
        <w:rPr>
          <w:spacing w:val="-1"/>
        </w:rPr>
        <w:t> </w:t>
      </w:r>
      <w:hyperlink r:id="rId12">
        <w:r>
          <w:rPr>
            <w:u w:val="single"/>
          </w:rPr>
          <w:t>https://doi.org/10.1080/03036758.2018.1539405</w:t>
        </w:r>
      </w:hyperlink>
      <w:r>
        <w:rPr/>
        <w:t>.</w:t>
      </w:r>
      <w:r>
        <w:rPr>
          <w:spacing w:val="-2"/>
        </w:rPr>
        <w:t> </w:t>
      </w:r>
      <w:r>
        <w:rPr/>
        <w:t>(accessed Mar</w:t>
      </w:r>
      <w:r>
        <w:rPr>
          <w:spacing w:val="-3"/>
        </w:rPr>
        <w:t> </w:t>
      </w:r>
      <w:r>
        <w:rPr/>
        <w:t>21,</w:t>
      </w:r>
      <w:r>
        <w:rPr>
          <w:spacing w:val="-5"/>
        </w:rPr>
        <w:t> </w:t>
      </w:r>
      <w:r>
        <w:rPr/>
        <w:t>2021).</w:t>
      </w:r>
    </w:p>
    <w:p>
      <w:pPr>
        <w:spacing w:line="357" w:lineRule="auto" w:before="175"/>
        <w:ind w:left="552" w:right="417" w:hanging="452"/>
        <w:jc w:val="left"/>
        <w:rPr>
          <w:sz w:val="22"/>
        </w:rPr>
      </w:pPr>
      <w:r>
        <w:rPr>
          <w:sz w:val="22"/>
        </w:rPr>
        <w:t>Meskell, L. (2013), "UNESCO and the Fate of the World Heritage Indigenous Peoples Council of</w:t>
      </w:r>
      <w:r>
        <w:rPr>
          <w:spacing w:val="1"/>
          <w:sz w:val="22"/>
        </w:rPr>
        <w:t> </w:t>
      </w:r>
      <w:r>
        <w:rPr>
          <w:sz w:val="22"/>
        </w:rPr>
        <w:t>Experts (WHIPCOE)"</w:t>
      </w:r>
      <w:r>
        <w:rPr>
          <w:i/>
          <w:sz w:val="22"/>
        </w:rPr>
        <w:t>, International Journal of Cultural Property, </w:t>
      </w:r>
      <w:r>
        <w:rPr>
          <w:sz w:val="22"/>
        </w:rPr>
        <w:t>Vol. 20. (accessed May 7,</w:t>
      </w:r>
      <w:r>
        <w:rPr>
          <w:spacing w:val="-52"/>
          <w:sz w:val="22"/>
        </w:rPr>
        <w:t> </w:t>
      </w:r>
      <w:r>
        <w:rPr>
          <w:sz w:val="22"/>
        </w:rPr>
        <w:t>2021).</w:t>
      </w:r>
    </w:p>
    <w:p>
      <w:pPr>
        <w:pStyle w:val="BodyText"/>
        <w:spacing w:line="357" w:lineRule="auto" w:before="182"/>
        <w:ind w:left="552" w:right="269" w:hanging="452"/>
      </w:pPr>
      <w:r>
        <w:rPr/>
        <w:t>Muller,</w:t>
      </w:r>
      <w:r>
        <w:rPr>
          <w:spacing w:val="-4"/>
        </w:rPr>
        <w:t> </w:t>
      </w:r>
      <w:r>
        <w:rPr/>
        <w:t>S.,</w:t>
      </w:r>
      <w:r>
        <w:rPr>
          <w:spacing w:val="-3"/>
        </w:rPr>
        <w:t> </w:t>
      </w:r>
      <w:r>
        <w:rPr/>
        <w:t>Hemming,</w:t>
      </w:r>
      <w:r>
        <w:rPr>
          <w:spacing w:val="-7"/>
        </w:rPr>
        <w:t> </w:t>
      </w:r>
      <w:r>
        <w:rPr/>
        <w:t>S.</w:t>
      </w:r>
      <w:r>
        <w:rPr>
          <w:spacing w:val="-3"/>
        </w:rPr>
        <w:t> </w:t>
      </w:r>
      <w:r>
        <w:rPr/>
        <w:t>and</w:t>
      </w:r>
      <w:r>
        <w:rPr>
          <w:spacing w:val="-6"/>
        </w:rPr>
        <w:t> </w:t>
      </w:r>
      <w:r>
        <w:rPr/>
        <w:t>Rigney,</w:t>
      </w:r>
      <w:r>
        <w:rPr>
          <w:spacing w:val="-3"/>
        </w:rPr>
        <w:t> </w:t>
      </w:r>
      <w:r>
        <w:rPr/>
        <w:t>D.</w:t>
      </w:r>
      <w:r>
        <w:rPr>
          <w:spacing w:val="-7"/>
        </w:rPr>
        <w:t> </w:t>
      </w:r>
      <w:r>
        <w:rPr/>
        <w:t>(2019),</w:t>
      </w:r>
      <w:r>
        <w:rPr>
          <w:spacing w:val="-3"/>
        </w:rPr>
        <w:t> </w:t>
      </w:r>
      <w:r>
        <w:rPr/>
        <w:t>"Indigenous</w:t>
      </w:r>
      <w:r>
        <w:rPr>
          <w:spacing w:val="-5"/>
        </w:rPr>
        <w:t> </w:t>
      </w:r>
      <w:r>
        <w:rPr/>
        <w:t>sovereignties:</w:t>
      </w:r>
      <w:r>
        <w:rPr>
          <w:spacing w:val="-5"/>
        </w:rPr>
        <w:t> </w:t>
      </w:r>
      <w:r>
        <w:rPr/>
        <w:t>relational</w:t>
      </w:r>
      <w:r>
        <w:rPr>
          <w:spacing w:val="-5"/>
        </w:rPr>
        <w:t> </w:t>
      </w:r>
      <w:r>
        <w:rPr/>
        <w:t>ontologies</w:t>
      </w:r>
      <w:r>
        <w:rPr>
          <w:spacing w:val="-5"/>
        </w:rPr>
        <w:t> </w:t>
      </w:r>
      <w:r>
        <w:rPr/>
        <w:t>and</w:t>
      </w:r>
      <w:r>
        <w:rPr>
          <w:spacing w:val="-52"/>
        </w:rPr>
        <w:t> </w:t>
      </w:r>
      <w:r>
        <w:rPr/>
        <w:t>environmental management"</w:t>
      </w:r>
      <w:r>
        <w:rPr>
          <w:i/>
        </w:rPr>
        <w:t>,</w:t>
      </w:r>
      <w:r>
        <w:rPr>
          <w:i/>
          <w:spacing w:val="3"/>
        </w:rPr>
        <w:t> </w:t>
      </w:r>
      <w:r>
        <w:rPr>
          <w:i/>
        </w:rPr>
        <w:t>Geographical Research,</w:t>
      </w:r>
      <w:r>
        <w:rPr>
          <w:i/>
          <w:spacing w:val="7"/>
        </w:rPr>
        <w:t> </w:t>
      </w:r>
      <w:r>
        <w:rPr/>
        <w:t>Vol.</w:t>
      </w:r>
      <w:r>
        <w:rPr>
          <w:spacing w:val="-2"/>
        </w:rPr>
        <w:t> </w:t>
      </w:r>
      <w:r>
        <w:rPr/>
        <w:t>57,</w:t>
      </w:r>
      <w:r>
        <w:rPr>
          <w:spacing w:val="3"/>
        </w:rPr>
        <w:t> </w:t>
      </w:r>
      <w:r>
        <w:rPr/>
        <w:t>No.</w:t>
      </w:r>
      <w:r>
        <w:rPr>
          <w:spacing w:val="-1"/>
        </w:rPr>
        <w:t> </w:t>
      </w:r>
      <w:r>
        <w:rPr/>
        <w:t>4,</w:t>
      </w:r>
      <w:r>
        <w:rPr>
          <w:spacing w:val="-2"/>
        </w:rPr>
        <w:t> </w:t>
      </w:r>
      <w:r>
        <w:rPr/>
        <w:t>pp.</w:t>
      </w:r>
      <w:r>
        <w:rPr>
          <w:spacing w:val="-1"/>
        </w:rPr>
        <w:t> </w:t>
      </w:r>
      <w:r>
        <w:rPr/>
        <w:t>399-410.</w:t>
      </w:r>
      <w:r>
        <w:rPr>
          <w:spacing w:val="2"/>
        </w:rPr>
        <w:t> </w:t>
      </w:r>
      <w:r>
        <w:rPr/>
        <w:t>available</w:t>
      </w:r>
      <w:r>
        <w:rPr>
          <w:spacing w:val="1"/>
        </w:rPr>
        <w:t> </w:t>
      </w:r>
      <w:r>
        <w:rPr/>
        <w:t>at:</w:t>
      </w:r>
      <w:r>
        <w:rPr>
          <w:spacing w:val="-8"/>
        </w:rPr>
        <w:t> </w:t>
      </w:r>
      <w:hyperlink r:id="rId13">
        <w:r>
          <w:rPr>
            <w:u w:val="single"/>
          </w:rPr>
          <w:t>https://onlinelibrary.wiley.com/doi/abs/10.1111/1745-5871.12362</w:t>
        </w:r>
      </w:hyperlink>
      <w:r>
        <w:rPr/>
        <w:t>.</w:t>
      </w:r>
      <w:r>
        <w:rPr>
          <w:spacing w:val="-10"/>
        </w:rPr>
        <w:t> </w:t>
      </w:r>
      <w:r>
        <w:rPr/>
        <w:t>(accessed</w:t>
      </w:r>
      <w:r>
        <w:rPr>
          <w:spacing w:val="-5"/>
        </w:rPr>
        <w:t> </w:t>
      </w:r>
      <w:r>
        <w:rPr/>
        <w:t>May</w:t>
      </w:r>
      <w:r>
        <w:rPr>
          <w:spacing w:val="-5"/>
        </w:rPr>
        <w:t> </w:t>
      </w:r>
      <w:r>
        <w:rPr/>
        <w:t>7,</w:t>
      </w:r>
      <w:r>
        <w:rPr>
          <w:spacing w:val="-10"/>
        </w:rPr>
        <w:t> </w:t>
      </w:r>
      <w:r>
        <w:rPr/>
        <w:t>2021).</w:t>
      </w:r>
    </w:p>
    <w:p>
      <w:pPr>
        <w:pStyle w:val="BodyText"/>
        <w:spacing w:line="360" w:lineRule="auto" w:before="177"/>
        <w:ind w:left="552" w:right="178" w:hanging="452"/>
      </w:pPr>
      <w:r>
        <w:rPr/>
        <w:t>Palmer,</w:t>
      </w:r>
      <w:r>
        <w:rPr>
          <w:spacing w:val="-4"/>
        </w:rPr>
        <w:t> </w:t>
      </w:r>
      <w:r>
        <w:rPr/>
        <w:t>M.H.</w:t>
      </w:r>
      <w:r>
        <w:rPr>
          <w:spacing w:val="-4"/>
        </w:rPr>
        <w:t> </w:t>
      </w:r>
      <w:r>
        <w:rPr/>
        <w:t>and</w:t>
      </w:r>
      <w:r>
        <w:rPr>
          <w:spacing w:val="-6"/>
        </w:rPr>
        <w:t> </w:t>
      </w:r>
      <w:r>
        <w:rPr/>
        <w:t>Feyerherm,</w:t>
      </w:r>
      <w:r>
        <w:rPr>
          <w:spacing w:val="-3"/>
        </w:rPr>
        <w:t> </w:t>
      </w:r>
      <w:r>
        <w:rPr/>
        <w:t>A.</w:t>
      </w:r>
      <w:r>
        <w:rPr>
          <w:spacing w:val="-7"/>
        </w:rPr>
        <w:t> </w:t>
      </w:r>
      <w:r>
        <w:rPr/>
        <w:t>(2018),</w:t>
      </w:r>
      <w:r>
        <w:rPr>
          <w:spacing w:val="-8"/>
        </w:rPr>
        <w:t> </w:t>
      </w:r>
      <w:r>
        <w:rPr/>
        <w:t>"Visual</w:t>
      </w:r>
      <w:r>
        <w:rPr>
          <w:spacing w:val="-5"/>
        </w:rPr>
        <w:t> </w:t>
      </w:r>
      <w:r>
        <w:rPr/>
        <w:t>convincing</w:t>
      </w:r>
      <w:r>
        <w:rPr>
          <w:spacing w:val="-3"/>
        </w:rPr>
        <w:t> </w:t>
      </w:r>
      <w:r>
        <w:rPr/>
        <w:t>of</w:t>
      </w:r>
      <w:r>
        <w:rPr>
          <w:spacing w:val="-5"/>
        </w:rPr>
        <w:t> </w:t>
      </w:r>
      <w:r>
        <w:rPr/>
        <w:t>intangible</w:t>
      </w:r>
      <w:r>
        <w:rPr>
          <w:spacing w:val="-5"/>
        </w:rPr>
        <w:t> </w:t>
      </w:r>
      <w:r>
        <w:rPr/>
        <w:t>cultural</w:t>
      </w:r>
      <w:r>
        <w:rPr>
          <w:spacing w:val="-6"/>
        </w:rPr>
        <w:t> </w:t>
      </w:r>
      <w:r>
        <w:rPr/>
        <w:t>relationships</w:t>
      </w:r>
      <w:r>
        <w:rPr>
          <w:spacing w:val="-5"/>
        </w:rPr>
        <w:t> </w:t>
      </w:r>
      <w:r>
        <w:rPr/>
        <w:t>using</w:t>
      </w:r>
      <w:r>
        <w:rPr>
          <w:spacing w:val="1"/>
        </w:rPr>
        <w:t> </w:t>
      </w:r>
      <w:r>
        <w:rPr/>
        <w:t>maps: A case study of the Tongariro National Park World Heritage nomination dossier"</w:t>
      </w:r>
      <w:r>
        <w:rPr>
          <w:i/>
        </w:rPr>
        <w:t>, The</w:t>
      </w:r>
      <w:r>
        <w:rPr>
          <w:i/>
          <w:spacing w:val="1"/>
        </w:rPr>
        <w:t> </w:t>
      </w:r>
      <w:r>
        <w:rPr>
          <w:i/>
        </w:rPr>
        <w:t>Canadian</w:t>
      </w:r>
      <w:r>
        <w:rPr>
          <w:i/>
          <w:spacing w:val="-4"/>
        </w:rPr>
        <w:t> </w:t>
      </w:r>
      <w:r>
        <w:rPr>
          <w:i/>
        </w:rPr>
        <w:t>Geographer</w:t>
      </w:r>
      <w:r>
        <w:rPr>
          <w:i/>
          <w:spacing w:val="-2"/>
        </w:rPr>
        <w:t> </w:t>
      </w:r>
      <w:r>
        <w:rPr>
          <w:i/>
        </w:rPr>
        <w:t>/</w:t>
      </w:r>
      <w:r>
        <w:rPr>
          <w:i/>
          <w:spacing w:val="-2"/>
        </w:rPr>
        <w:t> </w:t>
      </w:r>
      <w:r>
        <w:rPr>
          <w:i/>
        </w:rPr>
        <w:t>Le</w:t>
      </w:r>
      <w:r>
        <w:rPr>
          <w:i/>
          <w:spacing w:val="-2"/>
        </w:rPr>
        <w:t> </w:t>
      </w:r>
      <w:r>
        <w:rPr>
          <w:i/>
        </w:rPr>
        <w:t>Géographe</w:t>
      </w:r>
      <w:r>
        <w:rPr>
          <w:i/>
          <w:spacing w:val="-2"/>
        </w:rPr>
        <w:t> </w:t>
      </w:r>
      <w:r>
        <w:rPr>
          <w:i/>
        </w:rPr>
        <w:t>canadien,</w:t>
      </w:r>
      <w:r>
        <w:rPr>
          <w:i/>
          <w:spacing w:val="8"/>
        </w:rPr>
        <w:t> </w:t>
      </w:r>
      <w:r>
        <w:rPr/>
        <w:t>Vol.</w:t>
      </w:r>
      <w:r>
        <w:rPr>
          <w:spacing w:val="-4"/>
        </w:rPr>
        <w:t> </w:t>
      </w:r>
      <w:r>
        <w:rPr/>
        <w:t>62, No.</w:t>
      </w:r>
      <w:r>
        <w:rPr>
          <w:spacing w:val="-4"/>
        </w:rPr>
        <w:t> </w:t>
      </w:r>
      <w:r>
        <w:rPr/>
        <w:t>1,</w:t>
      </w:r>
      <w:r>
        <w:rPr>
          <w:spacing w:val="-4"/>
        </w:rPr>
        <w:t> </w:t>
      </w:r>
      <w:r>
        <w:rPr/>
        <w:t>pp. 81-92.</w:t>
      </w:r>
      <w:r>
        <w:rPr>
          <w:spacing w:val="-1"/>
        </w:rPr>
        <w:t> </w:t>
      </w:r>
      <w:r>
        <w:rPr/>
        <w:t>available</w:t>
      </w:r>
    </w:p>
    <w:p>
      <w:pPr>
        <w:pStyle w:val="BodyText"/>
        <w:spacing w:before="2"/>
        <w:ind w:left="552"/>
      </w:pPr>
      <w:r>
        <w:rPr/>
        <w:t>at:</w:t>
      </w:r>
      <w:r>
        <w:rPr>
          <w:spacing w:val="-8"/>
        </w:rPr>
        <w:t> </w:t>
      </w:r>
      <w:hyperlink r:id="rId14">
        <w:r>
          <w:rPr>
            <w:u w:val="single"/>
          </w:rPr>
          <w:t>https://onlinelibrary.wiley.com/doi/abs/10.1111/cag.12439</w:t>
        </w:r>
      </w:hyperlink>
      <w:r>
        <w:rPr/>
        <w:t>.</w:t>
      </w:r>
      <w:r>
        <w:rPr>
          <w:spacing w:val="-10"/>
        </w:rPr>
        <w:t> </w:t>
      </w:r>
      <w:r>
        <w:rPr/>
        <w:t>(accessed</w:t>
      </w:r>
      <w:r>
        <w:rPr>
          <w:spacing w:val="-5"/>
        </w:rPr>
        <w:t> </w:t>
      </w:r>
      <w:r>
        <w:rPr/>
        <w:t>Apr</w:t>
      </w:r>
      <w:r>
        <w:rPr>
          <w:spacing w:val="-8"/>
        </w:rPr>
        <w:t> </w:t>
      </w:r>
      <w:r>
        <w:rPr/>
        <w:t>16,</w:t>
      </w:r>
      <w:r>
        <w:rPr>
          <w:spacing w:val="-9"/>
        </w:rPr>
        <w:t> </w:t>
      </w:r>
      <w:r>
        <w:rPr/>
        <w:t>2021).</w:t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spacing w:line="360" w:lineRule="auto" w:before="91"/>
        <w:ind w:left="552" w:hanging="452"/>
      </w:pPr>
      <w:r>
        <w:rPr/>
        <w:t>Pascual,</w:t>
      </w:r>
      <w:r>
        <w:rPr>
          <w:spacing w:val="-3"/>
        </w:rPr>
        <w:t> </w:t>
      </w:r>
      <w:r>
        <w:rPr/>
        <w:t>U.,</w:t>
      </w:r>
      <w:r>
        <w:rPr>
          <w:spacing w:val="-3"/>
        </w:rPr>
        <w:t> </w:t>
      </w:r>
      <w:r>
        <w:rPr/>
        <w:t>Adams,</w:t>
      </w:r>
      <w:r>
        <w:rPr>
          <w:spacing w:val="-3"/>
        </w:rPr>
        <w:t> </w:t>
      </w:r>
      <w:r>
        <w:rPr/>
        <w:t>W.M.,</w:t>
      </w:r>
      <w:r>
        <w:rPr>
          <w:spacing w:val="-6"/>
        </w:rPr>
        <w:t> </w:t>
      </w:r>
      <w:r>
        <w:rPr/>
        <w:t>Díaz,</w:t>
      </w:r>
      <w:r>
        <w:rPr>
          <w:spacing w:val="-3"/>
        </w:rPr>
        <w:t> </w:t>
      </w:r>
      <w:r>
        <w:rPr/>
        <w:t>S.,</w:t>
      </w:r>
      <w:r>
        <w:rPr>
          <w:spacing w:val="-6"/>
        </w:rPr>
        <w:t> </w:t>
      </w:r>
      <w:r>
        <w:rPr/>
        <w:t>Lele,</w:t>
      </w:r>
      <w:r>
        <w:rPr>
          <w:spacing w:val="-3"/>
        </w:rPr>
        <w:t> </w:t>
      </w:r>
      <w:r>
        <w:rPr/>
        <w:t>S.,</w:t>
      </w:r>
      <w:r>
        <w:rPr>
          <w:spacing w:val="-7"/>
        </w:rPr>
        <w:t> </w:t>
      </w:r>
      <w:r>
        <w:rPr/>
        <w:t>Mace,</w:t>
      </w:r>
      <w:r>
        <w:rPr>
          <w:spacing w:val="-2"/>
        </w:rPr>
        <w:t> </w:t>
      </w:r>
      <w:r>
        <w:rPr/>
        <w:t>G.M.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Turnhout,</w:t>
      </w:r>
      <w:r>
        <w:rPr>
          <w:spacing w:val="-6"/>
        </w:rPr>
        <w:t> </w:t>
      </w:r>
      <w:r>
        <w:rPr/>
        <w:t>E.</w:t>
      </w:r>
      <w:r>
        <w:rPr>
          <w:spacing w:val="-3"/>
        </w:rPr>
        <w:t> </w:t>
      </w:r>
      <w:r>
        <w:rPr/>
        <w:t>(2021),</w:t>
      </w:r>
      <w:r>
        <w:rPr>
          <w:spacing w:val="-3"/>
        </w:rPr>
        <w:t> </w:t>
      </w:r>
      <w:r>
        <w:rPr/>
        <w:t>"Biodiversity</w:t>
      </w:r>
      <w:r>
        <w:rPr>
          <w:spacing w:val="-2"/>
        </w:rPr>
        <w:t> </w:t>
      </w:r>
      <w:r>
        <w:rPr/>
        <w:t>and</w:t>
      </w:r>
      <w:r>
        <w:rPr>
          <w:spacing w:val="-52"/>
        </w:rPr>
        <w:t> </w:t>
      </w:r>
      <w:r>
        <w:rPr/>
        <w:t>the</w:t>
      </w:r>
      <w:r>
        <w:rPr>
          <w:spacing w:val="-2"/>
        </w:rPr>
        <w:t> </w:t>
      </w:r>
      <w:r>
        <w:rPr/>
        <w:t>challenge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pluralism"</w:t>
      </w:r>
      <w:r>
        <w:rPr>
          <w:i/>
        </w:rPr>
        <w:t>, Nature</w:t>
      </w:r>
      <w:r>
        <w:rPr>
          <w:i/>
          <w:spacing w:val="-2"/>
        </w:rPr>
        <w:t> </w:t>
      </w:r>
      <w:r>
        <w:rPr>
          <w:i/>
        </w:rPr>
        <w:t>Sustainability,</w:t>
      </w:r>
      <w:r>
        <w:rPr>
          <w:i/>
          <w:spacing w:val="4"/>
        </w:rPr>
        <w:t> </w:t>
      </w:r>
      <w:r>
        <w:rPr/>
        <w:t>, pp.</w:t>
      </w:r>
      <w:r>
        <w:rPr>
          <w:spacing w:val="-4"/>
        </w:rPr>
        <w:t> </w:t>
      </w:r>
      <w:r>
        <w:rPr/>
        <w:t>1-6. available</w:t>
      </w:r>
    </w:p>
    <w:p>
      <w:pPr>
        <w:pStyle w:val="BodyText"/>
        <w:spacing w:before="1"/>
        <w:ind w:left="552"/>
      </w:pPr>
      <w:r>
        <w:rPr/>
        <w:t>at:</w:t>
      </w:r>
      <w:r>
        <w:rPr>
          <w:spacing w:val="-8"/>
        </w:rPr>
        <w:t> </w:t>
      </w:r>
      <w:hyperlink r:id="rId15">
        <w:r>
          <w:rPr>
            <w:u w:val="single"/>
          </w:rPr>
          <w:t>https://www.nature.com/articles/s41893-021-00694-7</w:t>
        </w:r>
      </w:hyperlink>
      <w:r>
        <w:rPr/>
        <w:t>.</w:t>
      </w:r>
      <w:r>
        <w:rPr>
          <w:spacing w:val="-6"/>
        </w:rPr>
        <w:t> </w:t>
      </w:r>
      <w:r>
        <w:rPr/>
        <w:t>(accessed</w:t>
      </w:r>
      <w:r>
        <w:rPr>
          <w:spacing w:val="-4"/>
        </w:rPr>
        <w:t> </w:t>
      </w:r>
      <w:r>
        <w:rPr/>
        <w:t>May</w:t>
      </w:r>
      <w:r>
        <w:rPr>
          <w:spacing w:val="-5"/>
        </w:rPr>
        <w:t> </w:t>
      </w:r>
      <w:r>
        <w:rPr/>
        <w:t>7,</w:t>
      </w:r>
      <w:r>
        <w:rPr>
          <w:spacing w:val="-9"/>
        </w:rPr>
        <w:t> </w:t>
      </w:r>
      <w:r>
        <w:rPr/>
        <w:t>2021).</w:t>
      </w:r>
    </w:p>
    <w:p>
      <w:pPr>
        <w:pStyle w:val="BodyText"/>
        <w:spacing w:before="2"/>
        <w:rPr>
          <w:sz w:val="18"/>
        </w:rPr>
      </w:pPr>
    </w:p>
    <w:p>
      <w:pPr>
        <w:pStyle w:val="BodyText"/>
        <w:spacing w:before="90"/>
        <w:ind w:left="100"/>
      </w:pPr>
      <w:r>
        <w:rPr/>
        <w:t>Rossler,</w:t>
      </w:r>
      <w:r>
        <w:rPr>
          <w:spacing w:val="-4"/>
        </w:rPr>
        <w:t> </w:t>
      </w:r>
      <w:r>
        <w:rPr/>
        <w:t>D.M.R.</w:t>
      </w:r>
      <w:r>
        <w:rPr>
          <w:spacing w:val="-3"/>
        </w:rPr>
        <w:t> </w:t>
      </w:r>
      <w:r>
        <w:rPr/>
        <w:t>(2006),</w:t>
      </w:r>
      <w:r>
        <w:rPr>
          <w:spacing w:val="-3"/>
        </w:rPr>
        <w:t> </w:t>
      </w:r>
      <w:r>
        <w:rPr/>
        <w:t>"World</w:t>
      </w:r>
      <w:r>
        <w:rPr>
          <w:spacing w:val="-6"/>
        </w:rPr>
        <w:t> </w:t>
      </w:r>
      <w:r>
        <w:rPr/>
        <w:t>Heritage</w:t>
      </w:r>
      <w:r>
        <w:rPr>
          <w:spacing w:val="-5"/>
        </w:rPr>
        <w:t> </w:t>
      </w:r>
      <w:r>
        <w:rPr/>
        <w:t>cultural</w:t>
      </w:r>
      <w:r>
        <w:rPr>
          <w:spacing w:val="-6"/>
        </w:rPr>
        <w:t> </w:t>
      </w:r>
      <w:r>
        <w:rPr/>
        <w:t>landscapes:</w:t>
      </w:r>
      <w:r>
        <w:rPr>
          <w:spacing w:val="-5"/>
        </w:rPr>
        <w:t> </w:t>
      </w:r>
      <w:r>
        <w:rPr/>
        <w:t>A</w:t>
      </w:r>
      <w:r>
        <w:rPr>
          <w:spacing w:val="-3"/>
        </w:rPr>
        <w:t> </w:t>
      </w:r>
      <w:r>
        <w:rPr/>
        <w:t>UNESCO</w:t>
      </w:r>
      <w:r>
        <w:rPr>
          <w:spacing w:val="-3"/>
        </w:rPr>
        <w:t> </w:t>
      </w:r>
      <w:r>
        <w:rPr/>
        <w:t>flagship</w:t>
      </w:r>
      <w:r>
        <w:rPr>
          <w:spacing w:val="-6"/>
        </w:rPr>
        <w:t> </w:t>
      </w:r>
      <w:r>
        <w:rPr/>
        <w:t>programme</w:t>
      </w:r>
      <w:r>
        <w:rPr>
          <w:spacing w:val="-5"/>
        </w:rPr>
        <w:t> </w:t>
      </w:r>
      <w:r>
        <w:rPr/>
        <w:t>1992</w:t>
      </w:r>
    </w:p>
    <w:p>
      <w:pPr>
        <w:spacing w:before="128"/>
        <w:ind w:left="552" w:right="0" w:firstLine="0"/>
        <w:jc w:val="left"/>
        <w:rPr>
          <w:sz w:val="22"/>
        </w:rPr>
      </w:pPr>
      <w:r>
        <w:rPr>
          <w:sz w:val="22"/>
        </w:rPr>
        <w:t>–</w:t>
      </w:r>
      <w:r>
        <w:rPr>
          <w:spacing w:val="-1"/>
          <w:sz w:val="22"/>
        </w:rPr>
        <w:t> </w:t>
      </w:r>
      <w:r>
        <w:rPr>
          <w:sz w:val="22"/>
        </w:rPr>
        <w:t>2006"</w:t>
      </w:r>
      <w:r>
        <w:rPr>
          <w:i/>
          <w:sz w:val="22"/>
        </w:rPr>
        <w:t>,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Landscape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Research,</w:t>
      </w:r>
      <w:r>
        <w:rPr>
          <w:i/>
          <w:spacing w:val="2"/>
          <w:sz w:val="22"/>
        </w:rPr>
        <w:t> </w:t>
      </w:r>
      <w:r>
        <w:rPr>
          <w:sz w:val="22"/>
        </w:rPr>
        <w:t>Vol.</w:t>
      </w:r>
      <w:r>
        <w:rPr>
          <w:spacing w:val="-5"/>
          <w:sz w:val="22"/>
        </w:rPr>
        <w:t> </w:t>
      </w:r>
      <w:r>
        <w:rPr>
          <w:sz w:val="22"/>
        </w:rPr>
        <w:t>31,</w:t>
      </w:r>
      <w:r>
        <w:rPr>
          <w:spacing w:val="-1"/>
          <w:sz w:val="22"/>
        </w:rPr>
        <w:t> </w:t>
      </w:r>
      <w:r>
        <w:rPr>
          <w:sz w:val="22"/>
        </w:rPr>
        <w:t>No.</w:t>
      </w:r>
      <w:r>
        <w:rPr>
          <w:spacing w:val="-5"/>
          <w:sz w:val="22"/>
        </w:rPr>
        <w:t> </w:t>
      </w:r>
      <w:r>
        <w:rPr>
          <w:sz w:val="22"/>
        </w:rPr>
        <w:t>4,</w:t>
      </w:r>
      <w:r>
        <w:rPr>
          <w:spacing w:val="-5"/>
          <w:sz w:val="22"/>
        </w:rPr>
        <w:t> </w:t>
      </w:r>
      <w:r>
        <w:rPr>
          <w:sz w:val="22"/>
        </w:rPr>
        <w:t>pp.</w:t>
      </w:r>
      <w:r>
        <w:rPr>
          <w:spacing w:val="-5"/>
          <w:sz w:val="22"/>
        </w:rPr>
        <w:t> </w:t>
      </w:r>
      <w:r>
        <w:rPr>
          <w:sz w:val="22"/>
        </w:rPr>
        <w:t>333-353.</w:t>
      </w:r>
      <w:r>
        <w:rPr>
          <w:spacing w:val="-2"/>
          <w:sz w:val="22"/>
        </w:rPr>
        <w:t> </w:t>
      </w:r>
      <w:r>
        <w:rPr>
          <w:sz w:val="22"/>
        </w:rPr>
        <w:t>available</w:t>
      </w:r>
    </w:p>
    <w:p>
      <w:pPr>
        <w:pStyle w:val="BodyText"/>
        <w:spacing w:before="127"/>
        <w:ind w:left="552"/>
      </w:pPr>
      <w:r>
        <w:rPr/>
        <w:t>at:</w:t>
      </w:r>
      <w:r>
        <w:rPr>
          <w:spacing w:val="-7"/>
        </w:rPr>
        <w:t> </w:t>
      </w:r>
      <w:hyperlink r:id="rId16">
        <w:r>
          <w:rPr>
            <w:u w:val="single"/>
          </w:rPr>
          <w:t>https://doi.org/10.1080/01426390601004210</w:t>
        </w:r>
      </w:hyperlink>
      <w:r>
        <w:rPr/>
        <w:t>.</w:t>
      </w:r>
      <w:r>
        <w:rPr>
          <w:spacing w:val="-4"/>
        </w:rPr>
        <w:t> </w:t>
      </w:r>
      <w:r>
        <w:rPr/>
        <w:t>(accessed</w:t>
      </w:r>
      <w:r>
        <w:rPr>
          <w:spacing w:val="-3"/>
        </w:rPr>
        <w:t> </w:t>
      </w:r>
      <w:r>
        <w:rPr/>
        <w:t>Apr</w:t>
      </w:r>
      <w:r>
        <w:rPr>
          <w:spacing w:val="-6"/>
        </w:rPr>
        <w:t> </w:t>
      </w:r>
      <w:r>
        <w:rPr/>
        <w:t>16,</w:t>
      </w:r>
      <w:r>
        <w:rPr>
          <w:spacing w:val="-8"/>
        </w:rPr>
        <w:t> </w:t>
      </w:r>
      <w:r>
        <w:rPr/>
        <w:t>2021).</w:t>
      </w:r>
    </w:p>
    <w:p>
      <w:pPr>
        <w:spacing w:after="0"/>
        <w:sectPr>
          <w:pgSz w:w="11910" w:h="16840"/>
          <w:pgMar w:header="0" w:footer="998" w:top="1360" w:bottom="1180" w:left="1340" w:right="1340"/>
        </w:sectPr>
      </w:pPr>
    </w:p>
    <w:p>
      <w:pPr>
        <w:pStyle w:val="BodyText"/>
        <w:spacing w:line="360" w:lineRule="auto" w:before="63"/>
        <w:ind w:left="552" w:right="248" w:hanging="452"/>
      </w:pPr>
      <w:r>
        <w:rPr/>
        <w:t>Rotherham,</w:t>
      </w:r>
      <w:r>
        <w:rPr>
          <w:spacing w:val="-5"/>
        </w:rPr>
        <w:t> </w:t>
      </w:r>
      <w:r>
        <w:rPr/>
        <w:t>I.</w:t>
      </w:r>
      <w:r>
        <w:rPr>
          <w:spacing w:val="-5"/>
        </w:rPr>
        <w:t> </w:t>
      </w:r>
      <w:r>
        <w:rPr/>
        <w:t>(2015),</w:t>
      </w:r>
      <w:r>
        <w:rPr>
          <w:spacing w:val="-4"/>
        </w:rPr>
        <w:t> </w:t>
      </w:r>
      <w:r>
        <w:rPr/>
        <w:t>"Bio-cultural</w:t>
      </w:r>
      <w:r>
        <w:rPr>
          <w:spacing w:val="-7"/>
        </w:rPr>
        <w:t> </w:t>
      </w:r>
      <w:r>
        <w:rPr/>
        <w:t>heritage</w:t>
      </w:r>
      <w:r>
        <w:rPr>
          <w:spacing w:val="-6"/>
        </w:rPr>
        <w:t> </w:t>
      </w:r>
      <w:r>
        <w:rPr/>
        <w:t>and</w:t>
      </w:r>
      <w:r>
        <w:rPr>
          <w:spacing w:val="-8"/>
        </w:rPr>
        <w:t> </w:t>
      </w:r>
      <w:r>
        <w:rPr/>
        <w:t>biodiversity:</w:t>
      </w:r>
      <w:r>
        <w:rPr>
          <w:spacing w:val="-6"/>
        </w:rPr>
        <w:t> </w:t>
      </w:r>
      <w:r>
        <w:rPr/>
        <w:t>emerging</w:t>
      </w:r>
      <w:r>
        <w:rPr>
          <w:spacing w:val="-4"/>
        </w:rPr>
        <w:t> </w:t>
      </w:r>
      <w:r>
        <w:rPr/>
        <w:t>paradigms</w:t>
      </w:r>
      <w:r>
        <w:rPr>
          <w:spacing w:val="-6"/>
        </w:rPr>
        <w:t> </w:t>
      </w:r>
      <w:r>
        <w:rPr/>
        <w:t>in</w:t>
      </w:r>
      <w:r>
        <w:rPr>
          <w:spacing w:val="-4"/>
        </w:rPr>
        <w:t> </w:t>
      </w:r>
      <w:r>
        <w:rPr/>
        <w:t>conservation</w:t>
      </w:r>
      <w:r>
        <w:rPr>
          <w:spacing w:val="-52"/>
        </w:rPr>
        <w:t> </w:t>
      </w:r>
      <w:r>
        <w:rPr/>
        <w:t>and</w:t>
      </w:r>
      <w:r>
        <w:rPr>
          <w:spacing w:val="-1"/>
        </w:rPr>
        <w:t> </w:t>
      </w:r>
      <w:r>
        <w:rPr/>
        <w:t>planning"</w:t>
      </w:r>
      <w:r>
        <w:rPr>
          <w:i/>
        </w:rPr>
        <w:t>,</w:t>
      </w:r>
      <w:r>
        <w:rPr>
          <w:i/>
          <w:spacing w:val="-4"/>
        </w:rPr>
        <w:t> </w:t>
      </w:r>
      <w:r>
        <w:rPr>
          <w:i/>
        </w:rPr>
        <w:t>Biodiversity</w:t>
      </w:r>
      <w:r>
        <w:rPr>
          <w:i/>
          <w:spacing w:val="-3"/>
        </w:rPr>
        <w:t> </w:t>
      </w:r>
      <w:r>
        <w:rPr>
          <w:i/>
        </w:rPr>
        <w:t>and conservation,</w:t>
      </w:r>
      <w:r>
        <w:rPr>
          <w:i/>
          <w:spacing w:val="-2"/>
        </w:rPr>
        <w:t> </w:t>
      </w:r>
      <w:r>
        <w:rPr/>
        <w:t>Vol.</w:t>
      </w:r>
      <w:r>
        <w:rPr>
          <w:spacing w:val="-1"/>
        </w:rPr>
        <w:t> </w:t>
      </w:r>
      <w:r>
        <w:rPr/>
        <w:t>24,</w:t>
      </w:r>
      <w:r>
        <w:rPr>
          <w:spacing w:val="-5"/>
        </w:rPr>
        <w:t> </w:t>
      </w:r>
      <w:r>
        <w:rPr/>
        <w:t>No.</w:t>
      </w:r>
      <w:r>
        <w:rPr>
          <w:spacing w:val="-1"/>
        </w:rPr>
        <w:t> </w:t>
      </w:r>
      <w:r>
        <w:rPr/>
        <w:t>13,</w:t>
      </w:r>
      <w:r>
        <w:rPr>
          <w:spacing w:val="-5"/>
        </w:rPr>
        <w:t> </w:t>
      </w:r>
      <w:r>
        <w:rPr/>
        <w:t>pp.</w:t>
      </w:r>
      <w:r>
        <w:rPr>
          <w:spacing w:val="-1"/>
        </w:rPr>
        <w:t> </w:t>
      </w:r>
      <w:r>
        <w:rPr/>
        <w:t>3405-3429.</w:t>
      </w:r>
      <w:r>
        <w:rPr>
          <w:spacing w:val="-1"/>
        </w:rPr>
        <w:t> </w:t>
      </w:r>
      <w:r>
        <w:rPr/>
        <w:t>available</w:t>
      </w:r>
    </w:p>
    <w:p>
      <w:pPr>
        <w:pStyle w:val="BodyText"/>
        <w:spacing w:before="1"/>
        <w:ind w:left="552"/>
      </w:pPr>
      <w:r>
        <w:rPr/>
        <w:t>at:</w:t>
      </w:r>
      <w:r>
        <w:rPr>
          <w:spacing w:val="-12"/>
        </w:rPr>
        <w:t> </w:t>
      </w:r>
      <w:hyperlink r:id="rId17">
        <w:r>
          <w:rPr>
            <w:u w:val="single"/>
          </w:rPr>
          <w:t>https://search.proquest.com/docview/1727348407</w:t>
        </w:r>
      </w:hyperlink>
      <w:r>
        <w:rPr/>
        <w:t>.</w:t>
      </w:r>
    </w:p>
    <w:p>
      <w:pPr>
        <w:pStyle w:val="BodyText"/>
        <w:spacing w:before="1"/>
        <w:rPr>
          <w:sz w:val="18"/>
        </w:rPr>
      </w:pPr>
    </w:p>
    <w:p>
      <w:pPr>
        <w:spacing w:line="360" w:lineRule="auto" w:before="91"/>
        <w:ind w:left="552" w:right="289" w:hanging="452"/>
        <w:jc w:val="left"/>
        <w:rPr>
          <w:sz w:val="22"/>
        </w:rPr>
      </w:pPr>
      <w:r>
        <w:rPr>
          <w:sz w:val="22"/>
        </w:rPr>
        <w:t>Ruru, J. (2004), "Managing Our Treasured Home: The Conservation Estate and the Principles of the</w:t>
      </w:r>
      <w:r>
        <w:rPr>
          <w:spacing w:val="-52"/>
          <w:sz w:val="22"/>
        </w:rPr>
        <w:t> </w:t>
      </w:r>
      <w:r>
        <w:rPr>
          <w:sz w:val="22"/>
        </w:rPr>
        <w:t>Treaty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-2"/>
          <w:sz w:val="22"/>
        </w:rPr>
        <w:t> </w:t>
      </w:r>
      <w:r>
        <w:rPr>
          <w:sz w:val="22"/>
        </w:rPr>
        <w:t>Waitangi"</w:t>
      </w:r>
      <w:r>
        <w:rPr>
          <w:i/>
          <w:sz w:val="22"/>
        </w:rPr>
        <w:t>, New Zealand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Journal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of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Environmental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Law,</w:t>
      </w:r>
      <w:r>
        <w:rPr>
          <w:i/>
          <w:spacing w:val="7"/>
          <w:sz w:val="22"/>
        </w:rPr>
        <w:t> </w:t>
      </w:r>
      <w:r>
        <w:rPr>
          <w:sz w:val="22"/>
        </w:rPr>
        <w:t>available</w:t>
      </w:r>
    </w:p>
    <w:p>
      <w:pPr>
        <w:pStyle w:val="BodyText"/>
        <w:spacing w:line="357" w:lineRule="auto" w:before="1"/>
        <w:ind w:left="552" w:right="152"/>
      </w:pPr>
      <w:r>
        <w:rPr/>
        <w:t>at: </w:t>
      </w:r>
      <w:hyperlink r:id="rId18">
        <w:r>
          <w:rPr>
            <w:u w:val="single"/>
          </w:rPr>
          <w:t>https://search.informit.org/doi/abs/10.3316/INFORMIT.361324299662045</w:t>
        </w:r>
      </w:hyperlink>
      <w:r>
        <w:rPr/>
        <w:t>. (accessed May 7,</w:t>
      </w:r>
      <w:r>
        <w:rPr>
          <w:spacing w:val="-52"/>
        </w:rPr>
        <w:t> </w:t>
      </w:r>
      <w:r>
        <w:rPr/>
        <w:t>2021).</w:t>
      </w:r>
    </w:p>
    <w:p>
      <w:pPr>
        <w:spacing w:line="357" w:lineRule="auto" w:before="179"/>
        <w:ind w:left="552" w:right="322" w:hanging="452"/>
        <w:jc w:val="left"/>
        <w:rPr>
          <w:sz w:val="22"/>
        </w:rPr>
      </w:pPr>
      <w:r>
        <w:rPr>
          <w:sz w:val="22"/>
        </w:rPr>
        <w:t>Salmond, A. (2014), "Tears of Rangi: Water, power, and people in New Zealand"</w:t>
      </w:r>
      <w:r>
        <w:rPr>
          <w:i/>
          <w:sz w:val="22"/>
        </w:rPr>
        <w:t>, HAU: Journal of</w:t>
      </w:r>
      <w:r>
        <w:rPr>
          <w:i/>
          <w:spacing w:val="-52"/>
          <w:sz w:val="22"/>
        </w:rPr>
        <w:t> </w:t>
      </w:r>
      <w:r>
        <w:rPr>
          <w:i/>
          <w:sz w:val="22"/>
        </w:rPr>
        <w:t>Ethnographic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Theory,</w:t>
      </w:r>
      <w:r>
        <w:rPr>
          <w:i/>
          <w:spacing w:val="4"/>
          <w:sz w:val="22"/>
        </w:rPr>
        <w:t> </w:t>
      </w:r>
      <w:r>
        <w:rPr>
          <w:sz w:val="22"/>
        </w:rPr>
        <w:t>Vol.</w:t>
      </w:r>
      <w:r>
        <w:rPr>
          <w:spacing w:val="-3"/>
          <w:sz w:val="22"/>
        </w:rPr>
        <w:t> </w:t>
      </w:r>
      <w:r>
        <w:rPr>
          <w:sz w:val="22"/>
        </w:rPr>
        <w:t>4,</w:t>
      </w:r>
      <w:r>
        <w:rPr>
          <w:spacing w:val="-4"/>
          <w:sz w:val="22"/>
        </w:rPr>
        <w:t> </w:t>
      </w:r>
      <w:r>
        <w:rPr>
          <w:sz w:val="22"/>
        </w:rPr>
        <w:t>No.</w:t>
      </w:r>
      <w:r>
        <w:rPr>
          <w:spacing w:val="-3"/>
          <w:sz w:val="22"/>
        </w:rPr>
        <w:t> </w:t>
      </w:r>
      <w:r>
        <w:rPr>
          <w:sz w:val="22"/>
        </w:rPr>
        <w:t>3,</w:t>
      </w:r>
      <w:r>
        <w:rPr>
          <w:spacing w:val="-3"/>
          <w:sz w:val="22"/>
        </w:rPr>
        <w:t> </w:t>
      </w:r>
      <w:r>
        <w:rPr>
          <w:sz w:val="22"/>
        </w:rPr>
        <w:t>pp.</w:t>
      </w:r>
      <w:r>
        <w:rPr>
          <w:spacing w:val="-3"/>
          <w:sz w:val="22"/>
        </w:rPr>
        <w:t> </w:t>
      </w:r>
      <w:r>
        <w:rPr>
          <w:sz w:val="22"/>
        </w:rPr>
        <w:t>285-309. available</w:t>
      </w:r>
    </w:p>
    <w:p>
      <w:pPr>
        <w:pStyle w:val="BodyText"/>
        <w:spacing w:before="2"/>
        <w:ind w:left="552"/>
      </w:pPr>
      <w:r>
        <w:rPr/>
        <w:t>at:</w:t>
      </w:r>
      <w:r>
        <w:rPr>
          <w:spacing w:val="-10"/>
        </w:rPr>
        <w:t> </w:t>
      </w:r>
      <w:hyperlink r:id="rId19">
        <w:r>
          <w:rPr>
            <w:u w:val="single"/>
          </w:rPr>
          <w:t>https://www.journals.uchicago.edu/doi/full/10.14318/hau4.3.017</w:t>
        </w:r>
      </w:hyperlink>
      <w:r>
        <w:rPr/>
        <w:t>.</w:t>
      </w:r>
      <w:r>
        <w:rPr>
          <w:spacing w:val="-8"/>
        </w:rPr>
        <w:t> </w:t>
      </w:r>
      <w:r>
        <w:rPr/>
        <w:t>(accessed</w:t>
      </w:r>
      <w:r>
        <w:rPr>
          <w:spacing w:val="-7"/>
        </w:rPr>
        <w:t> </w:t>
      </w:r>
      <w:r>
        <w:rPr/>
        <w:t>Apr</w:t>
      </w:r>
      <w:r>
        <w:rPr>
          <w:spacing w:val="-10"/>
        </w:rPr>
        <w:t> </w:t>
      </w:r>
      <w:r>
        <w:rPr/>
        <w:t>28,</w:t>
      </w:r>
      <w:r>
        <w:rPr>
          <w:spacing w:val="-11"/>
        </w:rPr>
        <w:t> </w:t>
      </w:r>
      <w:r>
        <w:rPr/>
        <w:t>2021).</w:t>
      </w:r>
    </w:p>
    <w:p>
      <w:pPr>
        <w:pStyle w:val="BodyText"/>
        <w:spacing w:before="2"/>
        <w:rPr>
          <w:sz w:val="18"/>
        </w:rPr>
      </w:pPr>
    </w:p>
    <w:p>
      <w:pPr>
        <w:spacing w:before="90"/>
        <w:ind w:left="100" w:right="0" w:firstLine="0"/>
        <w:jc w:val="left"/>
        <w:rPr>
          <w:sz w:val="22"/>
        </w:rPr>
      </w:pPr>
      <w:r>
        <w:rPr>
          <w:sz w:val="22"/>
        </w:rPr>
        <w:t>Smith,</w:t>
      </w:r>
      <w:r>
        <w:rPr>
          <w:spacing w:val="-2"/>
          <w:sz w:val="22"/>
        </w:rPr>
        <w:t> </w:t>
      </w:r>
      <w:r>
        <w:rPr>
          <w:sz w:val="22"/>
        </w:rPr>
        <w:t>L.,</w:t>
      </w:r>
      <w:r>
        <w:rPr>
          <w:spacing w:val="-2"/>
          <w:sz w:val="22"/>
        </w:rPr>
        <w:t> </w:t>
      </w:r>
      <w:r>
        <w:rPr>
          <w:sz w:val="22"/>
        </w:rPr>
        <w:t>(2006)</w:t>
      </w:r>
      <w:r>
        <w:rPr>
          <w:spacing w:val="-3"/>
          <w:sz w:val="22"/>
        </w:rPr>
        <w:t> </w:t>
      </w:r>
      <w:r>
        <w:rPr>
          <w:i/>
          <w:sz w:val="22"/>
        </w:rPr>
        <w:t>Uses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of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Heritage</w:t>
      </w:r>
      <w:r>
        <w:rPr>
          <w:sz w:val="22"/>
        </w:rPr>
        <w:t>.</w:t>
      </w:r>
      <w:r>
        <w:rPr>
          <w:spacing w:val="-2"/>
          <w:sz w:val="22"/>
        </w:rPr>
        <w:t> </w:t>
      </w:r>
      <w:r>
        <w:rPr>
          <w:sz w:val="22"/>
        </w:rPr>
        <w:t>Routledge,</w:t>
      </w:r>
      <w:r>
        <w:rPr>
          <w:spacing w:val="-2"/>
          <w:sz w:val="22"/>
        </w:rPr>
        <w:t> </w:t>
      </w:r>
      <w:r>
        <w:rPr>
          <w:sz w:val="22"/>
        </w:rPr>
        <w:t>Abingdon</w:t>
      </w:r>
      <w:r>
        <w:rPr>
          <w:spacing w:val="-5"/>
          <w:sz w:val="22"/>
        </w:rPr>
        <w:t> </w:t>
      </w:r>
      <w:r>
        <w:rPr>
          <w:sz w:val="22"/>
        </w:rPr>
        <w:t>and</w:t>
      </w:r>
      <w:r>
        <w:rPr>
          <w:spacing w:val="-5"/>
          <w:sz w:val="22"/>
        </w:rPr>
        <w:t> </w:t>
      </w:r>
      <w:r>
        <w:rPr>
          <w:sz w:val="22"/>
        </w:rPr>
        <w:t>New</w:t>
      </w:r>
      <w:r>
        <w:rPr>
          <w:spacing w:val="-2"/>
          <w:sz w:val="22"/>
        </w:rPr>
        <w:t> </w:t>
      </w:r>
      <w:r>
        <w:rPr>
          <w:sz w:val="22"/>
        </w:rPr>
        <w:t>York.</w:t>
      </w:r>
    </w:p>
    <w:p>
      <w:pPr>
        <w:pStyle w:val="BodyText"/>
        <w:spacing w:before="4"/>
        <w:rPr>
          <w:sz w:val="26"/>
        </w:rPr>
      </w:pPr>
    </w:p>
    <w:p>
      <w:pPr>
        <w:spacing w:line="357" w:lineRule="auto" w:before="0"/>
        <w:ind w:left="552" w:right="171" w:hanging="452"/>
        <w:jc w:val="left"/>
        <w:rPr>
          <w:sz w:val="22"/>
        </w:rPr>
      </w:pPr>
      <w:r>
        <w:rPr>
          <w:sz w:val="22"/>
        </w:rPr>
        <w:t>Wallace, P. (2014), </w:t>
      </w:r>
      <w:r>
        <w:rPr>
          <w:i/>
          <w:sz w:val="22"/>
        </w:rPr>
        <w:t>Approaching cultural landscapes in post-settler societies: ideas, policies,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practices</w:t>
      </w:r>
      <w:r>
        <w:rPr>
          <w:sz w:val="22"/>
        </w:rPr>
        <w:t>. Ph.D. thesis, School of Humanities and Social Sciences, Deakin University. (accessed</w:t>
      </w:r>
      <w:r>
        <w:rPr>
          <w:spacing w:val="-53"/>
          <w:sz w:val="22"/>
        </w:rPr>
        <w:t> </w:t>
      </w:r>
      <w:r>
        <w:rPr>
          <w:sz w:val="22"/>
        </w:rPr>
        <w:t>Apr</w:t>
      </w:r>
      <w:r>
        <w:rPr>
          <w:spacing w:val="-1"/>
          <w:sz w:val="22"/>
        </w:rPr>
        <w:t> </w:t>
      </w:r>
      <w:r>
        <w:rPr>
          <w:sz w:val="22"/>
        </w:rPr>
        <w:t>28,</w:t>
      </w:r>
      <w:r>
        <w:rPr>
          <w:spacing w:val="-4"/>
          <w:sz w:val="22"/>
        </w:rPr>
        <w:t> </w:t>
      </w:r>
      <w:r>
        <w:rPr>
          <w:sz w:val="22"/>
        </w:rPr>
        <w:t>2021).</w:t>
      </w:r>
    </w:p>
    <w:p>
      <w:pPr>
        <w:pStyle w:val="BodyText"/>
        <w:spacing w:line="360" w:lineRule="auto" w:before="178"/>
        <w:ind w:left="552" w:right="442" w:hanging="452"/>
      </w:pPr>
      <w:r>
        <w:rPr/>
        <w:t>Walliss, J. (2014), "Transformative Landscapes: Postcolonial Representations of Uluru-Kata Tjuta</w:t>
      </w:r>
      <w:r>
        <w:rPr>
          <w:spacing w:val="-52"/>
        </w:rPr>
        <w:t> </w:t>
      </w:r>
      <w:r>
        <w:rPr/>
        <w:t>and</w:t>
      </w:r>
      <w:r>
        <w:rPr>
          <w:spacing w:val="-1"/>
        </w:rPr>
        <w:t> </w:t>
      </w:r>
      <w:r>
        <w:rPr/>
        <w:t>Tongariro National</w:t>
      </w:r>
      <w:r>
        <w:rPr>
          <w:spacing w:val="-2"/>
        </w:rPr>
        <w:t> </w:t>
      </w:r>
      <w:r>
        <w:rPr/>
        <w:t>Parks"</w:t>
      </w:r>
      <w:r>
        <w:rPr>
          <w:i/>
        </w:rPr>
        <w:t>,</w:t>
      </w:r>
      <w:r>
        <w:rPr>
          <w:i/>
          <w:spacing w:val="-1"/>
        </w:rPr>
        <w:t> </w:t>
      </w:r>
      <w:r>
        <w:rPr>
          <w:i/>
        </w:rPr>
        <w:t>Space</w:t>
      </w:r>
      <w:r>
        <w:rPr>
          <w:i/>
          <w:spacing w:val="-3"/>
        </w:rPr>
        <w:t> </w:t>
      </w:r>
      <w:r>
        <w:rPr>
          <w:i/>
        </w:rPr>
        <w:t>and</w:t>
      </w:r>
      <w:r>
        <w:rPr>
          <w:i/>
          <w:spacing w:val="-4"/>
        </w:rPr>
        <w:t> </w:t>
      </w:r>
      <w:r>
        <w:rPr>
          <w:i/>
        </w:rPr>
        <w:t>Culture,</w:t>
      </w:r>
      <w:r>
        <w:rPr>
          <w:i/>
          <w:spacing w:val="2"/>
        </w:rPr>
        <w:t> </w:t>
      </w:r>
      <w:r>
        <w:rPr/>
        <w:t>Vol.</w:t>
      </w:r>
      <w:r>
        <w:rPr>
          <w:spacing w:val="-1"/>
        </w:rPr>
        <w:t> </w:t>
      </w:r>
      <w:r>
        <w:rPr/>
        <w:t>17,</w:t>
      </w:r>
      <w:r>
        <w:rPr>
          <w:spacing w:val="-5"/>
        </w:rPr>
        <w:t> </w:t>
      </w:r>
      <w:r>
        <w:rPr/>
        <w:t>No.</w:t>
      </w:r>
      <w:r>
        <w:rPr>
          <w:spacing w:val="-5"/>
        </w:rPr>
        <w:t> </w:t>
      </w:r>
      <w:r>
        <w:rPr/>
        <w:t>3,</w:t>
      </w:r>
      <w:r>
        <w:rPr>
          <w:spacing w:val="-5"/>
        </w:rPr>
        <w:t> </w:t>
      </w:r>
      <w:r>
        <w:rPr/>
        <w:t>pp.</w:t>
      </w:r>
      <w:r>
        <w:rPr>
          <w:spacing w:val="-5"/>
        </w:rPr>
        <w:t> </w:t>
      </w:r>
      <w:r>
        <w:rPr/>
        <w:t>280-296.</w:t>
      </w:r>
      <w:r>
        <w:rPr>
          <w:spacing w:val="-1"/>
        </w:rPr>
        <w:t> </w:t>
      </w:r>
      <w:r>
        <w:rPr/>
        <w:t>available</w:t>
      </w:r>
    </w:p>
    <w:p>
      <w:pPr>
        <w:pStyle w:val="BodyText"/>
        <w:spacing w:before="1"/>
        <w:ind w:left="552"/>
      </w:pPr>
      <w:r>
        <w:rPr/>
        <w:t>at:</w:t>
      </w:r>
      <w:r>
        <w:rPr>
          <w:spacing w:val="-7"/>
        </w:rPr>
        <w:t> </w:t>
      </w:r>
      <w:hyperlink r:id="rId20">
        <w:r>
          <w:rPr>
            <w:u w:val="single"/>
          </w:rPr>
          <w:t>https://doi.org/10.1177/1206331213499470</w:t>
        </w:r>
      </w:hyperlink>
      <w:r>
        <w:rPr/>
        <w:t>.</w:t>
      </w:r>
      <w:r>
        <w:rPr>
          <w:spacing w:val="-5"/>
        </w:rPr>
        <w:t> </w:t>
      </w:r>
      <w:r>
        <w:rPr/>
        <w:t>(accessed</w:t>
      </w:r>
      <w:r>
        <w:rPr>
          <w:spacing w:val="-3"/>
        </w:rPr>
        <w:t> </w:t>
      </w:r>
      <w:r>
        <w:rPr/>
        <w:t>May</w:t>
      </w:r>
      <w:r>
        <w:rPr>
          <w:spacing w:val="-4"/>
        </w:rPr>
        <w:t> </w:t>
      </w:r>
      <w:r>
        <w:rPr/>
        <w:t>4,</w:t>
      </w:r>
      <w:r>
        <w:rPr>
          <w:spacing w:val="-8"/>
        </w:rPr>
        <w:t> </w:t>
      </w:r>
      <w:r>
        <w:rPr/>
        <w:t>2021).</w:t>
      </w:r>
    </w:p>
    <w:p>
      <w:pPr>
        <w:pStyle w:val="BodyText"/>
        <w:spacing w:before="1"/>
        <w:rPr>
          <w:sz w:val="18"/>
        </w:rPr>
      </w:pPr>
    </w:p>
    <w:p>
      <w:pPr>
        <w:spacing w:line="360" w:lineRule="auto" w:before="91"/>
        <w:ind w:left="528" w:right="1222" w:hanging="428"/>
        <w:jc w:val="left"/>
        <w:rPr>
          <w:sz w:val="22"/>
        </w:rPr>
      </w:pPr>
      <w:r>
        <w:rPr>
          <w:sz w:val="22"/>
        </w:rPr>
        <w:t>West, S., and Ndlovu, S., (2010) ‘Heritage, landscape and memory’ In Benton, T., (2010)</w:t>
      </w:r>
      <w:r>
        <w:rPr>
          <w:spacing w:val="-52"/>
          <w:sz w:val="22"/>
        </w:rPr>
        <w:t> </w:t>
      </w:r>
      <w:r>
        <w:rPr>
          <w:sz w:val="22"/>
        </w:rPr>
        <w:t>U</w:t>
      </w:r>
      <w:r>
        <w:rPr>
          <w:i/>
          <w:sz w:val="22"/>
        </w:rPr>
        <w:t>nderstanding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heritage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and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memory.</w:t>
      </w:r>
      <w:r>
        <w:rPr>
          <w:i/>
          <w:spacing w:val="2"/>
          <w:sz w:val="22"/>
        </w:rPr>
        <w:t> </w:t>
      </w:r>
      <w:r>
        <w:rPr>
          <w:sz w:val="22"/>
        </w:rPr>
        <w:t>Manchester:</w:t>
      </w:r>
      <w:r>
        <w:rPr>
          <w:spacing w:val="-4"/>
          <w:sz w:val="22"/>
        </w:rPr>
        <w:t> </w:t>
      </w:r>
      <w:r>
        <w:rPr>
          <w:sz w:val="22"/>
        </w:rPr>
        <w:t>Manchester</w:t>
      </w:r>
      <w:r>
        <w:rPr>
          <w:spacing w:val="-4"/>
          <w:sz w:val="22"/>
        </w:rPr>
        <w:t> </w:t>
      </w:r>
      <w:r>
        <w:rPr>
          <w:sz w:val="22"/>
        </w:rPr>
        <w:t>University</w:t>
      </w:r>
      <w:r>
        <w:rPr>
          <w:spacing w:val="-1"/>
          <w:sz w:val="22"/>
        </w:rPr>
        <w:t> </w:t>
      </w:r>
      <w:r>
        <w:rPr>
          <w:sz w:val="22"/>
        </w:rPr>
        <w:t>Press.</w:t>
      </w:r>
    </w:p>
    <w:p>
      <w:pPr>
        <w:pStyle w:val="BodyText"/>
        <w:spacing w:line="360" w:lineRule="auto" w:before="161"/>
        <w:ind w:left="552" w:right="172" w:hanging="452"/>
      </w:pPr>
      <w:r>
        <w:rPr/>
        <w:t>Wilshusen,</w:t>
      </w:r>
      <w:r>
        <w:rPr>
          <w:spacing w:val="-4"/>
        </w:rPr>
        <w:t> </w:t>
      </w:r>
      <w:r>
        <w:rPr/>
        <w:t>P.R.,</w:t>
      </w:r>
      <w:r>
        <w:rPr>
          <w:spacing w:val="-3"/>
        </w:rPr>
        <w:t> </w:t>
      </w:r>
      <w:r>
        <w:rPr/>
        <w:t>Brechin,</w:t>
      </w:r>
      <w:r>
        <w:rPr>
          <w:spacing w:val="-7"/>
        </w:rPr>
        <w:t> </w:t>
      </w:r>
      <w:r>
        <w:rPr/>
        <w:t>S.R.,</w:t>
      </w:r>
      <w:r>
        <w:rPr>
          <w:spacing w:val="-7"/>
        </w:rPr>
        <w:t> </w:t>
      </w:r>
      <w:r>
        <w:rPr/>
        <w:t>Fortwangler,</w:t>
      </w:r>
      <w:r>
        <w:rPr>
          <w:spacing w:val="-7"/>
        </w:rPr>
        <w:t> </w:t>
      </w:r>
      <w:r>
        <w:rPr/>
        <w:t>C.L.</w:t>
      </w:r>
      <w:r>
        <w:rPr>
          <w:spacing w:val="-4"/>
        </w:rPr>
        <w:t> </w:t>
      </w:r>
      <w:r>
        <w:rPr/>
        <w:t>and</w:t>
      </w:r>
      <w:r>
        <w:rPr>
          <w:spacing w:val="-2"/>
        </w:rPr>
        <w:t> </w:t>
      </w:r>
      <w:r>
        <w:rPr/>
        <w:t>West,</w:t>
      </w:r>
      <w:r>
        <w:rPr>
          <w:spacing w:val="-3"/>
        </w:rPr>
        <w:t> </w:t>
      </w:r>
      <w:r>
        <w:rPr/>
        <w:t>P.C.</w:t>
      </w:r>
      <w:r>
        <w:rPr>
          <w:spacing w:val="-4"/>
        </w:rPr>
        <w:t> </w:t>
      </w:r>
      <w:r>
        <w:rPr/>
        <w:t>(2002),</w:t>
      </w:r>
      <w:r>
        <w:rPr>
          <w:spacing w:val="-3"/>
        </w:rPr>
        <w:t> </w:t>
      </w:r>
      <w:r>
        <w:rPr/>
        <w:t>"Reinventing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/>
        <w:t>Square</w:t>
      </w:r>
      <w:r>
        <w:rPr>
          <w:spacing w:val="-52"/>
        </w:rPr>
        <w:t> </w:t>
      </w:r>
      <w:r>
        <w:rPr/>
        <w:t>Wheel: Critique of a Resurgent "Protection Paradigm" in International Biodiversity</w:t>
      </w:r>
      <w:r>
        <w:rPr>
          <w:spacing w:val="1"/>
        </w:rPr>
        <w:t> </w:t>
      </w:r>
      <w:r>
        <w:rPr/>
        <w:t>Conservation"</w:t>
      </w:r>
      <w:r>
        <w:rPr>
          <w:i/>
        </w:rPr>
        <w:t>,</w:t>
      </w:r>
      <w:r>
        <w:rPr>
          <w:i/>
          <w:spacing w:val="-1"/>
        </w:rPr>
        <w:t> </w:t>
      </w:r>
      <w:r>
        <w:rPr>
          <w:i/>
        </w:rPr>
        <w:t>Society</w:t>
      </w:r>
      <w:r>
        <w:rPr>
          <w:i/>
          <w:spacing w:val="-2"/>
        </w:rPr>
        <w:t> </w:t>
      </w:r>
      <w:r>
        <w:rPr>
          <w:i/>
        </w:rPr>
        <w:t>&amp;</w:t>
      </w:r>
      <w:r>
        <w:rPr>
          <w:i/>
          <w:spacing w:val="-1"/>
        </w:rPr>
        <w:t> </w:t>
      </w:r>
      <w:r>
        <w:rPr>
          <w:i/>
        </w:rPr>
        <w:t>Natural</w:t>
      </w:r>
      <w:r>
        <w:rPr>
          <w:i/>
          <w:spacing w:val="-2"/>
        </w:rPr>
        <w:t> </w:t>
      </w:r>
      <w:r>
        <w:rPr>
          <w:i/>
        </w:rPr>
        <w:t>Resources, </w:t>
      </w:r>
      <w:r>
        <w:rPr/>
        <w:t>Vol. 15,</w:t>
      </w:r>
      <w:r>
        <w:rPr>
          <w:spacing w:val="-4"/>
        </w:rPr>
        <w:t> </w:t>
      </w:r>
      <w:r>
        <w:rPr/>
        <w:t>No.</w:t>
      </w:r>
      <w:r>
        <w:rPr>
          <w:spacing w:val="-1"/>
        </w:rPr>
        <w:t> </w:t>
      </w:r>
      <w:r>
        <w:rPr/>
        <w:t>1, pp.</w:t>
      </w:r>
      <w:r>
        <w:rPr>
          <w:spacing w:val="-5"/>
        </w:rPr>
        <w:t> </w:t>
      </w:r>
      <w:r>
        <w:rPr/>
        <w:t>17-40. available</w:t>
      </w:r>
    </w:p>
    <w:p>
      <w:pPr>
        <w:pStyle w:val="BodyText"/>
        <w:spacing w:before="2"/>
        <w:ind w:left="552"/>
      </w:pPr>
      <w:r>
        <w:rPr/>
        <w:t>at:</w:t>
      </w:r>
      <w:r>
        <w:rPr>
          <w:spacing w:val="-7"/>
        </w:rPr>
        <w:t> </w:t>
      </w:r>
      <w:hyperlink r:id="rId21">
        <w:r>
          <w:rPr>
            <w:u w:val="single"/>
          </w:rPr>
          <w:t>https://doi.org/10.1080/089419202317174002</w:t>
        </w:r>
      </w:hyperlink>
      <w:r>
        <w:rPr/>
        <w:t>.</w:t>
      </w:r>
      <w:r>
        <w:rPr>
          <w:spacing w:val="-5"/>
        </w:rPr>
        <w:t> </w:t>
      </w:r>
      <w:r>
        <w:rPr/>
        <w:t>(accessed</w:t>
      </w:r>
      <w:r>
        <w:rPr>
          <w:spacing w:val="-3"/>
        </w:rPr>
        <w:t> </w:t>
      </w:r>
      <w:r>
        <w:rPr/>
        <w:t>May</w:t>
      </w:r>
      <w:r>
        <w:rPr>
          <w:spacing w:val="-4"/>
        </w:rPr>
        <w:t> </w:t>
      </w:r>
      <w:r>
        <w:rPr/>
        <w:t>7,</w:t>
      </w:r>
      <w:r>
        <w:rPr>
          <w:spacing w:val="-8"/>
        </w:rPr>
        <w:t> </w:t>
      </w:r>
      <w:r>
        <w:rPr/>
        <w:t>2021).</w:t>
      </w:r>
    </w:p>
    <w:sectPr>
      <w:pgSz w:w="11910" w:h="16840"/>
      <w:pgMar w:header="0" w:footer="998" w:top="1360" w:bottom="1180" w:left="1340" w:right="13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09.350006pt;margin-top:780.924988pt;width:18.2pt;height:13pt;mso-position-horizontal-relative:page;mso-position-vertical-relative:page;z-index:-15849472" type="#_x0000_t202" id="docshape1" filled="false" stroked="false">
          <v:textbox inset="0,0,0,0">
            <w:txbxContent>
              <w:p>
                <w:pPr>
                  <w:pStyle w:val="BodyText"/>
                  <w:spacing w:line="244" w:lineRule="exact"/>
                  <w:ind w:left="60"/>
                  <w:rPr>
                    <w:rFonts w:ascii="Calibri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gb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en-gb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b/>
      <w:bCs/>
      <w:sz w:val="26"/>
      <w:szCs w:val="26"/>
      <w:lang w:val="en-gb" w:eastAsia="en-US" w:bidi="ar-SA"/>
    </w:rPr>
  </w:style>
  <w:style w:styleId="Heading2" w:type="paragraph">
    <w:name w:val="Heading 2"/>
    <w:basedOn w:val="Normal"/>
    <w:uiPriority w:val="1"/>
    <w:qFormat/>
    <w:pPr>
      <w:spacing w:before="90"/>
      <w:ind w:left="100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en-gb" w:eastAsia="en-US" w:bidi="ar-SA"/>
    </w:rPr>
  </w:style>
  <w:style w:styleId="Heading3" w:type="paragraph">
    <w:name w:val="Heading 3"/>
    <w:basedOn w:val="Normal"/>
    <w:uiPriority w:val="1"/>
    <w:qFormat/>
    <w:pPr>
      <w:spacing w:before="63"/>
      <w:ind w:left="100"/>
      <w:outlineLvl w:val="3"/>
    </w:pPr>
    <w:rPr>
      <w:rFonts w:ascii="Times New Roman" w:hAnsi="Times New Roman" w:eastAsia="Times New Roman" w:cs="Times New Roman"/>
      <w:b/>
      <w:bCs/>
      <w:sz w:val="22"/>
      <w:szCs w:val="22"/>
      <w:lang w:val="en-gb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gb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gb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yperlink" Target="https://ro.uow.edu.au/scipapers/27" TargetMode="External"/><Relationship Id="rId7" Type="http://schemas.openxmlformats.org/officeDocument/2006/relationships/hyperlink" Target="https://doi.org/10.1080/00393630.2020.1774102" TargetMode="External"/><Relationship Id="rId8" Type="http://schemas.openxmlformats.org/officeDocument/2006/relationships/hyperlink" Target="https://besjournals.onlinelibrary.wiley.com/doi/abs/10.1002/pan3.10040" TargetMode="External"/><Relationship Id="rId9" Type="http://schemas.openxmlformats.org/officeDocument/2006/relationships/hyperlink" Target="https://doi.org/10.1080/13527258.2019.1703202" TargetMode="External"/><Relationship Id="rId10" Type="http://schemas.openxmlformats.org/officeDocument/2006/relationships/hyperlink" Target="https://www-tandfonline-com.ezproxy.uwtsd.ac.uk/doi/full/10.1080/13527250903441804" TargetMode="External"/><Relationship Id="rId11" Type="http://schemas.openxmlformats.org/officeDocument/2006/relationships/hyperlink" Target="https://www.jstor.org/stable/26393145" TargetMode="External"/><Relationship Id="rId12" Type="http://schemas.openxmlformats.org/officeDocument/2006/relationships/hyperlink" Target="https://doi.org/10.1080/03036758.2018.1539405" TargetMode="External"/><Relationship Id="rId13" Type="http://schemas.openxmlformats.org/officeDocument/2006/relationships/hyperlink" Target="https://onlinelibrary.wiley.com/doi/abs/10.1111/1745-5871.12362" TargetMode="External"/><Relationship Id="rId14" Type="http://schemas.openxmlformats.org/officeDocument/2006/relationships/hyperlink" Target="https://onlinelibrary.wiley.com/doi/abs/10.1111/cag.12439" TargetMode="External"/><Relationship Id="rId15" Type="http://schemas.openxmlformats.org/officeDocument/2006/relationships/hyperlink" Target="https://www.nature.com/articles/s41893-021-00694-7" TargetMode="External"/><Relationship Id="rId16" Type="http://schemas.openxmlformats.org/officeDocument/2006/relationships/hyperlink" Target="https://doi.org/10.1080/01426390601004210" TargetMode="External"/><Relationship Id="rId17" Type="http://schemas.openxmlformats.org/officeDocument/2006/relationships/hyperlink" Target="https://search.proquest.com/docview/1727348407" TargetMode="External"/><Relationship Id="rId18" Type="http://schemas.openxmlformats.org/officeDocument/2006/relationships/hyperlink" Target="https://search.informit.org/doi/abs/10.3316/INFORMIT.361324299662045" TargetMode="External"/><Relationship Id="rId19" Type="http://schemas.openxmlformats.org/officeDocument/2006/relationships/hyperlink" Target="https://www.journals.uchicago.edu/doi/full/10.14318/hau4.3.017" TargetMode="External"/><Relationship Id="rId20" Type="http://schemas.openxmlformats.org/officeDocument/2006/relationships/hyperlink" Target="https://doi.org/10.1177/1206331213499470" TargetMode="External"/><Relationship Id="rId21" Type="http://schemas.openxmlformats.org/officeDocument/2006/relationships/hyperlink" Target="https://doi.org/10.1080/089419202317174002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Hilary Elizabeth Sweetnam (2024458)</dc:creator>
  <dcterms:created xsi:type="dcterms:W3CDTF">2022-03-18T15:45:47Z</dcterms:created>
  <dcterms:modified xsi:type="dcterms:W3CDTF">2022-03-18T15:45:47Z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2022-03-18T00:00:00Z</vt:filetime>
  </property>
</Properties>
</file>