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B9883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662FD">
              <w:rPr>
                <w:rFonts w:ascii="Times New Roman" w:hAnsi="Times New Roman" w:cs="Times New Roman"/>
                <w:b/>
                <w:color w:val="auto"/>
                <w:sz w:val="48"/>
              </w:rPr>
              <w:t>Lowri Elen Owen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D0A1C6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662FD">
              <w:t xml:space="preserve"> </w:t>
            </w:r>
            <w:r w:rsidR="004662FD" w:rsidRPr="004662FD">
              <w:rPr>
                <w:rFonts w:ascii="Times New Roman" w:hAnsi="Times New Roman" w:cs="Times New Roman"/>
                <w:b/>
                <w:color w:val="auto"/>
                <w:sz w:val="48"/>
              </w:rPr>
              <w:t>2432840@student.uwtsd.ac.uk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A37B342" w14:textId="341AF2DC" w:rsidR="004662FD" w:rsidRPr="005D3F07" w:rsidRDefault="004662FD" w:rsidP="005D3F07">
            <w:pPr>
              <w:overflowPunct/>
              <w:autoSpaceDE/>
              <w:autoSpaceDN/>
              <w:adjustRightInd/>
              <w:ind w:right="-957"/>
              <w:textAlignment w:val="auto"/>
              <w:rPr>
                <w:rFonts w:ascii="Times New Roman" w:hAnsi="Times New Roman" w:cs="Times New Roman"/>
                <w:b/>
                <w:color w:val="auto"/>
                <w:sz w:val="48"/>
              </w:rPr>
            </w:pPr>
            <w:r w:rsidRPr="004662FD">
              <w:rPr>
                <w:rFonts w:ascii="Times New Roman" w:hAnsi="Times New Roman" w:cs="Times New Roman"/>
                <w:b/>
                <w:color w:val="auto"/>
                <w:sz w:val="48"/>
              </w:rPr>
              <w:t>2432840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4B954B5" w14:textId="77777777" w:rsidR="004662FD" w:rsidRPr="004662FD" w:rsidRDefault="004662FD" w:rsidP="004662FD">
            <w:pPr>
              <w:jc w:val="both"/>
              <w:rPr>
                <w:sz w:val="24"/>
                <w:szCs w:val="24"/>
              </w:rPr>
            </w:pPr>
            <w:r w:rsidRPr="004662FD">
              <w:rPr>
                <w:sz w:val="24"/>
                <w:szCs w:val="24"/>
              </w:rPr>
              <w:t>Introduction</w:t>
            </w:r>
          </w:p>
          <w:p w14:paraId="04F3A83B" w14:textId="77777777" w:rsidR="004662FD" w:rsidRPr="004662FD" w:rsidRDefault="004662FD" w:rsidP="004662FD">
            <w:pPr>
              <w:jc w:val="both"/>
              <w:rPr>
                <w:sz w:val="24"/>
                <w:szCs w:val="24"/>
              </w:rPr>
            </w:pPr>
            <w:r w:rsidRPr="004662FD">
              <w:rPr>
                <w:sz w:val="24"/>
                <w:szCs w:val="24"/>
              </w:rPr>
              <w:t xml:space="preserve">The first part of this task will focus on the relevant legislations, policies and procedures for safeguarding adults. The latter part of this task will aim to reflect on the difference between safeguarding adults and children. </w:t>
            </w:r>
          </w:p>
          <w:p w14:paraId="1289984F" w14:textId="77777777" w:rsidR="004662FD" w:rsidRPr="004662FD" w:rsidRDefault="004662FD" w:rsidP="004662FD">
            <w:pPr>
              <w:jc w:val="both"/>
              <w:rPr>
                <w:sz w:val="24"/>
                <w:szCs w:val="24"/>
              </w:rPr>
            </w:pPr>
            <w:r w:rsidRPr="004662FD">
              <w:rPr>
                <w:sz w:val="24"/>
                <w:szCs w:val="24"/>
              </w:rPr>
              <w:t xml:space="preserve">Safeguarding adults is underpinned by legislation. National legislations include the Equality Act (2010), Mental Capacity Act (2005) and Human Rights Act (1998). These legislations set out legal duties that organisations must follow to safeguard adults from abuse, harm and neglect whilst promoting their rights and well-being. </w:t>
            </w:r>
          </w:p>
          <w:p w14:paraId="43A4BD01" w14:textId="77777777" w:rsidR="004662FD" w:rsidRPr="004662FD" w:rsidRDefault="004662FD" w:rsidP="004662FD">
            <w:pPr>
              <w:jc w:val="both"/>
              <w:rPr>
                <w:sz w:val="24"/>
                <w:szCs w:val="24"/>
              </w:rPr>
            </w:pPr>
            <w:r w:rsidRPr="004662FD">
              <w:rPr>
                <w:sz w:val="24"/>
                <w:szCs w:val="24"/>
              </w:rPr>
              <w:t>The main legislation for safeguarding adults in Wales is the Social Services and Well-being (Wales) Act 2014 (SSWBA, 2014). Part 7 of this Act sets out clear guidelines for professionals for safeguarding adults. Additionally, the local Safeguarding Board sets out clear policies for the local authority. The main objective of the local safeguarding board is to protect adults who have care and support needs and who are experiencing, or at risk of, abuse or neglect (SSWBA, 2014).</w:t>
            </w:r>
          </w:p>
          <w:p w14:paraId="21F3B2F2" w14:textId="77777777" w:rsidR="004662FD" w:rsidRPr="004662FD" w:rsidRDefault="004662FD" w:rsidP="004662FD">
            <w:pPr>
              <w:jc w:val="both"/>
              <w:rPr>
                <w:sz w:val="24"/>
                <w:szCs w:val="24"/>
              </w:rPr>
            </w:pPr>
            <w:r w:rsidRPr="004662FD">
              <w:rPr>
                <w:sz w:val="24"/>
                <w:szCs w:val="24"/>
              </w:rPr>
              <w:t>Under Section 126, Part 7 of the SSWBA (2014) adult at risk is defined as a person aged over 18 who is either experiencing or is at risk of abuse or neglect and who has care and support needs that impact on their ability to protect themselves against the risk of harm. The local authority has a duty to enquire should they have reasonable cause to suspect that a person aged over the age of 18 is at risk of harm, neglect or abuse (SSWBA, 2014).</w:t>
            </w:r>
          </w:p>
          <w:p w14:paraId="1D24B0C1" w14:textId="77777777" w:rsidR="004662FD" w:rsidRPr="004662FD" w:rsidRDefault="004662FD" w:rsidP="004662FD">
            <w:pPr>
              <w:jc w:val="both"/>
              <w:rPr>
                <w:sz w:val="24"/>
                <w:szCs w:val="24"/>
              </w:rPr>
            </w:pPr>
            <w:r w:rsidRPr="004662FD">
              <w:rPr>
                <w:sz w:val="24"/>
                <w:szCs w:val="24"/>
              </w:rPr>
              <w:t xml:space="preserve">Under the SSWBA (2014) Section 126, professionals have a duty to report adults at risk. The Act sets out clear guidelines stating when there is reasonable cause to suspect that a person aged over 18 is at risk, they must report this. </w:t>
            </w:r>
          </w:p>
          <w:p w14:paraId="239D907D" w14:textId="77777777" w:rsidR="004662FD" w:rsidRPr="004662FD" w:rsidRDefault="004662FD" w:rsidP="004662FD">
            <w:pPr>
              <w:jc w:val="both"/>
              <w:rPr>
                <w:sz w:val="24"/>
                <w:szCs w:val="24"/>
              </w:rPr>
            </w:pPr>
            <w:r w:rsidRPr="004662FD">
              <w:rPr>
                <w:sz w:val="24"/>
                <w:szCs w:val="24"/>
              </w:rPr>
              <w:t xml:space="preserve">It is evident from the research that abuse comes in many forms, ranging from physical, emotional, psychological, sexual and financial. Dye (2020) argues that when physical abuse is present, the indicators are often easier to identify. Dye (2020) highlights that when physical abuse occurs, the indicators may be visible. However, indicators to emotional abuse may prove more challenging to detect as there is no visible evidence. Rees (2010) argues that emotional abuse indicators may present as change in behaviour, low mood and </w:t>
            </w:r>
            <w:r w:rsidRPr="004662FD">
              <w:rPr>
                <w:sz w:val="24"/>
                <w:szCs w:val="24"/>
              </w:rPr>
              <w:lastRenderedPageBreak/>
              <w:t>disengagement. It is argued that being aware of these indicators and identifying patterns of behaviour is essential for safeguarding (Dye, 2020).</w:t>
            </w:r>
          </w:p>
          <w:p w14:paraId="6EBCE3F9" w14:textId="77777777" w:rsidR="004662FD" w:rsidRPr="004662FD" w:rsidRDefault="004662FD" w:rsidP="004662FD">
            <w:pPr>
              <w:jc w:val="both"/>
              <w:rPr>
                <w:sz w:val="24"/>
                <w:szCs w:val="24"/>
              </w:rPr>
            </w:pPr>
            <w:r w:rsidRPr="004662FD">
              <w:rPr>
                <w:sz w:val="24"/>
                <w:szCs w:val="24"/>
              </w:rPr>
              <w:t xml:space="preserve">There are a range of factors that may identify an adult who is at risk of harm. One main factor arises from their care and support needs, which may include physical or learning difficulties, substance misuse or mental health conditions (Wales Safeguarding Procedures, 2019). It is argued that although these factors do not necessarily place adults at risk, it does increase the risk (Wales Safeguarding Procedures, 2019). This is also highlighted in the Equality Act (2010).  Dixon (2023) highlights that adults who have care and support needs are often vulnerable, making them more susceptible to abuse. It is argued that these factors increase an adults need to be dependent on others which creates a power imbalance that could be exploited (Dixon, 2023). Additionally, these factors are co-aligned with communication barriers, social isolation and dependency- all of which increase the likelihood of abuse (Boland et al., 2013). </w:t>
            </w:r>
          </w:p>
          <w:p w14:paraId="5F82BC1E" w14:textId="77777777" w:rsidR="004662FD" w:rsidRPr="004662FD" w:rsidRDefault="004662FD" w:rsidP="004662FD">
            <w:pPr>
              <w:jc w:val="both"/>
              <w:rPr>
                <w:sz w:val="24"/>
                <w:szCs w:val="24"/>
              </w:rPr>
            </w:pPr>
          </w:p>
          <w:p w14:paraId="3577C40F" w14:textId="77777777" w:rsidR="004662FD" w:rsidRPr="004662FD" w:rsidRDefault="004662FD" w:rsidP="004662FD">
            <w:pPr>
              <w:jc w:val="both"/>
              <w:rPr>
                <w:sz w:val="24"/>
                <w:szCs w:val="24"/>
              </w:rPr>
            </w:pPr>
          </w:p>
          <w:p w14:paraId="4EA94246" w14:textId="77777777" w:rsidR="004662FD" w:rsidRPr="004662FD" w:rsidRDefault="004662FD" w:rsidP="004662FD">
            <w:pPr>
              <w:jc w:val="both"/>
              <w:rPr>
                <w:sz w:val="24"/>
                <w:szCs w:val="24"/>
              </w:rPr>
            </w:pPr>
          </w:p>
          <w:p w14:paraId="6D8CB8AF" w14:textId="67AFD974" w:rsidR="00FC0334" w:rsidRDefault="004662FD" w:rsidP="00FF7EBB">
            <w:pPr>
              <w:jc w:val="both"/>
              <w:rPr>
                <w:sz w:val="24"/>
                <w:szCs w:val="24"/>
              </w:rPr>
            </w:pPr>
            <w:r>
              <w:rPr>
                <w:sz w:val="24"/>
                <w:szCs w:val="24"/>
              </w:rPr>
              <w:t>WORD COUNT: 537</w:t>
            </w:r>
          </w:p>
          <w:p w14:paraId="1569FC88" w14:textId="77777777" w:rsidR="004662FD" w:rsidRDefault="004662FD"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71E44452" w14:textId="77777777" w:rsidR="004662FD" w:rsidRPr="004662FD" w:rsidRDefault="004662FD" w:rsidP="004662FD">
            <w:pPr>
              <w:jc w:val="both"/>
              <w:rPr>
                <w:sz w:val="24"/>
                <w:szCs w:val="24"/>
              </w:rPr>
            </w:pPr>
            <w:r w:rsidRPr="004662FD">
              <w:rPr>
                <w:sz w:val="24"/>
                <w:szCs w:val="24"/>
              </w:rPr>
              <w:t>Comparison</w:t>
            </w:r>
          </w:p>
          <w:p w14:paraId="5D1DE244" w14:textId="77777777" w:rsidR="004662FD" w:rsidRPr="004662FD" w:rsidRDefault="004662FD" w:rsidP="004662FD">
            <w:pPr>
              <w:jc w:val="both"/>
              <w:rPr>
                <w:sz w:val="24"/>
                <w:szCs w:val="24"/>
              </w:rPr>
            </w:pPr>
            <w:r w:rsidRPr="004662FD">
              <w:rPr>
                <w:sz w:val="24"/>
                <w:szCs w:val="24"/>
              </w:rPr>
              <w:t xml:space="preserve">Safeguarding adults and children share the aim of protecting individuals. However, the way in which this is approached differs significantly. </w:t>
            </w:r>
          </w:p>
          <w:p w14:paraId="5E7E3ADF" w14:textId="77777777" w:rsidR="004662FD" w:rsidRPr="004662FD" w:rsidRDefault="004662FD" w:rsidP="004662FD">
            <w:pPr>
              <w:jc w:val="both"/>
              <w:rPr>
                <w:sz w:val="24"/>
                <w:szCs w:val="24"/>
              </w:rPr>
            </w:pPr>
            <w:r w:rsidRPr="004662FD">
              <w:rPr>
                <w:sz w:val="24"/>
                <w:szCs w:val="24"/>
              </w:rPr>
              <w:t>Under the SSWBA (2014) a child at risk is defined as a child who is experiencing or at risk of abuse, neglect or harm, and has care and support needs. In contrast, an adult at risk is defined as a person aged over 18 who is either experiencing or is at risk of abuse or neglect and who has care and support needs that impact on their ability to protect themselves. These definitions differ, it seems presumed that adults can protect themselves, whereas children are assumed to require protection (SSWBA, 2014).</w:t>
            </w:r>
          </w:p>
          <w:p w14:paraId="2BA553A1" w14:textId="77777777" w:rsidR="004662FD" w:rsidRPr="004662FD" w:rsidRDefault="004662FD" w:rsidP="004662FD">
            <w:pPr>
              <w:jc w:val="both"/>
              <w:rPr>
                <w:sz w:val="24"/>
                <w:szCs w:val="24"/>
              </w:rPr>
            </w:pPr>
            <w:r w:rsidRPr="004662FD">
              <w:rPr>
                <w:sz w:val="24"/>
                <w:szCs w:val="24"/>
              </w:rPr>
              <w:t xml:space="preserve">Adults may be able to protect themselves from harm, abuse and neglect. However, in some circumstances this may be affected by their care and support needs (SSWBA, 2014). </w:t>
            </w:r>
          </w:p>
          <w:p w14:paraId="0086206F" w14:textId="77777777" w:rsidR="004662FD" w:rsidRPr="004662FD" w:rsidRDefault="004662FD" w:rsidP="004662FD">
            <w:pPr>
              <w:jc w:val="both"/>
              <w:rPr>
                <w:sz w:val="24"/>
                <w:szCs w:val="24"/>
              </w:rPr>
            </w:pPr>
            <w:r w:rsidRPr="004662FD">
              <w:rPr>
                <w:sz w:val="24"/>
                <w:szCs w:val="24"/>
              </w:rPr>
              <w:lastRenderedPageBreak/>
              <w:t xml:space="preserve">Consent is another differing factor. In adult safeguarding, consent is typically required to proceed with the referral as adults have a right to refuse assessment. However, refusal of the assessment does not automatically relieve the local authority of its duty (SSWBA, 2014).  Part 7 of the SSWBA (2014) notes that the local authority must always seek to respect the adults’ wishes, however there are some exceptions. These factors may include that the person lacks mental capacity or that there is a high risk to the health and safety of the individual. In these instances, the local authority has a duty to proceed without consent (SSWBA, 2014). In contrast, in children’s safeguarding, the local authority has a duty to intervene without consent (SSWBA, 2014). </w:t>
            </w:r>
          </w:p>
          <w:p w14:paraId="3496E6BE" w14:textId="77777777" w:rsidR="004662FD" w:rsidRPr="004662FD" w:rsidRDefault="004662FD" w:rsidP="004662FD">
            <w:pPr>
              <w:jc w:val="both"/>
              <w:rPr>
                <w:sz w:val="24"/>
                <w:szCs w:val="24"/>
              </w:rPr>
            </w:pPr>
            <w:r w:rsidRPr="004662FD">
              <w:rPr>
                <w:sz w:val="24"/>
                <w:szCs w:val="24"/>
              </w:rPr>
              <w:t>Under the Mental Capacity Act (2005) adults are automatically assumed as having capacity unless it is established otherwise. This means that under this Act, adults should be supported to make decisions and have a right to make unwise decisions, even if this means placing themselves at risk of harm. However, in some circumstances, the local authority may override lack of consent to ensure safety (SSWBA, 2014).</w:t>
            </w:r>
          </w:p>
          <w:p w14:paraId="1C1EC525" w14:textId="77777777" w:rsidR="004662FD" w:rsidRPr="004662FD" w:rsidRDefault="004662FD" w:rsidP="004662FD">
            <w:pPr>
              <w:jc w:val="both"/>
              <w:rPr>
                <w:sz w:val="24"/>
                <w:szCs w:val="24"/>
              </w:rPr>
            </w:pPr>
            <w:r w:rsidRPr="004662FD">
              <w:rPr>
                <w:sz w:val="24"/>
                <w:szCs w:val="24"/>
              </w:rPr>
              <w:t>In contrast, children under the age of 16, may not have capacity to make informed decisions unless this is proven otherwise (SSWBA, 2014). Professionals working with children may need to assess their decision-making ability using Gillick competence to establish if they have maturity to make their own decisions and to understand the implications (NSPCC, 2025). This means that children’s wishes must be heard and considered, however they do not override the duty to safeguard (SSWBA, 2014).</w:t>
            </w:r>
          </w:p>
          <w:p w14:paraId="637DCB4F" w14:textId="77777777" w:rsidR="004662FD" w:rsidRPr="004662FD" w:rsidRDefault="004662FD" w:rsidP="004662FD">
            <w:pPr>
              <w:jc w:val="both"/>
              <w:rPr>
                <w:sz w:val="24"/>
                <w:szCs w:val="24"/>
              </w:rPr>
            </w:pPr>
            <w:r w:rsidRPr="004662FD">
              <w:rPr>
                <w:sz w:val="24"/>
                <w:szCs w:val="24"/>
              </w:rPr>
              <w:t>Conclusion</w:t>
            </w:r>
          </w:p>
          <w:p w14:paraId="6BED73FE" w14:textId="77777777" w:rsidR="004662FD" w:rsidRPr="004662FD" w:rsidRDefault="004662FD" w:rsidP="004662FD">
            <w:pPr>
              <w:jc w:val="both"/>
              <w:rPr>
                <w:sz w:val="24"/>
                <w:szCs w:val="24"/>
              </w:rPr>
            </w:pPr>
            <w:r w:rsidRPr="004662FD">
              <w:rPr>
                <w:sz w:val="24"/>
                <w:szCs w:val="24"/>
              </w:rPr>
              <w:t>Evidently, safeguarding adults and children share the aim of protecting individuals. However, the way in which this is approached differs significantly with definition, consent and capacity being the main factors.</w:t>
            </w:r>
          </w:p>
          <w:p w14:paraId="0F87DB27" w14:textId="77777777" w:rsidR="004662FD" w:rsidRPr="004662FD" w:rsidRDefault="004662FD" w:rsidP="004662FD">
            <w:pPr>
              <w:jc w:val="both"/>
              <w:rPr>
                <w:sz w:val="24"/>
                <w:szCs w:val="24"/>
              </w:rPr>
            </w:pPr>
          </w:p>
          <w:p w14:paraId="69EF0EA7" w14:textId="77777777" w:rsidR="004662FD" w:rsidRPr="004662FD" w:rsidRDefault="004662FD" w:rsidP="004662FD">
            <w:pPr>
              <w:jc w:val="both"/>
              <w:rPr>
                <w:sz w:val="24"/>
                <w:szCs w:val="24"/>
              </w:rPr>
            </w:pPr>
          </w:p>
          <w:p w14:paraId="67E7ED72" w14:textId="0B548147" w:rsidR="00FC0334" w:rsidRDefault="004662FD" w:rsidP="00FC0334">
            <w:pPr>
              <w:jc w:val="both"/>
              <w:rPr>
                <w:sz w:val="24"/>
                <w:szCs w:val="24"/>
              </w:rPr>
            </w:pPr>
            <w:r>
              <w:rPr>
                <w:sz w:val="24"/>
                <w:szCs w:val="24"/>
              </w:rPr>
              <w:t>WORD COUNT: 436</w:t>
            </w:r>
          </w:p>
          <w:p w14:paraId="70E40ECE" w14:textId="77777777" w:rsidR="004662FD" w:rsidRDefault="004662FD"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35C8D" w14:textId="77777777" w:rsidR="00D2283F" w:rsidRDefault="00D2283F">
      <w:r>
        <w:separator/>
      </w:r>
    </w:p>
  </w:endnote>
  <w:endnote w:type="continuationSeparator" w:id="0">
    <w:p w14:paraId="32BD88D4" w14:textId="77777777" w:rsidR="00D2283F" w:rsidRDefault="00D22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1B8F2" w14:textId="77777777" w:rsidR="00D2283F" w:rsidRDefault="00D2283F">
      <w:r>
        <w:separator/>
      </w:r>
    </w:p>
  </w:footnote>
  <w:footnote w:type="continuationSeparator" w:id="0">
    <w:p w14:paraId="06C04CD0" w14:textId="77777777" w:rsidR="00D2283F" w:rsidRDefault="00D22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2FD"/>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3F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855"/>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83F"/>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1182</Words>
  <Characters>6270</Characters>
  <Application>Microsoft Office Word</Application>
  <DocSecurity>0</DocSecurity>
  <Lines>87</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Elen Owen (PLANT)</cp:lastModifiedBy>
  <cp:revision>2</cp:revision>
  <cp:lastPrinted>2020-02-11T19:20:00Z</cp:lastPrinted>
  <dcterms:created xsi:type="dcterms:W3CDTF">2026-02-23T17:02:00Z</dcterms:created>
  <dcterms:modified xsi:type="dcterms:W3CDTF">2026-02-23T17:02:00Z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