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EE3144" w14:textId="42ACC1A0" w:rsidR="009D16CC" w:rsidRPr="009D16CC" w:rsidRDefault="009D16CC" w:rsidP="009D16CC">
      <w:r w:rsidRPr="009D16CC">
        <w:rPr>
          <w:noProof/>
        </w:rPr>
        <w:drawing>
          <wp:inline distT="0" distB="0" distL="0" distR="0" wp14:anchorId="31120247" wp14:editId="635EB0AD">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3EE4BE84" w14:textId="77777777" w:rsidR="009D16CC" w:rsidRPr="009D16CC" w:rsidRDefault="009D16CC" w:rsidP="009D16CC"/>
    <w:p w14:paraId="686DAC5C" w14:textId="77777777" w:rsidR="009D16CC" w:rsidRPr="009D16CC" w:rsidRDefault="009D16CC" w:rsidP="009D16CC"/>
    <w:p w14:paraId="527A4087" w14:textId="77777777" w:rsidR="009D16CC" w:rsidRPr="009D16CC" w:rsidRDefault="009D16CC" w:rsidP="009D16CC">
      <w:pPr>
        <w:rPr>
          <w:b/>
          <w:lang w:val="cy-GB"/>
        </w:rPr>
      </w:pPr>
      <w:r w:rsidRPr="009D16CC">
        <w:rPr>
          <w:b/>
          <w:lang w:val="cy-GB"/>
        </w:rPr>
        <w:t xml:space="preserve">Postgraduate/Distance Learning </w:t>
      </w:r>
    </w:p>
    <w:p w14:paraId="370A6598" w14:textId="77777777" w:rsidR="009D16CC" w:rsidRPr="009D16CC" w:rsidRDefault="009D16CC" w:rsidP="009D16CC">
      <w:pPr>
        <w:rPr>
          <w:b/>
        </w:rPr>
      </w:pPr>
      <w:r w:rsidRPr="009D16CC">
        <w:rPr>
          <w:b/>
          <w:lang w:val="cy-GB"/>
        </w:rPr>
        <w:t>Assignment coversheet &amp; feedback form</w:t>
      </w:r>
    </w:p>
    <w:p w14:paraId="24E836F0" w14:textId="77777777" w:rsidR="009D16CC" w:rsidRPr="009D16CC" w:rsidRDefault="009D16CC" w:rsidP="009D16CC">
      <w:pPr>
        <w:rPr>
          <w:lang w:val="cy-GB"/>
        </w:rPr>
      </w:pPr>
    </w:p>
    <w:p w14:paraId="7B9049EF" w14:textId="77777777" w:rsidR="009D16CC" w:rsidRPr="009D16CC" w:rsidRDefault="009D16CC" w:rsidP="009D16CC">
      <w:pPr>
        <w:rPr>
          <w:b/>
          <w:bCs/>
          <w:lang w:val="cy-GB"/>
        </w:rPr>
      </w:pPr>
      <w:r w:rsidRPr="009D16CC">
        <w:rPr>
          <w:b/>
          <w:bCs/>
          <w:lang w:val="cy-GB"/>
        </w:rPr>
        <w:t>THIS SHEET MUST BE THE FIRST PAGE OF THE ASSIGNMENT YOU ARE SUBMITTING  (DO NOT SEND AS A SEPARATE FILE)</w:t>
      </w:r>
    </w:p>
    <w:p w14:paraId="6971513B" w14:textId="77777777" w:rsidR="009D16CC" w:rsidRPr="009D16CC" w:rsidRDefault="009D16CC" w:rsidP="009D16CC">
      <w:pPr>
        <w:rPr>
          <w:b/>
          <w:bC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9D16CC" w:rsidRPr="009D16CC" w14:paraId="0CF5AA3E" w14:textId="77777777" w:rsidTr="00DE7C99">
        <w:trPr>
          <w:trHeight w:val="614"/>
        </w:trPr>
        <w:tc>
          <w:tcPr>
            <w:tcW w:w="8856" w:type="dxa"/>
            <w:gridSpan w:val="5"/>
          </w:tcPr>
          <w:p w14:paraId="3B462491" w14:textId="77777777" w:rsidR="009D16CC" w:rsidRPr="009D16CC" w:rsidRDefault="009D16CC" w:rsidP="009D16CC">
            <w:r w:rsidRPr="009D16CC">
              <w:rPr>
                <w:b/>
              </w:rPr>
              <w:t>For completion by the student</w:t>
            </w:r>
            <w:r w:rsidRPr="009D16CC">
              <w:t>:</w:t>
            </w:r>
          </w:p>
        </w:tc>
      </w:tr>
      <w:tr w:rsidR="009D16CC" w:rsidRPr="009D16CC" w14:paraId="56A357F3" w14:textId="77777777" w:rsidTr="00DE7C99">
        <w:trPr>
          <w:trHeight w:val="718"/>
        </w:trPr>
        <w:tc>
          <w:tcPr>
            <w:tcW w:w="8856" w:type="dxa"/>
            <w:gridSpan w:val="5"/>
          </w:tcPr>
          <w:p w14:paraId="4790BEA6" w14:textId="77777777" w:rsidR="009D16CC" w:rsidRPr="009D16CC" w:rsidRDefault="009D16CC" w:rsidP="009D16CC">
            <w:r w:rsidRPr="009D16CC">
              <w:t>Student Name:  Nick Pike</w:t>
            </w:r>
          </w:p>
          <w:p w14:paraId="16EED401" w14:textId="77777777" w:rsidR="009D16CC" w:rsidRPr="009D16CC" w:rsidRDefault="009D16CC" w:rsidP="009D16CC"/>
          <w:p w14:paraId="6347DAD7" w14:textId="21FBA46B" w:rsidR="009D16CC" w:rsidRPr="009D16CC" w:rsidRDefault="009D16CC" w:rsidP="009D16CC">
            <w:r w:rsidRPr="009D16CC">
              <w:t xml:space="preserve">Student </w:t>
            </w:r>
            <w:r w:rsidRPr="009D16CC">
              <w:rPr>
                <w:b/>
                <w:bCs/>
                <w:u w:val="single"/>
              </w:rPr>
              <w:t>University</w:t>
            </w:r>
            <w:r w:rsidRPr="009D16CC">
              <w:rPr>
                <w:u w:val="single"/>
              </w:rPr>
              <w:t xml:space="preserve"> </w:t>
            </w:r>
            <w:r w:rsidRPr="009D16CC">
              <w:t xml:space="preserve">Email: </w:t>
            </w:r>
            <w:hyperlink r:id="rId9" w:history="1">
              <w:r w:rsidR="0014333E" w:rsidRPr="00245F25">
                <w:rPr>
                  <w:rStyle w:val="Hyperlink"/>
                </w:rPr>
                <w:t>1705258@uwtsd.sc.uk</w:t>
              </w:r>
            </w:hyperlink>
          </w:p>
        </w:tc>
      </w:tr>
      <w:tr w:rsidR="009D16CC" w:rsidRPr="009D16CC" w14:paraId="743A220A" w14:textId="77777777" w:rsidTr="00DE7C99">
        <w:trPr>
          <w:trHeight w:val="849"/>
        </w:trPr>
        <w:tc>
          <w:tcPr>
            <w:tcW w:w="4788" w:type="dxa"/>
          </w:tcPr>
          <w:p w14:paraId="5371EA0E" w14:textId="795D5E4F" w:rsidR="009D16CC" w:rsidRPr="009D16CC" w:rsidRDefault="009D16CC" w:rsidP="009D16CC">
            <w:r w:rsidRPr="009D16CC">
              <w:t>Module code: CYCS70</w:t>
            </w:r>
            <w:r w:rsidR="00987CE1">
              <w:t>21</w:t>
            </w:r>
          </w:p>
          <w:p w14:paraId="542D00B0" w14:textId="77777777" w:rsidR="009D16CC" w:rsidRPr="009D16CC" w:rsidRDefault="009D16CC" w:rsidP="009D16CC"/>
          <w:p w14:paraId="5D804577" w14:textId="79175020" w:rsidR="009D16CC" w:rsidRPr="009D16CC" w:rsidRDefault="009D16CC" w:rsidP="009D16CC">
            <w:r w:rsidRPr="009D16CC">
              <w:t xml:space="preserve">Module title:  </w:t>
            </w:r>
            <w:r w:rsidR="00987CE1">
              <w:t>The Celtic Arthur and the Matter of Britain</w:t>
            </w:r>
          </w:p>
          <w:p w14:paraId="1CF5C4CB" w14:textId="77777777" w:rsidR="009D16CC" w:rsidRPr="009D16CC" w:rsidRDefault="009D16CC" w:rsidP="009D16CC"/>
          <w:p w14:paraId="1B8B5C11" w14:textId="77777777" w:rsidR="009D16CC" w:rsidRPr="009D16CC" w:rsidRDefault="009D16CC" w:rsidP="009D16CC"/>
        </w:tc>
        <w:tc>
          <w:tcPr>
            <w:tcW w:w="2266" w:type="dxa"/>
            <w:gridSpan w:val="3"/>
          </w:tcPr>
          <w:p w14:paraId="4C57B41E" w14:textId="77777777" w:rsidR="009D16CC" w:rsidRPr="009D16CC" w:rsidRDefault="009D16CC" w:rsidP="009D16CC">
            <w:r w:rsidRPr="009D16CC">
              <w:t>Student ID number:</w:t>
            </w:r>
          </w:p>
          <w:p w14:paraId="5BA5C8BA" w14:textId="77777777" w:rsidR="009D16CC" w:rsidRPr="009D16CC" w:rsidRDefault="009D16CC" w:rsidP="009D16CC"/>
          <w:p w14:paraId="02125BA5" w14:textId="77777777" w:rsidR="009D16CC" w:rsidRPr="009D16CC" w:rsidRDefault="009D16CC" w:rsidP="009D16CC">
            <w:r w:rsidRPr="009D16CC">
              <w:t>1705258</w:t>
            </w:r>
          </w:p>
        </w:tc>
        <w:tc>
          <w:tcPr>
            <w:tcW w:w="1802" w:type="dxa"/>
          </w:tcPr>
          <w:p w14:paraId="155274C7" w14:textId="77777777" w:rsidR="009D16CC" w:rsidRPr="009D16CC" w:rsidRDefault="009D16CC" w:rsidP="009D16CC">
            <w:r w:rsidRPr="009D16CC">
              <w:t>Educational support needs:</w:t>
            </w:r>
          </w:p>
          <w:p w14:paraId="1756B3BD" w14:textId="77777777" w:rsidR="009D16CC" w:rsidRPr="009D16CC" w:rsidRDefault="009D16CC" w:rsidP="009D16CC">
            <w:r w:rsidRPr="009D16CC">
              <w:t>No</w:t>
            </w:r>
          </w:p>
        </w:tc>
      </w:tr>
      <w:tr w:rsidR="009D16CC" w:rsidRPr="009D16CC" w14:paraId="428F7766" w14:textId="77777777" w:rsidTr="00DE7C99">
        <w:trPr>
          <w:trHeight w:val="1139"/>
        </w:trPr>
        <w:tc>
          <w:tcPr>
            <w:tcW w:w="8856" w:type="dxa"/>
            <w:gridSpan w:val="5"/>
          </w:tcPr>
          <w:p w14:paraId="059A1DCE" w14:textId="4FDF46E2" w:rsidR="009D16CC" w:rsidRPr="009D16CC" w:rsidRDefault="009D16CC" w:rsidP="009D16CC">
            <w:r w:rsidRPr="009D16CC">
              <w:t xml:space="preserve">Assignment title: </w:t>
            </w:r>
            <w:r w:rsidR="00987CE1">
              <w:t xml:space="preserve">Essay: </w:t>
            </w:r>
            <w:bookmarkStart w:id="0" w:name="_Hlk27161943"/>
            <w:r w:rsidR="00987CE1" w:rsidRPr="00987CE1">
              <w:t>Analyse the depiction of Arthur and the Arthurian milieu in a selection of early Welsh poems</w:t>
            </w:r>
            <w:bookmarkEnd w:id="0"/>
            <w:r w:rsidR="00987CE1" w:rsidRPr="00987CE1">
              <w:t>.</w:t>
            </w:r>
          </w:p>
          <w:p w14:paraId="04761EFD" w14:textId="4FFE8C40" w:rsidR="009D16CC" w:rsidRPr="009D16CC" w:rsidRDefault="009D16CC" w:rsidP="009D16CC">
            <w:r w:rsidRPr="009D16CC">
              <w:t xml:space="preserve">Assignment due date:  </w:t>
            </w:r>
            <w:r w:rsidR="00987CE1">
              <w:t>9</w:t>
            </w:r>
            <w:r w:rsidR="00987CE1" w:rsidRPr="00987CE1">
              <w:rPr>
                <w:vertAlign w:val="superscript"/>
              </w:rPr>
              <w:t>th</w:t>
            </w:r>
            <w:r w:rsidR="00987CE1">
              <w:t xml:space="preserve"> January 2020</w:t>
            </w:r>
          </w:p>
        </w:tc>
      </w:tr>
      <w:tr w:rsidR="009D16CC" w:rsidRPr="009D16CC" w14:paraId="165D9E1A" w14:textId="77777777" w:rsidTr="00DE7C99">
        <w:trPr>
          <w:trHeight w:val="978"/>
        </w:trPr>
        <w:tc>
          <w:tcPr>
            <w:tcW w:w="8856" w:type="dxa"/>
            <w:gridSpan w:val="5"/>
            <w:tcBorders>
              <w:bottom w:val="single" w:sz="4" w:space="0" w:color="000000"/>
            </w:tcBorders>
          </w:tcPr>
          <w:p w14:paraId="14E45355" w14:textId="385E40B2" w:rsidR="009D16CC" w:rsidRPr="009D16CC" w:rsidRDefault="009D16CC" w:rsidP="009D16CC">
            <w:r w:rsidRPr="009D16CC">
              <w:t>This assignment is for the       1</w:t>
            </w:r>
            <w:r w:rsidRPr="009D16CC">
              <w:rPr>
                <w:vertAlign w:val="superscript"/>
              </w:rPr>
              <w:t xml:space="preserve">st  </w:t>
            </w:r>
            <w:r w:rsidRPr="009D16CC">
              <w:t xml:space="preserve"> </w:t>
            </w:r>
            <w:r w:rsidR="00987CE1" w:rsidRPr="00987CE1">
              <w:fldChar w:fldCharType="begin">
                <w:ffData>
                  <w:name w:val="Check14"/>
                  <w:enabled/>
                  <w:calcOnExit w:val="0"/>
                  <w:checkBox>
                    <w:sizeAuto/>
                    <w:default w:val="0"/>
                  </w:checkBox>
                </w:ffData>
              </w:fldChar>
            </w:r>
            <w:r w:rsidR="00987CE1" w:rsidRPr="00987CE1">
              <w:instrText xml:space="preserve"> FORMCHECKBOX </w:instrText>
            </w:r>
            <w:r w:rsidR="00DE7C99">
              <w:fldChar w:fldCharType="separate"/>
            </w:r>
            <w:r w:rsidR="00987CE1" w:rsidRPr="00987CE1">
              <w:fldChar w:fldCharType="end"/>
            </w:r>
            <w:r w:rsidRPr="009D16CC">
              <w:t xml:space="preserve"> 2</w:t>
            </w:r>
            <w:r w:rsidRPr="009D16CC">
              <w:rPr>
                <w:vertAlign w:val="superscript"/>
              </w:rPr>
              <w:t>nd</w:t>
            </w:r>
            <w:r w:rsidRPr="009D16CC">
              <w:t xml:space="preserve">  </w:t>
            </w:r>
            <w:r w:rsidRPr="009D16CC">
              <w:fldChar w:fldCharType="begin">
                <w:ffData>
                  <w:name w:val="Check14"/>
                  <w:enabled/>
                  <w:calcOnExit w:val="0"/>
                  <w:checkBox>
                    <w:sizeAuto/>
                    <w:default w:val="0"/>
                  </w:checkBox>
                </w:ffData>
              </w:fldChar>
            </w:r>
            <w:bookmarkStart w:id="1" w:name="Check14"/>
            <w:r w:rsidRPr="009D16CC">
              <w:instrText xml:space="preserve"> FORMCHECKBOX </w:instrText>
            </w:r>
            <w:r w:rsidR="00DE7C99">
              <w:fldChar w:fldCharType="separate"/>
            </w:r>
            <w:r w:rsidRPr="009D16CC">
              <w:fldChar w:fldCharType="end"/>
            </w:r>
            <w:bookmarkEnd w:id="1"/>
            <w:r w:rsidRPr="009D16CC">
              <w:t xml:space="preserve">     3</w:t>
            </w:r>
            <w:r w:rsidRPr="009D16CC">
              <w:rPr>
                <w:vertAlign w:val="superscript"/>
              </w:rPr>
              <w:t>rd</w:t>
            </w:r>
            <w:r w:rsidRPr="009D16CC">
              <w:t xml:space="preserve">  </w:t>
            </w:r>
            <w:r w:rsidRPr="009D16CC">
              <w:fldChar w:fldCharType="begin">
                <w:ffData>
                  <w:name w:val="Check15"/>
                  <w:enabled/>
                  <w:calcOnExit w:val="0"/>
                  <w:checkBox>
                    <w:sizeAuto/>
                    <w:default w:val="0"/>
                  </w:checkBox>
                </w:ffData>
              </w:fldChar>
            </w:r>
            <w:bookmarkStart w:id="2" w:name="Check15"/>
            <w:r w:rsidRPr="009D16CC">
              <w:instrText xml:space="preserve"> FORMCHECKBOX </w:instrText>
            </w:r>
            <w:r w:rsidR="00DE7C99">
              <w:fldChar w:fldCharType="separate"/>
            </w:r>
            <w:r w:rsidRPr="009D16CC">
              <w:fldChar w:fldCharType="end"/>
            </w:r>
            <w:bookmarkEnd w:id="2"/>
            <w:r w:rsidRPr="009D16CC">
              <w:t xml:space="preserve">      4</w:t>
            </w:r>
            <w:r w:rsidRPr="009D16CC">
              <w:rPr>
                <w:vertAlign w:val="superscript"/>
              </w:rPr>
              <w:t>th</w:t>
            </w:r>
            <w:r w:rsidRPr="009D16CC">
              <w:t xml:space="preserve"> </w:t>
            </w:r>
            <w:r w:rsidRPr="009D16CC">
              <w:fldChar w:fldCharType="begin">
                <w:ffData>
                  <w:name w:val="Check16"/>
                  <w:enabled/>
                  <w:calcOnExit w:val="0"/>
                  <w:checkBox>
                    <w:sizeAuto/>
                    <w:default w:val="0"/>
                  </w:checkBox>
                </w:ffData>
              </w:fldChar>
            </w:r>
            <w:bookmarkStart w:id="3" w:name="Check16"/>
            <w:r w:rsidRPr="009D16CC">
              <w:instrText xml:space="preserve"> FORMCHECKBOX </w:instrText>
            </w:r>
            <w:r w:rsidR="00DE7C99">
              <w:fldChar w:fldCharType="separate"/>
            </w:r>
            <w:r w:rsidRPr="009D16CC">
              <w:fldChar w:fldCharType="end"/>
            </w:r>
            <w:bookmarkEnd w:id="3"/>
            <w:r w:rsidRPr="009D16CC">
              <w:t xml:space="preserve">      5</w:t>
            </w:r>
            <w:r w:rsidRPr="009D16CC">
              <w:rPr>
                <w:vertAlign w:val="superscript"/>
              </w:rPr>
              <w:t>th</w:t>
            </w:r>
            <w:r w:rsidRPr="009D16CC">
              <w:t xml:space="preserve"> </w:t>
            </w:r>
            <w:r w:rsidR="00987CE1">
              <w:t>X</w:t>
            </w:r>
            <w:r w:rsidRPr="009D16CC">
              <w:t xml:space="preserve">     6</w:t>
            </w:r>
            <w:r w:rsidRPr="009D16CC">
              <w:rPr>
                <w:vertAlign w:val="superscript"/>
              </w:rPr>
              <w:t>th</w:t>
            </w:r>
            <w:r w:rsidRPr="009D16CC">
              <w:t xml:space="preserve"> </w:t>
            </w:r>
            <w:r w:rsidRPr="009D16CC">
              <w:fldChar w:fldCharType="begin">
                <w:ffData>
                  <w:name w:val="Check18"/>
                  <w:enabled/>
                  <w:calcOnExit w:val="0"/>
                  <w:checkBox>
                    <w:sizeAuto/>
                    <w:default w:val="0"/>
                  </w:checkBox>
                </w:ffData>
              </w:fldChar>
            </w:r>
            <w:bookmarkStart w:id="4" w:name="Check18"/>
            <w:r w:rsidRPr="009D16CC">
              <w:instrText xml:space="preserve"> FORMCHECKBOX </w:instrText>
            </w:r>
            <w:r w:rsidR="00DE7C99">
              <w:fldChar w:fldCharType="separate"/>
            </w:r>
            <w:r w:rsidRPr="009D16CC">
              <w:fldChar w:fldCharType="end"/>
            </w:r>
            <w:bookmarkEnd w:id="4"/>
            <w:r w:rsidRPr="009D16CC">
              <w:rPr>
                <w:b/>
              </w:rPr>
              <w:t xml:space="preserve">   </w:t>
            </w:r>
            <w:r w:rsidRPr="009D16CC">
              <w:t>module of the degree</w:t>
            </w:r>
          </w:p>
        </w:tc>
      </w:tr>
      <w:tr w:rsidR="009D16CC" w:rsidRPr="009D16CC" w14:paraId="11157AA1" w14:textId="77777777" w:rsidTr="00DE7C99">
        <w:trPr>
          <w:trHeight w:val="978"/>
        </w:trPr>
        <w:tc>
          <w:tcPr>
            <w:tcW w:w="8856" w:type="dxa"/>
            <w:gridSpan w:val="5"/>
            <w:shd w:val="clear" w:color="auto" w:fill="D9D9D9"/>
          </w:tcPr>
          <w:p w14:paraId="20870418" w14:textId="77777777" w:rsidR="009D16CC" w:rsidRPr="009D16CC" w:rsidRDefault="009D16CC" w:rsidP="009D16CC">
            <w:r w:rsidRPr="009D16CC">
              <w:t>I confirm that this is my original work and that I have adhered to the University policy on plagiarism.</w:t>
            </w:r>
          </w:p>
          <w:p w14:paraId="76B4CC7B" w14:textId="77777777" w:rsidR="009D16CC" w:rsidRPr="009D16CC" w:rsidRDefault="009D16CC" w:rsidP="009D16CC">
            <w:r w:rsidRPr="009D16CC">
              <w:t>Signed    N K Pike</w:t>
            </w:r>
          </w:p>
        </w:tc>
      </w:tr>
      <w:tr w:rsidR="009D16CC" w:rsidRPr="009D16CC" w14:paraId="24F1C054" w14:textId="77777777" w:rsidTr="00DE7C99">
        <w:trPr>
          <w:trHeight w:val="3972"/>
        </w:trPr>
        <w:tc>
          <w:tcPr>
            <w:tcW w:w="8856" w:type="dxa"/>
            <w:gridSpan w:val="5"/>
          </w:tcPr>
          <w:p w14:paraId="3BEE25FE" w14:textId="77777777" w:rsidR="009D16CC" w:rsidRPr="009D16CC" w:rsidRDefault="009D16CC" w:rsidP="009D16CC">
            <w:r w:rsidRPr="009D16CC">
              <w:rPr>
                <w:b/>
              </w:rPr>
              <w:lastRenderedPageBreak/>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9D16CC" w:rsidRPr="009D16CC" w14:paraId="456B5210" w14:textId="77777777" w:rsidTr="00DE7C99">
              <w:tc>
                <w:tcPr>
                  <w:tcW w:w="6970" w:type="dxa"/>
                </w:tcPr>
                <w:p w14:paraId="3A345DA9" w14:textId="77777777" w:rsidR="009D16CC" w:rsidRPr="009D16CC" w:rsidRDefault="009D16CC" w:rsidP="009D16CC"/>
                <w:p w14:paraId="05F9F4D0" w14:textId="77777777" w:rsidR="009D16CC" w:rsidRPr="009D16CC" w:rsidRDefault="009D16CC" w:rsidP="009D16CC">
                  <w:r w:rsidRPr="009D16CC">
                    <w:t>1</w:t>
                  </w:r>
                  <w:r w:rsidRPr="009D16CC">
                    <w:rPr>
                      <w:vertAlign w:val="superscript"/>
                    </w:rPr>
                    <w:t>st</w:t>
                  </w:r>
                  <w:r w:rsidRPr="009D16CC">
                    <w:t xml:space="preserve"> Marker’s Provisional mark</w:t>
                  </w:r>
                </w:p>
              </w:tc>
              <w:tc>
                <w:tcPr>
                  <w:tcW w:w="1660" w:type="dxa"/>
                </w:tcPr>
                <w:p w14:paraId="61318FED" w14:textId="77777777" w:rsidR="009D16CC" w:rsidRPr="009D16CC" w:rsidRDefault="009D16CC" w:rsidP="009D16CC"/>
              </w:tc>
            </w:tr>
            <w:tr w:rsidR="009D16CC" w:rsidRPr="009D16CC" w14:paraId="73EE912B" w14:textId="77777777" w:rsidTr="00DE7C99">
              <w:tc>
                <w:tcPr>
                  <w:tcW w:w="6970" w:type="dxa"/>
                </w:tcPr>
                <w:p w14:paraId="4137F6EB" w14:textId="77777777" w:rsidR="009D16CC" w:rsidRPr="009D16CC" w:rsidRDefault="009D16CC" w:rsidP="009D16CC"/>
                <w:p w14:paraId="1B087DAD" w14:textId="77777777" w:rsidR="009D16CC" w:rsidRPr="009D16CC" w:rsidRDefault="009D16CC" w:rsidP="009D16CC">
                  <w:r w:rsidRPr="009D16CC">
                    <w:t>2</w:t>
                  </w:r>
                  <w:r w:rsidRPr="009D16CC">
                    <w:rPr>
                      <w:vertAlign w:val="superscript"/>
                    </w:rPr>
                    <w:t>nd</w:t>
                  </w:r>
                  <w:r w:rsidRPr="009D16CC">
                    <w:t xml:space="preserve"> Marker’s/Moderator’s provisional mark</w:t>
                  </w:r>
                </w:p>
              </w:tc>
              <w:tc>
                <w:tcPr>
                  <w:tcW w:w="1660" w:type="dxa"/>
                </w:tcPr>
                <w:p w14:paraId="2FCA0355" w14:textId="77777777" w:rsidR="009D16CC" w:rsidRPr="009D16CC" w:rsidRDefault="009D16CC" w:rsidP="009D16CC"/>
              </w:tc>
            </w:tr>
            <w:tr w:rsidR="009D16CC" w:rsidRPr="009D16CC" w14:paraId="31FB0C39" w14:textId="77777777" w:rsidTr="00DE7C99">
              <w:tc>
                <w:tcPr>
                  <w:tcW w:w="6970" w:type="dxa"/>
                </w:tcPr>
                <w:p w14:paraId="22440ECA" w14:textId="77777777" w:rsidR="009D16CC" w:rsidRPr="009D16CC" w:rsidRDefault="009D16CC" w:rsidP="009D16CC"/>
                <w:p w14:paraId="27F83214" w14:textId="77777777" w:rsidR="009D16CC" w:rsidRPr="009D16CC" w:rsidRDefault="009D16CC" w:rsidP="009D16CC">
                  <w:r w:rsidRPr="009D16CC">
                    <w:t>External Examiner’s mark (if relevant)</w:t>
                  </w:r>
                </w:p>
              </w:tc>
              <w:tc>
                <w:tcPr>
                  <w:tcW w:w="1660" w:type="dxa"/>
                </w:tcPr>
                <w:p w14:paraId="77A5E2CF" w14:textId="77777777" w:rsidR="009D16CC" w:rsidRPr="009D16CC" w:rsidRDefault="009D16CC" w:rsidP="009D16CC"/>
              </w:tc>
            </w:tr>
            <w:tr w:rsidR="009D16CC" w:rsidRPr="009D16CC" w14:paraId="2D479AAF" w14:textId="77777777" w:rsidTr="00DE7C99">
              <w:tc>
                <w:tcPr>
                  <w:tcW w:w="6970" w:type="dxa"/>
                </w:tcPr>
                <w:p w14:paraId="0710A547" w14:textId="77777777" w:rsidR="009D16CC" w:rsidRPr="009D16CC" w:rsidRDefault="009D16CC" w:rsidP="009D16CC"/>
                <w:p w14:paraId="24A13B9C" w14:textId="77777777" w:rsidR="009D16CC" w:rsidRPr="009D16CC" w:rsidRDefault="009D16CC" w:rsidP="009D16CC">
                  <w:pPr>
                    <w:rPr>
                      <w:b/>
                    </w:rPr>
                  </w:pPr>
                  <w:r w:rsidRPr="009D16CC">
                    <w:rPr>
                      <w:b/>
                    </w:rPr>
                    <w:t>Final Mark</w:t>
                  </w:r>
                </w:p>
                <w:p w14:paraId="58788698" w14:textId="77777777" w:rsidR="009D16CC" w:rsidRPr="009D16CC" w:rsidRDefault="009D16CC" w:rsidP="009D16CC"/>
              </w:tc>
              <w:tc>
                <w:tcPr>
                  <w:tcW w:w="1660" w:type="dxa"/>
                </w:tcPr>
                <w:p w14:paraId="22D05488" w14:textId="77777777" w:rsidR="009D16CC" w:rsidRPr="009D16CC" w:rsidRDefault="009D16CC" w:rsidP="009D16CC"/>
              </w:tc>
            </w:tr>
          </w:tbl>
          <w:p w14:paraId="2F05E4AC" w14:textId="77777777" w:rsidR="009D16CC" w:rsidRPr="009D16CC" w:rsidRDefault="009D16CC" w:rsidP="009D16CC">
            <w:pPr>
              <w:rPr>
                <w:b/>
              </w:rPr>
            </w:pPr>
          </w:p>
          <w:p w14:paraId="10225DB3" w14:textId="77777777" w:rsidR="009D16CC" w:rsidRPr="009D16CC" w:rsidRDefault="009D16CC" w:rsidP="009D16CC">
            <w:r w:rsidRPr="009D16CC">
              <w:rPr>
                <w:b/>
              </w:rPr>
              <w:t>NB.</w:t>
            </w:r>
            <w:r w:rsidRPr="009D16CC">
              <w:t xml:space="preserve">  All marks are provisional until confirmed by the Final Examination Board.</w:t>
            </w:r>
          </w:p>
          <w:p w14:paraId="11714CE2" w14:textId="77777777" w:rsidR="009D16CC" w:rsidRPr="009D16CC" w:rsidRDefault="009D16CC" w:rsidP="009D16CC">
            <w:pPr>
              <w:rPr>
                <w:b/>
              </w:rPr>
            </w:pPr>
          </w:p>
          <w:p w14:paraId="429F3E10" w14:textId="77777777" w:rsidR="009D16CC" w:rsidRPr="009D16CC" w:rsidRDefault="009D16CC" w:rsidP="009D16CC">
            <w:pPr>
              <w:rPr>
                <w:b/>
              </w:rPr>
            </w:pPr>
          </w:p>
          <w:p w14:paraId="721CBBFC" w14:textId="77777777" w:rsidR="009D16CC" w:rsidRPr="009D16CC" w:rsidRDefault="009D16CC" w:rsidP="009D16CC">
            <w:pPr>
              <w:rPr>
                <w:b/>
              </w:rPr>
            </w:pPr>
          </w:p>
          <w:p w14:paraId="53649A06" w14:textId="23384376" w:rsidR="009D16CC" w:rsidRPr="009D16CC" w:rsidRDefault="009D16CC" w:rsidP="009D16CC">
            <w:pPr>
              <w:rPr>
                <w:b/>
              </w:rPr>
            </w:pPr>
            <w:r w:rsidRPr="009D16CC">
              <w:rPr>
                <w:b/>
              </w:rPr>
              <w:t xml:space="preserve">For completion by Marker </w:t>
            </w:r>
            <w:r w:rsidR="003F3797" w:rsidRPr="009D16CC">
              <w:rPr>
                <w:b/>
              </w:rPr>
              <w:t>1:</w:t>
            </w:r>
          </w:p>
          <w:p w14:paraId="5575AC2C" w14:textId="77777777" w:rsidR="009D16CC" w:rsidRPr="009D16CC" w:rsidRDefault="009D16CC" w:rsidP="009D16CC">
            <w:r w:rsidRPr="009D16CC">
              <w:t>Comments:</w:t>
            </w:r>
          </w:p>
          <w:p w14:paraId="649C604C" w14:textId="77777777" w:rsidR="009D16CC" w:rsidRDefault="009D16CC" w:rsidP="009D16CC"/>
          <w:p w14:paraId="591E94DE" w14:textId="77777777" w:rsidR="009D16CC" w:rsidRDefault="009D16CC" w:rsidP="009D16CC"/>
          <w:p w14:paraId="3ACD282A" w14:textId="77777777" w:rsidR="009D16CC" w:rsidRDefault="009D16CC" w:rsidP="009D16CC"/>
          <w:p w14:paraId="7CEF6FF2" w14:textId="77777777" w:rsidR="009D16CC" w:rsidRDefault="009D16CC" w:rsidP="009D16CC"/>
          <w:p w14:paraId="065C184C" w14:textId="77777777" w:rsidR="009D16CC" w:rsidRDefault="009D16CC" w:rsidP="009D16CC"/>
          <w:p w14:paraId="05B0BE43" w14:textId="77777777" w:rsidR="009D16CC" w:rsidRDefault="009D16CC" w:rsidP="009D16CC"/>
          <w:p w14:paraId="278E2B93" w14:textId="77777777" w:rsidR="009D16CC" w:rsidRDefault="009D16CC" w:rsidP="009D16CC"/>
          <w:p w14:paraId="47CF548E" w14:textId="77777777" w:rsidR="009D16CC" w:rsidRDefault="009D16CC" w:rsidP="009D16CC"/>
          <w:p w14:paraId="163BF6CA" w14:textId="77777777" w:rsidR="009D16CC" w:rsidRDefault="009D16CC" w:rsidP="009D16CC"/>
          <w:p w14:paraId="0F48F41F" w14:textId="77777777" w:rsidR="009D16CC" w:rsidRDefault="009D16CC" w:rsidP="009D16CC"/>
          <w:p w14:paraId="2DFDE014" w14:textId="77777777" w:rsidR="009D16CC" w:rsidRDefault="009D16CC" w:rsidP="009D16CC"/>
          <w:p w14:paraId="1E3EDABC" w14:textId="77777777" w:rsidR="009D16CC" w:rsidRDefault="009D16CC" w:rsidP="009D16CC"/>
          <w:p w14:paraId="1E5B0594" w14:textId="2EA5807C" w:rsidR="009D16CC" w:rsidRPr="009D16CC" w:rsidRDefault="009D16CC" w:rsidP="009D16CC"/>
        </w:tc>
      </w:tr>
      <w:tr w:rsidR="009D16CC" w:rsidRPr="009D16CC" w14:paraId="1F4B0CEF" w14:textId="77777777" w:rsidTr="00DE7C99">
        <w:trPr>
          <w:trHeight w:val="492"/>
        </w:trPr>
        <w:tc>
          <w:tcPr>
            <w:tcW w:w="6768" w:type="dxa"/>
            <w:gridSpan w:val="3"/>
          </w:tcPr>
          <w:p w14:paraId="696C2DE1" w14:textId="77777777" w:rsidR="009D16CC" w:rsidRPr="009D16CC" w:rsidRDefault="009D16CC" w:rsidP="009D16CC">
            <w:r w:rsidRPr="009D16CC">
              <w:t>Marker’s signature:</w:t>
            </w:r>
          </w:p>
        </w:tc>
        <w:tc>
          <w:tcPr>
            <w:tcW w:w="2088" w:type="dxa"/>
            <w:gridSpan w:val="2"/>
          </w:tcPr>
          <w:p w14:paraId="762908FF" w14:textId="77777777" w:rsidR="009D16CC" w:rsidRPr="009D16CC" w:rsidRDefault="009D16CC" w:rsidP="009D16CC">
            <w:r w:rsidRPr="009D16CC">
              <w:t>Date:</w:t>
            </w:r>
          </w:p>
        </w:tc>
      </w:tr>
      <w:tr w:rsidR="009D16CC" w:rsidRPr="009D16CC" w14:paraId="2B5F256B" w14:textId="77777777" w:rsidTr="00DE7C99">
        <w:tc>
          <w:tcPr>
            <w:tcW w:w="8856" w:type="dxa"/>
            <w:gridSpan w:val="5"/>
          </w:tcPr>
          <w:p w14:paraId="1D3BEEB0" w14:textId="77777777" w:rsidR="009D16CC" w:rsidRPr="009D16CC" w:rsidRDefault="009D16CC" w:rsidP="009D16CC">
            <w:pPr>
              <w:rPr>
                <w:bCs/>
                <w:i/>
              </w:rPr>
            </w:pPr>
          </w:p>
          <w:p w14:paraId="1F40A2D1" w14:textId="77777777" w:rsidR="009D16CC" w:rsidRPr="009D16CC" w:rsidRDefault="009D16CC" w:rsidP="009D16CC">
            <w:pPr>
              <w:rPr>
                <w:b/>
                <w:bCs/>
              </w:rPr>
            </w:pPr>
            <w:r w:rsidRPr="009D16CC">
              <w:rPr>
                <w:b/>
                <w:bCs/>
              </w:rPr>
              <w:t>For completion by Marker 2/Moderator:</w:t>
            </w:r>
          </w:p>
          <w:p w14:paraId="0DB2ED57" w14:textId="77777777" w:rsidR="009D16CC" w:rsidRPr="009D16CC" w:rsidRDefault="009D16CC" w:rsidP="009D16CC">
            <w:pPr>
              <w:rPr>
                <w:b/>
                <w:bCs/>
              </w:rPr>
            </w:pPr>
          </w:p>
          <w:p w14:paraId="2447EC0A" w14:textId="77777777" w:rsidR="009D16CC" w:rsidRPr="009D16CC" w:rsidRDefault="009D16CC" w:rsidP="009D16CC">
            <w:pPr>
              <w:rPr>
                <w:bCs/>
              </w:rPr>
            </w:pPr>
            <w:r w:rsidRPr="009D16CC">
              <w:rPr>
                <w:bCs/>
              </w:rPr>
              <w:t>Comments:</w:t>
            </w:r>
          </w:p>
          <w:p w14:paraId="7636EF68" w14:textId="77777777" w:rsidR="009D16CC" w:rsidRPr="009D16CC" w:rsidRDefault="009D16CC" w:rsidP="009D16CC">
            <w:pPr>
              <w:rPr>
                <w:bCs/>
              </w:rPr>
            </w:pPr>
          </w:p>
          <w:p w14:paraId="348B5654" w14:textId="77777777" w:rsidR="009D16CC" w:rsidRPr="009D16CC" w:rsidRDefault="009D16CC" w:rsidP="009D16CC">
            <w:pPr>
              <w:rPr>
                <w:bCs/>
              </w:rPr>
            </w:pPr>
          </w:p>
          <w:p w14:paraId="607B9D92" w14:textId="77777777" w:rsidR="009D16CC" w:rsidRPr="009D16CC" w:rsidRDefault="009D16CC" w:rsidP="009D16CC">
            <w:pPr>
              <w:rPr>
                <w:bCs/>
              </w:rPr>
            </w:pPr>
          </w:p>
          <w:p w14:paraId="0158C7B4" w14:textId="77777777" w:rsidR="009D16CC" w:rsidRPr="009D16CC" w:rsidRDefault="009D16CC" w:rsidP="009D16CC">
            <w:pPr>
              <w:rPr>
                <w:bCs/>
              </w:rPr>
            </w:pPr>
          </w:p>
          <w:p w14:paraId="45F1F9D1" w14:textId="77777777" w:rsidR="009D16CC" w:rsidRPr="009D16CC" w:rsidRDefault="009D16CC" w:rsidP="009D16CC">
            <w:pPr>
              <w:rPr>
                <w:bCs/>
              </w:rPr>
            </w:pPr>
          </w:p>
          <w:p w14:paraId="6F098DF5" w14:textId="77777777" w:rsidR="009D16CC" w:rsidRPr="009D16CC" w:rsidRDefault="009D16CC" w:rsidP="009D16CC">
            <w:pPr>
              <w:rPr>
                <w:bCs/>
              </w:rPr>
            </w:pPr>
          </w:p>
          <w:p w14:paraId="5C97DCCC" w14:textId="77777777" w:rsidR="009D16CC" w:rsidRPr="009D16CC" w:rsidRDefault="009D16CC" w:rsidP="009D16CC">
            <w:pPr>
              <w:rPr>
                <w:bCs/>
              </w:rPr>
            </w:pPr>
          </w:p>
          <w:p w14:paraId="48FE746C" w14:textId="77777777" w:rsidR="009D16CC" w:rsidRPr="009D16CC" w:rsidRDefault="009D16CC" w:rsidP="009D16CC">
            <w:pPr>
              <w:rPr>
                <w:bCs/>
              </w:rPr>
            </w:pPr>
          </w:p>
          <w:p w14:paraId="64C525CE" w14:textId="77777777" w:rsidR="009D16CC" w:rsidRPr="009D16CC" w:rsidRDefault="009D16CC" w:rsidP="009D16CC">
            <w:pPr>
              <w:rPr>
                <w:bCs/>
              </w:rPr>
            </w:pPr>
          </w:p>
          <w:p w14:paraId="7A48301E" w14:textId="77777777" w:rsidR="009D16CC" w:rsidRPr="009D16CC" w:rsidRDefault="009D16CC" w:rsidP="009D16CC">
            <w:pPr>
              <w:rPr>
                <w:bCs/>
              </w:rPr>
            </w:pPr>
          </w:p>
          <w:p w14:paraId="3E6AD866" w14:textId="77777777" w:rsidR="009D16CC" w:rsidRPr="009D16CC" w:rsidRDefault="009D16CC" w:rsidP="009D16CC">
            <w:pPr>
              <w:rPr>
                <w:bCs/>
              </w:rPr>
            </w:pPr>
          </w:p>
          <w:p w14:paraId="23FC914E" w14:textId="77777777" w:rsidR="009D16CC" w:rsidRPr="009D16CC" w:rsidRDefault="009D16CC" w:rsidP="009D16CC">
            <w:pPr>
              <w:rPr>
                <w:bCs/>
              </w:rPr>
            </w:pPr>
          </w:p>
        </w:tc>
      </w:tr>
      <w:tr w:rsidR="009D16CC" w:rsidRPr="009D16CC" w14:paraId="1A95376D" w14:textId="77777777" w:rsidTr="00DE7C99">
        <w:trPr>
          <w:trHeight w:val="720"/>
        </w:trPr>
        <w:tc>
          <w:tcPr>
            <w:tcW w:w="5211" w:type="dxa"/>
            <w:gridSpan w:val="2"/>
          </w:tcPr>
          <w:p w14:paraId="7C2B49AB" w14:textId="77777777" w:rsidR="009D16CC" w:rsidRPr="009D16CC" w:rsidRDefault="009D16CC" w:rsidP="009D16CC">
            <w:pPr>
              <w:rPr>
                <w:bCs/>
              </w:rPr>
            </w:pPr>
            <w:r w:rsidRPr="009D16CC">
              <w:rPr>
                <w:bCs/>
              </w:rPr>
              <w:t>Marker’s Signature:</w:t>
            </w:r>
          </w:p>
        </w:tc>
        <w:tc>
          <w:tcPr>
            <w:tcW w:w="3645" w:type="dxa"/>
            <w:gridSpan w:val="3"/>
          </w:tcPr>
          <w:p w14:paraId="23B6101F" w14:textId="77777777" w:rsidR="009D16CC" w:rsidRPr="009D16CC" w:rsidRDefault="009D16CC" w:rsidP="009D16CC">
            <w:pPr>
              <w:rPr>
                <w:bCs/>
              </w:rPr>
            </w:pPr>
            <w:r w:rsidRPr="009D16CC">
              <w:rPr>
                <w:bCs/>
              </w:rPr>
              <w:t>Date:</w:t>
            </w:r>
          </w:p>
        </w:tc>
      </w:tr>
      <w:tr w:rsidR="009D16CC" w:rsidRPr="009D16CC" w14:paraId="083460E0" w14:textId="77777777" w:rsidTr="00DE7C99">
        <w:trPr>
          <w:trHeight w:val="720"/>
        </w:trPr>
        <w:tc>
          <w:tcPr>
            <w:tcW w:w="8856" w:type="dxa"/>
            <w:gridSpan w:val="5"/>
          </w:tcPr>
          <w:p w14:paraId="697C12FB" w14:textId="77777777" w:rsidR="009D16CC" w:rsidRPr="009D16CC" w:rsidRDefault="009D16CC" w:rsidP="009D16CC">
            <w:pPr>
              <w:rPr>
                <w:b/>
              </w:rPr>
            </w:pPr>
            <w:r w:rsidRPr="009D16CC">
              <w:rPr>
                <w:b/>
              </w:rPr>
              <w:t>External Examiner’s comments (if relevant)</w:t>
            </w:r>
          </w:p>
          <w:p w14:paraId="57F124D6" w14:textId="77777777" w:rsidR="009D16CC" w:rsidRPr="009D16CC" w:rsidRDefault="009D16CC" w:rsidP="009D16CC">
            <w:pPr>
              <w:rPr>
                <w:bCs/>
              </w:rPr>
            </w:pPr>
          </w:p>
          <w:p w14:paraId="591F1708" w14:textId="77777777" w:rsidR="009D16CC" w:rsidRPr="009D16CC" w:rsidRDefault="009D16CC" w:rsidP="009D16CC">
            <w:pPr>
              <w:rPr>
                <w:bCs/>
              </w:rPr>
            </w:pPr>
          </w:p>
          <w:p w14:paraId="18C38053" w14:textId="77777777" w:rsidR="009D16CC" w:rsidRPr="009D16CC" w:rsidRDefault="009D16CC" w:rsidP="009D16CC">
            <w:pPr>
              <w:rPr>
                <w:bCs/>
              </w:rPr>
            </w:pPr>
          </w:p>
          <w:p w14:paraId="1F1EB1A4" w14:textId="77777777" w:rsidR="009D16CC" w:rsidRPr="009D16CC" w:rsidRDefault="009D16CC" w:rsidP="009D16CC">
            <w:pPr>
              <w:rPr>
                <w:bCs/>
              </w:rPr>
            </w:pPr>
          </w:p>
          <w:p w14:paraId="7791B0F9" w14:textId="77777777" w:rsidR="009D16CC" w:rsidRPr="009D16CC" w:rsidRDefault="009D16CC" w:rsidP="009D16CC">
            <w:pPr>
              <w:rPr>
                <w:bCs/>
              </w:rPr>
            </w:pPr>
          </w:p>
          <w:p w14:paraId="2B3F3CD7" w14:textId="77777777" w:rsidR="009D16CC" w:rsidRPr="009D16CC" w:rsidRDefault="009D16CC" w:rsidP="009D16CC">
            <w:pPr>
              <w:rPr>
                <w:bCs/>
              </w:rPr>
            </w:pPr>
          </w:p>
          <w:p w14:paraId="340DCBAA" w14:textId="77777777" w:rsidR="009D16CC" w:rsidRPr="009D16CC" w:rsidRDefault="009D16CC" w:rsidP="009D16CC">
            <w:pPr>
              <w:rPr>
                <w:bCs/>
              </w:rPr>
            </w:pPr>
          </w:p>
          <w:p w14:paraId="104AFE25" w14:textId="77777777" w:rsidR="009D16CC" w:rsidRPr="009D16CC" w:rsidRDefault="009D16CC" w:rsidP="009D16CC">
            <w:pPr>
              <w:rPr>
                <w:bCs/>
              </w:rPr>
            </w:pPr>
          </w:p>
          <w:p w14:paraId="28048C90" w14:textId="77777777" w:rsidR="009D16CC" w:rsidRPr="009D16CC" w:rsidRDefault="009D16CC" w:rsidP="009D16CC">
            <w:pPr>
              <w:rPr>
                <w:bCs/>
              </w:rPr>
            </w:pPr>
          </w:p>
          <w:p w14:paraId="51912FDA" w14:textId="77777777" w:rsidR="009D16CC" w:rsidRPr="009D16CC" w:rsidRDefault="009D16CC" w:rsidP="009D16CC">
            <w:pPr>
              <w:rPr>
                <w:bCs/>
              </w:rPr>
            </w:pPr>
          </w:p>
          <w:p w14:paraId="49E5993C" w14:textId="77777777" w:rsidR="009D16CC" w:rsidRPr="009D16CC" w:rsidRDefault="009D16CC" w:rsidP="009D16CC">
            <w:pPr>
              <w:rPr>
                <w:bCs/>
              </w:rPr>
            </w:pPr>
          </w:p>
        </w:tc>
      </w:tr>
      <w:tr w:rsidR="009D16CC" w:rsidRPr="009D16CC" w14:paraId="1C9E82F4" w14:textId="77777777" w:rsidTr="00DE7C99">
        <w:trPr>
          <w:trHeight w:val="720"/>
        </w:trPr>
        <w:tc>
          <w:tcPr>
            <w:tcW w:w="5211" w:type="dxa"/>
            <w:gridSpan w:val="2"/>
          </w:tcPr>
          <w:p w14:paraId="5C752F30" w14:textId="77777777" w:rsidR="009D16CC" w:rsidRPr="009D16CC" w:rsidRDefault="009D16CC" w:rsidP="009D16CC">
            <w:r w:rsidRPr="009D16CC">
              <w:t>External Examiner’s Signature:</w:t>
            </w:r>
          </w:p>
        </w:tc>
        <w:tc>
          <w:tcPr>
            <w:tcW w:w="3645" w:type="dxa"/>
            <w:gridSpan w:val="3"/>
          </w:tcPr>
          <w:p w14:paraId="16A03F06" w14:textId="77777777" w:rsidR="009D16CC" w:rsidRPr="009D16CC" w:rsidRDefault="009D16CC" w:rsidP="009D16CC">
            <w:r w:rsidRPr="009D16CC">
              <w:t>Date:</w:t>
            </w:r>
          </w:p>
        </w:tc>
      </w:tr>
    </w:tbl>
    <w:p w14:paraId="1327C876" w14:textId="2B228784" w:rsidR="00042579" w:rsidRDefault="00042579"/>
    <w:p w14:paraId="66B59DBB" w14:textId="489F50B7" w:rsidR="00987CE1" w:rsidRDefault="00987CE1">
      <w:pPr>
        <w:rPr>
          <w:b/>
          <w:bCs/>
        </w:rPr>
      </w:pPr>
      <w:r w:rsidRPr="00987CE1">
        <w:rPr>
          <w:b/>
          <w:bCs/>
        </w:rPr>
        <w:lastRenderedPageBreak/>
        <w:t>Analyse the depiction of Arthur and the Arthurian milieu in a selection of early Welsh poems</w:t>
      </w:r>
    </w:p>
    <w:p w14:paraId="2500C07F" w14:textId="377ABC64" w:rsidR="00FF1787" w:rsidRDefault="00FF1787">
      <w:r>
        <w:t xml:space="preserve">This assignment explores the depiction of Arthur, his companions and context in </w:t>
      </w:r>
      <w:r w:rsidR="008025A5">
        <w:t>four</w:t>
      </w:r>
      <w:r>
        <w:t xml:space="preserve"> Welsh poems written, it will be argued, over a period of </w:t>
      </w:r>
      <w:r w:rsidR="00A31D83">
        <w:t>some</w:t>
      </w:r>
      <w:r>
        <w:t xml:space="preserve"> </w:t>
      </w:r>
      <w:r w:rsidR="008025A5">
        <w:t>six</w:t>
      </w:r>
      <w:r>
        <w:t xml:space="preserve"> hundred years. Over that period of time, it will be suggested, the figure of Arthur developed from being a British war leader of some renown, to a</w:t>
      </w:r>
      <w:r w:rsidR="0000046E">
        <w:t>n imperial</w:t>
      </w:r>
      <w:r>
        <w:t xml:space="preserve"> figure shrouded in folklore and touched with elements of the supernatural</w:t>
      </w:r>
      <w:r w:rsidR="008025A5">
        <w:t>, and finally to a peg on which to hang a range of traditional folktales</w:t>
      </w:r>
      <w:r>
        <w:t xml:space="preserve">. Over that same period of time, it will be argued, Arthur’s context shifted from a primarily Northern geographical area, to a pan-British sphere of operations, </w:t>
      </w:r>
      <w:r w:rsidR="008025A5">
        <w:t xml:space="preserve">initially </w:t>
      </w:r>
      <w:r>
        <w:t>for reasons closely associated with the aspirations of the kingdoms of first Gwynedd and latterly Dyfed to exercise leadership of the Britons against perceived English aggression</w:t>
      </w:r>
      <w:r w:rsidR="008025A5">
        <w:t>, and later</w:t>
      </w:r>
      <w:r w:rsidR="005106B6">
        <w:t xml:space="preserve"> to a Welsh and Cornish context as he is absorbed into folktale </w:t>
      </w:r>
      <w:r>
        <w:t xml:space="preserve">. As Arthur’s figure developed, </w:t>
      </w:r>
      <w:r w:rsidR="0000046E">
        <w:t xml:space="preserve">and </w:t>
      </w:r>
      <w:r w:rsidR="005106B6">
        <w:t xml:space="preserve">his </w:t>
      </w:r>
      <w:r w:rsidR="0000046E">
        <w:t xml:space="preserve">area of operations expanded, it will be suggested, so his companions and the events he is associated with came to absorb individuals and events that originally had little to do with him.  </w:t>
      </w:r>
    </w:p>
    <w:p w14:paraId="20877861" w14:textId="1DFAE35E" w:rsidR="00A31D83" w:rsidRDefault="00A31D83">
      <w:r>
        <w:t>The intellectual framework for the assignment is provided by Johnston</w:t>
      </w:r>
      <w:r w:rsidR="00DD63D0">
        <w:rPr>
          <w:rStyle w:val="FootnoteReference"/>
        </w:rPr>
        <w:footnoteReference w:id="1"/>
      </w:r>
      <w:r>
        <w:t xml:space="preserve"> (drawing on much earlier work by Hector and Nora Chadwick). This involves recognising the period from 367 CE – 664 CE as a British ‘Heroic Age’, characterised by the dominance of individual war leaders, supported by war bands, and seeing the development of a bardic culture. Such governmental structures over time develop into more formal kingdoms with ruling dynasties, functioning courts and a developing cultural life in which the bardic ‘praise poem’ is gradually </w:t>
      </w:r>
      <w:r w:rsidR="005106B6">
        <w:t xml:space="preserve">replaced </w:t>
      </w:r>
      <w:r>
        <w:t xml:space="preserve">by written tales and courtly performance. The implications for the development of oral literature in this context are described by Johnston in this way: </w:t>
      </w:r>
    </w:p>
    <w:p w14:paraId="740A9811" w14:textId="77777777" w:rsidR="00566836" w:rsidRPr="009C3863" w:rsidRDefault="00A31D83" w:rsidP="009C3863">
      <w:pPr>
        <w:rPr>
          <w:i/>
          <w:iCs/>
        </w:rPr>
      </w:pPr>
      <w:r w:rsidRPr="009C3863">
        <w:rPr>
          <w:i/>
          <w:iCs/>
        </w:rPr>
        <w:t xml:space="preserve">‘In a heroic age, one individual or teulu is often made the beneficiary of praise poetry by one or more professional entertainers. As the heroes of the </w:t>
      </w:r>
      <w:r w:rsidR="00566836" w:rsidRPr="009C3863">
        <w:rPr>
          <w:i/>
          <w:iCs/>
        </w:rPr>
        <w:t>stories and the entertainers who tell them die, much of it is lost. However, the surviving literature tends to go to another phase of development.</w:t>
      </w:r>
    </w:p>
    <w:p w14:paraId="69BC667E" w14:textId="77777777" w:rsidR="00566836" w:rsidRPr="009C3863" w:rsidRDefault="00566836" w:rsidP="009C3863">
      <w:pPr>
        <w:rPr>
          <w:i/>
          <w:iCs/>
        </w:rPr>
      </w:pPr>
      <w:r w:rsidRPr="009C3863">
        <w:rPr>
          <w:i/>
          <w:iCs/>
        </w:rPr>
        <w:t>In time…the poetry of praise and the memory of deeds done begin to coalesce into longer narratives in which the subject remains the centrepiece. As the literature continues to mature (or degrade depending on perspective) other heroes, from outside the original teulu, will be added to the story as secondary characters….</w:t>
      </w:r>
    </w:p>
    <w:p w14:paraId="464FE88B" w14:textId="54AA9671" w:rsidR="00A31D83" w:rsidRDefault="00566836" w:rsidP="009C3863">
      <w:r w:rsidRPr="009C3863">
        <w:rPr>
          <w:i/>
          <w:iCs/>
        </w:rPr>
        <w:t xml:space="preserve">These heroes will </w:t>
      </w:r>
      <w:proofErr w:type="gramStart"/>
      <w:r w:rsidRPr="009C3863">
        <w:rPr>
          <w:i/>
          <w:iCs/>
        </w:rPr>
        <w:t>enter into</w:t>
      </w:r>
      <w:proofErr w:type="gramEnd"/>
      <w:r w:rsidRPr="009C3863">
        <w:rPr>
          <w:i/>
          <w:iCs/>
        </w:rPr>
        <w:t xml:space="preserve"> the orbit of the stories by a consistent pattern. Initially, characters from the same area and approximate era will be drawn in. With time, these heroes will come from an </w:t>
      </w:r>
      <w:proofErr w:type="gramStart"/>
      <w:r w:rsidRPr="009C3863">
        <w:rPr>
          <w:i/>
          <w:iCs/>
        </w:rPr>
        <w:t>ever widening</w:t>
      </w:r>
      <w:proofErr w:type="gramEnd"/>
      <w:r w:rsidRPr="009C3863">
        <w:rPr>
          <w:i/>
          <w:iCs/>
        </w:rPr>
        <w:t xml:space="preserve"> area and from an ever broader chronological era’</w:t>
      </w:r>
      <w:r>
        <w:t xml:space="preserve">. </w:t>
      </w:r>
      <w:r w:rsidR="00DE7C99">
        <w:rPr>
          <w:rStyle w:val="FootnoteReference"/>
        </w:rPr>
        <w:footnoteReference w:id="2"/>
      </w:r>
      <w:r w:rsidR="00A31D83">
        <w:t xml:space="preserve">  </w:t>
      </w:r>
    </w:p>
    <w:p w14:paraId="247F45B4" w14:textId="01CE4140" w:rsidR="00F72C71" w:rsidRDefault="005106B6" w:rsidP="00F72C71">
      <w:r>
        <w:t>As noted above, it will additionally be</w:t>
      </w:r>
      <w:r w:rsidR="00F72C71">
        <w:t xml:space="preserve"> argue</w:t>
      </w:r>
      <w:r>
        <w:t>d</w:t>
      </w:r>
      <w:r w:rsidR="00F72C71">
        <w:t xml:space="preserve"> that as well as adding characters, the process described by Johnston also leads to adding of events that were originally nothing with the named hero, and changing characteristics as the original praise poem becomes translated into a popular folk tale. </w:t>
      </w:r>
    </w:p>
    <w:p w14:paraId="5B600BD9" w14:textId="20E61B20" w:rsidR="00566836" w:rsidRDefault="00566836" w:rsidP="00566836">
      <w:r>
        <w:t xml:space="preserve">The </w:t>
      </w:r>
      <w:r w:rsidR="008025A5">
        <w:t>four</w:t>
      </w:r>
      <w:r>
        <w:t xml:space="preserve"> poems under consideration are: </w:t>
      </w:r>
    </w:p>
    <w:p w14:paraId="288BA289" w14:textId="0BE6401D" w:rsidR="00566836" w:rsidRDefault="00566836" w:rsidP="00F72C71">
      <w:pPr>
        <w:pStyle w:val="ListParagraph"/>
        <w:numPr>
          <w:ilvl w:val="0"/>
          <w:numId w:val="12"/>
        </w:numPr>
      </w:pPr>
      <w:r w:rsidRPr="00213F3A">
        <w:rPr>
          <w:i/>
          <w:iCs/>
        </w:rPr>
        <w:t xml:space="preserve">Y </w:t>
      </w:r>
      <w:r w:rsidR="00E52C94" w:rsidRPr="00213F3A">
        <w:rPr>
          <w:i/>
          <w:iCs/>
        </w:rPr>
        <w:t>Gododdin</w:t>
      </w:r>
      <w:r>
        <w:t xml:space="preserve"> (The </w:t>
      </w:r>
      <w:r w:rsidR="00E52C94">
        <w:t>Gododdin</w:t>
      </w:r>
      <w:r>
        <w:t>)</w:t>
      </w:r>
    </w:p>
    <w:p w14:paraId="35A35BB7" w14:textId="2F156160" w:rsidR="00566836" w:rsidRDefault="00566836" w:rsidP="00F72C71">
      <w:pPr>
        <w:pStyle w:val="ListParagraph"/>
        <w:numPr>
          <w:ilvl w:val="0"/>
          <w:numId w:val="12"/>
        </w:numPr>
      </w:pPr>
      <w:r w:rsidRPr="00566836">
        <w:t>‘</w:t>
      </w:r>
      <w:r w:rsidRPr="00213F3A">
        <w:rPr>
          <w:i/>
          <w:iCs/>
        </w:rPr>
        <w:t>Pa gur yv y porthaur’</w:t>
      </w:r>
      <w:r w:rsidRPr="00566836">
        <w:t xml:space="preserve"> (‘What man is the porter?’)</w:t>
      </w:r>
    </w:p>
    <w:p w14:paraId="62457A89" w14:textId="28816A37" w:rsidR="00566836" w:rsidRDefault="00566836" w:rsidP="00F72C71">
      <w:pPr>
        <w:pStyle w:val="ListParagraph"/>
        <w:numPr>
          <w:ilvl w:val="0"/>
          <w:numId w:val="12"/>
        </w:numPr>
      </w:pPr>
      <w:r w:rsidRPr="00F72C71">
        <w:lastRenderedPageBreak/>
        <w:t>‘</w:t>
      </w:r>
      <w:r w:rsidRPr="00213F3A">
        <w:rPr>
          <w:i/>
          <w:iCs/>
        </w:rPr>
        <w:t>Preideu Annwfyn’</w:t>
      </w:r>
      <w:r w:rsidRPr="00566836">
        <w:t xml:space="preserve"> (‘The </w:t>
      </w:r>
      <w:r w:rsidR="00F72C71">
        <w:t>s</w:t>
      </w:r>
      <w:r w:rsidRPr="00566836">
        <w:t>poils of Annwyn’)</w:t>
      </w:r>
    </w:p>
    <w:p w14:paraId="07D47662" w14:textId="09DE6FD1" w:rsidR="008025A5" w:rsidRDefault="008025A5" w:rsidP="00F72C71">
      <w:pPr>
        <w:pStyle w:val="ListParagraph"/>
        <w:numPr>
          <w:ilvl w:val="0"/>
          <w:numId w:val="12"/>
        </w:numPr>
      </w:pPr>
      <w:r w:rsidRPr="00213F3A">
        <w:rPr>
          <w:i/>
          <w:iCs/>
        </w:rPr>
        <w:t>Ymddiddan Arthur a’r Eryr</w:t>
      </w:r>
      <w:r w:rsidRPr="008025A5">
        <w:t xml:space="preserve"> (The Dialogue of Arthur and the Eagle).</w:t>
      </w:r>
      <w:r w:rsidR="00DE7C99">
        <w:rPr>
          <w:rStyle w:val="FootnoteReference"/>
        </w:rPr>
        <w:footnoteReference w:id="3"/>
      </w:r>
    </w:p>
    <w:p w14:paraId="371C4AE0" w14:textId="147599A4" w:rsidR="00F72C71" w:rsidRDefault="00F72C71">
      <w:r>
        <w:t xml:space="preserve">There is also an excursus to consider the ‘battle poem’ underlying the ‘Arthur’ chapter (Chapter 56) of the </w:t>
      </w:r>
      <w:r w:rsidRPr="00213F3A">
        <w:rPr>
          <w:i/>
          <w:iCs/>
        </w:rPr>
        <w:t>Historia Brittonum</w:t>
      </w:r>
      <w:r>
        <w:t xml:space="preserve"> (History of the Britons)</w:t>
      </w:r>
      <w:r w:rsidR="00213F3A">
        <w:rPr>
          <w:rStyle w:val="FootnoteReference"/>
        </w:rPr>
        <w:footnoteReference w:id="4"/>
      </w:r>
      <w:r>
        <w:t xml:space="preserve">. Although our present text is a piece of Latin prose, it has been widely argued to be hiding behind the current form, an original Old Welsh poem listing some or all of Arthur’s battles. Additionally, the </w:t>
      </w:r>
      <w:r w:rsidRPr="00213F3A">
        <w:rPr>
          <w:i/>
          <w:iCs/>
        </w:rPr>
        <w:t xml:space="preserve">Historia Brittonum </w:t>
      </w:r>
      <w:r>
        <w:t xml:space="preserve">is a very good example of the process of transition from oral original to written account. </w:t>
      </w:r>
    </w:p>
    <w:p w14:paraId="6419EB4B" w14:textId="642DCDF5" w:rsidR="00F72C71" w:rsidRDefault="00F72C71">
      <w:r>
        <w:t xml:space="preserve">Finally, the assignment concludes with a look at </w:t>
      </w:r>
      <w:r w:rsidRPr="00213F3A">
        <w:rPr>
          <w:i/>
          <w:iCs/>
        </w:rPr>
        <w:t>Cuhlwch ac Olwen</w:t>
      </w:r>
      <w:r w:rsidR="00213F3A">
        <w:rPr>
          <w:rStyle w:val="FootnoteReference"/>
        </w:rPr>
        <w:footnoteReference w:id="5"/>
      </w:r>
      <w:r>
        <w:t xml:space="preserve">. Whilst this is very definitely a piece of prose rather than a poem (albeit with strongly rhythmic elements), it is included because it demonstrates in detail the framework outlined above, illustrating the way in which Arthur is incorporated </w:t>
      </w:r>
      <w:r w:rsidR="00FA21E4">
        <w:t xml:space="preserve">into wider Welsh folklore. </w:t>
      </w:r>
      <w:r>
        <w:t xml:space="preserve"> </w:t>
      </w:r>
    </w:p>
    <w:p w14:paraId="052B486B" w14:textId="6168F705" w:rsidR="006E60C8" w:rsidRDefault="00FA21E4">
      <w:r>
        <w:t xml:space="preserve">However, we need first to consider whether these five literary items are </w:t>
      </w:r>
      <w:r w:rsidR="0000046E">
        <w:t xml:space="preserve">likely </w:t>
      </w:r>
      <w:r>
        <w:t xml:space="preserve">to have </w:t>
      </w:r>
      <w:r w:rsidR="0000046E">
        <w:t xml:space="preserve">developed over an extended period of time, rather than all being products of later Welsh pseudo – historical writing. </w:t>
      </w:r>
      <w:r>
        <w:t>N</w:t>
      </w:r>
      <w:r w:rsidR="005E7BF2">
        <w:t>one has a reliable documented existence before the beginning of the 9</w:t>
      </w:r>
      <w:r w:rsidR="005E7BF2" w:rsidRPr="005E7BF2">
        <w:rPr>
          <w:vertAlign w:val="superscript"/>
        </w:rPr>
        <w:t>th</w:t>
      </w:r>
      <w:r w:rsidR="005E7BF2">
        <w:t xml:space="preserve"> century, and in the cases of those collected as part of the ‘Book of Aneirin’ and the ‘Book of Taliesin’, that documented existence can only be traced to the thirteenth and fourteenth century. Historians of a minimalist turn of mind, (Higham</w:t>
      </w:r>
      <w:r w:rsidR="00213F3A">
        <w:rPr>
          <w:rStyle w:val="FootnoteReference"/>
        </w:rPr>
        <w:footnoteReference w:id="6"/>
      </w:r>
      <w:r w:rsidR="001B3DCD">
        <w:t>, Padel</w:t>
      </w:r>
      <w:r w:rsidR="00213F3A">
        <w:rPr>
          <w:rStyle w:val="FootnoteReference"/>
        </w:rPr>
        <w:footnoteReference w:id="7"/>
      </w:r>
      <w:r w:rsidR="001B3DCD">
        <w:t xml:space="preserve"> and </w:t>
      </w:r>
      <w:r w:rsidR="005E7BF2">
        <w:t>Green</w:t>
      </w:r>
      <w:r w:rsidR="00213F3A">
        <w:rPr>
          <w:rStyle w:val="FootnoteReference"/>
        </w:rPr>
        <w:footnoteReference w:id="8"/>
      </w:r>
      <w:r w:rsidR="005E7BF2">
        <w:t xml:space="preserve">, for example) can legitimately argue that without an earlier documented existence any argument for a longer period of development is largely wishful thinking. </w:t>
      </w:r>
    </w:p>
    <w:p w14:paraId="6B620378" w14:textId="0FC463C9" w:rsidR="00FA21E4" w:rsidRDefault="005E7BF2">
      <w:r>
        <w:t xml:space="preserve">However, </w:t>
      </w:r>
      <w:r w:rsidR="00AD40A7">
        <w:t>as the astronomer Martin Rees is alleged to have said in a rather different context,</w:t>
      </w:r>
      <w:r>
        <w:t xml:space="preserve"> ‘absence of evidence is not </w:t>
      </w:r>
      <w:r w:rsidR="00AD40A7">
        <w:t xml:space="preserve">necessarily </w:t>
      </w:r>
      <w:r>
        <w:t xml:space="preserve">evidence of absence’ and there are convincing reasons for believing that most of the items to be considered have a longer history of development behind them. In most cases this does not rely on attempting to date </w:t>
      </w:r>
      <w:r w:rsidR="00AD40A7">
        <w:t xml:space="preserve">texts </w:t>
      </w:r>
      <w:r>
        <w:t xml:space="preserve">by noting linguistic and orthographic changes from Old Welsh to Middle Welsh, but by detailed study of the content of the items and the likely socio-political and geographical context in which such content would be generated. </w:t>
      </w:r>
      <w:r w:rsidR="00FA21E4">
        <w:t>What follows will attempt to steer a path between the minimalist historians for whom Arthur is little more than a will o’ the wisp, and those maximalist historians of an earlier generation (Morris</w:t>
      </w:r>
      <w:r w:rsidR="00213F3A">
        <w:rPr>
          <w:rStyle w:val="FootnoteReference"/>
        </w:rPr>
        <w:footnoteReference w:id="9"/>
      </w:r>
      <w:r w:rsidR="00FA21E4">
        <w:t>, Alcock</w:t>
      </w:r>
      <w:r w:rsidR="00213F3A">
        <w:rPr>
          <w:rStyle w:val="FootnoteReference"/>
        </w:rPr>
        <w:footnoteReference w:id="10"/>
      </w:r>
      <w:r w:rsidR="00FA21E4">
        <w:t xml:space="preserve">) who sought to use </w:t>
      </w:r>
      <w:r w:rsidR="00AD40A7">
        <w:t xml:space="preserve">the </w:t>
      </w:r>
      <w:r w:rsidR="00FA21E4">
        <w:t xml:space="preserve">limited </w:t>
      </w:r>
      <w:r w:rsidR="00AD40A7">
        <w:t xml:space="preserve">available </w:t>
      </w:r>
      <w:r w:rsidR="00FA21E4">
        <w:t xml:space="preserve">evidence to reconstruct Arthur’s life and career.  </w:t>
      </w:r>
    </w:p>
    <w:p w14:paraId="2DC52F9F" w14:textId="7C34C419" w:rsidR="00D41450" w:rsidRDefault="00D41450">
      <w:r w:rsidRPr="00D41450">
        <w:lastRenderedPageBreak/>
        <w:t xml:space="preserve">Let’s start with </w:t>
      </w:r>
      <w:r w:rsidR="006E60C8" w:rsidRPr="00AD40A7">
        <w:rPr>
          <w:i/>
          <w:iCs/>
        </w:rPr>
        <w:t xml:space="preserve">Y </w:t>
      </w:r>
      <w:r w:rsidR="00E52C94" w:rsidRPr="00AD40A7">
        <w:rPr>
          <w:i/>
          <w:iCs/>
        </w:rPr>
        <w:t>Gododdin</w:t>
      </w:r>
      <w:r w:rsidR="00AD40A7" w:rsidRPr="00AD40A7">
        <w:rPr>
          <w:rStyle w:val="FootnoteReference"/>
        </w:rPr>
        <w:footnoteReference w:id="11"/>
      </w:r>
      <w:r>
        <w:t xml:space="preserve"> which appears to </w:t>
      </w:r>
      <w:r w:rsidR="006E60C8">
        <w:t xml:space="preserve">describe a raid, or series of raids, by a warband associated with the early sub – Roman of Manau </w:t>
      </w:r>
      <w:r w:rsidR="00E52C94">
        <w:t>Gododdin</w:t>
      </w:r>
      <w:r w:rsidR="006E60C8">
        <w:t xml:space="preserve"> (roughly in the area of contemporary Lothian) against unnamed enemies in the North of England. It exists in two versions, one of which, in terms of language and orthography appears to be older than the other and contains a preface that is unrelated to the body of the text, celebrating the victory of the warriors of Dalriata at the battle of Strathcarron in 638 CE</w:t>
      </w:r>
      <w:r w:rsidR="0064209A">
        <w:rPr>
          <w:rStyle w:val="FootnoteReference"/>
        </w:rPr>
        <w:footnoteReference w:id="12"/>
      </w:r>
      <w:r w:rsidR="006E60C8">
        <w:t xml:space="preserve">. </w:t>
      </w:r>
    </w:p>
    <w:p w14:paraId="7BC99B36" w14:textId="77777777" w:rsidR="00D41450" w:rsidRDefault="006E60C8">
      <w:r>
        <w:t>The argument for early dating is three – fold:</w:t>
      </w:r>
    </w:p>
    <w:p w14:paraId="408F0849" w14:textId="10B9C44E" w:rsidR="00D41450" w:rsidRDefault="006E60C8" w:rsidP="00D41450">
      <w:pPr>
        <w:pStyle w:val="ListParagraph"/>
        <w:numPr>
          <w:ilvl w:val="0"/>
          <w:numId w:val="13"/>
        </w:numPr>
      </w:pPr>
      <w:r>
        <w:t xml:space="preserve">the preface is unlikely to have been written very long after the events of this otherwise obscure battle; </w:t>
      </w:r>
    </w:p>
    <w:p w14:paraId="3B9177C0" w14:textId="431BD09E" w:rsidR="00D41450" w:rsidRDefault="006E60C8" w:rsidP="00D41450">
      <w:pPr>
        <w:pStyle w:val="ListParagraph"/>
        <w:numPr>
          <w:ilvl w:val="0"/>
          <w:numId w:val="13"/>
        </w:numPr>
      </w:pPr>
      <w:r>
        <w:t xml:space="preserve">the repurposing of a poem about the warriors of British kingdom of Manau </w:t>
      </w:r>
      <w:r w:rsidR="00E52C94">
        <w:t>Gododdin</w:t>
      </w:r>
      <w:r>
        <w:t xml:space="preserve"> to celebrate a victory </w:t>
      </w:r>
      <w:r w:rsidR="00D63F2F">
        <w:t xml:space="preserve">in the Gaelic kingdom of Dalriata suggests that the poem was already well known and popular before the battle of Strathcarron; </w:t>
      </w:r>
    </w:p>
    <w:p w14:paraId="75959C2B" w14:textId="4DD6A4CE" w:rsidR="00D41450" w:rsidRDefault="00D63F2F" w:rsidP="00D41450">
      <w:pPr>
        <w:pStyle w:val="ListParagraph"/>
        <w:numPr>
          <w:ilvl w:val="0"/>
          <w:numId w:val="13"/>
        </w:numPr>
      </w:pPr>
      <w:r>
        <w:t xml:space="preserve">Manau </w:t>
      </w:r>
      <w:r w:rsidR="00E52C94">
        <w:t>Gododdin</w:t>
      </w:r>
      <w:r>
        <w:t xml:space="preserve"> had been conquered by the Anglian kingdom of Bernicia (later Northumbria) in the early part of 7</w:t>
      </w:r>
      <w:r w:rsidRPr="00D41450">
        <w:rPr>
          <w:vertAlign w:val="superscript"/>
        </w:rPr>
        <w:t>th</w:t>
      </w:r>
      <w:r>
        <w:t xml:space="preserve"> century, and both the polity and its language had disappeared from the social and political map</w:t>
      </w:r>
      <w:r w:rsidR="00D41450">
        <w:t xml:space="preserve"> long before the text was committed to writing</w:t>
      </w:r>
      <w:r>
        <w:t xml:space="preserve">. </w:t>
      </w:r>
    </w:p>
    <w:p w14:paraId="5E2D496D" w14:textId="48B3B469" w:rsidR="006E60C8" w:rsidRDefault="00D63F2F">
      <w:r>
        <w:t xml:space="preserve">There was no clear later political or cultural purpose in </w:t>
      </w:r>
      <w:r w:rsidR="00D41450">
        <w:t>9</w:t>
      </w:r>
      <w:r w:rsidR="00D41450" w:rsidRPr="00D41450">
        <w:rPr>
          <w:vertAlign w:val="superscript"/>
        </w:rPr>
        <w:t>th</w:t>
      </w:r>
      <w:r w:rsidR="00D41450">
        <w:t xml:space="preserve"> century Wales in </w:t>
      </w:r>
      <w:r>
        <w:t xml:space="preserve">creating a poem about a long – forgotten event in a part of the country that was no longer British. Whilst it is true that the Gwynedd dynasty of Mervyn Fech and Rhodri Mawr claimed descent from ‘the men of the North’ (especially Cunedda the legendary leader of a </w:t>
      </w:r>
      <w:r w:rsidR="00E52C94">
        <w:t>Gododdin</w:t>
      </w:r>
      <w:r>
        <w:t xml:space="preserve"> war band that was claimed to have expelled Irish settlers from Gwynedd), it seems unlikely that they would choose to celebrate the </w:t>
      </w:r>
      <w:r w:rsidRPr="00D41450">
        <w:rPr>
          <w:i/>
          <w:iCs/>
        </w:rPr>
        <w:t>defeat</w:t>
      </w:r>
      <w:r>
        <w:t xml:space="preserve"> of Manau </w:t>
      </w:r>
      <w:r w:rsidR="00E52C94">
        <w:t>Gododdin</w:t>
      </w:r>
      <w:r>
        <w:t>. Taking all the available evidence together, Dumville</w:t>
      </w:r>
      <w:r w:rsidR="006A7F56">
        <w:rPr>
          <w:rStyle w:val="FootnoteReference"/>
        </w:rPr>
        <w:footnoteReference w:id="13"/>
      </w:r>
      <w:r>
        <w:t>, Koch</w:t>
      </w:r>
      <w:r w:rsidR="006A7F56">
        <w:rPr>
          <w:rStyle w:val="FootnoteReference"/>
        </w:rPr>
        <w:footnoteReference w:id="14"/>
      </w:r>
      <w:r>
        <w:t xml:space="preserve"> and Johnson</w:t>
      </w:r>
      <w:r w:rsidR="006A7F56">
        <w:rPr>
          <w:rStyle w:val="FootnoteReference"/>
        </w:rPr>
        <w:footnoteReference w:id="15"/>
      </w:r>
      <w:r>
        <w:t xml:space="preserve"> (amongst others) have suggested an original (probably oral) date of composition in the mid – </w:t>
      </w:r>
      <w:r w:rsidR="001B3DCD">
        <w:t xml:space="preserve">to - </w:t>
      </w:r>
      <w:r>
        <w:t xml:space="preserve">late </w:t>
      </w:r>
      <w:r w:rsidR="001B3DCD">
        <w:t>sixth century, with the poem being brought into Wales via the British kingdoms of R</w:t>
      </w:r>
      <w:r w:rsidR="00E52C94">
        <w:t>h</w:t>
      </w:r>
      <w:r w:rsidR="001B3DCD">
        <w:t xml:space="preserve">eged and Strathclyde. </w:t>
      </w:r>
      <w:r w:rsidR="006E60C8">
        <w:t xml:space="preserve"> </w:t>
      </w:r>
    </w:p>
    <w:p w14:paraId="00C46E96" w14:textId="7DDABA41" w:rsidR="00D41450" w:rsidRPr="00D41450" w:rsidRDefault="00D41450" w:rsidP="00D41450">
      <w:r>
        <w:t xml:space="preserve">So how is Arthur depicted in Y </w:t>
      </w:r>
      <w:r w:rsidR="00E52C94">
        <w:t>Gododdin</w:t>
      </w:r>
      <w:r>
        <w:t>? O</w:t>
      </w:r>
      <w:r w:rsidRPr="00D41450">
        <w:t xml:space="preserve">ddly, </w:t>
      </w:r>
      <w:r>
        <w:t xml:space="preserve">he </w:t>
      </w:r>
      <w:r w:rsidRPr="00D41450">
        <w:t xml:space="preserve">appears </w:t>
      </w:r>
      <w:r>
        <w:t>only</w:t>
      </w:r>
      <w:r w:rsidRPr="00D41450">
        <w:t xml:space="preserve"> by contrast. Of a warrior called Gwawrddur, the poem says </w:t>
      </w:r>
    </w:p>
    <w:p w14:paraId="0AD31848" w14:textId="22E4759E" w:rsidR="00D41450" w:rsidRPr="009C3863" w:rsidRDefault="00D41450" w:rsidP="009C3863">
      <w:pPr>
        <w:rPr>
          <w:i/>
          <w:iCs/>
        </w:rPr>
      </w:pPr>
      <w:r w:rsidRPr="009C3863">
        <w:rPr>
          <w:i/>
          <w:iCs/>
        </w:rPr>
        <w:t>‘gochore brein du ar uur, caer ceni bei ef arthur’</w:t>
      </w:r>
      <w:r w:rsidR="0018446F" w:rsidRPr="009C3863">
        <w:rPr>
          <w:rStyle w:val="FootnoteReference"/>
          <w:i/>
          <w:iCs/>
        </w:rPr>
        <w:footnoteReference w:id="16"/>
      </w:r>
      <w:r w:rsidRPr="009C3863">
        <w:rPr>
          <w:i/>
          <w:iCs/>
        </w:rPr>
        <w:t xml:space="preserve"> </w:t>
      </w:r>
    </w:p>
    <w:p w14:paraId="5F5746F1" w14:textId="77777777" w:rsidR="00D41450" w:rsidRPr="009C3863" w:rsidRDefault="00D41450" w:rsidP="009C3863">
      <w:pPr>
        <w:rPr>
          <w:i/>
          <w:iCs/>
        </w:rPr>
      </w:pPr>
      <w:r w:rsidRPr="009C3863">
        <w:rPr>
          <w:i/>
          <w:iCs/>
        </w:rPr>
        <w:t xml:space="preserve">(‘He would feed black ravens on the wall of a fortress, though he were not Arthur’). </w:t>
      </w:r>
    </w:p>
    <w:p w14:paraId="32496727" w14:textId="1958DE8C" w:rsidR="00D41450" w:rsidRPr="00D41450" w:rsidRDefault="00D41450" w:rsidP="00D41450">
      <w:r w:rsidRPr="00D41450">
        <w:lastRenderedPageBreak/>
        <w:t>In other words, brave and skilled a warrior</w:t>
      </w:r>
      <w:r>
        <w:t xml:space="preserve"> as </w:t>
      </w:r>
      <w:r w:rsidRPr="00D41450">
        <w:t xml:space="preserve">Gwawrddur is, he doesn’t compare with Arthur who is thereby shown to be an outstanding warrior with whom to compare one’s own abilities. But what is the context of this comment? </w:t>
      </w:r>
    </w:p>
    <w:p w14:paraId="45070C00" w14:textId="4526B0AC" w:rsidR="00D41450" w:rsidRPr="00D41450" w:rsidRDefault="00D41450" w:rsidP="00D41450">
      <w:r w:rsidRPr="00D41450">
        <w:t xml:space="preserve">Generally, scholars have seen Y </w:t>
      </w:r>
      <w:r w:rsidR="00E52C94">
        <w:t>Gododdin</w:t>
      </w:r>
      <w:r w:rsidRPr="00D41450">
        <w:t xml:space="preserve"> as the tale of a brave, but ultimately doomed attempt by a war band originating around Edinburgh and moving south to attack the Anglian town of Catterick in Yorkshire, somewhere towards the end of the sixth and beginning of the seventh century. However, there are problems with such a scenario. Firstly, there is no other historical evidence that Catterick was ever a significant Anglian military base, and no other evidence of a military assault upon it. Secondly, such a war band would have had to travel 150 miles on horseback across the otherwise hostile Anglian kingdom of Bernicia to attack a base in the sub-kingdom of Deira, which did not even have a contiguous border with Manau </w:t>
      </w:r>
      <w:r w:rsidR="00E52C94">
        <w:t>Gododdin</w:t>
      </w:r>
      <w:r w:rsidRPr="00D41450">
        <w:t xml:space="preserve">. </w:t>
      </w:r>
    </w:p>
    <w:p w14:paraId="73ED4706" w14:textId="194DECBE" w:rsidR="00D41450" w:rsidRDefault="00D41450" w:rsidP="00D41450">
      <w:r w:rsidRPr="00D41450">
        <w:t>Dunshea</w:t>
      </w:r>
      <w:r w:rsidR="0018446F">
        <w:rPr>
          <w:rStyle w:val="FootnoteReference"/>
        </w:rPr>
        <w:footnoteReference w:id="17"/>
      </w:r>
      <w:r w:rsidRPr="00D41450">
        <w:t xml:space="preserve"> has recently suggested an alternative way of reading the poem, which appears to make much better historical sense. He argues that far from meaning ‘Catterick’, ‘the Old Welsh word ‘catraeth’ is a generic word meaning ‘borderland’ and that rather than celebrating a single failed raid, the poem is celebrating a number of heroes who fought to maintain the borders of </w:t>
      </w:r>
      <w:r w:rsidR="00E52C94">
        <w:t>Gododdin</w:t>
      </w:r>
      <w:r w:rsidRPr="00D41450">
        <w:t xml:space="preserve"> against its enemies, ultimately unsuccessfully. </w:t>
      </w:r>
    </w:p>
    <w:p w14:paraId="3A6424C2" w14:textId="4083FC07" w:rsidR="00D41450" w:rsidRPr="00D41450" w:rsidRDefault="00D41450" w:rsidP="00D41450">
      <w:r w:rsidRPr="00D41450">
        <w:t>If Dunshea is right, where does this leave the reference to Arthur? If it is correct that Gwawrddur is being celebrated as a brave and skilful warrior fighting to maintain the borders of the kingdom in which he lived and is being contrasted unfavourably with Arthur, it would suggest that Arthur was remembered as a similar warrior or war leader, engaged in a similar task, in a similar area but with greater success. (This may incidentally explain why the son of the Gaelic king of Dalriata was given the Latin – originating name of Arthur if Arthur was remembered as a great warrior from a neighbouring kingdom)</w:t>
      </w:r>
      <w:r w:rsidR="0018446F">
        <w:rPr>
          <w:rStyle w:val="FootnoteReference"/>
        </w:rPr>
        <w:footnoteReference w:id="18"/>
      </w:r>
      <w:r w:rsidRPr="00D41450">
        <w:t xml:space="preserve">. </w:t>
      </w:r>
    </w:p>
    <w:p w14:paraId="2EE2E844" w14:textId="14E62473" w:rsidR="00D41450" w:rsidRPr="00D41450" w:rsidRDefault="00D41450" w:rsidP="00D41450">
      <w:r w:rsidRPr="00D41450">
        <w:t xml:space="preserve">Whether this re-imagination is plausible or not, it is worth noting who Arthur is not, in the </w:t>
      </w:r>
      <w:r w:rsidR="00E52C94">
        <w:t>Gododdin</w:t>
      </w:r>
      <w:r w:rsidRPr="00D41450">
        <w:t xml:space="preserve">. He is clearly not a king (let alone an emperor), he is not at the centre of any court, nor is he a commander of large armies. He appears to be essentially local and remembered solely as a great warrior. And he doesn’t necessarily appear to be fighting Saxons (unless Dunshea is wrong and there </w:t>
      </w:r>
      <w:r w:rsidRPr="00D41450">
        <w:rPr>
          <w:u w:val="single"/>
        </w:rPr>
        <w:t>was</w:t>
      </w:r>
      <w:r w:rsidRPr="00D41450">
        <w:t xml:space="preserve"> a determined attempt to drive the Angles from Yorkshire!).       </w:t>
      </w:r>
    </w:p>
    <w:p w14:paraId="738D6334" w14:textId="1690C570" w:rsidR="00D41450" w:rsidRDefault="00D41450">
      <w:r w:rsidRPr="00D41450">
        <w:t xml:space="preserve">From </w:t>
      </w:r>
      <w:r w:rsidRPr="0018446F">
        <w:rPr>
          <w:i/>
          <w:iCs/>
        </w:rPr>
        <w:t xml:space="preserve">Y </w:t>
      </w:r>
      <w:r w:rsidR="00E52C94" w:rsidRPr="0018446F">
        <w:rPr>
          <w:i/>
          <w:iCs/>
        </w:rPr>
        <w:t>Gododdin</w:t>
      </w:r>
      <w:r w:rsidRPr="00D41450">
        <w:t xml:space="preserve">, we turn to Chapter 56 of the </w:t>
      </w:r>
      <w:r w:rsidRPr="0018446F">
        <w:rPr>
          <w:i/>
          <w:iCs/>
        </w:rPr>
        <w:t>Historia Brittonum</w:t>
      </w:r>
      <w:r>
        <w:t xml:space="preserve"> which </w:t>
      </w:r>
      <w:r w:rsidR="001B3DCD">
        <w:t>contains a list of twelve battles against the Saxons said to have been won by Arthur and his men</w:t>
      </w:r>
      <w:r w:rsidR="00A8001F">
        <w:t xml:space="preserve">. </w:t>
      </w:r>
    </w:p>
    <w:p w14:paraId="18DA73F2" w14:textId="77777777" w:rsidR="00D41450" w:rsidRPr="00D41450" w:rsidRDefault="00D41450" w:rsidP="00D41450">
      <w:r w:rsidRPr="00D41450">
        <w:t xml:space="preserve">Here is what the text says: </w:t>
      </w:r>
    </w:p>
    <w:p w14:paraId="006409D9" w14:textId="6CAA1035" w:rsidR="00D41450" w:rsidRDefault="00D41450">
      <w:r w:rsidRPr="00D41450">
        <w:rPr>
          <w:i/>
          <w:iCs/>
        </w:rPr>
        <w:t xml:space="preserve">Then it was, that the magnanimous Arthur, with all the kings and military force of Britain, fought against the Saxons. And though there were many more noble than himself, yet he was twelve times chosen their commander, and was as often conqueror. The first battle in which he was engaged, was at the mouth of the river Gleni. The second, third, fourth, and fifth, were on another river, by the Britons called Duglas, in the region Linuis. The sixth, on the river Bassas. The seventh in the wood Celidon, which the Britons call Cat Coit Celidon The eighth was near Gurnion castle, where Arthur bore the image of the Holy Virgin,(mother of God, upon his shoulders, and through the power of our Lord Jesus Christ, and the holy Mary, put the Saxons to flight, and pursued them the whole day with great slaughter. The ninth was at the City of Legion, which is called Cair Lion. The tenth was on the banks of the </w:t>
      </w:r>
      <w:r w:rsidRPr="00D41450">
        <w:rPr>
          <w:i/>
          <w:iCs/>
        </w:rPr>
        <w:lastRenderedPageBreak/>
        <w:t>river Trat Treuroit. The eleventh was on the mountain Breguoin, which we call Cat Bregion. The twelfth was a most severe contest, when Arthur penetrated to the hill of Badon. In this engagement, nine hundred and forty fell by his hand alone, no one but the Lord affording him assistance. In all these engagements the Britons were successful. For no strength can avail against the will of the Almighty</w:t>
      </w:r>
      <w:r w:rsidR="0018446F">
        <w:rPr>
          <w:rStyle w:val="FootnoteReference"/>
          <w:i/>
          <w:iCs/>
        </w:rPr>
        <w:footnoteReference w:id="19"/>
      </w:r>
      <w:r w:rsidRPr="00D41450">
        <w:rPr>
          <w:i/>
          <w:iCs/>
        </w:rPr>
        <w:t>.</w:t>
      </w:r>
    </w:p>
    <w:p w14:paraId="70C414E9" w14:textId="5F530FA0" w:rsidR="00F4045B" w:rsidRDefault="00A8001F">
      <w:r>
        <w:t>Although</w:t>
      </w:r>
      <w:r w:rsidR="00D41450">
        <w:t xml:space="preserve">, as suggested earlier, </w:t>
      </w:r>
      <w:r>
        <w:t>th</w:t>
      </w:r>
      <w:r w:rsidR="00D41450">
        <w:t>is</w:t>
      </w:r>
      <w:r>
        <w:t xml:space="preserve"> text as it exists today is a piece of Latin prose, there is a broad consensus that behind </w:t>
      </w:r>
      <w:r w:rsidR="00D41450">
        <w:t xml:space="preserve">it </w:t>
      </w:r>
      <w:r>
        <w:t>lies the rhythm of on Old Welsh poem</w:t>
      </w:r>
      <w:r w:rsidR="0018446F">
        <w:rPr>
          <w:rStyle w:val="FootnoteReference"/>
        </w:rPr>
        <w:footnoteReference w:id="20"/>
      </w:r>
      <w:r>
        <w:t xml:space="preserve">. </w:t>
      </w:r>
      <w:r w:rsidRPr="009C3863">
        <w:rPr>
          <w:i/>
          <w:iCs/>
        </w:rPr>
        <w:t>Historia Brittonum</w:t>
      </w:r>
      <w:r>
        <w:t xml:space="preserve"> was complied in 829-30 CE and revised again in the mid – 10</w:t>
      </w:r>
      <w:r w:rsidRPr="00A8001F">
        <w:rPr>
          <w:vertAlign w:val="superscript"/>
        </w:rPr>
        <w:t>th</w:t>
      </w:r>
      <w:r>
        <w:t xml:space="preserve"> century, and in its extant form is a synthetic history of the Britons which shows that resistance against the English, and ultimate victory is possible when Britons are united. The scholarly consensus is that the document formed part of the claim to leadership of first Gwynedd and latterly Dyfed, amongst the Britons as a whole and therefore has a clear propaganda purpose. That granted, the Historia contains clear evidence of a range of sources that have been compiled into a new synthesis. Whilst Gildas</w:t>
      </w:r>
      <w:r w:rsidR="00F75705">
        <w:t>’</w:t>
      </w:r>
      <w:r>
        <w:t xml:space="preserve"> </w:t>
      </w:r>
      <w:r w:rsidRPr="00F75705">
        <w:rPr>
          <w:i/>
          <w:iCs/>
        </w:rPr>
        <w:t>De Excidio Brittaniae</w:t>
      </w:r>
      <w:r w:rsidR="00F75705">
        <w:rPr>
          <w:rStyle w:val="FootnoteReference"/>
          <w:i/>
          <w:iCs/>
        </w:rPr>
        <w:footnoteReference w:id="21"/>
      </w:r>
      <w:r>
        <w:t xml:space="preserve"> and Bede’s </w:t>
      </w:r>
      <w:r w:rsidRPr="00A8001F">
        <w:rPr>
          <w:i/>
          <w:iCs/>
          <w:lang w:val="la-Latn"/>
        </w:rPr>
        <w:t xml:space="preserve">Historia </w:t>
      </w:r>
      <w:r w:rsidR="00F75705">
        <w:rPr>
          <w:i/>
          <w:iCs/>
        </w:rPr>
        <w:t>E</w:t>
      </w:r>
      <w:r w:rsidRPr="00A8001F">
        <w:rPr>
          <w:i/>
          <w:iCs/>
          <w:lang w:val="la-Latn"/>
        </w:rPr>
        <w:t xml:space="preserve">cclesiastica </w:t>
      </w:r>
      <w:r w:rsidR="00F75705">
        <w:rPr>
          <w:i/>
          <w:iCs/>
        </w:rPr>
        <w:t>G</w:t>
      </w:r>
      <w:r w:rsidRPr="00A8001F">
        <w:rPr>
          <w:i/>
          <w:iCs/>
          <w:lang w:val="la-Latn"/>
        </w:rPr>
        <w:t>entis Anglorum</w:t>
      </w:r>
      <w:r w:rsidR="00F75705">
        <w:rPr>
          <w:rStyle w:val="FootnoteReference"/>
          <w:i/>
          <w:iCs/>
          <w:lang w:val="la-Latn"/>
        </w:rPr>
        <w:footnoteReference w:id="22"/>
      </w:r>
      <w:r w:rsidR="00F4045B">
        <w:rPr>
          <w:i/>
          <w:iCs/>
        </w:rPr>
        <w:t xml:space="preserve"> </w:t>
      </w:r>
      <w:r w:rsidR="00F4045B">
        <w:t>are readily identifiable, a number of scholars have suggested that the Historia contains materials originating from the British ‘Old North’ dating from before the time of the Northumbrian conquests and therefore likely to be dateable to the early seventh century CE, and that the ‘Arthur battle poem’ forms part of this ‘Northern Memorandum’</w:t>
      </w:r>
      <w:r w:rsidR="00F75705">
        <w:rPr>
          <w:rStyle w:val="FootnoteReference"/>
        </w:rPr>
        <w:footnoteReference w:id="23"/>
      </w:r>
      <w:r w:rsidR="00F4045B">
        <w:t xml:space="preserve">. </w:t>
      </w:r>
    </w:p>
    <w:p w14:paraId="38CEB46D" w14:textId="6D57A75F" w:rsidR="00530870" w:rsidRPr="00530870" w:rsidRDefault="00530870" w:rsidP="00530870">
      <w:r>
        <w:t xml:space="preserve">However, </w:t>
      </w:r>
      <w:r w:rsidRPr="00530870">
        <w:t xml:space="preserve">what we have here is not the text of any original poem but the result of reworking that suggested original to shape the purposes of the author of the </w:t>
      </w:r>
      <w:r w:rsidRPr="009C3863">
        <w:rPr>
          <w:i/>
          <w:iCs/>
        </w:rPr>
        <w:t>Historia Brittonum</w:t>
      </w:r>
      <w:r>
        <w:t xml:space="preserve">. </w:t>
      </w:r>
      <w:r w:rsidRPr="00530870">
        <w:t xml:space="preserve">Some of that can be clearly seen in the contrasts between portrayal of Arthur in this passage compared with that of </w:t>
      </w:r>
      <w:r w:rsidRPr="009C3863">
        <w:rPr>
          <w:i/>
          <w:iCs/>
        </w:rPr>
        <w:t xml:space="preserve">Y </w:t>
      </w:r>
      <w:r w:rsidR="00E52C94" w:rsidRPr="009C3863">
        <w:rPr>
          <w:i/>
          <w:iCs/>
        </w:rPr>
        <w:t>Gododdin</w:t>
      </w:r>
      <w:r w:rsidRPr="00530870">
        <w:t xml:space="preserve">. </w:t>
      </w:r>
    </w:p>
    <w:p w14:paraId="6CEC923C" w14:textId="526381D6" w:rsidR="00530870" w:rsidRPr="00530870" w:rsidRDefault="00530870" w:rsidP="00530870">
      <w:r w:rsidRPr="00530870">
        <w:t xml:space="preserve">One clear example is Arthur’s piety. </w:t>
      </w:r>
      <w:r w:rsidRPr="009C3863">
        <w:rPr>
          <w:i/>
          <w:iCs/>
        </w:rPr>
        <w:t xml:space="preserve">The </w:t>
      </w:r>
      <w:r w:rsidR="00E52C94" w:rsidRPr="009C3863">
        <w:rPr>
          <w:i/>
          <w:iCs/>
        </w:rPr>
        <w:t>Gododdin</w:t>
      </w:r>
      <w:r w:rsidRPr="00530870">
        <w:t xml:space="preserve"> has nothing to say about faith, but in the Historia Brittonum account he is devout Christian, a keen follower of the Virgin Mary (whose cult only really developed in Wales in the later eight</w:t>
      </w:r>
      <w:r>
        <w:t>h</w:t>
      </w:r>
      <w:r w:rsidRPr="00530870">
        <w:t xml:space="preserve"> century</w:t>
      </w:r>
      <w:r w:rsidR="00F75705">
        <w:rPr>
          <w:rStyle w:val="FootnoteReference"/>
        </w:rPr>
        <w:footnoteReference w:id="24"/>
      </w:r>
      <w:r w:rsidRPr="00530870">
        <w:t xml:space="preserve">), and God’s agent in resisting the barbarian invaders. He is, if one likes, the living response to Gildas and Bede, who both saw lack of faith as fundamental to the failure of the Britons. </w:t>
      </w:r>
    </w:p>
    <w:p w14:paraId="5C1CBC40" w14:textId="77777777" w:rsidR="00530870" w:rsidRDefault="00530870" w:rsidP="00530870">
      <w:r w:rsidRPr="00530870">
        <w:t>And here, Arthur is clearly portrayed as fighting against Saxon invaders, something not necessarily implied in the earlier poem. He is also no longer simply a mighty warrior but a general, (‘</w:t>
      </w:r>
      <w:r w:rsidRPr="00CF04C1">
        <w:rPr>
          <w:i/>
          <w:iCs/>
        </w:rPr>
        <w:t>dux bellorum’</w:t>
      </w:r>
      <w:r w:rsidRPr="00530870">
        <w:t xml:space="preserve">) coordinating and leading the forces of several kingdoms. And his sphere of influence has expanded as well. The extant of that expansion is debatable, depending on how the various battle locations are identified. </w:t>
      </w:r>
    </w:p>
    <w:p w14:paraId="1766C9DA" w14:textId="5D31C2EA" w:rsidR="00530870" w:rsidRDefault="00530870" w:rsidP="00530870">
      <w:r w:rsidRPr="00530870">
        <w:t>There have been numerous, mostly unsuccessful, attempts to identify the locations</w:t>
      </w:r>
      <w:r w:rsidR="00CF04C1">
        <w:rPr>
          <w:rStyle w:val="FootnoteReference"/>
        </w:rPr>
        <w:footnoteReference w:id="25"/>
      </w:r>
      <w:r w:rsidRPr="00530870">
        <w:t xml:space="preserve"> but most suggest that the geographical spread runs from Scotland, through Chester, to Lincolnshire and down to the West Country. One noted exception to that rule is Breeze’s </w:t>
      </w:r>
      <w:r w:rsidRPr="00530870">
        <w:lastRenderedPageBreak/>
        <w:t>recent study</w:t>
      </w:r>
      <w:r w:rsidR="00CF04C1">
        <w:rPr>
          <w:rStyle w:val="FootnoteReference"/>
        </w:rPr>
        <w:footnoteReference w:id="26"/>
      </w:r>
      <w:r w:rsidRPr="00530870">
        <w:t xml:space="preserve"> which locates </w:t>
      </w:r>
      <w:proofErr w:type="gramStart"/>
      <w:r w:rsidRPr="00530870">
        <w:t>all of</w:t>
      </w:r>
      <w:proofErr w:type="gramEnd"/>
      <w:r w:rsidRPr="00530870">
        <w:t xml:space="preserve"> the battle sites in and around Hadrian’s Wall and the Antonine Wall. Such a reconstruction, if plausible, would be broadly consistent with the picture derived from </w:t>
      </w:r>
      <w:r w:rsidRPr="009C3863">
        <w:rPr>
          <w:i/>
          <w:iCs/>
        </w:rPr>
        <w:t xml:space="preserve">Y </w:t>
      </w:r>
      <w:r w:rsidR="00E52C94" w:rsidRPr="009C3863">
        <w:rPr>
          <w:i/>
          <w:iCs/>
        </w:rPr>
        <w:t>Gododdin</w:t>
      </w:r>
      <w:r w:rsidRPr="00530870">
        <w:t xml:space="preserve">. </w:t>
      </w:r>
    </w:p>
    <w:p w14:paraId="5A4C365F" w14:textId="2503BEFA" w:rsidR="00530870" w:rsidRDefault="00530870" w:rsidP="00530870">
      <w:r w:rsidRPr="00530870">
        <w:t xml:space="preserve">However, even Breeze agrees that Badon has been added to whatever original underlies this passage. Badon, of course, appears as a decisive battle between Britons and Saxons recorded in Gildas’ </w:t>
      </w:r>
      <w:r w:rsidRPr="00CF04C1">
        <w:rPr>
          <w:i/>
          <w:iCs/>
        </w:rPr>
        <w:t xml:space="preserve">De </w:t>
      </w:r>
      <w:r w:rsidR="00E52C94" w:rsidRPr="00CF04C1">
        <w:rPr>
          <w:i/>
          <w:iCs/>
        </w:rPr>
        <w:t>Excidio Brittaniae</w:t>
      </w:r>
      <w:r w:rsidRPr="00CF04C1">
        <w:rPr>
          <w:i/>
          <w:iCs/>
        </w:rPr>
        <w:t>.</w:t>
      </w:r>
      <w:r w:rsidRPr="00530870">
        <w:t xml:space="preserve"> Although Gildas does not say who the general on the British side was, the most logical conclusion from his account would be that it was Ambrosius Aurelianus who is described as the leader of Romano – British forces in the latter part of the fifth century. On the face of it, it looks as if a famous victory won by somebody else altogether is now being attributed to Arthur as part of the development of his character</w:t>
      </w:r>
      <w:r>
        <w:t xml:space="preserve"> in a way consistent with the model suggested by Johnston</w:t>
      </w:r>
      <w:r w:rsidR="00CF04C1">
        <w:rPr>
          <w:rStyle w:val="FootnoteReference"/>
        </w:rPr>
        <w:footnoteReference w:id="27"/>
      </w:r>
      <w:r>
        <w:t xml:space="preserve"> and the Chadwicks</w:t>
      </w:r>
      <w:r w:rsidR="00CF04C1">
        <w:rPr>
          <w:rStyle w:val="FootnoteReference"/>
        </w:rPr>
        <w:footnoteReference w:id="28"/>
      </w:r>
      <w:r>
        <w:t xml:space="preserve">.  </w:t>
      </w:r>
    </w:p>
    <w:p w14:paraId="6D9F56FE" w14:textId="77777777" w:rsidR="00453237" w:rsidRDefault="007426C4" w:rsidP="00530870">
      <w:r w:rsidRPr="007426C4">
        <w:t xml:space="preserve">However, even though it is possible to see this process at work in the </w:t>
      </w:r>
      <w:r w:rsidRPr="00453237">
        <w:rPr>
          <w:i/>
          <w:iCs/>
        </w:rPr>
        <w:t>Historia Brittonum</w:t>
      </w:r>
      <w:r w:rsidRPr="007426C4">
        <w:t xml:space="preserve">, there are still major differences between the portrayal of Arthur here, and later accounts, and some clear similarities with the portrayal in the </w:t>
      </w:r>
      <w:r w:rsidR="00E52C94" w:rsidRPr="00453237">
        <w:rPr>
          <w:i/>
          <w:iCs/>
        </w:rPr>
        <w:t>Gododdin</w:t>
      </w:r>
      <w:r w:rsidRPr="007426C4">
        <w:t xml:space="preserve">. Most importantly, there is no sense here that Arthur is a king (or emperor), that he has a court, or a capital, and it is clearly stated that he was working with, or for, </w:t>
      </w:r>
    </w:p>
    <w:p w14:paraId="4FE7236F" w14:textId="674440F5" w:rsidR="007426C4" w:rsidRPr="00453237" w:rsidRDefault="007426C4" w:rsidP="009C3863">
      <w:r w:rsidRPr="00453237">
        <w:t>‘</w:t>
      </w:r>
      <w:r w:rsidRPr="009C3863">
        <w:rPr>
          <w:i/>
          <w:iCs/>
        </w:rPr>
        <w:t>many who were more noble than himself’</w:t>
      </w:r>
      <w:r w:rsidR="00453237">
        <w:rPr>
          <w:rStyle w:val="FootnoteReference"/>
        </w:rPr>
        <w:footnoteReference w:id="29"/>
      </w:r>
      <w:r w:rsidRPr="00453237">
        <w:t xml:space="preserve">  </w:t>
      </w:r>
    </w:p>
    <w:p w14:paraId="5922F1E7" w14:textId="7283DAD4" w:rsidR="008213C1" w:rsidRDefault="00530870">
      <w:bookmarkStart w:id="5" w:name="_Hlk29300821"/>
      <w:r w:rsidRPr="00530870">
        <w:t xml:space="preserve">Next, </w:t>
      </w:r>
      <w:r w:rsidR="007426C4">
        <w:t>we turn to</w:t>
      </w:r>
      <w:r w:rsidRPr="00530870">
        <w:t xml:space="preserve"> </w:t>
      </w:r>
      <w:r w:rsidR="00F4045B" w:rsidRPr="00453237">
        <w:rPr>
          <w:i/>
          <w:iCs/>
        </w:rPr>
        <w:t>Pa gur yv y porthaur</w:t>
      </w:r>
      <w:r w:rsidR="00F4045B">
        <w:t xml:space="preserve"> </w:t>
      </w:r>
      <w:bookmarkEnd w:id="5"/>
      <w:r w:rsidR="00F4045B">
        <w:t>(‘What man is the porter?’)</w:t>
      </w:r>
      <w:r w:rsidR="0088270C">
        <w:rPr>
          <w:rStyle w:val="FootnoteReference"/>
        </w:rPr>
        <w:footnoteReference w:id="30"/>
      </w:r>
      <w:r w:rsidR="00F4045B">
        <w:t xml:space="preserve"> </w:t>
      </w:r>
      <w:r>
        <w:t xml:space="preserve">which </w:t>
      </w:r>
      <w:r w:rsidR="00F4045B">
        <w:t xml:space="preserve">has proved much harder to date, with </w:t>
      </w:r>
      <w:r w:rsidR="008213C1">
        <w:t>most scholars plumping for a date between 900 CE and 1100 CE</w:t>
      </w:r>
      <w:r w:rsidR="00453237">
        <w:rPr>
          <w:rStyle w:val="FootnoteReference"/>
        </w:rPr>
        <w:footnoteReference w:id="31"/>
      </w:r>
      <w:r w:rsidR="008213C1">
        <w:t>, with the possibility that it might be a remnant of a longer saga</w:t>
      </w:r>
      <w:r w:rsidR="00F4045B">
        <w:t xml:space="preserve"> </w:t>
      </w:r>
      <w:r w:rsidR="008213C1">
        <w:t xml:space="preserve">that predated it, but is now lost. The dating is based largely on linguistic and orthographic grounds as there is very little in the poem’s content to assist with dating, although it is important to note that in </w:t>
      </w:r>
      <w:r w:rsidR="009C3863">
        <w:t>Pa Gur</w:t>
      </w:r>
      <w:r w:rsidR="008213C1">
        <w:t xml:space="preserve">, as in the Historia Brittonum, Arthur’s sphere of influence is clearly nationwide and not limited to the North. There is a marked overlap between characters in </w:t>
      </w:r>
      <w:r w:rsidR="008213C1" w:rsidRPr="009C3863">
        <w:rPr>
          <w:i/>
          <w:iCs/>
        </w:rPr>
        <w:t>Pa Gur</w:t>
      </w:r>
      <w:r w:rsidR="008213C1">
        <w:t xml:space="preserve"> and those in</w:t>
      </w:r>
      <w:r>
        <w:t xml:space="preserve"> the later</w:t>
      </w:r>
      <w:r w:rsidR="008213C1">
        <w:t xml:space="preserve"> </w:t>
      </w:r>
      <w:bookmarkStart w:id="6" w:name="_Hlk29288695"/>
      <w:r w:rsidR="00E52C94" w:rsidRPr="009C3863">
        <w:rPr>
          <w:i/>
          <w:iCs/>
        </w:rPr>
        <w:t>Cuhlwch</w:t>
      </w:r>
      <w:r w:rsidR="008213C1" w:rsidRPr="009C3863">
        <w:rPr>
          <w:i/>
          <w:iCs/>
        </w:rPr>
        <w:t xml:space="preserve"> ac Olwen</w:t>
      </w:r>
      <w:bookmarkEnd w:id="6"/>
      <w:r w:rsidR="008213C1">
        <w:t xml:space="preserve">, and the precise relationship between these two texts is unclear with the majority of scholars suggesting that </w:t>
      </w:r>
      <w:r w:rsidR="009C3863" w:rsidRPr="009C3863">
        <w:rPr>
          <w:i/>
          <w:iCs/>
        </w:rPr>
        <w:t>Pa Gur</w:t>
      </w:r>
      <w:r w:rsidR="008213C1">
        <w:t xml:space="preserve"> is the earlier of the two, with the author of </w:t>
      </w:r>
      <w:r w:rsidR="00E52C94" w:rsidRPr="009C3863">
        <w:rPr>
          <w:i/>
          <w:iCs/>
        </w:rPr>
        <w:t>Cuhlwch</w:t>
      </w:r>
      <w:r w:rsidR="008213C1" w:rsidRPr="009C3863">
        <w:rPr>
          <w:i/>
          <w:iCs/>
        </w:rPr>
        <w:t xml:space="preserve"> ac Olwen</w:t>
      </w:r>
      <w:r w:rsidR="008213C1">
        <w:t xml:space="preserve"> showing signs of familiarity with </w:t>
      </w:r>
      <w:r w:rsidR="009C3863" w:rsidRPr="009C3863">
        <w:rPr>
          <w:i/>
          <w:iCs/>
        </w:rPr>
        <w:t>Pa Gur</w:t>
      </w:r>
      <w:r w:rsidR="008213C1">
        <w:t xml:space="preserve"> rather than directly reproducing it</w:t>
      </w:r>
      <w:r w:rsidR="0088270C">
        <w:rPr>
          <w:rStyle w:val="FootnoteReference"/>
        </w:rPr>
        <w:footnoteReference w:id="32"/>
      </w:r>
      <w:r w:rsidR="008213C1">
        <w:t xml:space="preserve">. </w:t>
      </w:r>
    </w:p>
    <w:p w14:paraId="6B81EBAC" w14:textId="4916FD7C" w:rsidR="00530870" w:rsidRDefault="00530870" w:rsidP="00530870">
      <w:r w:rsidRPr="00530870">
        <w:t xml:space="preserve">If the </w:t>
      </w:r>
      <w:r w:rsidRPr="0088270C">
        <w:rPr>
          <w:i/>
          <w:iCs/>
        </w:rPr>
        <w:t>Historia Brittonum</w:t>
      </w:r>
      <w:r w:rsidRPr="00530870">
        <w:t>’s reworking of the assumed older battle poem shows Arthur in transition from being a mighty warrior in a limited sphere to being a successful Christian general and national hero in the fight against invaders, he</w:t>
      </w:r>
      <w:r>
        <w:t xml:space="preserve"> is</w:t>
      </w:r>
      <w:r w:rsidRPr="00530870">
        <w:t xml:space="preserve"> portrayed in ‘</w:t>
      </w:r>
      <w:r w:rsidRPr="0088270C">
        <w:rPr>
          <w:i/>
          <w:iCs/>
        </w:rPr>
        <w:t>Pa gur yv y porthaur</w:t>
      </w:r>
      <w:r w:rsidRPr="0088270C">
        <w:t xml:space="preserve">’ </w:t>
      </w:r>
      <w:r>
        <w:t xml:space="preserve">not as </w:t>
      </w:r>
      <w:r w:rsidRPr="00530870">
        <w:t xml:space="preserve">a general, a commander of armies on behalf of multiple kings, but a leader of a war band. Not unlike </w:t>
      </w:r>
      <w:r w:rsidRPr="009C3863">
        <w:rPr>
          <w:i/>
          <w:iCs/>
        </w:rPr>
        <w:t xml:space="preserve">Y </w:t>
      </w:r>
      <w:r w:rsidR="00E52C94" w:rsidRPr="009C3863">
        <w:rPr>
          <w:i/>
          <w:iCs/>
        </w:rPr>
        <w:t>Gododdin</w:t>
      </w:r>
      <w:r w:rsidRPr="00530870">
        <w:t xml:space="preserve">, the core of his activities appears to be north of Hadrian’s Wall, with multiple references to fighting in and around Edinburgh (‘Eidyn’), but, as with the </w:t>
      </w:r>
      <w:r w:rsidRPr="0088270C">
        <w:rPr>
          <w:i/>
          <w:iCs/>
        </w:rPr>
        <w:t>Historia Brittonum</w:t>
      </w:r>
      <w:r w:rsidRPr="00530870">
        <w:t xml:space="preserve">, his scope of operations has </w:t>
      </w:r>
      <w:r>
        <w:t xml:space="preserve">developed to </w:t>
      </w:r>
      <w:r w:rsidRPr="00530870">
        <w:t xml:space="preserve">become nationwide with references to Wales and Cornwall amongst the places the war band has been active in. </w:t>
      </w:r>
    </w:p>
    <w:p w14:paraId="4DD0C223" w14:textId="606824FF" w:rsidR="00530870" w:rsidRPr="00530870" w:rsidRDefault="00530870" w:rsidP="00530870">
      <w:r w:rsidRPr="00530870">
        <w:t xml:space="preserve">For the first time the membership of the war band is partially delineated. And what a mixture they are! Standing out amongst </w:t>
      </w:r>
      <w:r>
        <w:t xml:space="preserve">them </w:t>
      </w:r>
      <w:r w:rsidRPr="00530870">
        <w:t>are Uther Pendragon (</w:t>
      </w:r>
      <w:r>
        <w:t>later to</w:t>
      </w:r>
      <w:r w:rsidRPr="00530870">
        <w:t xml:space="preserve"> reappear as Arthur’s </w:t>
      </w:r>
      <w:r w:rsidRPr="00530870">
        <w:lastRenderedPageBreak/>
        <w:t>father in Geoffrey of Monmouth</w:t>
      </w:r>
      <w:r w:rsidR="0088270C">
        <w:rPr>
          <w:rStyle w:val="FootnoteReference"/>
        </w:rPr>
        <w:footnoteReference w:id="33"/>
      </w:r>
      <w:r w:rsidRPr="00530870">
        <w:t xml:space="preserve">) and Cei and Bedwyr who feature extensively in later Arthurian romances, ending up as Sir Kay and Sir Bedivere in Malory. But they are alongside Manawydan, son of Lyr who is central to the </w:t>
      </w:r>
      <w:r>
        <w:t>Third</w:t>
      </w:r>
      <w:r w:rsidRPr="00530870">
        <w:t xml:space="preserve"> and Fourth Branches of the Mabinogi</w:t>
      </w:r>
      <w:r w:rsidR="0088270C">
        <w:rPr>
          <w:rStyle w:val="FootnoteReference"/>
        </w:rPr>
        <w:footnoteReference w:id="34"/>
      </w:r>
      <w:r w:rsidRPr="00530870">
        <w:t xml:space="preserve"> and Mabon, son of Modron. Both of these </w:t>
      </w:r>
      <w:r>
        <w:t xml:space="preserve">are thought to have </w:t>
      </w:r>
      <w:r w:rsidRPr="00530870">
        <w:t>originate</w:t>
      </w:r>
      <w:r>
        <w:t>d</w:t>
      </w:r>
      <w:r w:rsidRPr="00530870">
        <w:t xml:space="preserve"> as older Celtic deities</w:t>
      </w:r>
      <w:r w:rsidR="0088270C">
        <w:rPr>
          <w:rStyle w:val="FootnoteReference"/>
        </w:rPr>
        <w:footnoteReference w:id="35"/>
      </w:r>
      <w:r w:rsidRPr="00530870">
        <w:t>, Manawydan  is almost certainly a re-imagining of Manannan</w:t>
      </w:r>
      <w:r w:rsidR="00410FB6">
        <w:rPr>
          <w:rStyle w:val="FootnoteReference"/>
        </w:rPr>
        <w:footnoteReference w:id="36"/>
      </w:r>
      <w:r w:rsidRPr="00530870">
        <w:t xml:space="preserve">, god of the sea who features extensively in the </w:t>
      </w:r>
      <w:r w:rsidRPr="009C3863">
        <w:rPr>
          <w:i/>
          <w:iCs/>
        </w:rPr>
        <w:t>Voyage of Bran mac Febal</w:t>
      </w:r>
      <w:r w:rsidR="00410FB6">
        <w:rPr>
          <w:rStyle w:val="FootnoteReference"/>
        </w:rPr>
        <w:footnoteReference w:id="37"/>
      </w:r>
      <w:r w:rsidRPr="00530870">
        <w:t xml:space="preserve">, whilst Mabon appears to be </w:t>
      </w:r>
      <w:r>
        <w:t xml:space="preserve">a </w:t>
      </w:r>
      <w:r w:rsidRPr="00530870">
        <w:t>deity previously worshipped amongst the military on and around Hadrian’s Wall</w:t>
      </w:r>
      <w:r w:rsidR="00410FB6">
        <w:rPr>
          <w:rStyle w:val="FootnoteReference"/>
        </w:rPr>
        <w:footnoteReference w:id="38"/>
      </w:r>
      <w:r w:rsidRPr="00530870">
        <w:t xml:space="preserve">. </w:t>
      </w:r>
    </w:p>
    <w:p w14:paraId="5CB4A9DB" w14:textId="40E87870" w:rsidR="00530870" w:rsidRPr="00530870" w:rsidRDefault="00530870" w:rsidP="00530870">
      <w:r w:rsidRPr="00530870">
        <w:t xml:space="preserve">The expansion of Arthur’s warband to include traditional Welsh folklore characters with supernatural origins </w:t>
      </w:r>
      <w:r>
        <w:t>clearly illustrates Johnston’s model</w:t>
      </w:r>
      <w:r w:rsidR="001359D9">
        <w:t>, but</w:t>
      </w:r>
      <w:r w:rsidRPr="00530870">
        <w:t xml:space="preserve"> </w:t>
      </w:r>
      <w:r w:rsidR="001359D9">
        <w:t>t</w:t>
      </w:r>
      <w:r w:rsidRPr="00530870">
        <w:t xml:space="preserve">he same can apply to some of the exploits of the war band as described in </w:t>
      </w:r>
      <w:r w:rsidRPr="00A72011">
        <w:rPr>
          <w:i/>
          <w:iCs/>
        </w:rPr>
        <w:t>Pa Gur</w:t>
      </w:r>
      <w:r w:rsidRPr="00530870">
        <w:t xml:space="preserve">. Whilst the fighting in the former area of Manau </w:t>
      </w:r>
      <w:r w:rsidR="00E52C94">
        <w:t>Gododdin</w:t>
      </w:r>
      <w:r w:rsidRPr="00530870">
        <w:t xml:space="preserve"> has already been noted and one of the battles included in the </w:t>
      </w:r>
      <w:r w:rsidRPr="00A72011">
        <w:rPr>
          <w:i/>
          <w:iCs/>
        </w:rPr>
        <w:t>Historia Brittonum</w:t>
      </w:r>
      <w:r w:rsidRPr="00530870">
        <w:t>, that of Tribruit  (</w:t>
      </w:r>
      <w:r w:rsidRPr="00530870">
        <w:rPr>
          <w:i/>
          <w:iCs/>
        </w:rPr>
        <w:t xml:space="preserve">Trat Treuroit </w:t>
      </w:r>
      <w:r w:rsidRPr="00530870">
        <w:t>in the translation above,</w:t>
      </w:r>
      <w:r w:rsidRPr="00530870">
        <w:rPr>
          <w:i/>
          <w:iCs/>
        </w:rPr>
        <w:t xml:space="preserve"> </w:t>
      </w:r>
      <w:r w:rsidRPr="00530870">
        <w:t>and</w:t>
      </w:r>
      <w:r w:rsidRPr="00530870">
        <w:rPr>
          <w:i/>
          <w:iCs/>
        </w:rPr>
        <w:t xml:space="preserve"> Tryfrwyd </w:t>
      </w:r>
      <w:r w:rsidRPr="00530870">
        <w:t xml:space="preserve">in Pa Gur) appears here, there are also a range of additional exploits including: </w:t>
      </w:r>
    </w:p>
    <w:p w14:paraId="19E51B0A" w14:textId="089A1F5E" w:rsidR="00530870" w:rsidRPr="00530870" w:rsidRDefault="00530870" w:rsidP="00A72011">
      <w:pPr>
        <w:numPr>
          <w:ilvl w:val="0"/>
          <w:numId w:val="11"/>
        </w:numPr>
        <w:spacing w:after="0"/>
        <w:ind w:left="357" w:hanging="357"/>
      </w:pPr>
      <w:r w:rsidRPr="00530870">
        <w:t xml:space="preserve">The slaying of multiple hundreds of warriors in by individual </w:t>
      </w:r>
      <w:r w:rsidR="001359D9">
        <w:t>members of the war band</w:t>
      </w:r>
    </w:p>
    <w:p w14:paraId="054B185E" w14:textId="77777777" w:rsidR="00530870" w:rsidRPr="00530870" w:rsidRDefault="00530870" w:rsidP="00A72011">
      <w:pPr>
        <w:numPr>
          <w:ilvl w:val="0"/>
          <w:numId w:val="11"/>
        </w:numPr>
        <w:spacing w:after="0"/>
        <w:ind w:left="357" w:hanging="357"/>
      </w:pPr>
      <w:r w:rsidRPr="00530870">
        <w:t>Fighting with dog – headed enemies</w:t>
      </w:r>
    </w:p>
    <w:p w14:paraId="2CF2776F" w14:textId="77777777" w:rsidR="00530870" w:rsidRPr="00530870" w:rsidRDefault="00530870" w:rsidP="00A72011">
      <w:pPr>
        <w:numPr>
          <w:ilvl w:val="0"/>
          <w:numId w:val="10"/>
        </w:numPr>
        <w:spacing w:after="0"/>
        <w:ind w:left="357" w:hanging="357"/>
      </w:pPr>
      <w:r w:rsidRPr="00530870">
        <w:t xml:space="preserve">Fighting with witches </w:t>
      </w:r>
    </w:p>
    <w:p w14:paraId="6CDCBA62" w14:textId="77777777" w:rsidR="00530870" w:rsidRPr="00530870" w:rsidRDefault="00530870" w:rsidP="00A72011">
      <w:pPr>
        <w:numPr>
          <w:ilvl w:val="0"/>
          <w:numId w:val="10"/>
        </w:numPr>
        <w:spacing w:after="0"/>
        <w:ind w:left="357" w:hanging="357"/>
      </w:pPr>
      <w:r w:rsidRPr="00530870">
        <w:t xml:space="preserve">Hunting lions in Anglesey </w:t>
      </w:r>
    </w:p>
    <w:p w14:paraId="6AE7325E" w14:textId="77777777" w:rsidR="00530870" w:rsidRPr="00530870" w:rsidRDefault="00530870" w:rsidP="00A72011">
      <w:pPr>
        <w:numPr>
          <w:ilvl w:val="0"/>
          <w:numId w:val="10"/>
        </w:numPr>
        <w:spacing w:after="0"/>
        <w:ind w:left="357" w:hanging="357"/>
      </w:pPr>
      <w:r w:rsidRPr="00530870">
        <w:t>Killing the mythical monstrous cat Palug</w:t>
      </w:r>
    </w:p>
    <w:p w14:paraId="11F0DC8E" w14:textId="77777777" w:rsidR="00A72011" w:rsidRDefault="00A72011" w:rsidP="00530870"/>
    <w:p w14:paraId="16FA5A8D" w14:textId="3EFD2E95" w:rsidR="001359D9" w:rsidRDefault="00530870" w:rsidP="00530870">
      <w:r w:rsidRPr="00530870">
        <w:t xml:space="preserve">With these exploits we have firmly moved into the realm of what Fulton calls ‘fantasy and magic naturalism’, </w:t>
      </w:r>
    </w:p>
    <w:p w14:paraId="5467E785" w14:textId="6049DF91" w:rsidR="001359D9" w:rsidRDefault="001359D9" w:rsidP="00530870">
      <w:r>
        <w:t xml:space="preserve">‘with a plot that moves without explanation and with limited causality from one event to another, and which incorporates magic and supernatural events into the day – to – day running of a court…without comment.’ </w:t>
      </w:r>
      <w:r w:rsidR="00A72011">
        <w:rPr>
          <w:rStyle w:val="FootnoteReference"/>
        </w:rPr>
        <w:footnoteReference w:id="39"/>
      </w:r>
    </w:p>
    <w:p w14:paraId="34A234CF" w14:textId="426B27FE" w:rsidR="00530870" w:rsidRDefault="001359D9">
      <w:r>
        <w:t xml:space="preserve">It is a move </w:t>
      </w:r>
      <w:r w:rsidR="00530870" w:rsidRPr="00530870">
        <w:t xml:space="preserve">away both from anchorage in historical events, and the socio-political agendas of royal courts towards the world of courtly </w:t>
      </w:r>
      <w:r>
        <w:t xml:space="preserve">cultural </w:t>
      </w:r>
      <w:r w:rsidR="00530870" w:rsidRPr="00530870">
        <w:t xml:space="preserve">performance and popular </w:t>
      </w:r>
      <w:r w:rsidR="00E52C94" w:rsidRPr="00530870">
        <w:t>storytelling</w:t>
      </w:r>
      <w:r w:rsidR="00530870" w:rsidRPr="00530870">
        <w:t xml:space="preserve">. Arthur has, by now, ceased to be a character with any roots in history, and become a peg on which to hang a good story.  </w:t>
      </w:r>
    </w:p>
    <w:p w14:paraId="5733E1FF" w14:textId="6C6DBAE3" w:rsidR="00B911AC" w:rsidRDefault="001359D9">
      <w:r w:rsidRPr="001359D9">
        <w:t xml:space="preserve">This process is especially well illustrated in the poem </w:t>
      </w:r>
      <w:r w:rsidR="00B911AC" w:rsidRPr="00A72011">
        <w:rPr>
          <w:i/>
          <w:iCs/>
        </w:rPr>
        <w:t xml:space="preserve">Preideu Annwfyn </w:t>
      </w:r>
      <w:r w:rsidR="00B911AC">
        <w:t>(‘The Spoils of Annw</w:t>
      </w:r>
      <w:r w:rsidR="00835D22">
        <w:t>f</w:t>
      </w:r>
      <w:r w:rsidR="00B911AC">
        <w:t>yn’)</w:t>
      </w:r>
      <w:r w:rsidR="00A72011">
        <w:rPr>
          <w:rStyle w:val="FootnoteReference"/>
        </w:rPr>
        <w:footnoteReference w:id="40"/>
      </w:r>
      <w:r>
        <w:t>. This is another poem which</w:t>
      </w:r>
      <w:r w:rsidR="00B911AC">
        <w:t xml:space="preserve"> is difficult to date precisely, although there is</w:t>
      </w:r>
      <w:r>
        <w:t xml:space="preserve"> a broad</w:t>
      </w:r>
      <w:r w:rsidR="00B911AC">
        <w:t xml:space="preserve"> consensus that it originates as a poem for performance in a courtly setting, celebrating the skills of the court poet, and denigrating the contemporary Welsh clergy</w:t>
      </w:r>
      <w:r w:rsidR="00A72011">
        <w:rPr>
          <w:rStyle w:val="FootnoteReference"/>
        </w:rPr>
        <w:footnoteReference w:id="41"/>
      </w:r>
      <w:r w:rsidR="00B911AC">
        <w:t xml:space="preserve">. Its Latinate and possibly pseudo-archaic language </w:t>
      </w:r>
      <w:r w:rsidR="005B74B8">
        <w:t xml:space="preserve">would also suggest a later composition which would almost certainly make it </w:t>
      </w:r>
      <w:r w:rsidR="00B911AC">
        <w:t xml:space="preserve">later than </w:t>
      </w:r>
      <w:r w:rsidR="009C3863" w:rsidRPr="00835D22">
        <w:rPr>
          <w:i/>
          <w:iCs/>
        </w:rPr>
        <w:t>Pa Gur</w:t>
      </w:r>
      <w:r w:rsidR="00B911AC">
        <w:t xml:space="preserve"> – perhaps in the range 1000 CE – 1100 CE</w:t>
      </w:r>
      <w:r w:rsidR="005B74B8">
        <w:t xml:space="preserve"> and it </w:t>
      </w:r>
      <w:r w:rsidR="005B74B8">
        <w:lastRenderedPageBreak/>
        <w:t xml:space="preserve">clearly draws upon a whole body of Welsh folklore and saga material, much of which has not survived. </w:t>
      </w:r>
    </w:p>
    <w:p w14:paraId="0C5F7828" w14:textId="37E0A8E0" w:rsidR="007426C4" w:rsidRDefault="007426C4" w:rsidP="007426C4">
      <w:r>
        <w:t>In this poem,</w:t>
      </w:r>
      <w:r w:rsidRPr="007426C4">
        <w:t xml:space="preserve"> the mythological, folktale element has been ramped up to an even greater degree. The poem tells of a venture by Arthur to capture a magic cauldron from a fortress in </w:t>
      </w:r>
      <w:r w:rsidR="00E52C94" w:rsidRPr="007426C4">
        <w:t>Annwyn</w:t>
      </w:r>
      <w:r w:rsidRPr="007426C4">
        <w:t>, the Otherworld</w:t>
      </w:r>
      <w:r>
        <w:t xml:space="preserve">, during the course of which, Arthur and his followers encounter a range of magical fortresses and strange individuals. </w:t>
      </w:r>
      <w:r w:rsidRPr="007426C4">
        <w:t xml:space="preserve"> Both the nature of the tale, and some of the characters in it also appear in the Four Branches of the Mabinogi. </w:t>
      </w:r>
    </w:p>
    <w:p w14:paraId="73ED6815" w14:textId="7071C902" w:rsidR="007426C4" w:rsidRDefault="007426C4" w:rsidP="007426C4">
      <w:r w:rsidRPr="007426C4">
        <w:t>Arthur himself is somewhat incidental to the poem as it primarily claims to be the work of the legendary poet Taliesin recalling his participation in the disastrous assault on the Otherworld, from which only seven of the original participants returned alive</w:t>
      </w:r>
      <w:r w:rsidR="00012D96">
        <w:rPr>
          <w:rStyle w:val="FootnoteReference"/>
        </w:rPr>
        <w:footnoteReference w:id="42"/>
      </w:r>
      <w:r w:rsidRPr="007426C4">
        <w:t xml:space="preserve">. </w:t>
      </w:r>
    </w:p>
    <w:p w14:paraId="65BB5352" w14:textId="360D2277" w:rsidR="007426C4" w:rsidRPr="007426C4" w:rsidRDefault="007426C4" w:rsidP="007426C4">
      <w:r w:rsidRPr="007426C4">
        <w:t>How is Arthur depicted? He is a leader of an assault on a supernatural world</w:t>
      </w:r>
      <w:r w:rsidR="001571F4">
        <w:t xml:space="preserve"> </w:t>
      </w:r>
      <w:r w:rsidRPr="007426C4">
        <w:t xml:space="preserve">and is equipped with a ship that can travel to the Otherworld, and his companions have a magical sword (‘Llwch Lleog’s sword’). Arthur has moved beyond earthly kingship, beyond imperial glory, to be a semi-divine figure in his own right who moves easily between the natural and supernatural worlds. No longer is he constrained by his nationwide sphere of operations but has floated free from the natural world altogether. </w:t>
      </w:r>
    </w:p>
    <w:p w14:paraId="00F8277A" w14:textId="77777777" w:rsidR="001571F4" w:rsidRDefault="007426C4">
      <w:r w:rsidRPr="007426C4">
        <w:t xml:space="preserve">Although set within a clear Christian framework, </w:t>
      </w:r>
      <w:bookmarkStart w:id="7" w:name="_Hlk29412921"/>
      <w:r w:rsidR="00E52C94" w:rsidRPr="001571F4">
        <w:rPr>
          <w:i/>
          <w:iCs/>
        </w:rPr>
        <w:t>Preideu</w:t>
      </w:r>
      <w:r w:rsidRPr="001571F4">
        <w:rPr>
          <w:i/>
          <w:iCs/>
        </w:rPr>
        <w:t xml:space="preserve"> Annwfyn</w:t>
      </w:r>
      <w:r w:rsidRPr="007426C4">
        <w:t xml:space="preserve"> </w:t>
      </w:r>
      <w:bookmarkEnd w:id="7"/>
      <w:r w:rsidRPr="007426C4">
        <w:t>is triumph song celebrating the achievements of the poet at the expense of the clergy, and a courtly performance to demonstrate the story telling skill of the poet</w:t>
      </w:r>
      <w:r w:rsidR="001571F4">
        <w:rPr>
          <w:rStyle w:val="FootnoteReference"/>
        </w:rPr>
        <w:footnoteReference w:id="43"/>
      </w:r>
      <w:r w:rsidRPr="007426C4">
        <w:t xml:space="preserve">. The idea seems very reminiscent of Gwydion in the Fourth Branch of the Mabinogi </w:t>
      </w:r>
    </w:p>
    <w:p w14:paraId="6940604D" w14:textId="4B0F2B97" w:rsidR="007426C4" w:rsidRDefault="007426C4">
      <w:r w:rsidRPr="00835D22">
        <w:rPr>
          <w:i/>
          <w:iCs/>
        </w:rPr>
        <w:t>‘who was the best storyteller in the world’</w:t>
      </w:r>
      <w:r w:rsidRPr="007426C4">
        <w:t xml:space="preserve">. </w:t>
      </w:r>
      <w:r w:rsidR="001571F4">
        <w:rPr>
          <w:rStyle w:val="FootnoteReference"/>
        </w:rPr>
        <w:footnoteReference w:id="44"/>
      </w:r>
      <w:r w:rsidRPr="007426C4">
        <w:t xml:space="preserve">  </w:t>
      </w:r>
    </w:p>
    <w:p w14:paraId="60998100" w14:textId="6C521194" w:rsidR="001571F4" w:rsidRDefault="007446C2">
      <w:r>
        <w:t>Also reminiscent of the reminiscent of the Fourth Branch, although probably written s</w:t>
      </w:r>
      <w:r w:rsidR="00675B3B">
        <w:t xml:space="preserve">lightly later in time, </w:t>
      </w:r>
      <w:r>
        <w:t xml:space="preserve">is </w:t>
      </w:r>
      <w:r w:rsidR="00675B3B">
        <w:t xml:space="preserve">our fourth poem, </w:t>
      </w:r>
      <w:r w:rsidR="00675B3B" w:rsidRPr="001571F4">
        <w:rPr>
          <w:i/>
          <w:iCs/>
        </w:rPr>
        <w:t>Ymddiddan Arthur a’r Eryr</w:t>
      </w:r>
      <w:r w:rsidR="00675B3B">
        <w:t xml:space="preserve"> (</w:t>
      </w:r>
      <w:r w:rsidR="00835D22">
        <w:t>‘</w:t>
      </w:r>
      <w:r w:rsidR="00675B3B">
        <w:t>The Dialogue of Arthur and the Eagle</w:t>
      </w:r>
      <w:r w:rsidR="00835D22">
        <w:t>’</w:t>
      </w:r>
      <w:r w:rsidR="00675B3B">
        <w:t>)</w:t>
      </w:r>
      <w:r w:rsidR="00C06DAB">
        <w:rPr>
          <w:rStyle w:val="FootnoteReference"/>
        </w:rPr>
        <w:footnoteReference w:id="45"/>
      </w:r>
      <w:r>
        <w:t>. This</w:t>
      </w:r>
      <w:r w:rsidR="00675B3B">
        <w:t xml:space="preserve"> demonstrates a different way in which the character of Arthur is used as a framework for a wider story – telling purpose. Particularly difficult to date, it is generally thought to have originated around 1200 CE, and though that it puts it well after the publication of Geoffrey of Monmouth’s </w:t>
      </w:r>
      <w:r w:rsidR="00675B3B" w:rsidRPr="001571F4">
        <w:rPr>
          <w:i/>
          <w:iCs/>
        </w:rPr>
        <w:t>Historia Regum Brittaniae</w:t>
      </w:r>
      <w:r w:rsidR="00675B3B">
        <w:t>, and the first Continental Arthurian romances, it shows no sign of any influence from that quarter. Its purpose is essentially didactic: to provide a framework for a straightforward Christian catechism</w:t>
      </w:r>
      <w:r>
        <w:t xml:space="preserve">. This </w:t>
      </w:r>
      <w:r w:rsidR="00E52C94">
        <w:t>is delivered</w:t>
      </w:r>
      <w:r w:rsidR="00675B3B">
        <w:t xml:space="preserve"> by Arthur’s deceased nephew, Eliwlad, appearing in the guise of an eagle perched at the top of </w:t>
      </w:r>
      <w:r w:rsidR="00FD4D38">
        <w:t xml:space="preserve">a </w:t>
      </w:r>
      <w:r w:rsidR="00675B3B">
        <w:t>tree</w:t>
      </w:r>
      <w:r>
        <w:t xml:space="preserve">, in marked similarity to the activities of Gwydion addressing englynion to his </w:t>
      </w:r>
      <w:r w:rsidR="001571F4">
        <w:t>mortally wounded</w:t>
      </w:r>
      <w:r>
        <w:t xml:space="preserve"> nephew, Lleu, likewise transformed</w:t>
      </w:r>
      <w:r w:rsidR="00FD4D38">
        <w:t xml:space="preserve"> and located</w:t>
      </w:r>
      <w:r w:rsidR="001571F4">
        <w:rPr>
          <w:rStyle w:val="FootnoteReference"/>
        </w:rPr>
        <w:footnoteReference w:id="46"/>
      </w:r>
      <w:r>
        <w:t>. This would appear to be a stock way from contemporary Welsh folklore for the delivery of important information</w:t>
      </w:r>
      <w:r w:rsidR="00FD4D38">
        <w:t xml:space="preserve">, and Sims – Williams suggests a comparison with </w:t>
      </w:r>
      <w:r w:rsidR="00FD4D38" w:rsidRPr="001571F4">
        <w:rPr>
          <w:i/>
          <w:iCs/>
        </w:rPr>
        <w:t>Englynion Y Clywaid</w:t>
      </w:r>
      <w:r w:rsidR="00FD4D38">
        <w:t xml:space="preserve"> where </w:t>
      </w:r>
    </w:p>
    <w:p w14:paraId="6E1D8317" w14:textId="7BF6B543" w:rsidR="00FD4D38" w:rsidRDefault="00FD4D38">
      <w:r>
        <w:t>‘</w:t>
      </w:r>
      <w:r w:rsidRPr="00835D22">
        <w:rPr>
          <w:i/>
          <w:iCs/>
        </w:rPr>
        <w:t xml:space="preserve">’thrush, raven, jay and so </w:t>
      </w:r>
      <w:r w:rsidR="00E52C94" w:rsidRPr="00835D22">
        <w:rPr>
          <w:i/>
          <w:iCs/>
        </w:rPr>
        <w:t>on appear</w:t>
      </w:r>
      <w:r w:rsidRPr="00835D22">
        <w:rPr>
          <w:i/>
          <w:iCs/>
        </w:rPr>
        <w:t xml:space="preserve"> alongside the Welsh saints to offer moral precepts’</w:t>
      </w:r>
      <w:r>
        <w:t>.</w:t>
      </w:r>
      <w:r w:rsidR="001571F4">
        <w:rPr>
          <w:rStyle w:val="FootnoteReference"/>
        </w:rPr>
        <w:footnoteReference w:id="47"/>
      </w:r>
      <w:r>
        <w:t xml:space="preserve"> </w:t>
      </w:r>
    </w:p>
    <w:p w14:paraId="5C59E5EF" w14:textId="5F9FFCF5" w:rsidR="00982610" w:rsidRDefault="00675B3B">
      <w:r>
        <w:t xml:space="preserve"> Arthur, here, is no king, no emperor, but merely a great warrior, although he has been relocated to Cornwall (as in </w:t>
      </w:r>
      <w:r w:rsidR="00E52C94">
        <w:t>Cuhlwch</w:t>
      </w:r>
      <w:r>
        <w:t xml:space="preserve"> ac Olwen). </w:t>
      </w:r>
      <w:r w:rsidR="00982610">
        <w:t xml:space="preserve">Unusually, he is also portrayed as a bard: </w:t>
      </w:r>
    </w:p>
    <w:p w14:paraId="7B450A30" w14:textId="7F4165EB" w:rsidR="00982610" w:rsidRPr="00835D22" w:rsidRDefault="00982610" w:rsidP="00835D22">
      <w:pPr>
        <w:spacing w:after="0"/>
        <w:rPr>
          <w:i/>
          <w:iCs/>
        </w:rPr>
      </w:pPr>
      <w:r w:rsidRPr="00835D22">
        <w:rPr>
          <w:i/>
          <w:iCs/>
        </w:rPr>
        <w:t>I am amazed for I am a bard;</w:t>
      </w:r>
    </w:p>
    <w:p w14:paraId="588977A9" w14:textId="6F528166" w:rsidR="00982610" w:rsidRPr="00835D22" w:rsidRDefault="00982610" w:rsidP="00835D22">
      <w:pPr>
        <w:spacing w:after="0"/>
        <w:rPr>
          <w:i/>
          <w:iCs/>
        </w:rPr>
      </w:pPr>
      <w:r w:rsidRPr="00835D22">
        <w:rPr>
          <w:i/>
          <w:iCs/>
        </w:rPr>
        <w:t xml:space="preserve">from the top of the oak </w:t>
      </w:r>
      <w:r w:rsidR="00E52C94" w:rsidRPr="00835D22">
        <w:rPr>
          <w:i/>
          <w:iCs/>
        </w:rPr>
        <w:t>with</w:t>
      </w:r>
      <w:r w:rsidRPr="00835D22">
        <w:rPr>
          <w:i/>
          <w:iCs/>
        </w:rPr>
        <w:t xml:space="preserve"> its beautiful branches,</w:t>
      </w:r>
    </w:p>
    <w:p w14:paraId="783D534E" w14:textId="7A78B04A" w:rsidR="00982610" w:rsidRDefault="00982610" w:rsidP="00835D22">
      <w:pPr>
        <w:spacing w:after="0"/>
      </w:pPr>
      <w:r w:rsidRPr="00835D22">
        <w:rPr>
          <w:i/>
          <w:iCs/>
        </w:rPr>
        <w:lastRenderedPageBreak/>
        <w:t>why does the eagle stare, why does he laugh</w:t>
      </w:r>
      <w:r>
        <w:t>?</w:t>
      </w:r>
      <w:r w:rsidR="00C06DAB">
        <w:rPr>
          <w:rStyle w:val="FootnoteReference"/>
        </w:rPr>
        <w:footnoteReference w:id="48"/>
      </w:r>
    </w:p>
    <w:p w14:paraId="6F162D5C" w14:textId="77777777" w:rsidR="00C06DAB" w:rsidRDefault="00C06DAB"/>
    <w:p w14:paraId="37C7A37F" w14:textId="237952A7" w:rsidR="00675B3B" w:rsidRDefault="00982610">
      <w:r>
        <w:t>a designation that is also found in the Triads where he is described as one of the Three Frivolous (or Part – Time) Bards</w:t>
      </w:r>
      <w:r w:rsidR="00C06DAB">
        <w:rPr>
          <w:rStyle w:val="FootnoteReference"/>
        </w:rPr>
        <w:footnoteReference w:id="49"/>
      </w:r>
      <w:r>
        <w:t>. Arthur here</w:t>
      </w:r>
      <w:r w:rsidR="00675B3B">
        <w:t xml:space="preserve"> is not portrayed as a Christian as he was in </w:t>
      </w:r>
      <w:r w:rsidR="00675B3B" w:rsidRPr="00C06DAB">
        <w:rPr>
          <w:i/>
          <w:iCs/>
        </w:rPr>
        <w:t>Historia Brittonum</w:t>
      </w:r>
      <w:r w:rsidR="00675B3B">
        <w:t xml:space="preserve">, and </w:t>
      </w:r>
      <w:r w:rsidR="00E52C94" w:rsidRPr="00C06DAB">
        <w:rPr>
          <w:i/>
          <w:iCs/>
        </w:rPr>
        <w:t>Preideu</w:t>
      </w:r>
      <w:r w:rsidRPr="00C06DAB">
        <w:rPr>
          <w:i/>
          <w:iCs/>
        </w:rPr>
        <w:t xml:space="preserve"> Annwfyn</w:t>
      </w:r>
      <w:r w:rsidR="00835D22">
        <w:rPr>
          <w:i/>
          <w:iCs/>
        </w:rPr>
        <w:t>,</w:t>
      </w:r>
      <w:r>
        <w:t xml:space="preserve"> but rather as a wise pagan inquisitive about the Christian faith and willing to be instructed. </w:t>
      </w:r>
    </w:p>
    <w:p w14:paraId="578B4A09" w14:textId="2EC627BB" w:rsidR="00B524EA" w:rsidRDefault="00FD4D38">
      <w:r>
        <w:t>The way</w:t>
      </w:r>
      <w:r w:rsidRPr="00FD4D38">
        <w:t xml:space="preserve"> in which Arthur moves from being a character with a plausible historical origin to a peg on which to hang a range of folk tales full of mythological elements</w:t>
      </w:r>
      <w:r>
        <w:t xml:space="preserve"> is perhaps best illustrated </w:t>
      </w:r>
      <w:r w:rsidRPr="00FD4D38">
        <w:t xml:space="preserve">with our last </w:t>
      </w:r>
      <w:r>
        <w:t>item</w:t>
      </w:r>
      <w:r w:rsidRPr="00FD4D38">
        <w:t xml:space="preserve"> </w:t>
      </w:r>
      <w:r w:rsidRPr="00C06DAB">
        <w:rPr>
          <w:i/>
          <w:iCs/>
        </w:rPr>
        <w:t>Cuhlwch ac Olwen</w:t>
      </w:r>
      <w:r w:rsidR="00C06DAB">
        <w:rPr>
          <w:rStyle w:val="FootnoteReference"/>
          <w:i/>
          <w:iCs/>
        </w:rPr>
        <w:footnoteReference w:id="50"/>
      </w:r>
      <w:r w:rsidRPr="00FD4D38">
        <w:t xml:space="preserve">. </w:t>
      </w:r>
      <w:r>
        <w:t>Whilst this is not a poem (although it has many rhythmic elements that would be admirably suited to oral performance)</w:t>
      </w:r>
      <w:r w:rsidR="00852B59">
        <w:t xml:space="preserve">, it does provide a rich, often bizarre, take on the heady mix of Arthurian tradition and Welsh folklore that we saw earlier in </w:t>
      </w:r>
      <w:r w:rsidR="00852B59" w:rsidRPr="00C06DAB">
        <w:rPr>
          <w:i/>
          <w:iCs/>
        </w:rPr>
        <w:t>Pa Gur</w:t>
      </w:r>
      <w:r w:rsidR="00852B59">
        <w:t xml:space="preserve">  and </w:t>
      </w:r>
      <w:r w:rsidR="00E52C94" w:rsidRPr="00C06DAB">
        <w:rPr>
          <w:i/>
          <w:iCs/>
        </w:rPr>
        <w:t>Preideu</w:t>
      </w:r>
      <w:r w:rsidR="00852B59" w:rsidRPr="00C06DAB">
        <w:rPr>
          <w:i/>
          <w:iCs/>
        </w:rPr>
        <w:t xml:space="preserve"> Annwfyn</w:t>
      </w:r>
      <w:r w:rsidR="00852B59">
        <w:t xml:space="preserve">. As with both those pieces, dating of the narrative is difficult. It has been variously considered to have been written </w:t>
      </w:r>
      <w:r w:rsidR="005B74B8">
        <w:t>between the mid – 11</w:t>
      </w:r>
      <w:r w:rsidR="005B74B8" w:rsidRPr="005B74B8">
        <w:rPr>
          <w:vertAlign w:val="superscript"/>
        </w:rPr>
        <w:t>th</w:t>
      </w:r>
      <w:r w:rsidR="005B74B8">
        <w:t xml:space="preserve"> century and the end of the 12</w:t>
      </w:r>
      <w:r w:rsidR="005B74B8" w:rsidRPr="005B74B8">
        <w:rPr>
          <w:vertAlign w:val="superscript"/>
        </w:rPr>
        <w:t>th</w:t>
      </w:r>
      <w:r w:rsidR="005B74B8">
        <w:t xml:space="preserve"> century, with the broad consensus being towards the earlier of the two dates</w:t>
      </w:r>
      <w:r w:rsidR="002217CA">
        <w:rPr>
          <w:rStyle w:val="FootnoteReference"/>
        </w:rPr>
        <w:footnoteReference w:id="51"/>
      </w:r>
      <w:r w:rsidR="005B74B8">
        <w:t xml:space="preserve">. As noted earlier it appears to be aware of, but not to directly reproduce parts of </w:t>
      </w:r>
      <w:r w:rsidR="009C3863" w:rsidRPr="00835D22">
        <w:rPr>
          <w:i/>
          <w:iCs/>
        </w:rPr>
        <w:t>Pa Gur</w:t>
      </w:r>
      <w:r w:rsidR="005B74B8">
        <w:t xml:space="preserve"> and to draw upon a wide range of folklore elements and earlier Arthurian material to create an original tale that was almost certainly intended for </w:t>
      </w:r>
      <w:r w:rsidR="00852B59">
        <w:t>public</w:t>
      </w:r>
      <w:r w:rsidR="005B74B8">
        <w:t xml:space="preserve"> performance. </w:t>
      </w:r>
    </w:p>
    <w:p w14:paraId="274B0925" w14:textId="77777777" w:rsidR="00852B59" w:rsidRDefault="006003AB">
      <w:r>
        <w:t>Arthur is not semi-divine in this tale</w:t>
      </w:r>
      <w:r w:rsidR="00852B59">
        <w:t>.</w:t>
      </w:r>
      <w:r>
        <w:t xml:space="preserve"> </w:t>
      </w:r>
      <w:r w:rsidR="00852B59">
        <w:t xml:space="preserve">Instead </w:t>
      </w:r>
      <w:r>
        <w:t>he is a great king, an emperor even</w:t>
      </w:r>
      <w:r w:rsidR="00852B59">
        <w:t xml:space="preserve">. As with our previous item, he is located in Cornwall, </w:t>
      </w:r>
      <w:r>
        <w:t xml:space="preserve">and has a court located in </w:t>
      </w:r>
      <w:r w:rsidR="00641837">
        <w:t>Celliwi</w:t>
      </w:r>
      <w:r w:rsidR="00852B59">
        <w:t>g</w:t>
      </w:r>
      <w:r w:rsidR="00641837">
        <w:t xml:space="preserve">. In this court are gathered a great cluster of people, animals and weapons that Cuhlwch calls upon to aid him in his quest for Olwen. They include figures from other Welsh folktales, figures from history, figures from saint’s lives, as well as the odd Englishman and most of them have brief descriptors which presumably would have been well known to the original audiences of the poem. </w:t>
      </w:r>
    </w:p>
    <w:p w14:paraId="4A44EADC" w14:textId="77777777" w:rsidR="00852B59" w:rsidRDefault="00641837">
      <w:r>
        <w:t xml:space="preserve">Having called </w:t>
      </w:r>
      <w:r w:rsidR="00852B59">
        <w:t xml:space="preserve">on all these in support of his claim </w:t>
      </w:r>
      <w:r>
        <w:t xml:space="preserve">for </w:t>
      </w:r>
      <w:r w:rsidR="00852B59">
        <w:t>assistance</w:t>
      </w:r>
      <w:r>
        <w:t xml:space="preserve">, </w:t>
      </w:r>
      <w:r w:rsidR="00852B59">
        <w:t xml:space="preserve">Cuhlwch secures </w:t>
      </w:r>
      <w:r>
        <w:t>Arthur</w:t>
      </w:r>
      <w:r w:rsidR="00852B59">
        <w:t>’s</w:t>
      </w:r>
      <w:r>
        <w:t xml:space="preserve"> agree</w:t>
      </w:r>
      <w:r w:rsidR="00852B59">
        <w:t>ment</w:t>
      </w:r>
      <w:r>
        <w:t xml:space="preserve"> to send seven of his best men (including Cei and Bedwyr) to help in the search for Olwen and her giant father Ysbaddaden. Having found Olwen, Cuhlwch</w:t>
      </w:r>
      <w:r w:rsidR="00852B59">
        <w:t xml:space="preserve"> encounters a problem. It has been prophesied that when Olwen marries Ysbaddaden will die, and therefore the giant seeks to delay the marriage as long as possible.  Consequently, Cuhlwch</w:t>
      </w:r>
      <w:r>
        <w:t xml:space="preserve"> is set a series of impossible to achieve before he is allowed to marry her</w:t>
      </w:r>
      <w:r w:rsidR="00852B59">
        <w:t>, in a rhyming exchange in which the giant introduces the task with the phrase:</w:t>
      </w:r>
    </w:p>
    <w:p w14:paraId="745586C8" w14:textId="77777777" w:rsidR="00CE6B6C" w:rsidRPr="00835D22" w:rsidRDefault="00CE6B6C">
      <w:pPr>
        <w:rPr>
          <w:i/>
          <w:iCs/>
        </w:rPr>
      </w:pPr>
      <w:r w:rsidRPr="00835D22">
        <w:rPr>
          <w:i/>
          <w:iCs/>
        </w:rPr>
        <w:t xml:space="preserve">‘Though you may get that, there is something you will not get’ </w:t>
      </w:r>
    </w:p>
    <w:p w14:paraId="569567E9" w14:textId="77777777" w:rsidR="00CE6B6C" w:rsidRDefault="00CE6B6C">
      <w:r>
        <w:t>to which Cuhlwch replies:</w:t>
      </w:r>
    </w:p>
    <w:p w14:paraId="3E11D966" w14:textId="3DE43128" w:rsidR="00CE6B6C" w:rsidRPr="00835D22" w:rsidRDefault="00AD40A7">
      <w:pPr>
        <w:rPr>
          <w:i/>
          <w:iCs/>
        </w:rPr>
      </w:pPr>
      <w:r w:rsidRPr="00835D22">
        <w:rPr>
          <w:i/>
          <w:iCs/>
        </w:rPr>
        <w:t>‘</w:t>
      </w:r>
      <w:r w:rsidR="00CE6B6C" w:rsidRPr="00835D22">
        <w:rPr>
          <w:i/>
          <w:iCs/>
        </w:rPr>
        <w:t>It is easy for me to get that, though you may think that it</w:t>
      </w:r>
      <w:r w:rsidR="00835D22" w:rsidRPr="00835D22">
        <w:rPr>
          <w:i/>
          <w:iCs/>
        </w:rPr>
        <w:t>’</w:t>
      </w:r>
      <w:r w:rsidR="00CE6B6C" w:rsidRPr="00835D22">
        <w:rPr>
          <w:i/>
          <w:iCs/>
        </w:rPr>
        <w:t>s not easy</w:t>
      </w:r>
      <w:r w:rsidRPr="00835D22">
        <w:rPr>
          <w:i/>
          <w:iCs/>
        </w:rPr>
        <w:t>’</w:t>
      </w:r>
      <w:r w:rsidR="00CE6B6C" w:rsidRPr="00835D22">
        <w:rPr>
          <w:i/>
          <w:iCs/>
        </w:rPr>
        <w:t xml:space="preserve">. </w:t>
      </w:r>
      <w:r w:rsidR="00641837" w:rsidRPr="00835D22">
        <w:rPr>
          <w:i/>
          <w:iCs/>
        </w:rPr>
        <w:t xml:space="preserve"> </w:t>
      </w:r>
    </w:p>
    <w:p w14:paraId="07CE3E97" w14:textId="32A63643" w:rsidR="00CE6B6C" w:rsidRDefault="00CE6B6C">
      <w:r>
        <w:t xml:space="preserve">Altogether, there are some 40 tasks listed, although ultimately the bride is won without all of them being achieved. </w:t>
      </w:r>
      <w:r w:rsidR="00B35D51">
        <w:t xml:space="preserve">Space does not permit a detailed listing of the tasks, but they include, </w:t>
      </w:r>
      <w:r w:rsidR="00B35D51">
        <w:lastRenderedPageBreak/>
        <w:t xml:space="preserve">as in the previous poem, the recovery of a magic cauldron (albeit from Ireland, rather than the Otherworld) and the hunting of a monstrous boar and his offspring through the whole of Britain. </w:t>
      </w:r>
      <w:r>
        <w:t>The tasks include acquiring the skills of a range of people, some of, like the previously divine Mabon, son of Modron, we have encountered before, some appear also in the Mabinogi, others from now lost folk tales. Even William the Conqueror, the Norman ruler of England (here called Gwilenhin, King of France)</w:t>
      </w:r>
      <w:r w:rsidR="00AD40A7">
        <w:t xml:space="preserve"> is required to complete the tasks</w:t>
      </w:r>
      <w:r>
        <w:t xml:space="preserve">. </w:t>
      </w:r>
    </w:p>
    <w:p w14:paraId="3613E0FB" w14:textId="7B1CBB29" w:rsidR="006003AB" w:rsidRDefault="00B35D51">
      <w:r>
        <w:t xml:space="preserve">Each of </w:t>
      </w:r>
      <w:r w:rsidR="00AD40A7">
        <w:t>these</w:t>
      </w:r>
      <w:r>
        <w:t xml:space="preserve"> is undertaken by a small group of elite warriors with a range of unusual skills,</w:t>
      </w:r>
      <w:r w:rsidR="00CE6B6C">
        <w:t xml:space="preserve"> many of which are accompanied by short illustrative stories. This elite band is led</w:t>
      </w:r>
      <w:r>
        <w:t xml:space="preserve"> by Arthur </w:t>
      </w:r>
      <w:proofErr w:type="gramStart"/>
      <w:r>
        <w:t>himself</w:t>
      </w:r>
      <w:proofErr w:type="gramEnd"/>
      <w:r>
        <w:t xml:space="preserve"> </w:t>
      </w:r>
      <w:r w:rsidR="00CE6B6C">
        <w:t xml:space="preserve">but </w:t>
      </w:r>
      <w:r w:rsidR="00AD40A7">
        <w:t>h</w:t>
      </w:r>
      <w:r w:rsidR="00CE6B6C">
        <w:t xml:space="preserve">is primary function is less to achieve </w:t>
      </w:r>
      <w:r w:rsidR="008025A5">
        <w:t xml:space="preserve">the task and more </w:t>
      </w:r>
      <w:r>
        <w:t>often to introduce the next episode in the tale with a phrase like</w:t>
      </w:r>
    </w:p>
    <w:p w14:paraId="5E25BA16" w14:textId="14D6CA5A" w:rsidR="00B35D51" w:rsidRDefault="00B35D51">
      <w:r>
        <w:t>‘</w:t>
      </w:r>
      <w:r w:rsidRPr="00835D22">
        <w:rPr>
          <w:i/>
          <w:iCs/>
        </w:rPr>
        <w:t>which of these wonders is it best to seek first</w:t>
      </w:r>
      <w:r w:rsidR="008025A5">
        <w:t>?</w:t>
      </w:r>
      <w:r>
        <w:t xml:space="preserve">’. </w:t>
      </w:r>
    </w:p>
    <w:p w14:paraId="10887FD7" w14:textId="5E0A87E1" w:rsidR="00B35D51" w:rsidRDefault="00B35D51">
      <w:r>
        <w:t xml:space="preserve">In other words, </w:t>
      </w:r>
      <w:r w:rsidR="008025A5">
        <w:t xml:space="preserve">in </w:t>
      </w:r>
      <w:r w:rsidR="00E52C94" w:rsidRPr="00AD40A7">
        <w:rPr>
          <w:i/>
          <w:iCs/>
        </w:rPr>
        <w:t>Cuhlwch</w:t>
      </w:r>
      <w:r w:rsidR="008025A5" w:rsidRPr="00AD40A7">
        <w:rPr>
          <w:i/>
          <w:iCs/>
        </w:rPr>
        <w:t xml:space="preserve"> and Olwen</w:t>
      </w:r>
      <w:r w:rsidR="008025A5">
        <w:t xml:space="preserve">, </w:t>
      </w:r>
      <w:r>
        <w:t xml:space="preserve">Arthur has ceased to become a </w:t>
      </w:r>
      <w:r w:rsidR="008025A5">
        <w:t xml:space="preserve">believable </w:t>
      </w:r>
      <w:r>
        <w:t>character in his own right</w:t>
      </w:r>
      <w:r w:rsidR="008025A5">
        <w:t xml:space="preserve"> but is a peg on which to hang a good tale</w:t>
      </w:r>
      <w:r>
        <w:t xml:space="preserve"> and </w:t>
      </w:r>
      <w:r w:rsidR="008025A5">
        <w:t xml:space="preserve">a literary </w:t>
      </w:r>
      <w:r>
        <w:t xml:space="preserve">means of moving the account on from one exciting instalment to the next. </w:t>
      </w:r>
    </w:p>
    <w:p w14:paraId="5AD9D083" w14:textId="77777777" w:rsidR="00835D22" w:rsidRDefault="005106B6">
      <w:r>
        <w:t xml:space="preserve">This essay has argued that the Welsh Arthurian literature can be usefully viewed through the lens of a model of oral literature development in the British ‘heroic age’. An original ‘praise poem’ in celebration of an outstanding individual gradually changes its characteristics over time, expanding its geographical coverage, its chronological coverage, the nature and characteristics of the original hero’s companions, and the events with which the hero is associated.  </w:t>
      </w:r>
    </w:p>
    <w:p w14:paraId="23591C3A" w14:textId="763E9B54" w:rsidR="000B4119" w:rsidRDefault="005106B6">
      <w:r>
        <w:t>It has suggested that the five items of literature reviewed above fit this model. relatively well, depicting a changing Arthur who is first a great warrior operating in a local area in the North of Britain</w:t>
      </w:r>
      <w:r w:rsidR="000B4119">
        <w:t xml:space="preserve">, then a Christian general leading the resistance to Saxon invaders, then an imperial figure presiding over a semi-supernatural court engaged in magical tasks, and finally </w:t>
      </w:r>
      <w:r w:rsidR="00AD40A7">
        <w:t>a</w:t>
      </w:r>
      <w:r w:rsidR="000B4119">
        <w:t xml:space="preserve"> peg on which to hang a range of folk tales. </w:t>
      </w:r>
    </w:p>
    <w:p w14:paraId="6FD6CD93" w14:textId="770421C2" w:rsidR="005106B6" w:rsidRDefault="000B4119">
      <w:r>
        <w:t xml:space="preserve">None of this should be presumed to lead to any conclusion as to who the ‘real Arthur’ was, as in the absence of documentary or archaeological evidence, there can be no definitive proof that he ever existed, let alone who he was, or where he operated. However, the original and earliest context suggested by our first poem </w:t>
      </w:r>
      <w:r w:rsidRPr="00835D22">
        <w:rPr>
          <w:i/>
          <w:iCs/>
        </w:rPr>
        <w:t xml:space="preserve">Y </w:t>
      </w:r>
      <w:r w:rsidR="00E52C94" w:rsidRPr="00835D22">
        <w:rPr>
          <w:i/>
          <w:iCs/>
        </w:rPr>
        <w:t>Gododdin</w:t>
      </w:r>
      <w:r>
        <w:t xml:space="preserve"> is, in my view, at least a plausible one.   </w:t>
      </w:r>
      <w:r w:rsidR="005106B6">
        <w:t xml:space="preserve"> </w:t>
      </w:r>
    </w:p>
    <w:p w14:paraId="0E085585" w14:textId="2931CEF6" w:rsidR="000B4119" w:rsidRDefault="000B4119">
      <w:r w:rsidRPr="000B4119">
        <w:rPr>
          <w:b/>
          <w:bCs/>
        </w:rPr>
        <w:t>Word count:</w:t>
      </w:r>
      <w:r>
        <w:t xml:space="preserve"> 48</w:t>
      </w:r>
      <w:r w:rsidR="00835D22">
        <w:t>67</w:t>
      </w:r>
    </w:p>
    <w:p w14:paraId="1C54CB03" w14:textId="77777777" w:rsidR="000B4119" w:rsidRDefault="000B4119">
      <w:pPr>
        <w:rPr>
          <w:b/>
          <w:bCs/>
        </w:rPr>
      </w:pPr>
    </w:p>
    <w:p w14:paraId="31BA696F" w14:textId="77777777" w:rsidR="000B4119" w:rsidRDefault="000B4119">
      <w:pPr>
        <w:rPr>
          <w:b/>
          <w:bCs/>
        </w:rPr>
      </w:pPr>
    </w:p>
    <w:p w14:paraId="53E23EA8" w14:textId="77777777" w:rsidR="000B4119" w:rsidRDefault="000B4119">
      <w:pPr>
        <w:rPr>
          <w:b/>
          <w:bCs/>
        </w:rPr>
      </w:pPr>
    </w:p>
    <w:p w14:paraId="462537D6" w14:textId="77777777" w:rsidR="000B4119" w:rsidRDefault="000B4119">
      <w:pPr>
        <w:rPr>
          <w:b/>
          <w:bCs/>
        </w:rPr>
      </w:pPr>
    </w:p>
    <w:p w14:paraId="2C599D9C" w14:textId="77777777" w:rsidR="00835D22" w:rsidRDefault="00835D22">
      <w:pPr>
        <w:rPr>
          <w:b/>
          <w:bCs/>
        </w:rPr>
      </w:pPr>
      <w:r>
        <w:rPr>
          <w:b/>
          <w:bCs/>
        </w:rPr>
        <w:br w:type="page"/>
      </w:r>
      <w:bookmarkStart w:id="9" w:name="_GoBack"/>
      <w:bookmarkEnd w:id="9"/>
    </w:p>
    <w:p w14:paraId="3FAEFF81" w14:textId="76DD8C3B" w:rsidR="00371E1B" w:rsidRDefault="00371E1B">
      <w:pPr>
        <w:rPr>
          <w:b/>
          <w:bCs/>
        </w:rPr>
      </w:pPr>
      <w:r>
        <w:rPr>
          <w:b/>
          <w:bCs/>
        </w:rPr>
        <w:lastRenderedPageBreak/>
        <w:t>Bibliography</w:t>
      </w:r>
    </w:p>
    <w:p w14:paraId="0995D098" w14:textId="4005AC02" w:rsidR="00410FB6" w:rsidRDefault="00987CE1" w:rsidP="00410FB6">
      <w:pPr>
        <w:rPr>
          <w:b/>
          <w:bCs/>
        </w:rPr>
      </w:pPr>
      <w:r>
        <w:rPr>
          <w:b/>
          <w:bCs/>
        </w:rPr>
        <w:t>Primary Source</w:t>
      </w:r>
      <w:bookmarkStart w:id="10" w:name="_Hlk29405292"/>
      <w:r w:rsidR="00410FB6">
        <w:rPr>
          <w:b/>
          <w:bCs/>
        </w:rPr>
        <w:t>s</w:t>
      </w:r>
    </w:p>
    <w:p w14:paraId="34A4AEC8" w14:textId="76D47309" w:rsidR="00410FB6" w:rsidRPr="00A72011" w:rsidRDefault="00410FB6" w:rsidP="00410FB6">
      <w:r w:rsidRPr="00A72011">
        <w:t xml:space="preserve">I Anderson (ed) (K Meyer trans) </w:t>
      </w:r>
      <w:r w:rsidRPr="00A72011">
        <w:rPr>
          <w:i/>
          <w:iCs/>
        </w:rPr>
        <w:t xml:space="preserve">A Journey to the Immortal Isles: The Voyage of Bran, Son of Febal </w:t>
      </w:r>
      <w:r w:rsidRPr="00A72011">
        <w:t>(Newt</w:t>
      </w:r>
      <w:r w:rsidR="00A72011" w:rsidRPr="00A72011">
        <w:t>ownards, Pretani Press, 2018)</w:t>
      </w:r>
    </w:p>
    <w:p w14:paraId="4F2BD38A" w14:textId="3846A788" w:rsidR="00F75705" w:rsidRDefault="00F75705">
      <w:r>
        <w:t xml:space="preserve">Bede </w:t>
      </w:r>
      <w:r w:rsidR="00CF04C1">
        <w:t xml:space="preserve">(ed. J. McClure) </w:t>
      </w:r>
      <w:r w:rsidR="00CF04C1" w:rsidRPr="00CF04C1">
        <w:rPr>
          <w:i/>
          <w:iCs/>
        </w:rPr>
        <w:t>The Ecclesiastical History of the English People</w:t>
      </w:r>
      <w:r w:rsidR="00CF04C1">
        <w:t xml:space="preserve"> (Oxford, Oxford University Press, 1994)</w:t>
      </w:r>
    </w:p>
    <w:bookmarkEnd w:id="10"/>
    <w:p w14:paraId="03AAD8C1" w14:textId="46EEB894" w:rsidR="00987CE1" w:rsidRDefault="00987CE1">
      <w:r w:rsidRPr="00987CE1">
        <w:t xml:space="preserve">J. B. Coe and S. Young (trans. &amp; eds) </w:t>
      </w:r>
      <w:r w:rsidRPr="00987CE1">
        <w:rPr>
          <w:i/>
          <w:iCs/>
        </w:rPr>
        <w:t>The Celtic Sources for the Arthurian Legend</w:t>
      </w:r>
      <w:r w:rsidRPr="00987CE1">
        <w:t xml:space="preserve"> (Burnham-on-Sea, Llanerch Publishers, 1995)</w:t>
      </w:r>
    </w:p>
    <w:p w14:paraId="5D7E7069" w14:textId="0E064CF1" w:rsidR="00213F3A" w:rsidRDefault="00213F3A">
      <w:r w:rsidRPr="00213F3A">
        <w:t>S Davies</w:t>
      </w:r>
      <w:r>
        <w:t xml:space="preserve"> (</w:t>
      </w:r>
      <w:r w:rsidRPr="00213F3A">
        <w:t>trans.</w:t>
      </w:r>
      <w:r>
        <w:t xml:space="preserve"> and ed.)</w:t>
      </w:r>
      <w:r w:rsidRPr="00213F3A">
        <w:t xml:space="preserve"> </w:t>
      </w:r>
      <w:r w:rsidRPr="00213F3A">
        <w:rPr>
          <w:i/>
          <w:iCs/>
        </w:rPr>
        <w:t>The Mabinogion</w:t>
      </w:r>
      <w:r w:rsidRPr="00213F3A">
        <w:t>, (Oxford: Oxford University Press, 2007)</w:t>
      </w:r>
    </w:p>
    <w:p w14:paraId="0AFFFD27" w14:textId="035EB0A4" w:rsidR="0088270C" w:rsidRDefault="0088270C">
      <w:bookmarkStart w:id="11" w:name="_Hlk29410716"/>
      <w:r>
        <w:t xml:space="preserve">Geoffrey of Monmouth (trans. and ed. Lewis Thorpe) </w:t>
      </w:r>
      <w:r w:rsidRPr="0088270C">
        <w:rPr>
          <w:i/>
          <w:iCs/>
        </w:rPr>
        <w:t>The History of the Kings of Britain</w:t>
      </w:r>
      <w:r>
        <w:t xml:space="preserve"> (London, Penguin, 1968)</w:t>
      </w:r>
    </w:p>
    <w:p w14:paraId="5A6ADC23" w14:textId="630B6356" w:rsidR="00F75705" w:rsidRDefault="00F75705">
      <w:bookmarkStart w:id="12" w:name="_Hlk29405219"/>
      <w:bookmarkEnd w:id="11"/>
      <w:r>
        <w:t xml:space="preserve">Gildas (trans. and ed. M. Winterbottom) </w:t>
      </w:r>
      <w:r w:rsidRPr="00CF04C1">
        <w:rPr>
          <w:i/>
          <w:iCs/>
        </w:rPr>
        <w:t>The Ruin of Britain and Other Documents</w:t>
      </w:r>
      <w:r>
        <w:t xml:space="preserve"> (London, Phillimore, 1978) pp. 13 - 79</w:t>
      </w:r>
    </w:p>
    <w:p w14:paraId="66E030BC" w14:textId="09677B6F" w:rsidR="00AD78A5" w:rsidRDefault="00AD78A5">
      <w:bookmarkStart w:id="13" w:name="_Hlk29390879"/>
      <w:bookmarkEnd w:id="12"/>
      <w:r>
        <w:t xml:space="preserve">J A Giles (trans. and ed.) </w:t>
      </w:r>
      <w:r w:rsidRPr="00A427F0">
        <w:rPr>
          <w:i/>
          <w:iCs/>
        </w:rPr>
        <w:t>History of the Britons (Historia Brittonum)</w:t>
      </w:r>
      <w:r>
        <w:t xml:space="preserve"> (Champaign ILL, 2008)</w:t>
      </w:r>
      <w:r w:rsidR="00A427F0">
        <w:t xml:space="preserve"> (original publication: London: Bohn, 1841)</w:t>
      </w:r>
    </w:p>
    <w:bookmarkEnd w:id="13"/>
    <w:p w14:paraId="7931D910" w14:textId="086133E6" w:rsidR="00AD78A5" w:rsidRPr="00AD78A5" w:rsidRDefault="00987CE1">
      <w:pPr>
        <w:rPr>
          <w:b/>
          <w:bCs/>
        </w:rPr>
      </w:pPr>
      <w:r w:rsidRPr="00371E1B">
        <w:rPr>
          <w:b/>
          <w:bCs/>
        </w:rPr>
        <w:t>Secondary Sources</w:t>
      </w:r>
    </w:p>
    <w:p w14:paraId="5A560A24" w14:textId="07E906E9" w:rsidR="00DD5988" w:rsidRDefault="00DD5988">
      <w:bookmarkStart w:id="14" w:name="_Hlk29391832"/>
      <w:r>
        <w:t xml:space="preserve">L Alcock </w:t>
      </w:r>
      <w:r w:rsidRPr="0003240B">
        <w:rPr>
          <w:i/>
          <w:iCs/>
        </w:rPr>
        <w:t>Arthur’s Britain</w:t>
      </w:r>
      <w:r>
        <w:t xml:space="preserve"> (London, Penguin, 1971) </w:t>
      </w:r>
    </w:p>
    <w:p w14:paraId="11BABF9C" w14:textId="6DC62C78" w:rsidR="00410FB6" w:rsidRDefault="00410FB6">
      <w:bookmarkStart w:id="15" w:name="_Hlk29411365"/>
      <w:r>
        <w:t xml:space="preserve">M. Aldhouse Green </w:t>
      </w:r>
      <w:proofErr w:type="gramStart"/>
      <w:r w:rsidRPr="00410FB6">
        <w:rPr>
          <w:i/>
          <w:iCs/>
        </w:rPr>
        <w:t>The</w:t>
      </w:r>
      <w:proofErr w:type="gramEnd"/>
      <w:r w:rsidRPr="00410FB6">
        <w:rPr>
          <w:i/>
          <w:iCs/>
        </w:rPr>
        <w:t xml:space="preserve"> Celtic Myths: A Guide to the Ancient Gods and Legends</w:t>
      </w:r>
      <w:r>
        <w:t xml:space="preserve"> (London, Thames and Hudson, 2015) pp. 77 - 8 </w:t>
      </w:r>
    </w:p>
    <w:bookmarkEnd w:id="14"/>
    <w:bookmarkEnd w:id="15"/>
    <w:p w14:paraId="26D22511" w14:textId="3787BAC1" w:rsidR="00142915" w:rsidRDefault="00142915">
      <w:r>
        <w:t>A. Breeze ‘</w:t>
      </w:r>
      <w:r w:rsidRPr="00142915">
        <w:rPr>
          <w:i/>
          <w:iCs/>
        </w:rPr>
        <w:t>Historia Brittonum</w:t>
      </w:r>
      <w:r w:rsidRPr="00142915">
        <w:t xml:space="preserve"> </w:t>
      </w:r>
      <w:r>
        <w:t>a</w:t>
      </w:r>
      <w:r w:rsidRPr="00142915">
        <w:t xml:space="preserve">nd Arthur's </w:t>
      </w:r>
      <w:r>
        <w:t>b</w:t>
      </w:r>
      <w:r w:rsidRPr="00142915">
        <w:t xml:space="preserve">attle </w:t>
      </w:r>
      <w:r>
        <w:t>o</w:t>
      </w:r>
      <w:r w:rsidRPr="00142915">
        <w:t xml:space="preserve">f </w:t>
      </w:r>
      <w:r w:rsidRPr="00142915">
        <w:rPr>
          <w:i/>
          <w:iCs/>
        </w:rPr>
        <w:t>Mons Agned</w:t>
      </w:r>
      <w:r>
        <w:t xml:space="preserve">’ </w:t>
      </w:r>
      <w:r w:rsidRPr="0003240B">
        <w:rPr>
          <w:i/>
          <w:iCs/>
        </w:rPr>
        <w:t>Northern History</w:t>
      </w:r>
      <w:r>
        <w:t xml:space="preserve"> Vol.40 No.1 (2003) pp.167 - 70</w:t>
      </w:r>
    </w:p>
    <w:p w14:paraId="6D1455ED" w14:textId="3CE27B12" w:rsidR="009C24DC" w:rsidRPr="00142915" w:rsidRDefault="009C24DC">
      <w:bookmarkStart w:id="16" w:name="_Hlk29405525"/>
      <w:r>
        <w:t>A. Breeze ‘T</w:t>
      </w:r>
      <w:r w:rsidRPr="009C24DC">
        <w:t xml:space="preserve">he historical </w:t>
      </w:r>
      <w:r>
        <w:t>A</w:t>
      </w:r>
      <w:r w:rsidRPr="009C24DC">
        <w:t xml:space="preserve">rthur and sixth-century </w:t>
      </w:r>
      <w:r>
        <w:t>S</w:t>
      </w:r>
      <w:r w:rsidRPr="009C24DC">
        <w:t>cotland</w:t>
      </w:r>
      <w:r>
        <w:t xml:space="preserve">’ </w:t>
      </w:r>
      <w:r w:rsidRPr="0003240B">
        <w:rPr>
          <w:i/>
          <w:iCs/>
        </w:rPr>
        <w:t>Northern History</w:t>
      </w:r>
      <w:r>
        <w:t xml:space="preserve"> Vol. 52 No.2 (2015) pp. 158 - 181</w:t>
      </w:r>
    </w:p>
    <w:bookmarkEnd w:id="16"/>
    <w:p w14:paraId="446BEC34" w14:textId="3CC32E40" w:rsidR="00DE4865" w:rsidRDefault="00DE4865">
      <w:r>
        <w:t>A. Breeze ‘</w:t>
      </w:r>
      <w:r w:rsidRPr="00DE4865">
        <w:t xml:space="preserve">Arthur’s </w:t>
      </w:r>
      <w:r>
        <w:t>b</w:t>
      </w:r>
      <w:r w:rsidRPr="00DE4865">
        <w:t xml:space="preserve">attles </w:t>
      </w:r>
      <w:r>
        <w:t>a</w:t>
      </w:r>
      <w:r w:rsidRPr="00DE4865">
        <w:t xml:space="preserve">nd </w:t>
      </w:r>
      <w:r>
        <w:t>t</w:t>
      </w:r>
      <w:r w:rsidRPr="00DE4865">
        <w:t xml:space="preserve">he </w:t>
      </w:r>
      <w:r>
        <w:t>v</w:t>
      </w:r>
      <w:r w:rsidRPr="00DE4865">
        <w:t xml:space="preserve">olcanic </w:t>
      </w:r>
      <w:r>
        <w:t>w</w:t>
      </w:r>
      <w:r w:rsidRPr="00DE4865">
        <w:t xml:space="preserve">inter </w:t>
      </w:r>
      <w:r>
        <w:t>o</w:t>
      </w:r>
      <w:r w:rsidRPr="00DE4865">
        <w:t>f 536–3</w:t>
      </w:r>
      <w:r>
        <w:t xml:space="preserve">7’ </w:t>
      </w:r>
      <w:r w:rsidRPr="0003240B">
        <w:rPr>
          <w:i/>
          <w:iCs/>
        </w:rPr>
        <w:t>Northern History</w:t>
      </w:r>
      <w:r>
        <w:t xml:space="preserve"> Vol.53 No.2 (2016) pp. 161 - 172</w:t>
      </w:r>
    </w:p>
    <w:p w14:paraId="497BB398" w14:textId="47E29409" w:rsidR="00AD78A5" w:rsidRDefault="00AD78A5">
      <w:bookmarkStart w:id="17" w:name="_Hlk29414669"/>
      <w:r w:rsidRPr="00AD78A5">
        <w:t xml:space="preserve">R. Bromwich et.al (eds) </w:t>
      </w:r>
      <w:r w:rsidRPr="00AD78A5">
        <w:rPr>
          <w:i/>
          <w:iCs/>
        </w:rPr>
        <w:t xml:space="preserve">The Arthur of the Welsh: The Arthurian Legend in Medieval Welsh Literature </w:t>
      </w:r>
      <w:r w:rsidRPr="00AD78A5">
        <w:t>(Cardiff, University of Wales Press, 1995)</w:t>
      </w:r>
    </w:p>
    <w:bookmarkEnd w:id="17"/>
    <w:p w14:paraId="42687032" w14:textId="03B55189" w:rsidR="001D2D90" w:rsidRDefault="001D2D90">
      <w:r w:rsidRPr="001D2D90">
        <w:t>T M Charles-Edwards</w:t>
      </w:r>
      <w:r>
        <w:t xml:space="preserve"> ‘The Arthur of History’ in</w:t>
      </w:r>
      <w:r w:rsidRPr="001D2D90">
        <w:t xml:space="preserve"> </w:t>
      </w:r>
      <w:r w:rsidRPr="001D2D90">
        <w:t xml:space="preserve">R. Bromwich et.al (eds) </w:t>
      </w:r>
      <w:r w:rsidRPr="001D2D90">
        <w:rPr>
          <w:i/>
          <w:iCs/>
        </w:rPr>
        <w:t xml:space="preserve">The Arthur of the Welsh: The Arthurian Legend in Medieval Welsh Literature </w:t>
      </w:r>
      <w:r w:rsidRPr="001D2D90">
        <w:t>(Cardiff, University of Wales Press, 1995)</w:t>
      </w:r>
      <w:r>
        <w:t xml:space="preserve"> pp. 1 - 32</w:t>
      </w:r>
    </w:p>
    <w:p w14:paraId="0E0FF478" w14:textId="0B61CFAA" w:rsidR="0060441D" w:rsidRDefault="0060441D">
      <w:bookmarkStart w:id="18" w:name="_Hlk29404417"/>
      <w:r>
        <w:t xml:space="preserve">T M Charles-Edwards </w:t>
      </w:r>
      <w:r w:rsidRPr="004F3E1B">
        <w:rPr>
          <w:i/>
          <w:iCs/>
        </w:rPr>
        <w:t>Wales and the Britons 350 – 1064</w:t>
      </w:r>
      <w:r>
        <w:t xml:space="preserve"> (The History of Wales) (Oxford, The University Press, 2014)</w:t>
      </w:r>
    </w:p>
    <w:p w14:paraId="17DA2E9D" w14:textId="550BB29B" w:rsidR="00517575" w:rsidRDefault="00517575">
      <w:bookmarkStart w:id="19" w:name="_Hlk29404310"/>
      <w:bookmarkEnd w:id="18"/>
      <w:r>
        <w:t>D N Dumville ‘The historical value of the Historia Brittonum’ in R.</w:t>
      </w:r>
      <w:r w:rsidR="00E52C94">
        <w:t xml:space="preserve"> </w:t>
      </w:r>
      <w:r>
        <w:t xml:space="preserve">Barber (ed.) </w:t>
      </w:r>
      <w:r w:rsidRPr="0003240B">
        <w:rPr>
          <w:i/>
          <w:iCs/>
        </w:rPr>
        <w:t xml:space="preserve">Arthurian Literature </w:t>
      </w:r>
      <w:r>
        <w:t>Volume 6 (</w:t>
      </w:r>
      <w:r w:rsidR="003C485A">
        <w:t>Woodbridge, D S Brewer, 1992) pp. 1 - 26</w:t>
      </w:r>
    </w:p>
    <w:bookmarkEnd w:id="19"/>
    <w:p w14:paraId="06DFBB83" w14:textId="09D55CF0" w:rsidR="00CC01FB" w:rsidRDefault="00CC01FB">
      <w:r>
        <w:t>P M Dunshea ‘</w:t>
      </w:r>
      <w:r w:rsidRPr="00CC01FB">
        <w:t xml:space="preserve">The Meaning of </w:t>
      </w:r>
      <w:r w:rsidRPr="004F3E1B">
        <w:rPr>
          <w:i/>
          <w:iCs/>
        </w:rPr>
        <w:t>Catraeth</w:t>
      </w:r>
      <w:r w:rsidRPr="00CC01FB">
        <w:t>: a revised early context for Y Gododdin</w:t>
      </w:r>
      <w:r>
        <w:t xml:space="preserve">’ in A.Woolf (ed.) </w:t>
      </w:r>
      <w:r w:rsidRPr="004F3E1B">
        <w:rPr>
          <w:i/>
          <w:iCs/>
        </w:rPr>
        <w:t>Beyond the Gododdin: Dark Age Scotland in Medieval Wales</w:t>
      </w:r>
      <w:r>
        <w:t xml:space="preserve"> (St. John’s House Papers 13) (St. Andrew’s, Van Hamel Foundation for Celtic Studies, 2013) pp. 81 - 114 </w:t>
      </w:r>
    </w:p>
    <w:p w14:paraId="0379FA7E" w14:textId="6E65AC9D" w:rsidR="004E4E20" w:rsidRDefault="0003240B">
      <w:r>
        <w:t xml:space="preserve">T </w:t>
      </w:r>
      <w:r w:rsidR="004E4E20">
        <w:t>Green</w:t>
      </w:r>
      <w:r>
        <w:t xml:space="preserve"> </w:t>
      </w:r>
      <w:r w:rsidR="004E4E20" w:rsidRPr="004F3E1B">
        <w:rPr>
          <w:i/>
          <w:iCs/>
        </w:rPr>
        <w:t>Concepts of Arthur</w:t>
      </w:r>
      <w:r w:rsidR="004E4E20">
        <w:t xml:space="preserve"> (Stroud, Tempus, 2007)</w:t>
      </w:r>
    </w:p>
    <w:p w14:paraId="1FFBED0E" w14:textId="085E07BC" w:rsidR="00AD78A5" w:rsidRDefault="0003240B">
      <w:r>
        <w:lastRenderedPageBreak/>
        <w:t xml:space="preserve">T </w:t>
      </w:r>
      <w:r w:rsidR="00AD78A5">
        <w:t>Green</w:t>
      </w:r>
      <w:r>
        <w:t xml:space="preserve"> </w:t>
      </w:r>
      <w:r w:rsidR="00AD78A5" w:rsidRPr="00AD78A5">
        <w:rPr>
          <w:i/>
          <w:iCs/>
        </w:rPr>
        <w:t>Arthuriana: Early Arthurian Tradition and the Origins of the Legend</w:t>
      </w:r>
      <w:r w:rsidR="00AD78A5">
        <w:t xml:space="preserve"> (Louth, Lindes Press, 2009)</w:t>
      </w:r>
    </w:p>
    <w:p w14:paraId="076B91F7" w14:textId="69BD01BA" w:rsidR="004E4E20" w:rsidRDefault="004F3E1B">
      <w:r>
        <w:t>H.</w:t>
      </w:r>
      <w:r w:rsidR="00AD78A5">
        <w:t xml:space="preserve"> </w:t>
      </w:r>
      <w:r w:rsidR="004E4E20">
        <w:t xml:space="preserve">Fulton, ‘Arthur and Merlin in Early Welsh Literature: Fantasy and Magic Naturalism’ in H. Fulton (ed.) </w:t>
      </w:r>
      <w:r w:rsidR="004E4E20" w:rsidRPr="004F3E1B">
        <w:rPr>
          <w:i/>
          <w:iCs/>
        </w:rPr>
        <w:t xml:space="preserve">A Companion to Arthurian Literature </w:t>
      </w:r>
      <w:r w:rsidR="004E4E20">
        <w:t>(Oxford, Wiley – Blackwell, 2012) pp. 84 – 101</w:t>
      </w:r>
    </w:p>
    <w:p w14:paraId="12F81EA8" w14:textId="22B2FEB8" w:rsidR="00DD5988" w:rsidRDefault="00DD5988">
      <w:r>
        <w:t xml:space="preserve">G Halsall </w:t>
      </w:r>
      <w:r w:rsidRPr="0003240B">
        <w:rPr>
          <w:i/>
          <w:iCs/>
        </w:rPr>
        <w:t>Worlds of Arthur: Facts and Fictions of the Dark Ages</w:t>
      </w:r>
      <w:r>
        <w:t xml:space="preserve"> (Oxford: University Press, 2013) </w:t>
      </w:r>
    </w:p>
    <w:p w14:paraId="7DF860EE" w14:textId="1CE7D436" w:rsidR="0060441D" w:rsidRDefault="0060441D">
      <w:r>
        <w:t xml:space="preserve">N J Higham King Arthur: </w:t>
      </w:r>
      <w:r w:rsidRPr="004F3E1B">
        <w:rPr>
          <w:i/>
          <w:iCs/>
        </w:rPr>
        <w:t>Mythmaking and History</w:t>
      </w:r>
      <w:r>
        <w:t xml:space="preserve"> (London, Routledge, 2002) </w:t>
      </w:r>
    </w:p>
    <w:p w14:paraId="0708551F" w14:textId="13F75621" w:rsidR="004E4E20" w:rsidRDefault="004E4E20">
      <w:r>
        <w:t xml:space="preserve">N J Higham </w:t>
      </w:r>
      <w:r w:rsidRPr="004F3E1B">
        <w:rPr>
          <w:i/>
          <w:iCs/>
        </w:rPr>
        <w:t>King Arthur: The Making of the Legend</w:t>
      </w:r>
      <w:r>
        <w:t xml:space="preserve"> (New Haven CT, Yale University Press, 2018)</w:t>
      </w:r>
    </w:p>
    <w:p w14:paraId="58AE3F6D" w14:textId="3CEC056B" w:rsidR="00DD5988" w:rsidRDefault="00DD5988">
      <w:bookmarkStart w:id="20" w:name="_Hlk29390220"/>
      <w:r>
        <w:t xml:space="preserve">F Johnson </w:t>
      </w:r>
      <w:r w:rsidRPr="0003240B">
        <w:rPr>
          <w:i/>
          <w:iCs/>
        </w:rPr>
        <w:t>Evidence of Arthur: Fixing the Legendary King in Factual Place and Time</w:t>
      </w:r>
      <w:r>
        <w:t xml:space="preserve"> </w:t>
      </w:r>
      <w:r w:rsidRPr="00DD5988">
        <w:t>(Jefferson NC, McFarland and Company, 201</w:t>
      </w:r>
      <w:r>
        <w:t>4</w:t>
      </w:r>
      <w:r w:rsidRPr="00DD5988">
        <w:t>)</w:t>
      </w:r>
    </w:p>
    <w:bookmarkEnd w:id="20"/>
    <w:p w14:paraId="12AFE7AA" w14:textId="1A5B64DB" w:rsidR="00DD5988" w:rsidRDefault="00DD5988">
      <w:r>
        <w:t xml:space="preserve">F Johnson </w:t>
      </w:r>
      <w:r w:rsidRPr="0003240B">
        <w:rPr>
          <w:i/>
          <w:iCs/>
        </w:rPr>
        <w:t>The British Heroic Age, 367– 664</w:t>
      </w:r>
      <w:r>
        <w:t xml:space="preserve"> (Jefferson NC, McFarland and Company, 2017)</w:t>
      </w:r>
    </w:p>
    <w:p w14:paraId="10E0AF91" w14:textId="225C6661" w:rsidR="00DD5988" w:rsidRDefault="00DD5988">
      <w:r>
        <w:t>F Johnson ‘The sources and contributors of the Northern Memorandum and its heirs</w:t>
      </w:r>
      <w:r w:rsidR="00521C86">
        <w:t xml:space="preserve">’ </w:t>
      </w:r>
      <w:r w:rsidR="00521C86" w:rsidRPr="0003240B">
        <w:rPr>
          <w:i/>
          <w:iCs/>
        </w:rPr>
        <w:t>Yorkshire Archaeological Journal</w:t>
      </w:r>
      <w:r w:rsidR="00521C86">
        <w:t xml:space="preserve"> Vol 91 (2019) pp 111 - 130 </w:t>
      </w:r>
    </w:p>
    <w:p w14:paraId="30213297" w14:textId="3F4620E3" w:rsidR="004E4E20" w:rsidRDefault="004F3E1B">
      <w:bookmarkStart w:id="21" w:name="_Hlk29405862"/>
      <w:r>
        <w:t xml:space="preserve">N A </w:t>
      </w:r>
      <w:r w:rsidR="004E4E20">
        <w:t xml:space="preserve">Jones, </w:t>
      </w:r>
      <w:r w:rsidR="004E4E20" w:rsidRPr="004F3E1B">
        <w:rPr>
          <w:i/>
          <w:iCs/>
        </w:rPr>
        <w:t>Arthur in Early Welsh Poetry</w:t>
      </w:r>
      <w:r w:rsidR="004E4E20">
        <w:t xml:space="preserve"> (MRHA Library of Medieval Welsh Literature) (Cambridge, MRHA, 2019)</w:t>
      </w:r>
    </w:p>
    <w:bookmarkEnd w:id="21"/>
    <w:p w14:paraId="380D3535" w14:textId="24ACD79D" w:rsidR="0060441D" w:rsidRDefault="004F3E1B">
      <w:r>
        <w:t xml:space="preserve">T </w:t>
      </w:r>
      <w:r w:rsidR="0060441D">
        <w:t xml:space="preserve">Jones, ‘The Early Evolution of the Legend of Arthur’ </w:t>
      </w:r>
      <w:r w:rsidR="0060441D" w:rsidRPr="005E6835">
        <w:rPr>
          <w:i/>
          <w:iCs/>
        </w:rPr>
        <w:t>Nottingham Medieval Studies</w:t>
      </w:r>
      <w:r w:rsidR="0060441D">
        <w:t xml:space="preserve">, 8, 1964 pp. 3 </w:t>
      </w:r>
      <w:r>
        <w:t>–</w:t>
      </w:r>
      <w:r w:rsidR="0060441D">
        <w:t xml:space="preserve"> 21</w:t>
      </w:r>
    </w:p>
    <w:p w14:paraId="133BD0EB" w14:textId="776859B4" w:rsidR="004F3E1B" w:rsidRDefault="004F3E1B">
      <w:r>
        <w:t>J T Koch ‘</w:t>
      </w:r>
      <w:r w:rsidRPr="004F3E1B">
        <w:t>The Place of 'Y Gododdin' in the History of Scotland</w:t>
      </w:r>
      <w:r>
        <w:t>’</w:t>
      </w:r>
      <w:r w:rsidRPr="004F3E1B">
        <w:rPr>
          <w:color w:val="666666"/>
          <w:sz w:val="20"/>
          <w:szCs w:val="20"/>
          <w:shd w:val="clear" w:color="auto" w:fill="FFFFFF"/>
        </w:rPr>
        <w:t xml:space="preserve"> </w:t>
      </w:r>
      <w:r w:rsidRPr="004F3E1B">
        <w:t xml:space="preserve">in: </w:t>
      </w:r>
      <w:r w:rsidR="005E6835">
        <w:t xml:space="preserve">R </w:t>
      </w:r>
      <w:r w:rsidRPr="004F3E1B">
        <w:t>Black, W</w:t>
      </w:r>
      <w:r w:rsidR="005E6835">
        <w:t xml:space="preserve"> </w:t>
      </w:r>
      <w:r w:rsidRPr="004F3E1B">
        <w:t xml:space="preserve">Gillies, and R Ó Maolalaigh (eds.), </w:t>
      </w:r>
      <w:r w:rsidRPr="005E6835">
        <w:rPr>
          <w:i/>
          <w:iCs/>
        </w:rPr>
        <w:t xml:space="preserve">Celtic </w:t>
      </w:r>
      <w:r w:rsidR="005E6835" w:rsidRPr="005E6835">
        <w:rPr>
          <w:i/>
          <w:iCs/>
        </w:rPr>
        <w:t>C</w:t>
      </w:r>
      <w:r w:rsidRPr="005E6835">
        <w:rPr>
          <w:i/>
          <w:iCs/>
        </w:rPr>
        <w:t xml:space="preserve">onnections: </w:t>
      </w:r>
      <w:r w:rsidR="005E6835" w:rsidRPr="005E6835">
        <w:rPr>
          <w:i/>
          <w:iCs/>
        </w:rPr>
        <w:t>P</w:t>
      </w:r>
      <w:r w:rsidRPr="005E6835">
        <w:rPr>
          <w:i/>
          <w:iCs/>
        </w:rPr>
        <w:t>roceedings of the Tenth International Congress of Celtic Studies</w:t>
      </w:r>
      <w:r w:rsidRPr="004F3E1B">
        <w:t xml:space="preserve">, </w:t>
      </w:r>
      <w:r w:rsidR="005E6835">
        <w:t>V</w:t>
      </w:r>
      <w:r w:rsidRPr="004F3E1B">
        <w:t xml:space="preserve">ol. 1, </w:t>
      </w:r>
      <w:r w:rsidR="005E6835">
        <w:t>(</w:t>
      </w:r>
      <w:r w:rsidRPr="004F3E1B">
        <w:t>East Linton: Tuckwell Press, 1999</w:t>
      </w:r>
      <w:r w:rsidR="005E6835">
        <w:t>)</w:t>
      </w:r>
      <w:r w:rsidRPr="004F3E1B">
        <w:t xml:space="preserve"> 199–210.</w:t>
      </w:r>
    </w:p>
    <w:p w14:paraId="794657F5" w14:textId="586C1F1E" w:rsidR="00124594" w:rsidRDefault="00124594">
      <w:r>
        <w:t xml:space="preserve">J T Koch and J Carey (eds) </w:t>
      </w:r>
      <w:r w:rsidRPr="00124594">
        <w:rPr>
          <w:i/>
          <w:iCs/>
        </w:rPr>
        <w:t>The Celtic Heroic Age: Literary Sources for Ancient Celtic Europe &amp; Early Ireland &amp; Wales</w:t>
      </w:r>
      <w:r>
        <w:t xml:space="preserve"> (4</w:t>
      </w:r>
      <w:r w:rsidRPr="00124594">
        <w:rPr>
          <w:vertAlign w:val="superscript"/>
        </w:rPr>
        <w:t>th</w:t>
      </w:r>
      <w:r>
        <w:t xml:space="preserve"> ed. Aberystwyth, Celtic Studies Publications, 2003) </w:t>
      </w:r>
    </w:p>
    <w:p w14:paraId="46F2A5ED" w14:textId="3F38E9D2" w:rsidR="00A427F0" w:rsidRDefault="00A427F0">
      <w:r>
        <w:t xml:space="preserve">J Morris </w:t>
      </w:r>
      <w:r w:rsidRPr="0003240B">
        <w:rPr>
          <w:i/>
          <w:iCs/>
        </w:rPr>
        <w:t>The Age of Arthur: A History of the British Isles from 350 – 650</w:t>
      </w:r>
      <w:r>
        <w:t xml:space="preserve"> (London: Phoenix Press, 2001)</w:t>
      </w:r>
      <w:r w:rsidR="0003240B">
        <w:t xml:space="preserve"> </w:t>
      </w:r>
      <w:r w:rsidR="00DD5988">
        <w:t>(Originally published: New York: Charles Scribner Sons, 1973)</w:t>
      </w:r>
      <w:r>
        <w:t xml:space="preserve"> </w:t>
      </w:r>
    </w:p>
    <w:p w14:paraId="64CC58C6" w14:textId="63FD3485" w:rsidR="004F3E1B" w:rsidRDefault="004F3E1B">
      <w:bookmarkStart w:id="22" w:name="_Hlk29391545"/>
      <w:r>
        <w:t xml:space="preserve">O. J. Padel ‘The Nature of Arthur’ </w:t>
      </w:r>
      <w:r w:rsidRPr="005E6835">
        <w:rPr>
          <w:i/>
          <w:iCs/>
        </w:rPr>
        <w:t>Cambrian Medieval Celtic Studies</w:t>
      </w:r>
      <w:r>
        <w:t>, 27, 1994 pp. 1 - 31</w:t>
      </w:r>
    </w:p>
    <w:p w14:paraId="7E602F92" w14:textId="58658316" w:rsidR="004E4E20" w:rsidRDefault="004E4E20">
      <w:r>
        <w:t xml:space="preserve">O J Padel </w:t>
      </w:r>
      <w:r w:rsidRPr="005E6835">
        <w:rPr>
          <w:i/>
          <w:iCs/>
        </w:rPr>
        <w:t>Arthur in Medieval Welsh Literature</w:t>
      </w:r>
      <w:r>
        <w:t xml:space="preserve"> (Writers of Wales) (Cardiff, University of Wales Press, 2</w:t>
      </w:r>
      <w:r w:rsidRPr="004E4E20">
        <w:rPr>
          <w:vertAlign w:val="superscript"/>
        </w:rPr>
        <w:t>nd</w:t>
      </w:r>
      <w:r>
        <w:t xml:space="preserve"> ed. 2013) </w:t>
      </w:r>
    </w:p>
    <w:p w14:paraId="4962CD8A" w14:textId="0EB7E76B" w:rsidR="002217CA" w:rsidRDefault="002217CA">
      <w:bookmarkStart w:id="23" w:name="_Hlk29414732"/>
      <w:r>
        <w:t>B.F. Roberts ‘</w:t>
      </w:r>
      <w:proofErr w:type="spellStart"/>
      <w:r>
        <w:t>Culhwch</w:t>
      </w:r>
      <w:proofErr w:type="spellEnd"/>
      <w:r>
        <w:t xml:space="preserve"> ac Olwen, the Triads, Saints Lives’ in </w:t>
      </w:r>
      <w:r w:rsidRPr="002217CA">
        <w:t xml:space="preserve">R. Bromwich et.al (eds) </w:t>
      </w:r>
      <w:r w:rsidRPr="002217CA">
        <w:rPr>
          <w:i/>
          <w:iCs/>
        </w:rPr>
        <w:t xml:space="preserve">The Arthur of the Welsh: The Arthurian Legend in Medieval Welsh Literature </w:t>
      </w:r>
      <w:r w:rsidRPr="002217CA">
        <w:t>(Cardiff, University of Wales Press, 1995)</w:t>
      </w:r>
      <w:r>
        <w:t xml:space="preserve"> pp. 73 - 95</w:t>
      </w:r>
    </w:p>
    <w:bookmarkEnd w:id="22"/>
    <w:bookmarkEnd w:id="23"/>
    <w:p w14:paraId="0863B760" w14:textId="5CDC4A5C" w:rsidR="0060441D" w:rsidRDefault="0060441D">
      <w:r>
        <w:t>J. Rowland</w:t>
      </w:r>
      <w:r w:rsidR="00CC01FB">
        <w:t>s</w:t>
      </w:r>
      <w:r>
        <w:t xml:space="preserve"> ‘Genres’ in B.F. Roberts (ed.) </w:t>
      </w:r>
      <w:r w:rsidRPr="005E6835">
        <w:rPr>
          <w:i/>
          <w:iCs/>
        </w:rPr>
        <w:t>Early Welsh Poetry</w:t>
      </w:r>
      <w:r>
        <w:t xml:space="preserve"> (Aberystw</w:t>
      </w:r>
      <w:r w:rsidR="00CC01FB">
        <w:t>yth, National Library of Wales, 1989) pp. 179 - 208</w:t>
      </w:r>
    </w:p>
    <w:p w14:paraId="0DB428E8" w14:textId="61F70194" w:rsidR="00987CE1" w:rsidRDefault="00987CE1">
      <w:r>
        <w:t xml:space="preserve">P. Sims – Williams ‘The Early Welsh Arthurian Poems’ in R. Bromwich et.al (eds) </w:t>
      </w:r>
      <w:r w:rsidRPr="005E6835">
        <w:rPr>
          <w:i/>
          <w:iCs/>
        </w:rPr>
        <w:t xml:space="preserve">The Arthur of the Welsh: The Arthurian Legend in Medieval Welsh Literature </w:t>
      </w:r>
      <w:r w:rsidR="004E4E20">
        <w:t>(Cardiff, University of Wales Press, 1995) pp. 33 – 71</w:t>
      </w:r>
    </w:p>
    <w:p w14:paraId="5C0463B4" w14:textId="7AE7595F" w:rsidR="00A427F0" w:rsidRDefault="00A427F0">
      <w:r>
        <w:t xml:space="preserve">A P Smyth </w:t>
      </w:r>
      <w:r w:rsidRPr="00C469B4">
        <w:rPr>
          <w:i/>
          <w:iCs/>
        </w:rPr>
        <w:t>Warlords and Holy Men: Scotland AD 80 – 1000</w:t>
      </w:r>
      <w:r>
        <w:t xml:space="preserve"> (Edinburgh: Edinburgh University Press, 1992)</w:t>
      </w:r>
    </w:p>
    <w:p w14:paraId="185C96BD" w14:textId="0A862CAA" w:rsidR="00A427F0" w:rsidRDefault="00A427F0">
      <w:r>
        <w:lastRenderedPageBreak/>
        <w:t xml:space="preserve">C A Snyder </w:t>
      </w:r>
      <w:r w:rsidRPr="00C469B4">
        <w:rPr>
          <w:i/>
          <w:iCs/>
        </w:rPr>
        <w:t>An Age of Tyrants: Britain and the Britons A.D. 400 – 600</w:t>
      </w:r>
      <w:r>
        <w:t xml:space="preserve"> (Stroud: Sutton Publishing, 1998)</w:t>
      </w:r>
    </w:p>
    <w:p w14:paraId="0421C66A" w14:textId="77777777" w:rsidR="004E4E20" w:rsidRPr="00987CE1" w:rsidRDefault="004E4E20"/>
    <w:sectPr w:rsidR="004E4E20" w:rsidRPr="00987CE1">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B0D590" w14:textId="77777777" w:rsidR="004F7710" w:rsidRDefault="004F7710" w:rsidP="00042579">
      <w:pPr>
        <w:spacing w:after="0" w:line="240" w:lineRule="auto"/>
      </w:pPr>
      <w:r>
        <w:separator/>
      </w:r>
    </w:p>
  </w:endnote>
  <w:endnote w:type="continuationSeparator" w:id="0">
    <w:p w14:paraId="7EB36BD7" w14:textId="77777777" w:rsidR="004F7710" w:rsidRDefault="004F7710" w:rsidP="000425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22717710"/>
      <w:docPartObj>
        <w:docPartGallery w:val="Page Numbers (Bottom of Page)"/>
        <w:docPartUnique/>
      </w:docPartObj>
    </w:sdtPr>
    <w:sdtEndPr>
      <w:rPr>
        <w:color w:val="7F7F7F" w:themeColor="background1" w:themeShade="7F"/>
        <w:spacing w:val="60"/>
      </w:rPr>
    </w:sdtEndPr>
    <w:sdtContent>
      <w:p w14:paraId="4F18514D" w14:textId="0A76F8BA" w:rsidR="00DE7C99" w:rsidRDefault="00DE7C99">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9D16CC">
          <w:rPr>
            <w:b/>
            <w:bCs/>
            <w:noProof/>
          </w:rPr>
          <w:t>6</w:t>
        </w:r>
        <w:r>
          <w:rPr>
            <w:b/>
            <w:bCs/>
            <w:noProof/>
          </w:rPr>
          <w:fldChar w:fldCharType="end"/>
        </w:r>
        <w:r>
          <w:rPr>
            <w:b/>
            <w:bCs/>
          </w:rPr>
          <w:t xml:space="preserve"> | </w:t>
        </w:r>
        <w:r>
          <w:rPr>
            <w:color w:val="7F7F7F" w:themeColor="background1" w:themeShade="7F"/>
            <w:spacing w:val="60"/>
          </w:rPr>
          <w:t>Page</w:t>
        </w:r>
      </w:p>
    </w:sdtContent>
  </w:sdt>
  <w:p w14:paraId="26ABD66B" w14:textId="77777777" w:rsidR="00DE7C99" w:rsidRDefault="00DE7C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9BAFBD" w14:textId="77777777" w:rsidR="004F7710" w:rsidRDefault="004F7710" w:rsidP="00042579">
      <w:pPr>
        <w:spacing w:after="0" w:line="240" w:lineRule="auto"/>
      </w:pPr>
      <w:r>
        <w:separator/>
      </w:r>
    </w:p>
  </w:footnote>
  <w:footnote w:type="continuationSeparator" w:id="0">
    <w:p w14:paraId="082B2834" w14:textId="77777777" w:rsidR="004F7710" w:rsidRDefault="004F7710" w:rsidP="00042579">
      <w:pPr>
        <w:spacing w:after="0" w:line="240" w:lineRule="auto"/>
      </w:pPr>
      <w:r>
        <w:continuationSeparator/>
      </w:r>
    </w:p>
  </w:footnote>
  <w:footnote w:id="1">
    <w:p w14:paraId="3CF15E4C" w14:textId="26A7C006" w:rsidR="00DE7C99" w:rsidRDefault="00DE7C99">
      <w:pPr>
        <w:pStyle w:val="FootnoteText"/>
      </w:pPr>
      <w:r>
        <w:rPr>
          <w:rStyle w:val="FootnoteReference"/>
        </w:rPr>
        <w:footnoteRef/>
      </w:r>
      <w:r>
        <w:t xml:space="preserve"> </w:t>
      </w:r>
      <w:r w:rsidRPr="00DE7C99">
        <w:t xml:space="preserve">F Johnson </w:t>
      </w:r>
      <w:r w:rsidRPr="00DE7C99">
        <w:rPr>
          <w:i/>
          <w:iCs/>
        </w:rPr>
        <w:t>Evidence of Arthur: Fixing the Legendary King in Factual Place and Time</w:t>
      </w:r>
      <w:r w:rsidRPr="00DE7C99">
        <w:t xml:space="preserve"> (Jefferson NC, McFarland and Company, 2014)</w:t>
      </w:r>
      <w:r>
        <w:t xml:space="preserve"> p.101; cf. </w:t>
      </w:r>
      <w:r w:rsidRPr="00DE7C99">
        <w:t xml:space="preserve">F Johnson </w:t>
      </w:r>
      <w:r w:rsidRPr="00DE7C99">
        <w:rPr>
          <w:i/>
          <w:iCs/>
        </w:rPr>
        <w:t>The British Heroic Age, 367– 664</w:t>
      </w:r>
      <w:r w:rsidRPr="00DE7C99">
        <w:t xml:space="preserve"> (Jefferson NC, McFarland and Company, 2017)</w:t>
      </w:r>
    </w:p>
  </w:footnote>
  <w:footnote w:id="2">
    <w:p w14:paraId="2F5A605E" w14:textId="74194E51" w:rsidR="00DE7C99" w:rsidRDefault="00DE7C99">
      <w:pPr>
        <w:pStyle w:val="FootnoteText"/>
      </w:pPr>
      <w:r>
        <w:rPr>
          <w:rStyle w:val="FootnoteReference"/>
        </w:rPr>
        <w:footnoteRef/>
      </w:r>
      <w:r>
        <w:t xml:space="preserve"> Johnson, </w:t>
      </w:r>
      <w:r w:rsidRPr="00DE7C99">
        <w:rPr>
          <w:i/>
          <w:iCs/>
        </w:rPr>
        <w:t>Evidence of Arthur</w:t>
      </w:r>
      <w:r>
        <w:t xml:space="preserve"> op. </w:t>
      </w:r>
      <w:proofErr w:type="spellStart"/>
      <w:r>
        <w:t>cit</w:t>
      </w:r>
      <w:proofErr w:type="spellEnd"/>
      <w:r>
        <w:t xml:space="preserve"> p.102 citing H Chadwick and N Chadwick </w:t>
      </w:r>
      <w:r w:rsidRPr="00DE7C99">
        <w:rPr>
          <w:i/>
          <w:iCs/>
        </w:rPr>
        <w:t>The Growth of Literature Vol.3</w:t>
      </w:r>
      <w:r>
        <w:t xml:space="preserve"> (Cambridge, University Press, 1940); </w:t>
      </w:r>
    </w:p>
  </w:footnote>
  <w:footnote w:id="3">
    <w:p w14:paraId="3574581A" w14:textId="73A789AD" w:rsidR="00DE7C99" w:rsidRDefault="00DE7C99">
      <w:pPr>
        <w:pStyle w:val="FootnoteText"/>
      </w:pPr>
      <w:r>
        <w:rPr>
          <w:rStyle w:val="FootnoteReference"/>
        </w:rPr>
        <w:footnoteRef/>
      </w:r>
      <w:r>
        <w:t xml:space="preserve"> Text of all poems taken from </w:t>
      </w:r>
      <w:r w:rsidRPr="00DE7C99">
        <w:t xml:space="preserve">J. B. Coe and S. Young (trans. &amp; eds) </w:t>
      </w:r>
      <w:r w:rsidRPr="00DE7C99">
        <w:rPr>
          <w:i/>
          <w:iCs/>
        </w:rPr>
        <w:t>The Celtic Sources for the Arthurian Legend</w:t>
      </w:r>
      <w:r w:rsidRPr="00DE7C99">
        <w:t xml:space="preserve"> (Burnham-on-Sea, Llanerch Publishers, 1995)</w:t>
      </w:r>
      <w:r>
        <w:t xml:space="preserve"> respectively pp. 152 - 154, 127 – 133, 135 </w:t>
      </w:r>
      <w:r w:rsidR="00213F3A">
        <w:t>–</w:t>
      </w:r>
      <w:r>
        <w:t xml:space="preserve"> 139</w:t>
      </w:r>
      <w:r w:rsidR="00213F3A">
        <w:t>, 103 -107.</w:t>
      </w:r>
    </w:p>
  </w:footnote>
  <w:footnote w:id="4">
    <w:p w14:paraId="7E93D6CE" w14:textId="64E493BB" w:rsidR="00213F3A" w:rsidRDefault="00213F3A">
      <w:pPr>
        <w:pStyle w:val="FootnoteText"/>
      </w:pPr>
      <w:r>
        <w:rPr>
          <w:rStyle w:val="FootnoteReference"/>
        </w:rPr>
        <w:footnoteRef/>
      </w:r>
      <w:r>
        <w:t xml:space="preserve"> </w:t>
      </w:r>
      <w:r w:rsidRPr="00213F3A">
        <w:t xml:space="preserve">J A Giles (trans. and ed.) </w:t>
      </w:r>
      <w:r w:rsidRPr="00213F3A">
        <w:rPr>
          <w:i/>
          <w:iCs/>
        </w:rPr>
        <w:t>History of the Britons (Historia Brittonum)</w:t>
      </w:r>
      <w:r w:rsidRPr="00213F3A">
        <w:t xml:space="preserve"> (Champaign ILL, 2008) (original publication: London: Bohn, 1841)</w:t>
      </w:r>
      <w:r>
        <w:t xml:space="preserve"> p.32</w:t>
      </w:r>
    </w:p>
  </w:footnote>
  <w:footnote w:id="5">
    <w:p w14:paraId="4C43124F" w14:textId="4B81AE0B" w:rsidR="00213F3A" w:rsidRDefault="00213F3A">
      <w:pPr>
        <w:pStyle w:val="FootnoteText"/>
      </w:pPr>
      <w:r>
        <w:rPr>
          <w:rStyle w:val="FootnoteReference"/>
        </w:rPr>
        <w:footnoteRef/>
      </w:r>
      <w:r>
        <w:t xml:space="preserve"> </w:t>
      </w:r>
      <w:r w:rsidRPr="00213F3A">
        <w:rPr>
          <w:i/>
          <w:iCs/>
        </w:rPr>
        <w:t>The Mabinogion</w:t>
      </w:r>
      <w:r w:rsidRPr="00213F3A">
        <w:t>, trans. Sioned Davies (Oxford: Oxford University Press, 2007)</w:t>
      </w:r>
      <w:r>
        <w:t xml:space="preserve"> pp. 179 - 213</w:t>
      </w:r>
    </w:p>
  </w:footnote>
  <w:footnote w:id="6">
    <w:p w14:paraId="6E713F23" w14:textId="760DDCF6" w:rsidR="00213F3A" w:rsidRDefault="00213F3A">
      <w:pPr>
        <w:pStyle w:val="FootnoteText"/>
      </w:pPr>
      <w:r>
        <w:rPr>
          <w:rStyle w:val="FootnoteReference"/>
        </w:rPr>
        <w:footnoteRef/>
      </w:r>
      <w:r>
        <w:t xml:space="preserve"> </w:t>
      </w:r>
      <w:r w:rsidR="0064209A" w:rsidRPr="0064209A">
        <w:t xml:space="preserve">N J Higham King Arthur: </w:t>
      </w:r>
      <w:r w:rsidR="0064209A" w:rsidRPr="0064209A">
        <w:rPr>
          <w:i/>
          <w:iCs/>
        </w:rPr>
        <w:t>Mythmaking and History</w:t>
      </w:r>
      <w:r w:rsidR="0064209A" w:rsidRPr="0064209A">
        <w:t xml:space="preserve"> (London, Routledge, 2002)</w:t>
      </w:r>
      <w:r w:rsidR="0064209A">
        <w:t>;</w:t>
      </w:r>
      <w:r w:rsidR="0064209A" w:rsidRPr="0064209A">
        <w:t xml:space="preserve"> N J Higham </w:t>
      </w:r>
      <w:r w:rsidR="0064209A" w:rsidRPr="0064209A">
        <w:rPr>
          <w:i/>
          <w:iCs/>
        </w:rPr>
        <w:t>King Arthur: The Making of the Legend</w:t>
      </w:r>
      <w:r w:rsidR="0064209A" w:rsidRPr="0064209A">
        <w:t xml:space="preserve"> (New Haven CT, Yale University Press, 2018)</w:t>
      </w:r>
    </w:p>
  </w:footnote>
  <w:footnote w:id="7">
    <w:p w14:paraId="5AB42CB8" w14:textId="1DCF1CD2" w:rsidR="00213F3A" w:rsidRDefault="00213F3A">
      <w:pPr>
        <w:pStyle w:val="FootnoteText"/>
      </w:pPr>
      <w:r>
        <w:rPr>
          <w:rStyle w:val="FootnoteReference"/>
        </w:rPr>
        <w:footnoteRef/>
      </w:r>
      <w:r>
        <w:t xml:space="preserve"> </w:t>
      </w:r>
      <w:r w:rsidR="0064209A" w:rsidRPr="0064209A">
        <w:t xml:space="preserve">O. J. Padel ‘The Nature of Arthur’ </w:t>
      </w:r>
      <w:r w:rsidR="0064209A" w:rsidRPr="0064209A">
        <w:rPr>
          <w:i/>
          <w:iCs/>
        </w:rPr>
        <w:t>Cambrian Medieval Celtic Studies</w:t>
      </w:r>
      <w:r w:rsidR="0064209A" w:rsidRPr="0064209A">
        <w:t xml:space="preserve">, 27, 1994 pp. 1 </w:t>
      </w:r>
      <w:r w:rsidR="0064209A">
        <w:t>–</w:t>
      </w:r>
      <w:r w:rsidR="0064209A" w:rsidRPr="0064209A">
        <w:t xml:space="preserve"> 31</w:t>
      </w:r>
      <w:r w:rsidR="0064209A">
        <w:t xml:space="preserve">; </w:t>
      </w:r>
      <w:r w:rsidR="0064209A" w:rsidRPr="0064209A">
        <w:t xml:space="preserve">O J Padel </w:t>
      </w:r>
      <w:r w:rsidR="0064209A" w:rsidRPr="0064209A">
        <w:rPr>
          <w:i/>
          <w:iCs/>
        </w:rPr>
        <w:t>Arthur in Medieval Welsh Literature</w:t>
      </w:r>
      <w:r w:rsidR="0064209A" w:rsidRPr="0064209A">
        <w:t xml:space="preserve"> (Writers of Wales) (Cardiff, University of Wales Press, 2</w:t>
      </w:r>
      <w:r w:rsidR="0064209A" w:rsidRPr="0064209A">
        <w:rPr>
          <w:vertAlign w:val="superscript"/>
        </w:rPr>
        <w:t>nd</w:t>
      </w:r>
      <w:r w:rsidR="0064209A" w:rsidRPr="0064209A">
        <w:t xml:space="preserve"> ed. 2013) </w:t>
      </w:r>
    </w:p>
  </w:footnote>
  <w:footnote w:id="8">
    <w:p w14:paraId="12D96AD6" w14:textId="55CB18FA" w:rsidR="00213F3A" w:rsidRDefault="00213F3A">
      <w:pPr>
        <w:pStyle w:val="FootnoteText"/>
      </w:pPr>
      <w:r>
        <w:rPr>
          <w:rStyle w:val="FootnoteReference"/>
        </w:rPr>
        <w:footnoteRef/>
      </w:r>
      <w:r>
        <w:t xml:space="preserve"> </w:t>
      </w:r>
      <w:r w:rsidR="0064209A" w:rsidRPr="0064209A">
        <w:t xml:space="preserve">T Green </w:t>
      </w:r>
      <w:r w:rsidR="0064209A" w:rsidRPr="0064209A">
        <w:rPr>
          <w:i/>
          <w:iCs/>
        </w:rPr>
        <w:t>Concepts of Arthur</w:t>
      </w:r>
      <w:r w:rsidR="0064209A" w:rsidRPr="0064209A">
        <w:t xml:space="preserve"> (Stroud, Tempus, 2007)</w:t>
      </w:r>
      <w:r w:rsidR="0064209A">
        <w:t xml:space="preserve">; </w:t>
      </w:r>
      <w:r w:rsidR="0064209A" w:rsidRPr="0064209A">
        <w:t xml:space="preserve">T Green </w:t>
      </w:r>
      <w:r w:rsidR="0064209A" w:rsidRPr="0064209A">
        <w:rPr>
          <w:i/>
          <w:iCs/>
        </w:rPr>
        <w:t>Arthuriana: Early Arthurian Tradition and the Origins of the Legend</w:t>
      </w:r>
      <w:r w:rsidR="0064209A" w:rsidRPr="0064209A">
        <w:t xml:space="preserve"> (Louth, Lindes Press, 2009)</w:t>
      </w:r>
    </w:p>
  </w:footnote>
  <w:footnote w:id="9">
    <w:p w14:paraId="47CB0914" w14:textId="1C6A17D3" w:rsidR="00213F3A" w:rsidRDefault="00213F3A">
      <w:pPr>
        <w:pStyle w:val="FootnoteText"/>
      </w:pPr>
      <w:r>
        <w:rPr>
          <w:rStyle w:val="FootnoteReference"/>
        </w:rPr>
        <w:footnoteRef/>
      </w:r>
      <w:r>
        <w:t xml:space="preserve"> </w:t>
      </w:r>
      <w:r w:rsidR="0064209A" w:rsidRPr="0064209A">
        <w:t xml:space="preserve">J Morris </w:t>
      </w:r>
      <w:r w:rsidR="0064209A" w:rsidRPr="0064209A">
        <w:rPr>
          <w:i/>
          <w:iCs/>
        </w:rPr>
        <w:t>The Age of Arthur: A History of the British Isles from 350 – 650</w:t>
      </w:r>
      <w:r w:rsidR="0064209A" w:rsidRPr="0064209A">
        <w:t xml:space="preserve"> (London: Phoenix Press, 2001) (Originally published: New York: Charles Scribner Sons, 1973) </w:t>
      </w:r>
    </w:p>
  </w:footnote>
  <w:footnote w:id="10">
    <w:p w14:paraId="1DB17002" w14:textId="77777777" w:rsidR="0064209A" w:rsidRPr="0064209A" w:rsidRDefault="00213F3A" w:rsidP="0064209A">
      <w:pPr>
        <w:pStyle w:val="FootnoteText"/>
      </w:pPr>
      <w:r>
        <w:rPr>
          <w:rStyle w:val="FootnoteReference"/>
        </w:rPr>
        <w:footnoteRef/>
      </w:r>
      <w:r>
        <w:t xml:space="preserve"> </w:t>
      </w:r>
      <w:r w:rsidR="0064209A" w:rsidRPr="0064209A">
        <w:t xml:space="preserve">L Alcock </w:t>
      </w:r>
      <w:r w:rsidR="0064209A" w:rsidRPr="0064209A">
        <w:rPr>
          <w:i/>
          <w:iCs/>
        </w:rPr>
        <w:t>Arthur’s Britain</w:t>
      </w:r>
      <w:r w:rsidR="0064209A" w:rsidRPr="0064209A">
        <w:t xml:space="preserve"> (London, Penguin, 1971) </w:t>
      </w:r>
    </w:p>
    <w:p w14:paraId="1D44C671" w14:textId="3B22AF9A" w:rsidR="00213F3A" w:rsidRDefault="00213F3A">
      <w:pPr>
        <w:pStyle w:val="FootnoteText"/>
      </w:pPr>
    </w:p>
  </w:footnote>
  <w:footnote w:id="11">
    <w:p w14:paraId="0F53E820" w14:textId="2E04D368" w:rsidR="00AD40A7" w:rsidRDefault="00AD40A7">
      <w:pPr>
        <w:pStyle w:val="FootnoteText"/>
      </w:pPr>
      <w:r>
        <w:rPr>
          <w:rStyle w:val="FootnoteReference"/>
        </w:rPr>
        <w:footnoteRef/>
      </w:r>
      <w:r>
        <w:t xml:space="preserve"> Coe and Young </w:t>
      </w:r>
      <w:proofErr w:type="spellStart"/>
      <w:r>
        <w:t>op.cit</w:t>
      </w:r>
      <w:proofErr w:type="spellEnd"/>
      <w:r>
        <w:t xml:space="preserve">. pp. </w:t>
      </w:r>
    </w:p>
  </w:footnote>
  <w:footnote w:id="12">
    <w:p w14:paraId="27FCCAFF" w14:textId="2A2F83FA" w:rsidR="0064209A" w:rsidRDefault="0064209A">
      <w:pPr>
        <w:pStyle w:val="FootnoteText"/>
      </w:pPr>
      <w:r>
        <w:rPr>
          <w:rStyle w:val="FootnoteReference"/>
        </w:rPr>
        <w:footnoteRef/>
      </w:r>
      <w:r>
        <w:t xml:space="preserve"> For discussion </w:t>
      </w:r>
      <w:proofErr w:type="spellStart"/>
      <w:r>
        <w:t>cf</w:t>
      </w:r>
      <w:proofErr w:type="spellEnd"/>
      <w:r>
        <w:t xml:space="preserve">: </w:t>
      </w:r>
      <w:r w:rsidR="001D2D90" w:rsidRPr="001D2D90">
        <w:t xml:space="preserve">J T Koch ‘The Place of 'Y Gododdin' in the History of Scotland’ in: R Black, W Gillies, and R Ó Maolalaigh (eds.), </w:t>
      </w:r>
      <w:r w:rsidR="001D2D90" w:rsidRPr="001D2D90">
        <w:rPr>
          <w:i/>
          <w:iCs/>
        </w:rPr>
        <w:t>Celtic Connections: Proceedings of the Tenth International Congress of Celtic Studies</w:t>
      </w:r>
      <w:r w:rsidR="001D2D90" w:rsidRPr="001D2D90">
        <w:t>, Vol. 1, (East Linton: Tuckwell Press, 1999) 199–210</w:t>
      </w:r>
      <w:r w:rsidR="001D2D90">
        <w:t xml:space="preserve">; </w:t>
      </w:r>
      <w:r w:rsidR="001D2D90" w:rsidRPr="001D2D90">
        <w:t xml:space="preserve">T M Charles-Edwards ‘The Arthur of History’ in R. Bromwich et.al (eds) </w:t>
      </w:r>
      <w:r w:rsidR="001D2D90" w:rsidRPr="001D2D90">
        <w:rPr>
          <w:i/>
          <w:iCs/>
        </w:rPr>
        <w:t xml:space="preserve">The Arthur of the Welsh: The Arthurian Legend in Medieval Welsh Literature </w:t>
      </w:r>
      <w:r w:rsidR="001D2D90" w:rsidRPr="001D2D90">
        <w:t xml:space="preserve">(Cardiff, University of Wales Press, 1995) pp. 1 </w:t>
      </w:r>
      <w:r w:rsidR="001D2D90">
        <w:t>–</w:t>
      </w:r>
      <w:r w:rsidR="001D2D90" w:rsidRPr="001D2D90">
        <w:t xml:space="preserve"> 32</w:t>
      </w:r>
      <w:r w:rsidR="001D2D90">
        <w:t xml:space="preserve">; </w:t>
      </w:r>
      <w:r w:rsidR="001D2D90" w:rsidRPr="001D2D90">
        <w:t xml:space="preserve">P. Sims – Williams ‘The Early Welsh Arthurian Poems’ in R. Bromwich et.al (eds) </w:t>
      </w:r>
      <w:r w:rsidR="001D2D90" w:rsidRPr="001D2D90">
        <w:rPr>
          <w:i/>
          <w:iCs/>
        </w:rPr>
        <w:t xml:space="preserve">The Arthur of the Welsh: The Arthurian Legend in Medieval Welsh Literature </w:t>
      </w:r>
      <w:r w:rsidR="001D2D90" w:rsidRPr="001D2D90">
        <w:t>(Cardiff, University of Wales Press, 1995) pp. 33 – 71</w:t>
      </w:r>
      <w:r w:rsidR="001D2D90">
        <w:t xml:space="preserve">; </w:t>
      </w:r>
      <w:r w:rsidR="001D2D90" w:rsidRPr="001D2D90">
        <w:t xml:space="preserve">A P Smyth </w:t>
      </w:r>
      <w:r w:rsidR="001D2D90" w:rsidRPr="001D2D90">
        <w:rPr>
          <w:i/>
          <w:iCs/>
        </w:rPr>
        <w:t>Warlords and Holy Men: Scotland AD 80 – 1000</w:t>
      </w:r>
      <w:r w:rsidR="001D2D90" w:rsidRPr="001D2D90">
        <w:t xml:space="preserve"> (Edinburgh: Edinburgh University Press, 1992)</w:t>
      </w:r>
      <w:r w:rsidR="001D2D90">
        <w:t xml:space="preserve"> pp. 1-35; </w:t>
      </w:r>
      <w:r w:rsidR="006A7F56">
        <w:t xml:space="preserve">Green Concepts of Arthur </w:t>
      </w:r>
      <w:proofErr w:type="spellStart"/>
      <w:r w:rsidR="006A7F56">
        <w:t>op.cit</w:t>
      </w:r>
      <w:proofErr w:type="spellEnd"/>
      <w:r w:rsidR="006A7F56">
        <w:t xml:space="preserve">; pp. 47 – 54; Higham Making of the Legend </w:t>
      </w:r>
      <w:proofErr w:type="spellStart"/>
      <w:r w:rsidR="006A7F56">
        <w:t>op.cit</w:t>
      </w:r>
      <w:proofErr w:type="spellEnd"/>
      <w:r w:rsidR="006A7F56">
        <w:t xml:space="preserve"> pp. 166 - 9</w:t>
      </w:r>
    </w:p>
  </w:footnote>
  <w:footnote w:id="13">
    <w:p w14:paraId="32DB459C" w14:textId="0E90AA35" w:rsidR="006A7F56" w:rsidRDefault="006A7F56">
      <w:pPr>
        <w:pStyle w:val="FootnoteText"/>
      </w:pPr>
      <w:r>
        <w:rPr>
          <w:rStyle w:val="FootnoteReference"/>
        </w:rPr>
        <w:footnoteRef/>
      </w:r>
      <w:r>
        <w:t xml:space="preserve"> D N </w:t>
      </w:r>
      <w:r w:rsidRPr="006A7F56">
        <w:t>Dumville</w:t>
      </w:r>
      <w:r>
        <w:t xml:space="preserve"> </w:t>
      </w:r>
      <w:r w:rsidRPr="006A7F56">
        <w:t>"Early Welsh poetry:</w:t>
      </w:r>
      <w:r>
        <w:t xml:space="preserve"> </w:t>
      </w:r>
      <w:r w:rsidRPr="006A7F56">
        <w:t xml:space="preserve">problems of historicity" in </w:t>
      </w:r>
      <w:proofErr w:type="spellStart"/>
      <w:r>
        <w:t>Brynley</w:t>
      </w:r>
      <w:proofErr w:type="spellEnd"/>
      <w:r>
        <w:t xml:space="preserve"> F. </w:t>
      </w:r>
      <w:r w:rsidRPr="006A7F56">
        <w:t xml:space="preserve">Roberts, (ed) </w:t>
      </w:r>
      <w:r w:rsidRPr="006A7F56">
        <w:rPr>
          <w:i/>
          <w:iCs/>
        </w:rPr>
        <w:t>Early Welsh poetry: studies in the Book of Aneirin</w:t>
      </w:r>
      <w:r w:rsidR="00DD5370">
        <w:rPr>
          <w:i/>
          <w:iCs/>
        </w:rPr>
        <w:t xml:space="preserve"> </w:t>
      </w:r>
      <w:r w:rsidR="00DD5370">
        <w:t>(</w:t>
      </w:r>
      <w:r w:rsidRPr="006A7F56">
        <w:t>Aberystwyth</w:t>
      </w:r>
      <w:r w:rsidR="00DD5370">
        <w:t xml:space="preserve">, </w:t>
      </w:r>
      <w:r w:rsidRPr="006A7F56">
        <w:t>National Library of Wales</w:t>
      </w:r>
      <w:r w:rsidR="00DD5370">
        <w:t>, 1988) pp.1-16</w:t>
      </w:r>
    </w:p>
  </w:footnote>
  <w:footnote w:id="14">
    <w:p w14:paraId="74144EB9" w14:textId="69D4D78B" w:rsidR="006A7F56" w:rsidRDefault="006A7F56">
      <w:pPr>
        <w:pStyle w:val="FootnoteText"/>
      </w:pPr>
      <w:r>
        <w:rPr>
          <w:rStyle w:val="FootnoteReference"/>
        </w:rPr>
        <w:footnoteRef/>
      </w:r>
      <w:r>
        <w:t xml:space="preserve"> </w:t>
      </w:r>
      <w:r w:rsidR="00DD5370">
        <w:t xml:space="preserve"> J T Koch (ed.) </w:t>
      </w:r>
      <w:r w:rsidR="00DD5370" w:rsidRPr="00DD5370">
        <w:rPr>
          <w:i/>
          <w:iCs/>
        </w:rPr>
        <w:t>The Gododdin of Aneirin: Text and Context from Dark Age Britain</w:t>
      </w:r>
      <w:r w:rsidR="00DD5370">
        <w:t xml:space="preserve"> (Cardiff, University Press, 1997) </w:t>
      </w:r>
    </w:p>
  </w:footnote>
  <w:footnote w:id="15">
    <w:p w14:paraId="311CF08B" w14:textId="34176D1F" w:rsidR="006A7F56" w:rsidRDefault="006A7F56">
      <w:pPr>
        <w:pStyle w:val="FootnoteText"/>
      </w:pPr>
      <w:r>
        <w:rPr>
          <w:rStyle w:val="FootnoteReference"/>
        </w:rPr>
        <w:footnoteRef/>
      </w:r>
      <w:r>
        <w:t xml:space="preserve"> </w:t>
      </w:r>
      <w:r w:rsidR="00DD5370">
        <w:t xml:space="preserve"> </w:t>
      </w:r>
      <w:r w:rsidR="00DD5370" w:rsidRPr="00DD5370">
        <w:rPr>
          <w:i/>
          <w:iCs/>
        </w:rPr>
        <w:t>Evidence of Arthur</w:t>
      </w:r>
      <w:r w:rsidR="00DD5370">
        <w:t xml:space="preserve"> op. </w:t>
      </w:r>
      <w:proofErr w:type="spellStart"/>
      <w:r w:rsidR="00DD5370">
        <w:t>cit</w:t>
      </w:r>
      <w:proofErr w:type="spellEnd"/>
    </w:p>
  </w:footnote>
  <w:footnote w:id="16">
    <w:p w14:paraId="3180FA74" w14:textId="7B377344" w:rsidR="0018446F" w:rsidRDefault="0018446F">
      <w:pPr>
        <w:pStyle w:val="FootnoteText"/>
      </w:pPr>
      <w:r>
        <w:rPr>
          <w:rStyle w:val="FootnoteReference"/>
        </w:rPr>
        <w:footnoteRef/>
      </w:r>
      <w:r>
        <w:t xml:space="preserve"> Coe and young </w:t>
      </w:r>
      <w:proofErr w:type="spellStart"/>
      <w:r>
        <w:t>op.cit</w:t>
      </w:r>
      <w:proofErr w:type="spellEnd"/>
      <w:r>
        <w:t xml:space="preserve"> p.154</w:t>
      </w:r>
    </w:p>
  </w:footnote>
  <w:footnote w:id="17">
    <w:p w14:paraId="5D80045F" w14:textId="691105ED" w:rsidR="0018446F" w:rsidRDefault="0018446F">
      <w:pPr>
        <w:pStyle w:val="FootnoteText"/>
      </w:pPr>
      <w:r>
        <w:rPr>
          <w:rStyle w:val="FootnoteReference"/>
        </w:rPr>
        <w:footnoteRef/>
      </w:r>
      <w:r>
        <w:t xml:space="preserve"> </w:t>
      </w:r>
      <w:r w:rsidRPr="0018446F">
        <w:t xml:space="preserve">P M Dunshea ‘The Meaning of </w:t>
      </w:r>
      <w:r w:rsidRPr="0018446F">
        <w:rPr>
          <w:i/>
          <w:iCs/>
        </w:rPr>
        <w:t>Catraeth</w:t>
      </w:r>
      <w:r w:rsidRPr="0018446F">
        <w:t xml:space="preserve">: a revised early context for Y Gododdin’ in A.Woolf (ed.) </w:t>
      </w:r>
      <w:r w:rsidRPr="0018446F">
        <w:rPr>
          <w:i/>
          <w:iCs/>
        </w:rPr>
        <w:t>Beyond the Gododdin: Dark Age Scotland in Medieval Wales</w:t>
      </w:r>
      <w:r w:rsidRPr="0018446F">
        <w:t xml:space="preserve"> (St. John’s House Papers 13) (St. Andrew’s, Van Hamel Foundation for Celtic Studies, 2013) pp. 81 - 114 </w:t>
      </w:r>
    </w:p>
  </w:footnote>
  <w:footnote w:id="18">
    <w:p w14:paraId="22687DA0" w14:textId="7576E131" w:rsidR="0018446F" w:rsidRDefault="0018446F">
      <w:pPr>
        <w:pStyle w:val="FootnoteText"/>
      </w:pPr>
      <w:r>
        <w:rPr>
          <w:rStyle w:val="FootnoteReference"/>
        </w:rPr>
        <w:footnoteRef/>
      </w:r>
      <w:r>
        <w:t xml:space="preserve"> Green </w:t>
      </w:r>
      <w:proofErr w:type="spellStart"/>
      <w:r>
        <w:t>op.cit</w:t>
      </w:r>
      <w:proofErr w:type="spellEnd"/>
      <w:r>
        <w:t xml:space="preserve">; Higham </w:t>
      </w:r>
      <w:proofErr w:type="spellStart"/>
      <w:r>
        <w:t>op.cit</w:t>
      </w:r>
      <w:proofErr w:type="spellEnd"/>
      <w:r>
        <w:t>.</w:t>
      </w:r>
    </w:p>
  </w:footnote>
  <w:footnote w:id="19">
    <w:p w14:paraId="533CA163" w14:textId="658F5416" w:rsidR="0018446F" w:rsidRDefault="0018446F">
      <w:pPr>
        <w:pStyle w:val="FootnoteText"/>
      </w:pPr>
      <w:r>
        <w:rPr>
          <w:rStyle w:val="FootnoteReference"/>
        </w:rPr>
        <w:footnoteRef/>
      </w:r>
      <w:r>
        <w:t xml:space="preserve"> Giles </w:t>
      </w:r>
      <w:proofErr w:type="spellStart"/>
      <w:r>
        <w:t>op.cit</w:t>
      </w:r>
      <w:proofErr w:type="spellEnd"/>
      <w:r>
        <w:t>. p.32</w:t>
      </w:r>
    </w:p>
  </w:footnote>
  <w:footnote w:id="20">
    <w:p w14:paraId="6DCC831F" w14:textId="5C69E648" w:rsidR="0018446F" w:rsidRDefault="0018446F">
      <w:pPr>
        <w:pStyle w:val="FootnoteText"/>
      </w:pPr>
      <w:r>
        <w:rPr>
          <w:rStyle w:val="FootnoteReference"/>
        </w:rPr>
        <w:footnoteRef/>
      </w:r>
      <w:r>
        <w:t xml:space="preserve"> </w:t>
      </w:r>
      <w:r w:rsidRPr="0018446F">
        <w:t xml:space="preserve">D N Dumville ‘The historical value of the Historia Brittonum’ in R. Barber (ed.) </w:t>
      </w:r>
      <w:r w:rsidRPr="0018446F">
        <w:rPr>
          <w:i/>
          <w:iCs/>
        </w:rPr>
        <w:t xml:space="preserve">Arthurian Literature </w:t>
      </w:r>
      <w:r w:rsidRPr="0018446F">
        <w:t xml:space="preserve">Volume 6 (Woodbridge, D S Brewer, 1992) pp. 1 </w:t>
      </w:r>
      <w:r>
        <w:t>–</w:t>
      </w:r>
      <w:r w:rsidRPr="0018446F">
        <w:t xml:space="preserve"> 26</w:t>
      </w:r>
      <w:r>
        <w:t xml:space="preserve">; </w:t>
      </w:r>
      <w:r w:rsidRPr="0018446F">
        <w:t xml:space="preserve">T M Charles-Edwards </w:t>
      </w:r>
      <w:r w:rsidRPr="0018446F">
        <w:rPr>
          <w:i/>
          <w:iCs/>
        </w:rPr>
        <w:t>Wales and the Britons 350 – 1064</w:t>
      </w:r>
      <w:r w:rsidRPr="0018446F">
        <w:t xml:space="preserve"> (The History of Wales) (Oxford, The University Press, 2014)</w:t>
      </w:r>
      <w:r>
        <w:t xml:space="preserve"> pp. 346 – 359; </w:t>
      </w:r>
      <w:r w:rsidR="00F75705" w:rsidRPr="00F75705">
        <w:t xml:space="preserve">F Johnson ‘The sources and contributors of the Northern Memorandum and its heirs’ </w:t>
      </w:r>
      <w:r w:rsidR="00F75705" w:rsidRPr="00F75705">
        <w:rPr>
          <w:i/>
          <w:iCs/>
        </w:rPr>
        <w:t>Yorkshire Archaeological Journal</w:t>
      </w:r>
      <w:r w:rsidR="00F75705" w:rsidRPr="00F75705">
        <w:t xml:space="preserve"> Vol 91 (2019) pp 111 </w:t>
      </w:r>
      <w:r w:rsidR="00F75705">
        <w:t>–</w:t>
      </w:r>
      <w:r w:rsidR="00F75705" w:rsidRPr="00F75705">
        <w:t xml:space="preserve"> 130</w:t>
      </w:r>
      <w:r w:rsidR="00F75705">
        <w:t xml:space="preserve">. For an alternative view </w:t>
      </w:r>
      <w:proofErr w:type="spellStart"/>
      <w:r w:rsidR="00F75705">
        <w:t>cf</w:t>
      </w:r>
      <w:proofErr w:type="spellEnd"/>
      <w:r w:rsidR="00F75705">
        <w:t xml:space="preserve"> Higham </w:t>
      </w:r>
      <w:r w:rsidR="00F75705" w:rsidRPr="00F75705">
        <w:rPr>
          <w:i/>
          <w:iCs/>
        </w:rPr>
        <w:t>Making of the Legend</w:t>
      </w:r>
      <w:r w:rsidR="00CF04C1">
        <w:rPr>
          <w:i/>
          <w:iCs/>
        </w:rPr>
        <w:t xml:space="preserve"> </w:t>
      </w:r>
      <w:proofErr w:type="gramStart"/>
      <w:r w:rsidR="00F75705">
        <w:t>op.cit.p.</w:t>
      </w:r>
      <w:proofErr w:type="gramEnd"/>
      <w:r w:rsidR="00F75705">
        <w:t>176 - 215</w:t>
      </w:r>
    </w:p>
  </w:footnote>
  <w:footnote w:id="21">
    <w:p w14:paraId="54432F39" w14:textId="65B43F41" w:rsidR="00F75705" w:rsidRDefault="00F75705">
      <w:pPr>
        <w:pStyle w:val="FootnoteText"/>
      </w:pPr>
      <w:r>
        <w:rPr>
          <w:rStyle w:val="FootnoteReference"/>
        </w:rPr>
        <w:footnoteRef/>
      </w:r>
      <w:r>
        <w:t xml:space="preserve"> </w:t>
      </w:r>
      <w:r w:rsidR="00CF04C1" w:rsidRPr="00CF04C1">
        <w:t xml:space="preserve">Gildas (trans. and ed. M. Winterbottom) </w:t>
      </w:r>
      <w:r w:rsidR="00CF04C1" w:rsidRPr="00CF04C1">
        <w:rPr>
          <w:i/>
          <w:iCs/>
        </w:rPr>
        <w:t>The Ruin of Britain and Other Documents</w:t>
      </w:r>
      <w:r w:rsidR="00CF04C1" w:rsidRPr="00CF04C1">
        <w:t xml:space="preserve"> (London, Phillimore, 1978) pp. 13 - 79</w:t>
      </w:r>
    </w:p>
  </w:footnote>
  <w:footnote w:id="22">
    <w:p w14:paraId="1A09E589" w14:textId="619B835C" w:rsidR="00F75705" w:rsidRDefault="00F75705">
      <w:pPr>
        <w:pStyle w:val="FootnoteText"/>
      </w:pPr>
      <w:r>
        <w:rPr>
          <w:rStyle w:val="FootnoteReference"/>
        </w:rPr>
        <w:footnoteRef/>
      </w:r>
      <w:r>
        <w:t xml:space="preserve"> </w:t>
      </w:r>
      <w:r w:rsidR="00CF04C1" w:rsidRPr="00CF04C1">
        <w:t xml:space="preserve">Bede (ed. J. McClure) </w:t>
      </w:r>
      <w:r w:rsidR="00CF04C1" w:rsidRPr="00CF04C1">
        <w:rPr>
          <w:i/>
          <w:iCs/>
        </w:rPr>
        <w:t>The Ecclesiastical History of the English People</w:t>
      </w:r>
      <w:r w:rsidR="00CF04C1" w:rsidRPr="00CF04C1">
        <w:t xml:space="preserve"> (Oxford, Oxford University Press, 1994)</w:t>
      </w:r>
    </w:p>
  </w:footnote>
  <w:footnote w:id="23">
    <w:p w14:paraId="108B51AF" w14:textId="40C3D4B9" w:rsidR="00F75705" w:rsidRDefault="00F75705">
      <w:pPr>
        <w:pStyle w:val="FootnoteText"/>
      </w:pPr>
      <w:r>
        <w:rPr>
          <w:rStyle w:val="FootnoteReference"/>
        </w:rPr>
        <w:footnoteRef/>
      </w:r>
      <w:r>
        <w:t xml:space="preserve"> </w:t>
      </w:r>
      <w:r w:rsidR="00CF04C1">
        <w:t xml:space="preserve">Johnston </w:t>
      </w:r>
      <w:r w:rsidR="00CF04C1" w:rsidRPr="00CF04C1">
        <w:rPr>
          <w:i/>
          <w:iCs/>
        </w:rPr>
        <w:t>Northern Memorandum</w:t>
      </w:r>
      <w:r w:rsidR="00CF04C1">
        <w:t xml:space="preserve"> op. cit.</w:t>
      </w:r>
    </w:p>
  </w:footnote>
  <w:footnote w:id="24">
    <w:p w14:paraId="4E78D35F" w14:textId="6DA8D30E" w:rsidR="00F75705" w:rsidRDefault="00F75705">
      <w:pPr>
        <w:pStyle w:val="FootnoteText"/>
      </w:pPr>
      <w:r>
        <w:rPr>
          <w:rStyle w:val="FootnoteReference"/>
        </w:rPr>
        <w:footnoteRef/>
      </w:r>
      <w:r>
        <w:t xml:space="preserve"> Higham ibid. </w:t>
      </w:r>
    </w:p>
  </w:footnote>
  <w:footnote w:id="25">
    <w:p w14:paraId="18B26FB9" w14:textId="431B6C8D" w:rsidR="00CF04C1" w:rsidRDefault="00CF04C1">
      <w:pPr>
        <w:pStyle w:val="FootnoteText"/>
      </w:pPr>
      <w:r>
        <w:rPr>
          <w:rStyle w:val="FootnoteReference"/>
        </w:rPr>
        <w:footnoteRef/>
      </w:r>
      <w:r>
        <w:t xml:space="preserve"> Higham </w:t>
      </w:r>
      <w:proofErr w:type="spellStart"/>
      <w:r>
        <w:t>op.cit</w:t>
      </w:r>
      <w:proofErr w:type="spellEnd"/>
      <w:r>
        <w:t xml:space="preserve">.; Green </w:t>
      </w:r>
      <w:proofErr w:type="spellStart"/>
      <w:r>
        <w:t>op.cit</w:t>
      </w:r>
      <w:proofErr w:type="spellEnd"/>
      <w:r>
        <w:t xml:space="preserve">; </w:t>
      </w:r>
      <w:r w:rsidRPr="00CF04C1">
        <w:rPr>
          <w:i/>
          <w:iCs/>
        </w:rPr>
        <w:t>Johnston Evidence of Arthur</w:t>
      </w:r>
      <w:r>
        <w:t xml:space="preserve"> </w:t>
      </w:r>
      <w:proofErr w:type="spellStart"/>
      <w:r>
        <w:t>op.cit</w:t>
      </w:r>
      <w:proofErr w:type="spellEnd"/>
    </w:p>
  </w:footnote>
  <w:footnote w:id="26">
    <w:p w14:paraId="590F7208" w14:textId="1B65A1FA" w:rsidR="00CF04C1" w:rsidRDefault="00CF04C1">
      <w:pPr>
        <w:pStyle w:val="FootnoteText"/>
      </w:pPr>
      <w:r>
        <w:rPr>
          <w:rStyle w:val="FootnoteReference"/>
        </w:rPr>
        <w:footnoteRef/>
      </w:r>
      <w:r>
        <w:t xml:space="preserve"> </w:t>
      </w:r>
      <w:r w:rsidRPr="00CF04C1">
        <w:t xml:space="preserve">A. Breeze ‘The historical Arthur and sixth-century Scotland’ </w:t>
      </w:r>
      <w:r w:rsidRPr="00CF04C1">
        <w:rPr>
          <w:i/>
          <w:iCs/>
        </w:rPr>
        <w:t>Northern History</w:t>
      </w:r>
      <w:r w:rsidRPr="00CF04C1">
        <w:t xml:space="preserve"> Vol. 52 No.2 (2015) pp. 158 - 181</w:t>
      </w:r>
    </w:p>
  </w:footnote>
  <w:footnote w:id="27">
    <w:p w14:paraId="028EADC7" w14:textId="463FDF48" w:rsidR="00CF04C1" w:rsidRDefault="00CF04C1">
      <w:pPr>
        <w:pStyle w:val="FootnoteText"/>
      </w:pPr>
      <w:r>
        <w:rPr>
          <w:rStyle w:val="FootnoteReference"/>
        </w:rPr>
        <w:footnoteRef/>
      </w:r>
      <w:r>
        <w:t xml:space="preserve"> </w:t>
      </w:r>
      <w:proofErr w:type="spellStart"/>
      <w:r>
        <w:t>Op.cit</w:t>
      </w:r>
      <w:proofErr w:type="spellEnd"/>
      <w:r>
        <w:t>.</w:t>
      </w:r>
    </w:p>
  </w:footnote>
  <w:footnote w:id="28">
    <w:p w14:paraId="1BC2376B" w14:textId="57D82DDB" w:rsidR="00CF04C1" w:rsidRDefault="00CF04C1">
      <w:pPr>
        <w:pStyle w:val="FootnoteText"/>
      </w:pPr>
      <w:r>
        <w:rPr>
          <w:rStyle w:val="FootnoteReference"/>
        </w:rPr>
        <w:footnoteRef/>
      </w:r>
      <w:r>
        <w:t xml:space="preserve"> </w:t>
      </w:r>
      <w:proofErr w:type="spellStart"/>
      <w:r>
        <w:t>Op.cit</w:t>
      </w:r>
      <w:proofErr w:type="spellEnd"/>
      <w:r>
        <w:t>.</w:t>
      </w:r>
    </w:p>
  </w:footnote>
  <w:footnote w:id="29">
    <w:p w14:paraId="407CE41A" w14:textId="2F7EBCD4" w:rsidR="00453237" w:rsidRDefault="00453237">
      <w:pPr>
        <w:pStyle w:val="FootnoteText"/>
      </w:pPr>
      <w:r>
        <w:rPr>
          <w:rStyle w:val="FootnoteReference"/>
        </w:rPr>
        <w:footnoteRef/>
      </w:r>
      <w:r>
        <w:t xml:space="preserve"> Giles </w:t>
      </w:r>
      <w:proofErr w:type="spellStart"/>
      <w:r>
        <w:t>op.cit</w:t>
      </w:r>
      <w:proofErr w:type="spellEnd"/>
      <w:r>
        <w:t>. p.32</w:t>
      </w:r>
    </w:p>
  </w:footnote>
  <w:footnote w:id="30">
    <w:p w14:paraId="39EAF5A1" w14:textId="0044C9F9" w:rsidR="0088270C" w:rsidRDefault="0088270C">
      <w:pPr>
        <w:pStyle w:val="FootnoteText"/>
      </w:pPr>
      <w:r>
        <w:rPr>
          <w:rStyle w:val="FootnoteReference"/>
        </w:rPr>
        <w:footnoteRef/>
      </w:r>
      <w:r>
        <w:t xml:space="preserve"> Coe and Young </w:t>
      </w:r>
      <w:proofErr w:type="spellStart"/>
      <w:r>
        <w:t>op.cit</w:t>
      </w:r>
      <w:proofErr w:type="spellEnd"/>
      <w:r>
        <w:t>. pp. 127 - 133</w:t>
      </w:r>
    </w:p>
  </w:footnote>
  <w:footnote w:id="31">
    <w:p w14:paraId="38ABEAAA" w14:textId="2DD60BE2" w:rsidR="00453237" w:rsidRDefault="00453237">
      <w:pPr>
        <w:pStyle w:val="FootnoteText"/>
      </w:pPr>
      <w:r>
        <w:rPr>
          <w:rStyle w:val="FootnoteReference"/>
        </w:rPr>
        <w:footnoteRef/>
      </w:r>
      <w:r>
        <w:t xml:space="preserve"> </w:t>
      </w:r>
      <w:r w:rsidRPr="00453237">
        <w:t xml:space="preserve">N A Jones, </w:t>
      </w:r>
      <w:r w:rsidRPr="00453237">
        <w:rPr>
          <w:i/>
          <w:iCs/>
        </w:rPr>
        <w:t>Arthur in Early Welsh Poetry</w:t>
      </w:r>
      <w:r w:rsidRPr="00453237">
        <w:t xml:space="preserve"> (MRHA Library of Medieval Welsh Literature) (Cambridge, MRHA, 2019)</w:t>
      </w:r>
      <w:r>
        <w:t xml:space="preserve"> pp.29 -30</w:t>
      </w:r>
    </w:p>
  </w:footnote>
  <w:footnote w:id="32">
    <w:p w14:paraId="187C6193" w14:textId="3EB5C915" w:rsidR="0088270C" w:rsidRDefault="0088270C">
      <w:pPr>
        <w:pStyle w:val="FootnoteText"/>
      </w:pPr>
      <w:r>
        <w:rPr>
          <w:rStyle w:val="FootnoteReference"/>
        </w:rPr>
        <w:footnoteRef/>
      </w:r>
      <w:r>
        <w:t xml:space="preserve"> Ibid.</w:t>
      </w:r>
    </w:p>
  </w:footnote>
  <w:footnote w:id="33">
    <w:p w14:paraId="3DA2CB32" w14:textId="77777777" w:rsidR="0088270C" w:rsidRPr="0088270C" w:rsidRDefault="0088270C" w:rsidP="0088270C">
      <w:pPr>
        <w:pStyle w:val="FootnoteText"/>
      </w:pPr>
      <w:r>
        <w:rPr>
          <w:rStyle w:val="FootnoteReference"/>
        </w:rPr>
        <w:footnoteRef/>
      </w:r>
      <w:r>
        <w:t xml:space="preserve"> </w:t>
      </w:r>
      <w:r w:rsidRPr="0088270C">
        <w:t xml:space="preserve">Geoffrey of Monmouth (trans. and ed. Lewis Thorpe) </w:t>
      </w:r>
      <w:r w:rsidRPr="0088270C">
        <w:rPr>
          <w:i/>
          <w:iCs/>
        </w:rPr>
        <w:t>The History of the Kings of Britain</w:t>
      </w:r>
      <w:r w:rsidRPr="0088270C">
        <w:t xml:space="preserve"> (London, Penguin, 1968)</w:t>
      </w:r>
    </w:p>
    <w:p w14:paraId="5B54AB9B" w14:textId="295A004D" w:rsidR="0088270C" w:rsidRDefault="0088270C">
      <w:pPr>
        <w:pStyle w:val="FootnoteText"/>
      </w:pPr>
    </w:p>
  </w:footnote>
  <w:footnote w:id="34">
    <w:p w14:paraId="21688955" w14:textId="6A6BCECC" w:rsidR="0088270C" w:rsidRDefault="0088270C">
      <w:pPr>
        <w:pStyle w:val="FootnoteText"/>
      </w:pPr>
      <w:r>
        <w:rPr>
          <w:rStyle w:val="FootnoteReference"/>
        </w:rPr>
        <w:footnoteRef/>
      </w:r>
      <w:r>
        <w:t xml:space="preserve"> Davies </w:t>
      </w:r>
      <w:r w:rsidRPr="0088270C">
        <w:rPr>
          <w:i/>
          <w:iCs/>
        </w:rPr>
        <w:t>Mabinogion</w:t>
      </w:r>
      <w:r>
        <w:t xml:space="preserve"> </w:t>
      </w:r>
      <w:proofErr w:type="spellStart"/>
      <w:r>
        <w:t>op.cit</w:t>
      </w:r>
      <w:proofErr w:type="spellEnd"/>
      <w:r>
        <w:t xml:space="preserve"> pp.35 - 64</w:t>
      </w:r>
    </w:p>
  </w:footnote>
  <w:footnote w:id="35">
    <w:p w14:paraId="4420B29D" w14:textId="57AB8F21" w:rsidR="0088270C" w:rsidRDefault="0088270C">
      <w:pPr>
        <w:pStyle w:val="FootnoteText"/>
      </w:pPr>
      <w:r>
        <w:rPr>
          <w:rStyle w:val="FootnoteReference"/>
        </w:rPr>
        <w:footnoteRef/>
      </w:r>
      <w:r>
        <w:t xml:space="preserve"> </w:t>
      </w:r>
      <w:r w:rsidR="00410FB6" w:rsidRPr="00410FB6">
        <w:t xml:space="preserve">M. Aldhouse Green </w:t>
      </w:r>
      <w:proofErr w:type="gramStart"/>
      <w:r w:rsidR="00410FB6" w:rsidRPr="00410FB6">
        <w:rPr>
          <w:i/>
          <w:iCs/>
        </w:rPr>
        <w:t>The</w:t>
      </w:r>
      <w:proofErr w:type="gramEnd"/>
      <w:r w:rsidR="00410FB6" w:rsidRPr="00410FB6">
        <w:rPr>
          <w:i/>
          <w:iCs/>
        </w:rPr>
        <w:t xml:space="preserve"> Celtic Myths: A Guide to the Ancient Gods and Legends</w:t>
      </w:r>
      <w:r w:rsidR="00410FB6" w:rsidRPr="00410FB6">
        <w:t xml:space="preserve"> (London, Thames and Hudson, 2015) pp. 77 - 8 </w:t>
      </w:r>
    </w:p>
  </w:footnote>
  <w:footnote w:id="36">
    <w:p w14:paraId="16603809" w14:textId="50F73F5D" w:rsidR="00410FB6" w:rsidRDefault="00410FB6">
      <w:pPr>
        <w:pStyle w:val="FootnoteText"/>
      </w:pPr>
      <w:r>
        <w:rPr>
          <w:rStyle w:val="FootnoteReference"/>
        </w:rPr>
        <w:footnoteRef/>
      </w:r>
      <w:r>
        <w:t xml:space="preserve"> Ibid</w:t>
      </w:r>
    </w:p>
  </w:footnote>
  <w:footnote w:id="37">
    <w:p w14:paraId="2C78E855" w14:textId="15BF669B" w:rsidR="00410FB6" w:rsidRDefault="00410FB6">
      <w:pPr>
        <w:pStyle w:val="FootnoteText"/>
      </w:pPr>
      <w:r>
        <w:rPr>
          <w:rStyle w:val="FootnoteReference"/>
        </w:rPr>
        <w:footnoteRef/>
      </w:r>
      <w:r>
        <w:t xml:space="preserve"> </w:t>
      </w:r>
      <w:r w:rsidR="00A72011" w:rsidRPr="00A72011">
        <w:t xml:space="preserve">I Anderson (ed) (K Meyer trans) </w:t>
      </w:r>
      <w:r w:rsidR="00A72011" w:rsidRPr="00A72011">
        <w:rPr>
          <w:i/>
          <w:iCs/>
        </w:rPr>
        <w:t xml:space="preserve">A Journey to the Immortal Isles: The Voyage of Bran, Son of Febal </w:t>
      </w:r>
      <w:r w:rsidR="00A72011" w:rsidRPr="00A72011">
        <w:t>(Newtownards, Pretani Press, 2018)</w:t>
      </w:r>
    </w:p>
  </w:footnote>
  <w:footnote w:id="38">
    <w:p w14:paraId="392AE6F7" w14:textId="58CA3AC7" w:rsidR="00410FB6" w:rsidRDefault="00410FB6">
      <w:pPr>
        <w:pStyle w:val="FootnoteText"/>
      </w:pPr>
      <w:r>
        <w:rPr>
          <w:rStyle w:val="FootnoteReference"/>
        </w:rPr>
        <w:footnoteRef/>
      </w:r>
      <w:r>
        <w:t xml:space="preserve"> </w:t>
      </w:r>
      <w:r w:rsidR="00A72011">
        <w:t xml:space="preserve">Aldhouse Green </w:t>
      </w:r>
      <w:proofErr w:type="spellStart"/>
      <w:r w:rsidR="00A72011">
        <w:t>loc.cit</w:t>
      </w:r>
      <w:proofErr w:type="spellEnd"/>
      <w:r w:rsidR="00A72011">
        <w:t xml:space="preserve">.; Johnston </w:t>
      </w:r>
      <w:proofErr w:type="spellStart"/>
      <w:r w:rsidR="00A72011">
        <w:t>op.cit</w:t>
      </w:r>
      <w:proofErr w:type="spellEnd"/>
      <w:r w:rsidR="00A72011">
        <w:t xml:space="preserve">. </w:t>
      </w:r>
    </w:p>
  </w:footnote>
  <w:footnote w:id="39">
    <w:p w14:paraId="0D12AF6C" w14:textId="4E71E6B5" w:rsidR="00A72011" w:rsidRDefault="00A72011">
      <w:pPr>
        <w:pStyle w:val="FootnoteText"/>
      </w:pPr>
      <w:r>
        <w:rPr>
          <w:rStyle w:val="FootnoteReference"/>
        </w:rPr>
        <w:footnoteRef/>
      </w:r>
      <w:r>
        <w:t xml:space="preserve"> </w:t>
      </w:r>
      <w:r w:rsidRPr="00A72011">
        <w:t xml:space="preserve">H. Fulton, ‘Arthur and Merlin in Early Welsh Literature: Fantasy and Magic Naturalism’ in H. Fulton (ed.) </w:t>
      </w:r>
      <w:r w:rsidRPr="00A72011">
        <w:rPr>
          <w:i/>
          <w:iCs/>
        </w:rPr>
        <w:t xml:space="preserve">A Companion to Arthurian Literature </w:t>
      </w:r>
      <w:r w:rsidRPr="00A72011">
        <w:t xml:space="preserve">(Oxford, Wiley – Blackwell, 2012) </w:t>
      </w:r>
      <w:r>
        <w:t>p.96</w:t>
      </w:r>
    </w:p>
  </w:footnote>
  <w:footnote w:id="40">
    <w:p w14:paraId="61A78D66" w14:textId="3B8CF8A3" w:rsidR="00A72011" w:rsidRDefault="00A72011">
      <w:pPr>
        <w:pStyle w:val="FootnoteText"/>
      </w:pPr>
      <w:r>
        <w:rPr>
          <w:rStyle w:val="FootnoteReference"/>
        </w:rPr>
        <w:footnoteRef/>
      </w:r>
      <w:r>
        <w:t xml:space="preserve"> Coe and Young op. </w:t>
      </w:r>
      <w:proofErr w:type="spellStart"/>
      <w:r>
        <w:t>cit</w:t>
      </w:r>
      <w:proofErr w:type="spellEnd"/>
      <w:r>
        <w:t xml:space="preserve"> pp.135 - 139</w:t>
      </w:r>
    </w:p>
  </w:footnote>
  <w:footnote w:id="41">
    <w:p w14:paraId="7F3D2AFC" w14:textId="3F6D5AD9" w:rsidR="00A72011" w:rsidRDefault="00A72011">
      <w:pPr>
        <w:pStyle w:val="FootnoteText"/>
      </w:pPr>
      <w:r>
        <w:rPr>
          <w:rStyle w:val="FootnoteReference"/>
        </w:rPr>
        <w:footnoteRef/>
      </w:r>
      <w:r>
        <w:t xml:space="preserve">  Jones </w:t>
      </w:r>
      <w:proofErr w:type="spellStart"/>
      <w:r>
        <w:t>op.cit</w:t>
      </w:r>
      <w:proofErr w:type="spellEnd"/>
      <w:r>
        <w:t>. pp.141 -3</w:t>
      </w:r>
    </w:p>
  </w:footnote>
  <w:footnote w:id="42">
    <w:p w14:paraId="583945CA" w14:textId="6CEB4301" w:rsidR="00012D96" w:rsidRDefault="00012D96">
      <w:pPr>
        <w:pStyle w:val="FootnoteText"/>
      </w:pPr>
      <w:r>
        <w:rPr>
          <w:rStyle w:val="FootnoteReference"/>
        </w:rPr>
        <w:footnoteRef/>
      </w:r>
      <w:r>
        <w:t xml:space="preserve"> Charles – Edwards </w:t>
      </w:r>
      <w:r w:rsidRPr="00012D96">
        <w:rPr>
          <w:i/>
          <w:iCs/>
        </w:rPr>
        <w:t>Early Welsh Arthurian Poems</w:t>
      </w:r>
      <w:r>
        <w:t xml:space="preserve"> op. cit. p.54</w:t>
      </w:r>
    </w:p>
  </w:footnote>
  <w:footnote w:id="43">
    <w:p w14:paraId="3CCD41B7" w14:textId="7936395B" w:rsidR="001571F4" w:rsidRDefault="001571F4">
      <w:pPr>
        <w:pStyle w:val="FootnoteText"/>
      </w:pPr>
      <w:r>
        <w:rPr>
          <w:rStyle w:val="FootnoteReference"/>
        </w:rPr>
        <w:footnoteRef/>
      </w:r>
      <w:r>
        <w:t xml:space="preserve"> Ibid; Jones </w:t>
      </w:r>
      <w:proofErr w:type="spellStart"/>
      <w:r>
        <w:t>op.cit</w:t>
      </w:r>
      <w:proofErr w:type="spellEnd"/>
      <w:r>
        <w:t xml:space="preserve"> p.141 </w:t>
      </w:r>
    </w:p>
  </w:footnote>
  <w:footnote w:id="44">
    <w:p w14:paraId="20082982" w14:textId="4AAEB560" w:rsidR="001571F4" w:rsidRDefault="001571F4">
      <w:pPr>
        <w:pStyle w:val="FootnoteText"/>
      </w:pPr>
      <w:r>
        <w:rPr>
          <w:rStyle w:val="FootnoteReference"/>
        </w:rPr>
        <w:footnoteRef/>
      </w:r>
      <w:r>
        <w:t xml:space="preserve"> Davies </w:t>
      </w:r>
      <w:r w:rsidRPr="00C06DAB">
        <w:rPr>
          <w:i/>
          <w:iCs/>
        </w:rPr>
        <w:t>Mabinogion</w:t>
      </w:r>
      <w:r>
        <w:t xml:space="preserve"> </w:t>
      </w:r>
      <w:proofErr w:type="spellStart"/>
      <w:r>
        <w:t>op.cit</w:t>
      </w:r>
      <w:proofErr w:type="spellEnd"/>
      <w:r>
        <w:t>. p. 48</w:t>
      </w:r>
    </w:p>
  </w:footnote>
  <w:footnote w:id="45">
    <w:p w14:paraId="1458D3EA" w14:textId="03BCBBAE" w:rsidR="00C06DAB" w:rsidRDefault="00C06DAB">
      <w:pPr>
        <w:pStyle w:val="FootnoteText"/>
      </w:pPr>
      <w:r>
        <w:rPr>
          <w:rStyle w:val="FootnoteReference"/>
        </w:rPr>
        <w:footnoteRef/>
      </w:r>
      <w:r>
        <w:t xml:space="preserve"> </w:t>
      </w:r>
      <w:bookmarkStart w:id="8" w:name="_Hlk29413734"/>
      <w:r>
        <w:t xml:space="preserve">Coe and Young </w:t>
      </w:r>
      <w:proofErr w:type="spellStart"/>
      <w:r>
        <w:t>op.cit</w:t>
      </w:r>
      <w:proofErr w:type="spellEnd"/>
      <w:r>
        <w:t>. pp 103 -107</w:t>
      </w:r>
      <w:bookmarkEnd w:id="8"/>
    </w:p>
  </w:footnote>
  <w:footnote w:id="46">
    <w:p w14:paraId="1513998E" w14:textId="16D07672" w:rsidR="001571F4" w:rsidRDefault="001571F4">
      <w:pPr>
        <w:pStyle w:val="FootnoteText"/>
      </w:pPr>
      <w:r>
        <w:rPr>
          <w:rStyle w:val="FootnoteReference"/>
        </w:rPr>
        <w:footnoteRef/>
      </w:r>
      <w:r>
        <w:t xml:space="preserve"> </w:t>
      </w:r>
      <w:r w:rsidR="00C06DAB" w:rsidRPr="00C06DAB">
        <w:t xml:space="preserve">Davies </w:t>
      </w:r>
      <w:r w:rsidR="00C06DAB" w:rsidRPr="00C06DAB">
        <w:rPr>
          <w:i/>
          <w:iCs/>
        </w:rPr>
        <w:t>Mabinogion</w:t>
      </w:r>
      <w:r w:rsidR="00C06DAB" w:rsidRPr="00C06DAB">
        <w:t xml:space="preserve"> </w:t>
      </w:r>
      <w:proofErr w:type="spellStart"/>
      <w:r w:rsidR="00C06DAB" w:rsidRPr="00C06DAB">
        <w:t>op.cit</w:t>
      </w:r>
      <w:proofErr w:type="spellEnd"/>
      <w:r w:rsidR="00C06DAB" w:rsidRPr="00C06DAB">
        <w:t xml:space="preserve">. </w:t>
      </w:r>
      <w:r>
        <w:t>pp. 62 -3</w:t>
      </w:r>
    </w:p>
  </w:footnote>
  <w:footnote w:id="47">
    <w:p w14:paraId="4294CA7E" w14:textId="0797C8F4" w:rsidR="001571F4" w:rsidRDefault="001571F4">
      <w:pPr>
        <w:pStyle w:val="FootnoteText"/>
      </w:pPr>
      <w:r>
        <w:rPr>
          <w:rStyle w:val="FootnoteReference"/>
        </w:rPr>
        <w:footnoteRef/>
      </w:r>
      <w:r>
        <w:t xml:space="preserve"> Sims -Williams </w:t>
      </w:r>
      <w:proofErr w:type="spellStart"/>
      <w:r>
        <w:t>op.cit</w:t>
      </w:r>
      <w:proofErr w:type="spellEnd"/>
      <w:r>
        <w:t>. p.58</w:t>
      </w:r>
    </w:p>
  </w:footnote>
  <w:footnote w:id="48">
    <w:p w14:paraId="030FFBED" w14:textId="1C45ECF4" w:rsidR="00C06DAB" w:rsidRDefault="00C06DAB">
      <w:pPr>
        <w:pStyle w:val="FootnoteText"/>
      </w:pPr>
      <w:r>
        <w:rPr>
          <w:rStyle w:val="FootnoteReference"/>
        </w:rPr>
        <w:footnoteRef/>
      </w:r>
      <w:r>
        <w:t xml:space="preserve"> </w:t>
      </w:r>
      <w:r w:rsidRPr="00C06DAB">
        <w:t xml:space="preserve">Coe and Young </w:t>
      </w:r>
      <w:proofErr w:type="spellStart"/>
      <w:r w:rsidRPr="00C06DAB">
        <w:t>op.cit</w:t>
      </w:r>
      <w:proofErr w:type="spellEnd"/>
      <w:r w:rsidRPr="00C06DAB">
        <w:t>. p</w:t>
      </w:r>
      <w:r>
        <w:t>.105</w:t>
      </w:r>
    </w:p>
  </w:footnote>
  <w:footnote w:id="49">
    <w:p w14:paraId="330BC6BE" w14:textId="1989276B" w:rsidR="00C06DAB" w:rsidRDefault="00C06DAB">
      <w:pPr>
        <w:pStyle w:val="FootnoteText"/>
      </w:pPr>
      <w:r>
        <w:rPr>
          <w:rStyle w:val="FootnoteReference"/>
        </w:rPr>
        <w:footnoteRef/>
      </w:r>
      <w:r>
        <w:t xml:space="preserve"> Ibid. p.103</w:t>
      </w:r>
    </w:p>
  </w:footnote>
  <w:footnote w:id="50">
    <w:p w14:paraId="38D24118" w14:textId="491970FE" w:rsidR="00C06DAB" w:rsidRDefault="00C06DAB">
      <w:pPr>
        <w:pStyle w:val="FootnoteText"/>
      </w:pPr>
      <w:r>
        <w:rPr>
          <w:rStyle w:val="FootnoteReference"/>
        </w:rPr>
        <w:footnoteRef/>
      </w:r>
      <w:r>
        <w:t xml:space="preserve"> Davies Mabinogion </w:t>
      </w:r>
      <w:proofErr w:type="spellStart"/>
      <w:r>
        <w:t>op.cit</w:t>
      </w:r>
      <w:proofErr w:type="spellEnd"/>
      <w:r>
        <w:t xml:space="preserve"> pp. 179 - 213</w:t>
      </w:r>
    </w:p>
  </w:footnote>
  <w:footnote w:id="51">
    <w:p w14:paraId="61300A62" w14:textId="293BD0B3" w:rsidR="002217CA" w:rsidRPr="002217CA" w:rsidRDefault="002217CA" w:rsidP="002217CA">
      <w:pPr>
        <w:pStyle w:val="FootnoteText"/>
      </w:pPr>
      <w:r>
        <w:rPr>
          <w:rStyle w:val="FootnoteReference"/>
        </w:rPr>
        <w:footnoteRef/>
      </w:r>
      <w:r>
        <w:t xml:space="preserve"> </w:t>
      </w:r>
      <w:r w:rsidRPr="002217CA">
        <w:t xml:space="preserve">O J Padel </w:t>
      </w:r>
      <w:r w:rsidRPr="002217CA">
        <w:rPr>
          <w:i/>
          <w:iCs/>
        </w:rPr>
        <w:t>Arthur in Medieval Welsh Literature</w:t>
      </w:r>
      <w:r w:rsidRPr="002217CA">
        <w:t xml:space="preserve"> (Writers of Wales) (Cardiff, University of Wales Press, 2</w:t>
      </w:r>
      <w:r w:rsidRPr="002217CA">
        <w:rPr>
          <w:vertAlign w:val="superscript"/>
        </w:rPr>
        <w:t>nd</w:t>
      </w:r>
      <w:r w:rsidRPr="002217CA">
        <w:t xml:space="preserve"> ed. 2013)</w:t>
      </w:r>
      <w:r>
        <w:t xml:space="preserve"> pp.11 -12; </w:t>
      </w:r>
      <w:r w:rsidRPr="002217CA">
        <w:t xml:space="preserve"> B.F. Roberts ‘</w:t>
      </w:r>
      <w:proofErr w:type="spellStart"/>
      <w:r w:rsidRPr="002217CA">
        <w:t>Culhwch</w:t>
      </w:r>
      <w:proofErr w:type="spellEnd"/>
      <w:r w:rsidRPr="002217CA">
        <w:t xml:space="preserve"> ac Olwen, the Triads, Saints Lives’ in R. Bromwich et.al (eds) </w:t>
      </w:r>
      <w:r w:rsidRPr="002217CA">
        <w:rPr>
          <w:i/>
          <w:iCs/>
        </w:rPr>
        <w:t xml:space="preserve">The Arthur of the Welsh: The Arthurian Legend in Medieval Welsh Literature </w:t>
      </w:r>
      <w:r w:rsidRPr="002217CA">
        <w:t xml:space="preserve">(Cardiff, University of Wales Press, 1995) pp. 73 - </w:t>
      </w:r>
      <w:r>
        <w:t>4</w:t>
      </w:r>
    </w:p>
    <w:p w14:paraId="146627C4" w14:textId="0B0B38B5" w:rsidR="002217CA" w:rsidRPr="002217CA" w:rsidRDefault="002217CA" w:rsidP="002217CA">
      <w:pPr>
        <w:pStyle w:val="FootnoteText"/>
      </w:pPr>
    </w:p>
    <w:p w14:paraId="5B72C67C" w14:textId="2E1043F9" w:rsidR="002217CA" w:rsidRDefault="002217CA">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373C60"/>
    <w:multiLevelType w:val="hybridMultilevel"/>
    <w:tmpl w:val="8E26C658"/>
    <w:lvl w:ilvl="0" w:tplc="C78CF9C4">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60543A"/>
    <w:multiLevelType w:val="hybridMultilevel"/>
    <w:tmpl w:val="EA685C7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7947B18"/>
    <w:multiLevelType w:val="hybridMultilevel"/>
    <w:tmpl w:val="42E4A0B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4D96D00"/>
    <w:multiLevelType w:val="hybridMultilevel"/>
    <w:tmpl w:val="AF8AC67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7C93F2F"/>
    <w:multiLevelType w:val="hybridMultilevel"/>
    <w:tmpl w:val="4780494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2C9D3AC0"/>
    <w:multiLevelType w:val="hybridMultilevel"/>
    <w:tmpl w:val="2F6C93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045647"/>
    <w:multiLevelType w:val="hybridMultilevel"/>
    <w:tmpl w:val="52AAC6EE"/>
    <w:lvl w:ilvl="0" w:tplc="440AC7A4">
      <w:start w:val="1"/>
      <w:numFmt w:val="upperRoman"/>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3A1F6D71"/>
    <w:multiLevelType w:val="hybridMultilevel"/>
    <w:tmpl w:val="BE9C2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07E759C"/>
    <w:multiLevelType w:val="hybridMultilevel"/>
    <w:tmpl w:val="D0B0ACC4"/>
    <w:lvl w:ilvl="0" w:tplc="4ABC639C">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1412E10"/>
    <w:multiLevelType w:val="hybridMultilevel"/>
    <w:tmpl w:val="9342B696"/>
    <w:lvl w:ilvl="0" w:tplc="7D84BA9C">
      <w:start w:val="1"/>
      <w:numFmt w:val="upperRoman"/>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46D75F16"/>
    <w:multiLevelType w:val="hybridMultilevel"/>
    <w:tmpl w:val="48C63862"/>
    <w:lvl w:ilvl="0" w:tplc="2438FF06">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9852589"/>
    <w:multiLevelType w:val="hybridMultilevel"/>
    <w:tmpl w:val="55FC2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ABD700D"/>
    <w:multiLevelType w:val="hybridMultilevel"/>
    <w:tmpl w:val="FF88B790"/>
    <w:lvl w:ilvl="0" w:tplc="8BD63A90">
      <w:start w:val="1"/>
      <w:numFmt w:val="upperRoman"/>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4E375936"/>
    <w:multiLevelType w:val="hybridMultilevel"/>
    <w:tmpl w:val="7E72767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5BED5C90"/>
    <w:multiLevelType w:val="hybridMultilevel"/>
    <w:tmpl w:val="865CF41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5EED6BAC"/>
    <w:multiLevelType w:val="hybridMultilevel"/>
    <w:tmpl w:val="E2A21F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CA54699"/>
    <w:multiLevelType w:val="hybridMultilevel"/>
    <w:tmpl w:val="63BEFB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70024383"/>
    <w:multiLevelType w:val="hybridMultilevel"/>
    <w:tmpl w:val="694E328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76061F62"/>
    <w:multiLevelType w:val="hybridMultilevel"/>
    <w:tmpl w:val="799863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77706446"/>
    <w:multiLevelType w:val="hybridMultilevel"/>
    <w:tmpl w:val="419A25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C2565C9"/>
    <w:multiLevelType w:val="hybridMultilevel"/>
    <w:tmpl w:val="57A258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8"/>
  </w:num>
  <w:num w:numId="2">
    <w:abstractNumId w:val="12"/>
  </w:num>
  <w:num w:numId="3">
    <w:abstractNumId w:val="0"/>
  </w:num>
  <w:num w:numId="4">
    <w:abstractNumId w:val="6"/>
  </w:num>
  <w:num w:numId="5">
    <w:abstractNumId w:val="9"/>
  </w:num>
  <w:num w:numId="6">
    <w:abstractNumId w:val="18"/>
  </w:num>
  <w:num w:numId="7">
    <w:abstractNumId w:val="11"/>
  </w:num>
  <w:num w:numId="8">
    <w:abstractNumId w:val="20"/>
  </w:num>
  <w:num w:numId="9">
    <w:abstractNumId w:val="19"/>
  </w:num>
  <w:num w:numId="10">
    <w:abstractNumId w:val="4"/>
  </w:num>
  <w:num w:numId="11">
    <w:abstractNumId w:val="14"/>
  </w:num>
  <w:num w:numId="12">
    <w:abstractNumId w:val="1"/>
  </w:num>
  <w:num w:numId="13">
    <w:abstractNumId w:val="2"/>
  </w:num>
  <w:num w:numId="14">
    <w:abstractNumId w:val="13"/>
  </w:num>
  <w:num w:numId="15">
    <w:abstractNumId w:val="3"/>
  </w:num>
  <w:num w:numId="16">
    <w:abstractNumId w:val="5"/>
  </w:num>
  <w:num w:numId="17">
    <w:abstractNumId w:val="16"/>
  </w:num>
  <w:num w:numId="18">
    <w:abstractNumId w:val="10"/>
  </w:num>
  <w:num w:numId="19">
    <w:abstractNumId w:val="15"/>
  </w:num>
  <w:num w:numId="20">
    <w:abstractNumId w:val="17"/>
  </w:num>
  <w:num w:numId="2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2579"/>
    <w:rsid w:val="0000046E"/>
    <w:rsid w:val="00003AD1"/>
    <w:rsid w:val="00012D96"/>
    <w:rsid w:val="0001704D"/>
    <w:rsid w:val="00022703"/>
    <w:rsid w:val="0003240B"/>
    <w:rsid w:val="00042579"/>
    <w:rsid w:val="0004284A"/>
    <w:rsid w:val="000668CA"/>
    <w:rsid w:val="00090D63"/>
    <w:rsid w:val="000B0456"/>
    <w:rsid w:val="000B4119"/>
    <w:rsid w:val="000B6F8C"/>
    <w:rsid w:val="000D0328"/>
    <w:rsid w:val="000D0510"/>
    <w:rsid w:val="000E0B0B"/>
    <w:rsid w:val="000F69DC"/>
    <w:rsid w:val="001078C1"/>
    <w:rsid w:val="00124594"/>
    <w:rsid w:val="001359D9"/>
    <w:rsid w:val="00142915"/>
    <w:rsid w:val="0014333E"/>
    <w:rsid w:val="0014387F"/>
    <w:rsid w:val="001571F4"/>
    <w:rsid w:val="00171EE2"/>
    <w:rsid w:val="0018446F"/>
    <w:rsid w:val="001B3DCD"/>
    <w:rsid w:val="001D2D90"/>
    <w:rsid w:val="001E3FCF"/>
    <w:rsid w:val="00213F3A"/>
    <w:rsid w:val="002217CA"/>
    <w:rsid w:val="00244E68"/>
    <w:rsid w:val="00263D77"/>
    <w:rsid w:val="00286577"/>
    <w:rsid w:val="00290152"/>
    <w:rsid w:val="002E2EC3"/>
    <w:rsid w:val="00301C1F"/>
    <w:rsid w:val="00306633"/>
    <w:rsid w:val="00321459"/>
    <w:rsid w:val="003341E5"/>
    <w:rsid w:val="00340059"/>
    <w:rsid w:val="00346D54"/>
    <w:rsid w:val="00371E1B"/>
    <w:rsid w:val="003932DA"/>
    <w:rsid w:val="003C485A"/>
    <w:rsid w:val="003F3797"/>
    <w:rsid w:val="00410FB6"/>
    <w:rsid w:val="004146EB"/>
    <w:rsid w:val="004355A2"/>
    <w:rsid w:val="00453237"/>
    <w:rsid w:val="004571C5"/>
    <w:rsid w:val="004E4E20"/>
    <w:rsid w:val="004F3E1B"/>
    <w:rsid w:val="004F7710"/>
    <w:rsid w:val="00502670"/>
    <w:rsid w:val="005106B6"/>
    <w:rsid w:val="00516571"/>
    <w:rsid w:val="00517575"/>
    <w:rsid w:val="0052158B"/>
    <w:rsid w:val="00521C86"/>
    <w:rsid w:val="00530870"/>
    <w:rsid w:val="0055531B"/>
    <w:rsid w:val="00566836"/>
    <w:rsid w:val="00582FD7"/>
    <w:rsid w:val="005B74B8"/>
    <w:rsid w:val="005E58CB"/>
    <w:rsid w:val="005E6835"/>
    <w:rsid w:val="005E7BF2"/>
    <w:rsid w:val="005F1382"/>
    <w:rsid w:val="006003AB"/>
    <w:rsid w:val="0060441D"/>
    <w:rsid w:val="00610092"/>
    <w:rsid w:val="00636829"/>
    <w:rsid w:val="00641837"/>
    <w:rsid w:val="0064209A"/>
    <w:rsid w:val="00647B30"/>
    <w:rsid w:val="00675B3B"/>
    <w:rsid w:val="00687A77"/>
    <w:rsid w:val="006A48E5"/>
    <w:rsid w:val="006A7F56"/>
    <w:rsid w:val="006C4146"/>
    <w:rsid w:val="006E60C8"/>
    <w:rsid w:val="00701A8F"/>
    <w:rsid w:val="00732909"/>
    <w:rsid w:val="007372B6"/>
    <w:rsid w:val="007426C4"/>
    <w:rsid w:val="007446C2"/>
    <w:rsid w:val="00771CD4"/>
    <w:rsid w:val="00772E55"/>
    <w:rsid w:val="00784F1E"/>
    <w:rsid w:val="007854FD"/>
    <w:rsid w:val="00793F6A"/>
    <w:rsid w:val="007B0468"/>
    <w:rsid w:val="007C1A4B"/>
    <w:rsid w:val="008025A5"/>
    <w:rsid w:val="00806483"/>
    <w:rsid w:val="008213C1"/>
    <w:rsid w:val="00835D22"/>
    <w:rsid w:val="00852B59"/>
    <w:rsid w:val="0088270C"/>
    <w:rsid w:val="008B0E5B"/>
    <w:rsid w:val="0091306A"/>
    <w:rsid w:val="00982610"/>
    <w:rsid w:val="00987CE1"/>
    <w:rsid w:val="009B0D46"/>
    <w:rsid w:val="009C24DC"/>
    <w:rsid w:val="009C3863"/>
    <w:rsid w:val="009D0461"/>
    <w:rsid w:val="009D16CC"/>
    <w:rsid w:val="009D621E"/>
    <w:rsid w:val="009F007D"/>
    <w:rsid w:val="009F6E30"/>
    <w:rsid w:val="00A20F92"/>
    <w:rsid w:val="00A27B14"/>
    <w:rsid w:val="00A31D83"/>
    <w:rsid w:val="00A427F0"/>
    <w:rsid w:val="00A47F76"/>
    <w:rsid w:val="00A72011"/>
    <w:rsid w:val="00A8001F"/>
    <w:rsid w:val="00AA1AF0"/>
    <w:rsid w:val="00AB01CC"/>
    <w:rsid w:val="00AC6435"/>
    <w:rsid w:val="00AD40A7"/>
    <w:rsid w:val="00AD78A5"/>
    <w:rsid w:val="00AE2C61"/>
    <w:rsid w:val="00AE6680"/>
    <w:rsid w:val="00AF2292"/>
    <w:rsid w:val="00B03A07"/>
    <w:rsid w:val="00B35D51"/>
    <w:rsid w:val="00B438E1"/>
    <w:rsid w:val="00B524EA"/>
    <w:rsid w:val="00B911AC"/>
    <w:rsid w:val="00C06DAB"/>
    <w:rsid w:val="00C33D22"/>
    <w:rsid w:val="00C43757"/>
    <w:rsid w:val="00C469B4"/>
    <w:rsid w:val="00C721DB"/>
    <w:rsid w:val="00C93D24"/>
    <w:rsid w:val="00CC01FB"/>
    <w:rsid w:val="00CE6B6C"/>
    <w:rsid w:val="00CF04C1"/>
    <w:rsid w:val="00D077A1"/>
    <w:rsid w:val="00D41450"/>
    <w:rsid w:val="00D63F2F"/>
    <w:rsid w:val="00D72A4C"/>
    <w:rsid w:val="00DD3CB3"/>
    <w:rsid w:val="00DD5370"/>
    <w:rsid w:val="00DD5988"/>
    <w:rsid w:val="00DD63D0"/>
    <w:rsid w:val="00DE4865"/>
    <w:rsid w:val="00DE7C99"/>
    <w:rsid w:val="00DF48EA"/>
    <w:rsid w:val="00E52C94"/>
    <w:rsid w:val="00E633CC"/>
    <w:rsid w:val="00E71318"/>
    <w:rsid w:val="00E81E4D"/>
    <w:rsid w:val="00E82EF8"/>
    <w:rsid w:val="00EA60B9"/>
    <w:rsid w:val="00EE77A5"/>
    <w:rsid w:val="00EE784A"/>
    <w:rsid w:val="00EF6313"/>
    <w:rsid w:val="00F019DC"/>
    <w:rsid w:val="00F073AC"/>
    <w:rsid w:val="00F14352"/>
    <w:rsid w:val="00F2381A"/>
    <w:rsid w:val="00F4045B"/>
    <w:rsid w:val="00F41D3E"/>
    <w:rsid w:val="00F72C71"/>
    <w:rsid w:val="00F75705"/>
    <w:rsid w:val="00F956FE"/>
    <w:rsid w:val="00FA1B09"/>
    <w:rsid w:val="00FA21E4"/>
    <w:rsid w:val="00FB111F"/>
    <w:rsid w:val="00FD11B7"/>
    <w:rsid w:val="00FD4D38"/>
    <w:rsid w:val="00FF17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79B194C"/>
  <w15:chartTrackingRefBased/>
  <w15:docId w15:val="{5A0C6086-3BD3-4E58-9029-30EEC94088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6F8C"/>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425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2579"/>
  </w:style>
  <w:style w:type="paragraph" w:styleId="Footer">
    <w:name w:val="footer"/>
    <w:basedOn w:val="Normal"/>
    <w:link w:val="FooterChar"/>
    <w:uiPriority w:val="99"/>
    <w:unhideWhenUsed/>
    <w:rsid w:val="000425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2579"/>
  </w:style>
  <w:style w:type="paragraph" w:styleId="ListParagraph">
    <w:name w:val="List Paragraph"/>
    <w:basedOn w:val="Normal"/>
    <w:uiPriority w:val="34"/>
    <w:qFormat/>
    <w:rsid w:val="00636829"/>
    <w:pPr>
      <w:ind w:left="720"/>
      <w:contextualSpacing/>
    </w:pPr>
  </w:style>
  <w:style w:type="paragraph" w:styleId="FootnoteText">
    <w:name w:val="footnote text"/>
    <w:basedOn w:val="Normal"/>
    <w:link w:val="FootnoteTextChar"/>
    <w:uiPriority w:val="99"/>
    <w:semiHidden/>
    <w:unhideWhenUsed/>
    <w:rsid w:val="00003AD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03AD1"/>
    <w:rPr>
      <w:sz w:val="20"/>
      <w:szCs w:val="20"/>
    </w:rPr>
  </w:style>
  <w:style w:type="character" w:styleId="FootnoteReference">
    <w:name w:val="footnote reference"/>
    <w:basedOn w:val="DefaultParagraphFont"/>
    <w:uiPriority w:val="99"/>
    <w:semiHidden/>
    <w:unhideWhenUsed/>
    <w:rsid w:val="00003AD1"/>
    <w:rPr>
      <w:vertAlign w:val="superscript"/>
    </w:rPr>
  </w:style>
  <w:style w:type="character" w:styleId="Hyperlink">
    <w:name w:val="Hyperlink"/>
    <w:basedOn w:val="DefaultParagraphFont"/>
    <w:uiPriority w:val="99"/>
    <w:unhideWhenUsed/>
    <w:rsid w:val="0014333E"/>
    <w:rPr>
      <w:color w:val="0563C1" w:themeColor="hyperlink"/>
      <w:u w:val="single"/>
    </w:rPr>
  </w:style>
  <w:style w:type="character" w:styleId="UnresolvedMention">
    <w:name w:val="Unresolved Mention"/>
    <w:basedOn w:val="DefaultParagraphFont"/>
    <w:uiPriority w:val="99"/>
    <w:semiHidden/>
    <w:unhideWhenUsed/>
    <w:rsid w:val="0014333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mailto:1705258@uwtsd.s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B3009C-C4B6-4AF7-B5B4-617925DB08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1935</TotalTime>
  <Pages>16</Pages>
  <Words>5255</Words>
  <Characters>29959</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Nick Pike</dc:creator>
  <cp:keywords/>
  <dc:description/>
  <cp:lastModifiedBy>Nick Pike</cp:lastModifiedBy>
  <cp:revision>19</cp:revision>
  <dcterms:created xsi:type="dcterms:W3CDTF">2019-12-13T21:30:00Z</dcterms:created>
  <dcterms:modified xsi:type="dcterms:W3CDTF">2020-01-08T22:55:00Z</dcterms:modified>
</cp:coreProperties>
</file>