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31341612"/>
    <w:p w14:paraId="1704FB88" w14:textId="37779537" w:rsidR="00BB77D6" w:rsidRDefault="00BB77D6" w:rsidP="00BB77D6">
      <w:pPr>
        <w:pStyle w:val="NormalWeb"/>
        <w:jc w:val="center"/>
        <w:rPr>
          <w:b/>
          <w:bCs/>
          <w:color w:val="000000"/>
          <w:sz w:val="44"/>
          <w:szCs w:val="44"/>
        </w:rPr>
      </w:pPr>
      <w:r>
        <w:fldChar w:fldCharType="begin"/>
      </w:r>
      <w:r>
        <w:instrText xml:space="preserve"> INCLUDEPICTURE "/Users/elisandreeatanko/Library/Group Containers/UBF8T346G9.ms/WebArchiveCopyPasteTempFiles/com.microsoft.Word/RiSmXcimnlDc9L+VSLuVSLuVSLuVSLuVSLuVSLuVSLuVSLuVSLuW08v8BGrFjURtirFcAAAAASUVORK5CYII=" \* MERGEFORMATINET </w:instrText>
      </w:r>
      <w:r>
        <w:fldChar w:fldCharType="separate"/>
      </w:r>
      <w:r>
        <w:rPr>
          <w:noProof/>
        </w:rPr>
        <w:drawing>
          <wp:inline distT="0" distB="0" distL="0" distR="0" wp14:anchorId="0171B801" wp14:editId="41D03C39">
            <wp:extent cx="2667000" cy="1063803"/>
            <wp:effectExtent l="0" t="0" r="0" b="3175"/>
            <wp:docPr id="1605314452"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4tM_aafCFeOEhbIPmI_jyAY_23"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16550" cy="1083567"/>
                    </a:xfrm>
                    <a:prstGeom prst="rect">
                      <a:avLst/>
                    </a:prstGeom>
                    <a:noFill/>
                    <a:ln>
                      <a:noFill/>
                    </a:ln>
                  </pic:spPr>
                </pic:pic>
              </a:graphicData>
            </a:graphic>
          </wp:inline>
        </w:drawing>
      </w:r>
      <w:r>
        <w:fldChar w:fldCharType="end"/>
      </w:r>
    </w:p>
    <w:p w14:paraId="668AEDF1" w14:textId="77777777" w:rsidR="00BB77D6" w:rsidRDefault="00BB77D6" w:rsidP="00BB77D6">
      <w:pPr>
        <w:pStyle w:val="NormalWeb"/>
        <w:jc w:val="center"/>
        <w:rPr>
          <w:b/>
          <w:bCs/>
          <w:color w:val="000000"/>
          <w:sz w:val="44"/>
          <w:szCs w:val="44"/>
        </w:rPr>
      </w:pPr>
    </w:p>
    <w:p w14:paraId="36EECD48" w14:textId="77777777" w:rsidR="00BB77D6" w:rsidRDefault="00BB77D6" w:rsidP="00BB77D6">
      <w:pPr>
        <w:pStyle w:val="NormalWeb"/>
        <w:jc w:val="center"/>
        <w:rPr>
          <w:b/>
          <w:bCs/>
          <w:color w:val="000000"/>
          <w:sz w:val="44"/>
          <w:szCs w:val="44"/>
        </w:rPr>
      </w:pPr>
    </w:p>
    <w:p w14:paraId="0542046A" w14:textId="4AF8695C" w:rsidR="00BB77D6" w:rsidRPr="00BB77D6" w:rsidRDefault="00BB77D6" w:rsidP="00BB77D6">
      <w:pPr>
        <w:pStyle w:val="NormalWeb"/>
        <w:jc w:val="center"/>
        <w:rPr>
          <w:b/>
          <w:bCs/>
          <w:color w:val="000000"/>
          <w:sz w:val="44"/>
          <w:szCs w:val="44"/>
        </w:rPr>
      </w:pPr>
      <w:r w:rsidRPr="00BB77D6">
        <w:rPr>
          <w:b/>
          <w:bCs/>
          <w:color w:val="000000"/>
          <w:sz w:val="44"/>
          <w:szCs w:val="44"/>
        </w:rPr>
        <w:t>Student Name:</w:t>
      </w:r>
      <w:r>
        <w:rPr>
          <w:b/>
          <w:bCs/>
          <w:color w:val="000000"/>
          <w:sz w:val="44"/>
          <w:szCs w:val="44"/>
        </w:rPr>
        <w:t xml:space="preserve"> Elis-Andreea Tanko</w:t>
      </w:r>
    </w:p>
    <w:p w14:paraId="50AFFA2C" w14:textId="4CAA12B8" w:rsidR="00BB77D6" w:rsidRDefault="00BB77D6" w:rsidP="00BB77D6">
      <w:pPr>
        <w:pStyle w:val="NormalWeb"/>
        <w:jc w:val="center"/>
        <w:rPr>
          <w:b/>
          <w:bCs/>
          <w:color w:val="000000"/>
          <w:sz w:val="44"/>
          <w:szCs w:val="44"/>
        </w:rPr>
      </w:pPr>
      <w:r w:rsidRPr="00BB77D6">
        <w:rPr>
          <w:b/>
          <w:bCs/>
          <w:color w:val="000000"/>
          <w:sz w:val="44"/>
          <w:szCs w:val="44"/>
        </w:rPr>
        <w:t>Student ID:</w:t>
      </w:r>
      <w:r>
        <w:rPr>
          <w:b/>
          <w:bCs/>
          <w:color w:val="000000"/>
          <w:sz w:val="44"/>
          <w:szCs w:val="44"/>
        </w:rPr>
        <w:t>2134085</w:t>
      </w:r>
    </w:p>
    <w:p w14:paraId="29F7FA75" w14:textId="77777777" w:rsidR="00BB77D6" w:rsidRPr="00BB77D6" w:rsidRDefault="00BB77D6" w:rsidP="00BB77D6">
      <w:pPr>
        <w:pStyle w:val="NormalWeb"/>
        <w:jc w:val="center"/>
        <w:rPr>
          <w:b/>
          <w:bCs/>
          <w:color w:val="000000"/>
          <w:sz w:val="44"/>
          <w:szCs w:val="44"/>
        </w:rPr>
      </w:pPr>
    </w:p>
    <w:p w14:paraId="0A1D5583" w14:textId="77777777" w:rsidR="00BB77D6" w:rsidRPr="00BB77D6" w:rsidRDefault="00BB77D6" w:rsidP="00BB77D6">
      <w:pPr>
        <w:pStyle w:val="NormalWeb"/>
        <w:jc w:val="center"/>
        <w:rPr>
          <w:b/>
          <w:bCs/>
          <w:color w:val="000000"/>
          <w:sz w:val="44"/>
          <w:szCs w:val="44"/>
        </w:rPr>
      </w:pPr>
      <w:r w:rsidRPr="00BB77D6">
        <w:rPr>
          <w:b/>
          <w:bCs/>
          <w:color w:val="000000"/>
          <w:sz w:val="44"/>
          <w:szCs w:val="44"/>
        </w:rPr>
        <w:t>Module Name: Strategic Management</w:t>
      </w:r>
    </w:p>
    <w:p w14:paraId="226628CE" w14:textId="77777777" w:rsidR="00BB77D6" w:rsidRDefault="00BB77D6" w:rsidP="00BB77D6">
      <w:pPr>
        <w:pStyle w:val="NormalWeb"/>
        <w:jc w:val="center"/>
        <w:rPr>
          <w:b/>
          <w:bCs/>
          <w:color w:val="000000"/>
          <w:sz w:val="44"/>
          <w:szCs w:val="44"/>
        </w:rPr>
      </w:pPr>
      <w:r w:rsidRPr="00BB77D6">
        <w:rPr>
          <w:b/>
          <w:bCs/>
          <w:color w:val="000000"/>
          <w:sz w:val="44"/>
          <w:szCs w:val="44"/>
        </w:rPr>
        <w:t>Module Code: LCLM6001</w:t>
      </w:r>
    </w:p>
    <w:p w14:paraId="04CCA775" w14:textId="77777777" w:rsidR="00BB77D6" w:rsidRPr="00BB77D6" w:rsidRDefault="00BB77D6" w:rsidP="00BB77D6">
      <w:pPr>
        <w:pStyle w:val="NormalWeb"/>
        <w:jc w:val="center"/>
        <w:rPr>
          <w:b/>
          <w:bCs/>
          <w:color w:val="000000"/>
          <w:sz w:val="44"/>
          <w:szCs w:val="44"/>
        </w:rPr>
      </w:pPr>
    </w:p>
    <w:p w14:paraId="443832BD" w14:textId="77777777" w:rsidR="00BB77D6" w:rsidRPr="00BB77D6" w:rsidRDefault="00BB77D6" w:rsidP="00BB77D6">
      <w:pPr>
        <w:pStyle w:val="NormalWeb"/>
        <w:jc w:val="center"/>
        <w:rPr>
          <w:b/>
          <w:bCs/>
          <w:color w:val="000000"/>
          <w:sz w:val="44"/>
          <w:szCs w:val="44"/>
        </w:rPr>
      </w:pPr>
      <w:r w:rsidRPr="00BB77D6">
        <w:rPr>
          <w:b/>
          <w:bCs/>
          <w:color w:val="000000"/>
          <w:sz w:val="44"/>
          <w:szCs w:val="44"/>
        </w:rPr>
        <w:t xml:space="preserve">Lecturer’s Name: Dr Laila </w:t>
      </w:r>
      <w:proofErr w:type="spellStart"/>
      <w:r w:rsidRPr="00BB77D6">
        <w:rPr>
          <w:b/>
          <w:bCs/>
          <w:color w:val="000000"/>
          <w:sz w:val="44"/>
          <w:szCs w:val="44"/>
        </w:rPr>
        <w:t>Maazouz</w:t>
      </w:r>
      <w:proofErr w:type="spellEnd"/>
    </w:p>
    <w:p w14:paraId="3AFF5693" w14:textId="77777777" w:rsidR="00BB77D6" w:rsidRPr="00BB77D6" w:rsidRDefault="00BB77D6" w:rsidP="00BB77D6">
      <w:pPr>
        <w:pStyle w:val="NormalWeb"/>
        <w:jc w:val="center"/>
        <w:rPr>
          <w:b/>
          <w:bCs/>
          <w:color w:val="000000"/>
          <w:sz w:val="44"/>
          <w:szCs w:val="44"/>
        </w:rPr>
      </w:pPr>
      <w:r w:rsidRPr="00BB77D6">
        <w:rPr>
          <w:b/>
          <w:bCs/>
          <w:color w:val="000000"/>
          <w:sz w:val="44"/>
          <w:szCs w:val="44"/>
        </w:rPr>
        <w:t>Strategic Management Report</w:t>
      </w:r>
    </w:p>
    <w:p w14:paraId="70A91E0A" w14:textId="77777777" w:rsidR="00BB77D6" w:rsidRPr="00BB77D6" w:rsidRDefault="00BB77D6" w:rsidP="00BB77D6">
      <w:pPr>
        <w:pStyle w:val="NormalWeb"/>
        <w:jc w:val="center"/>
        <w:rPr>
          <w:b/>
          <w:bCs/>
          <w:color w:val="000000"/>
          <w:sz w:val="44"/>
          <w:szCs w:val="44"/>
        </w:rPr>
      </w:pPr>
      <w:r w:rsidRPr="00BB77D6">
        <w:rPr>
          <w:b/>
          <w:bCs/>
          <w:color w:val="000000"/>
          <w:sz w:val="44"/>
          <w:szCs w:val="44"/>
        </w:rPr>
        <w:t>For</w:t>
      </w:r>
    </w:p>
    <w:p w14:paraId="22F26144" w14:textId="4BB8F426" w:rsidR="00BB77D6" w:rsidRPr="00BB77D6" w:rsidRDefault="00BB77D6" w:rsidP="00BB77D6">
      <w:pPr>
        <w:pStyle w:val="NormalWeb"/>
        <w:jc w:val="center"/>
        <w:rPr>
          <w:b/>
          <w:bCs/>
          <w:color w:val="000000"/>
          <w:sz w:val="44"/>
          <w:szCs w:val="44"/>
        </w:rPr>
      </w:pPr>
      <w:r>
        <w:rPr>
          <w:b/>
          <w:bCs/>
          <w:color w:val="000000"/>
          <w:sz w:val="44"/>
          <w:szCs w:val="44"/>
        </w:rPr>
        <w:t>IKEA</w:t>
      </w:r>
    </w:p>
    <w:p w14:paraId="0F4CCA73" w14:textId="59008C94" w:rsidR="0052598D" w:rsidRPr="0052598D" w:rsidRDefault="0052598D" w:rsidP="00BB77D6">
      <w:pPr>
        <w:spacing w:line="360" w:lineRule="auto"/>
        <w:jc w:val="right"/>
        <w:rPr>
          <w:rFonts w:ascii="Arial" w:eastAsia="Times New Roman" w:hAnsi="Arial" w:cs="Arial"/>
          <w:noProof/>
          <w:kern w:val="0"/>
          <w:sz w:val="20"/>
          <w:szCs w:val="20"/>
          <w:lang w:eastAsia="en-GB"/>
          <w14:ligatures w14:val="none"/>
        </w:rPr>
      </w:pPr>
      <w:r w:rsidRPr="0052598D">
        <w:rPr>
          <w:rFonts w:ascii="Arial" w:eastAsia="Times New Roman" w:hAnsi="Arial" w:cs="Arial"/>
          <w:noProof/>
          <w:kern w:val="0"/>
          <w:sz w:val="22"/>
          <w:szCs w:val="22"/>
          <w:lang w:eastAsia="en-GB"/>
          <w14:ligatures w14:val="none"/>
        </w:rPr>
        <w:br w:type="page"/>
      </w:r>
    </w:p>
    <w:p w14:paraId="0FFF5FF1" w14:textId="77777777" w:rsidR="0052598D" w:rsidRPr="0052598D" w:rsidRDefault="0052598D" w:rsidP="0052598D">
      <w:pPr>
        <w:spacing w:line="360" w:lineRule="auto"/>
        <w:jc w:val="both"/>
        <w:rPr>
          <w:rFonts w:ascii="Arial" w:eastAsia="Times New Roman" w:hAnsi="Arial" w:cs="Arial"/>
          <w:noProof/>
          <w:color w:val="0070C0"/>
          <w:kern w:val="0"/>
          <w:sz w:val="36"/>
          <w:szCs w:val="36"/>
          <w:lang w:eastAsia="en-GB"/>
          <w14:ligatures w14:val="none"/>
        </w:rPr>
      </w:pPr>
      <w:r w:rsidRPr="0052598D">
        <w:rPr>
          <w:rFonts w:ascii="Arial" w:eastAsia="Times New Roman" w:hAnsi="Arial" w:cs="Arial"/>
          <w:noProof/>
          <w:color w:val="0070C0"/>
          <w:kern w:val="0"/>
          <w:sz w:val="36"/>
          <w:szCs w:val="36"/>
          <w:lang w:eastAsia="en-GB"/>
          <w14:ligatures w14:val="none"/>
        </w:rPr>
        <w:lastRenderedPageBreak/>
        <w:t>Table of Contents</w:t>
      </w:r>
    </w:p>
    <w:sdt>
      <w:sdtPr>
        <w:rPr>
          <w:rFonts w:ascii="Arial" w:eastAsia="Times New Roman" w:hAnsi="Arial" w:cs="Arial"/>
          <w:noProof/>
          <w:kern w:val="0"/>
          <w:sz w:val="22"/>
          <w:szCs w:val="22"/>
          <w:lang w:eastAsia="en-GB"/>
          <w14:ligatures w14:val="none"/>
        </w:rPr>
        <w:id w:val="-524710385"/>
        <w:docPartObj>
          <w:docPartGallery w:val="Table of Contents"/>
          <w:docPartUnique/>
        </w:docPartObj>
      </w:sdtPr>
      <w:sdtContent>
        <w:p w14:paraId="7D20B031" w14:textId="2CB6BDC3" w:rsidR="00BD5B8B" w:rsidRDefault="0052598D">
          <w:pPr>
            <w:pStyle w:val="TOC1"/>
            <w:tabs>
              <w:tab w:val="right" w:pos="9350"/>
            </w:tabs>
            <w:rPr>
              <w:rFonts w:eastAsiaTheme="minorEastAsia"/>
              <w:noProof/>
              <w:lang w:eastAsia="en-GB"/>
            </w:rPr>
          </w:pPr>
          <w:r w:rsidRPr="0052598D">
            <w:rPr>
              <w:rFonts w:ascii="Arial" w:eastAsia="Times New Roman" w:hAnsi="Arial" w:cs="Arial"/>
              <w:noProof/>
              <w:kern w:val="0"/>
              <w:sz w:val="22"/>
              <w:szCs w:val="22"/>
              <w:lang w:eastAsia="en-GB"/>
              <w14:ligatures w14:val="none"/>
            </w:rPr>
            <w:fldChar w:fldCharType="begin"/>
          </w:r>
          <w:r w:rsidRPr="0052598D">
            <w:rPr>
              <w:rFonts w:ascii="Arial" w:eastAsia="Times New Roman" w:hAnsi="Arial" w:cs="Arial"/>
              <w:noProof/>
              <w:kern w:val="0"/>
              <w:sz w:val="22"/>
              <w:szCs w:val="22"/>
              <w:lang w:eastAsia="en-GB"/>
              <w14:ligatures w14:val="none"/>
            </w:rPr>
            <w:instrText xml:space="preserve"> TOC \h \u \z </w:instrText>
          </w:r>
          <w:r w:rsidRPr="0052598D">
            <w:rPr>
              <w:rFonts w:ascii="Arial" w:eastAsia="Times New Roman" w:hAnsi="Arial" w:cs="Arial"/>
              <w:noProof/>
              <w:kern w:val="0"/>
              <w:sz w:val="22"/>
              <w:szCs w:val="22"/>
              <w:lang w:eastAsia="en-GB"/>
              <w14:ligatures w14:val="none"/>
            </w:rPr>
            <w:fldChar w:fldCharType="separate"/>
          </w:r>
          <w:hyperlink w:anchor="_Toc215058187" w:history="1">
            <w:r w:rsidR="00BD5B8B" w:rsidRPr="00DA06AA">
              <w:rPr>
                <w:rStyle w:val="Hyperlink"/>
                <w:rFonts w:ascii="Arial" w:eastAsia="Times New Roman" w:hAnsi="Arial" w:cs="Arial"/>
                <w:noProof/>
                <w:kern w:val="0"/>
                <w:lang w:eastAsia="en-GB"/>
                <w14:ligatures w14:val="none"/>
              </w:rPr>
              <w:t>1. Executive Summary</w:t>
            </w:r>
            <w:r w:rsidR="00BD5B8B">
              <w:rPr>
                <w:noProof/>
                <w:webHidden/>
              </w:rPr>
              <w:tab/>
            </w:r>
            <w:r w:rsidR="00BD5B8B">
              <w:rPr>
                <w:noProof/>
                <w:webHidden/>
              </w:rPr>
              <w:fldChar w:fldCharType="begin"/>
            </w:r>
            <w:r w:rsidR="00BD5B8B">
              <w:rPr>
                <w:noProof/>
                <w:webHidden/>
              </w:rPr>
              <w:instrText xml:space="preserve"> PAGEREF _Toc215058187 \h </w:instrText>
            </w:r>
            <w:r w:rsidR="00BD5B8B">
              <w:rPr>
                <w:noProof/>
                <w:webHidden/>
              </w:rPr>
            </w:r>
            <w:r w:rsidR="00BD5B8B">
              <w:rPr>
                <w:noProof/>
                <w:webHidden/>
              </w:rPr>
              <w:fldChar w:fldCharType="separate"/>
            </w:r>
            <w:r w:rsidR="00BD5B8B">
              <w:rPr>
                <w:noProof/>
                <w:webHidden/>
              </w:rPr>
              <w:t>3</w:t>
            </w:r>
            <w:r w:rsidR="00BD5B8B">
              <w:rPr>
                <w:noProof/>
                <w:webHidden/>
              </w:rPr>
              <w:fldChar w:fldCharType="end"/>
            </w:r>
          </w:hyperlink>
        </w:p>
        <w:p w14:paraId="6A143A71" w14:textId="4A5A6576" w:rsidR="00BD5B8B" w:rsidRDefault="00BD5B8B">
          <w:pPr>
            <w:pStyle w:val="TOC1"/>
            <w:tabs>
              <w:tab w:val="right" w:pos="9350"/>
            </w:tabs>
            <w:rPr>
              <w:rFonts w:eastAsiaTheme="minorEastAsia"/>
              <w:noProof/>
              <w:lang w:eastAsia="en-GB"/>
            </w:rPr>
          </w:pPr>
          <w:hyperlink w:anchor="_Toc215058188" w:history="1">
            <w:r w:rsidRPr="00DA06AA">
              <w:rPr>
                <w:rStyle w:val="Hyperlink"/>
                <w:rFonts w:ascii="Arial" w:eastAsia="Times New Roman" w:hAnsi="Arial" w:cs="Arial"/>
                <w:noProof/>
                <w:kern w:val="0"/>
                <w:lang w:eastAsia="en-GB"/>
                <w14:ligatures w14:val="none"/>
              </w:rPr>
              <w:t>2. Introduction to the Organisation</w:t>
            </w:r>
            <w:r>
              <w:rPr>
                <w:noProof/>
                <w:webHidden/>
              </w:rPr>
              <w:tab/>
            </w:r>
            <w:r>
              <w:rPr>
                <w:noProof/>
                <w:webHidden/>
              </w:rPr>
              <w:fldChar w:fldCharType="begin"/>
            </w:r>
            <w:r>
              <w:rPr>
                <w:noProof/>
                <w:webHidden/>
              </w:rPr>
              <w:instrText xml:space="preserve"> PAGEREF _Toc215058188 \h </w:instrText>
            </w:r>
            <w:r>
              <w:rPr>
                <w:noProof/>
                <w:webHidden/>
              </w:rPr>
            </w:r>
            <w:r>
              <w:rPr>
                <w:noProof/>
                <w:webHidden/>
              </w:rPr>
              <w:fldChar w:fldCharType="separate"/>
            </w:r>
            <w:r>
              <w:rPr>
                <w:noProof/>
                <w:webHidden/>
              </w:rPr>
              <w:t>4</w:t>
            </w:r>
            <w:r>
              <w:rPr>
                <w:noProof/>
                <w:webHidden/>
              </w:rPr>
              <w:fldChar w:fldCharType="end"/>
            </w:r>
          </w:hyperlink>
        </w:p>
        <w:p w14:paraId="2512E5D5" w14:textId="541382C9" w:rsidR="00BD5B8B" w:rsidRDefault="00BD5B8B">
          <w:pPr>
            <w:pStyle w:val="TOC1"/>
            <w:tabs>
              <w:tab w:val="right" w:pos="9350"/>
            </w:tabs>
            <w:rPr>
              <w:rFonts w:eastAsiaTheme="minorEastAsia"/>
              <w:noProof/>
              <w:lang w:eastAsia="en-GB"/>
            </w:rPr>
          </w:pPr>
          <w:hyperlink w:anchor="_Toc215058189" w:history="1">
            <w:r w:rsidRPr="00DA06AA">
              <w:rPr>
                <w:rStyle w:val="Hyperlink"/>
                <w:rFonts w:ascii="Arial" w:eastAsia="Times New Roman" w:hAnsi="Arial" w:cs="Arial"/>
                <w:noProof/>
                <w:kern w:val="0"/>
                <w:lang w:eastAsia="en-GB"/>
                <w14:ligatures w14:val="none"/>
              </w:rPr>
              <w:t>3. Appraisal of the Current Strategic Direction</w:t>
            </w:r>
            <w:r>
              <w:rPr>
                <w:noProof/>
                <w:webHidden/>
              </w:rPr>
              <w:tab/>
            </w:r>
            <w:r>
              <w:rPr>
                <w:noProof/>
                <w:webHidden/>
              </w:rPr>
              <w:fldChar w:fldCharType="begin"/>
            </w:r>
            <w:r>
              <w:rPr>
                <w:noProof/>
                <w:webHidden/>
              </w:rPr>
              <w:instrText xml:space="preserve"> PAGEREF _Toc215058189 \h </w:instrText>
            </w:r>
            <w:r>
              <w:rPr>
                <w:noProof/>
                <w:webHidden/>
              </w:rPr>
            </w:r>
            <w:r>
              <w:rPr>
                <w:noProof/>
                <w:webHidden/>
              </w:rPr>
              <w:fldChar w:fldCharType="separate"/>
            </w:r>
            <w:r>
              <w:rPr>
                <w:noProof/>
                <w:webHidden/>
              </w:rPr>
              <w:t>4</w:t>
            </w:r>
            <w:r>
              <w:rPr>
                <w:noProof/>
                <w:webHidden/>
              </w:rPr>
              <w:fldChar w:fldCharType="end"/>
            </w:r>
          </w:hyperlink>
        </w:p>
        <w:p w14:paraId="6107DB9E" w14:textId="28E4E78E" w:rsidR="00BD5B8B" w:rsidRDefault="00BD5B8B">
          <w:pPr>
            <w:pStyle w:val="TOC1"/>
            <w:tabs>
              <w:tab w:val="right" w:pos="9350"/>
            </w:tabs>
            <w:rPr>
              <w:rFonts w:eastAsiaTheme="minorEastAsia"/>
              <w:noProof/>
              <w:lang w:eastAsia="en-GB"/>
            </w:rPr>
          </w:pPr>
          <w:hyperlink w:anchor="_Toc215058190" w:history="1">
            <w:r w:rsidRPr="00DA06AA">
              <w:rPr>
                <w:rStyle w:val="Hyperlink"/>
                <w:rFonts w:ascii="Arial" w:eastAsia="Times New Roman" w:hAnsi="Arial" w:cs="Arial"/>
                <w:noProof/>
                <w:kern w:val="0"/>
                <w:lang w:eastAsia="en-GB"/>
                <w14:ligatures w14:val="none"/>
              </w:rPr>
              <w:t xml:space="preserve">4. Environmental Scan &amp; </w:t>
            </w:r>
            <w:r w:rsidRPr="00DA06AA">
              <w:rPr>
                <w:rStyle w:val="Hyperlink"/>
                <w:rFonts w:ascii="Arial" w:eastAsiaTheme="majorEastAsia" w:hAnsi="Arial" w:cs="Arial"/>
                <w:noProof/>
                <w:kern w:val="0"/>
                <w:lang w:eastAsia="en-GB"/>
                <w14:ligatures w14:val="none"/>
              </w:rPr>
              <w:t>Competitive</w:t>
            </w:r>
            <w:r w:rsidRPr="00DA06AA">
              <w:rPr>
                <w:rStyle w:val="Hyperlink"/>
                <w:rFonts w:ascii="Arial" w:eastAsia="Times New Roman" w:hAnsi="Arial" w:cs="Arial"/>
                <w:noProof/>
                <w:kern w:val="0"/>
                <w:lang w:eastAsia="en-GB"/>
                <w14:ligatures w14:val="none"/>
              </w:rPr>
              <w:t xml:space="preserve"> Positioning</w:t>
            </w:r>
            <w:r>
              <w:rPr>
                <w:noProof/>
                <w:webHidden/>
              </w:rPr>
              <w:tab/>
            </w:r>
            <w:r>
              <w:rPr>
                <w:noProof/>
                <w:webHidden/>
              </w:rPr>
              <w:fldChar w:fldCharType="begin"/>
            </w:r>
            <w:r>
              <w:rPr>
                <w:noProof/>
                <w:webHidden/>
              </w:rPr>
              <w:instrText xml:space="preserve"> PAGEREF _Toc215058190 \h </w:instrText>
            </w:r>
            <w:r>
              <w:rPr>
                <w:noProof/>
                <w:webHidden/>
              </w:rPr>
            </w:r>
            <w:r>
              <w:rPr>
                <w:noProof/>
                <w:webHidden/>
              </w:rPr>
              <w:fldChar w:fldCharType="separate"/>
            </w:r>
            <w:r>
              <w:rPr>
                <w:noProof/>
                <w:webHidden/>
              </w:rPr>
              <w:t>5</w:t>
            </w:r>
            <w:r>
              <w:rPr>
                <w:noProof/>
                <w:webHidden/>
              </w:rPr>
              <w:fldChar w:fldCharType="end"/>
            </w:r>
          </w:hyperlink>
        </w:p>
        <w:p w14:paraId="058121EE" w14:textId="65D71A2B" w:rsidR="00BD5B8B" w:rsidRDefault="00BD5B8B">
          <w:pPr>
            <w:pStyle w:val="TOC2"/>
            <w:tabs>
              <w:tab w:val="right" w:pos="9350"/>
            </w:tabs>
            <w:rPr>
              <w:rFonts w:eastAsiaTheme="minorEastAsia"/>
              <w:noProof/>
              <w:lang w:eastAsia="en-GB"/>
            </w:rPr>
          </w:pPr>
          <w:hyperlink w:anchor="_Toc215058191" w:history="1">
            <w:r w:rsidRPr="00DA06AA">
              <w:rPr>
                <w:rStyle w:val="Hyperlink"/>
                <w:rFonts w:ascii="Arial" w:eastAsia="Times New Roman" w:hAnsi="Arial" w:cs="Arial"/>
                <w:noProof/>
                <w:kern w:val="0"/>
                <w:lang w:eastAsia="en-GB"/>
                <w14:ligatures w14:val="none"/>
              </w:rPr>
              <w:t xml:space="preserve">4.1 PESTEL </w:t>
            </w:r>
            <w:r w:rsidRPr="00DA06AA">
              <w:rPr>
                <w:rStyle w:val="Hyperlink"/>
                <w:rFonts w:ascii="Arial" w:eastAsiaTheme="majorEastAsia" w:hAnsi="Arial" w:cs="Arial"/>
                <w:noProof/>
                <w:kern w:val="0"/>
                <w:lang w:eastAsia="en-GB"/>
                <w14:ligatures w14:val="none"/>
              </w:rPr>
              <w:t>Analysis</w:t>
            </w:r>
            <w:r>
              <w:rPr>
                <w:noProof/>
                <w:webHidden/>
              </w:rPr>
              <w:tab/>
            </w:r>
            <w:r>
              <w:rPr>
                <w:noProof/>
                <w:webHidden/>
              </w:rPr>
              <w:fldChar w:fldCharType="begin"/>
            </w:r>
            <w:r>
              <w:rPr>
                <w:noProof/>
                <w:webHidden/>
              </w:rPr>
              <w:instrText xml:space="preserve"> PAGEREF _Toc215058191 \h </w:instrText>
            </w:r>
            <w:r>
              <w:rPr>
                <w:noProof/>
                <w:webHidden/>
              </w:rPr>
            </w:r>
            <w:r>
              <w:rPr>
                <w:noProof/>
                <w:webHidden/>
              </w:rPr>
              <w:fldChar w:fldCharType="separate"/>
            </w:r>
            <w:r>
              <w:rPr>
                <w:noProof/>
                <w:webHidden/>
              </w:rPr>
              <w:t>5</w:t>
            </w:r>
            <w:r>
              <w:rPr>
                <w:noProof/>
                <w:webHidden/>
              </w:rPr>
              <w:fldChar w:fldCharType="end"/>
            </w:r>
          </w:hyperlink>
        </w:p>
        <w:p w14:paraId="45FF5FA8" w14:textId="08A59667" w:rsidR="00BD5B8B" w:rsidRDefault="00BD5B8B">
          <w:pPr>
            <w:pStyle w:val="TOC2"/>
            <w:tabs>
              <w:tab w:val="right" w:pos="9350"/>
            </w:tabs>
            <w:rPr>
              <w:rFonts w:eastAsiaTheme="minorEastAsia"/>
              <w:noProof/>
              <w:lang w:eastAsia="en-GB"/>
            </w:rPr>
          </w:pPr>
          <w:hyperlink w:anchor="_Toc215058192" w:history="1">
            <w:r w:rsidRPr="00DA06AA">
              <w:rPr>
                <w:rStyle w:val="Hyperlink"/>
                <w:rFonts w:ascii="Arial" w:eastAsia="Times New Roman" w:hAnsi="Arial" w:cs="Arial"/>
                <w:noProof/>
                <w:kern w:val="0"/>
                <w:lang w:eastAsia="en-GB"/>
                <w14:ligatures w14:val="none"/>
              </w:rPr>
              <w:t>4.2 Porter’s Five Forces</w:t>
            </w:r>
            <w:r>
              <w:rPr>
                <w:noProof/>
                <w:webHidden/>
              </w:rPr>
              <w:tab/>
            </w:r>
            <w:r>
              <w:rPr>
                <w:noProof/>
                <w:webHidden/>
              </w:rPr>
              <w:fldChar w:fldCharType="begin"/>
            </w:r>
            <w:r>
              <w:rPr>
                <w:noProof/>
                <w:webHidden/>
              </w:rPr>
              <w:instrText xml:space="preserve"> PAGEREF _Toc215058192 \h </w:instrText>
            </w:r>
            <w:r>
              <w:rPr>
                <w:noProof/>
                <w:webHidden/>
              </w:rPr>
            </w:r>
            <w:r>
              <w:rPr>
                <w:noProof/>
                <w:webHidden/>
              </w:rPr>
              <w:fldChar w:fldCharType="separate"/>
            </w:r>
            <w:r>
              <w:rPr>
                <w:noProof/>
                <w:webHidden/>
              </w:rPr>
              <w:t>7</w:t>
            </w:r>
            <w:r>
              <w:rPr>
                <w:noProof/>
                <w:webHidden/>
              </w:rPr>
              <w:fldChar w:fldCharType="end"/>
            </w:r>
          </w:hyperlink>
        </w:p>
        <w:p w14:paraId="710592B6" w14:textId="579E0FE6" w:rsidR="00BD5B8B" w:rsidRDefault="00BD5B8B">
          <w:pPr>
            <w:pStyle w:val="TOC2"/>
            <w:tabs>
              <w:tab w:val="right" w:pos="9350"/>
            </w:tabs>
            <w:rPr>
              <w:rFonts w:eastAsiaTheme="minorEastAsia"/>
              <w:noProof/>
              <w:lang w:eastAsia="en-GB"/>
            </w:rPr>
          </w:pPr>
          <w:hyperlink w:anchor="_Toc215058193" w:history="1">
            <w:r w:rsidRPr="00DA06AA">
              <w:rPr>
                <w:rStyle w:val="Hyperlink"/>
                <w:rFonts w:ascii="Arial" w:eastAsia="Times New Roman" w:hAnsi="Arial" w:cs="Arial"/>
                <w:noProof/>
                <w:kern w:val="0"/>
                <w:lang w:eastAsia="en-GB"/>
                <w14:ligatures w14:val="none"/>
              </w:rPr>
              <w:t>4.3 SWOT Analysis</w:t>
            </w:r>
            <w:r>
              <w:rPr>
                <w:noProof/>
                <w:webHidden/>
              </w:rPr>
              <w:tab/>
            </w:r>
            <w:r>
              <w:rPr>
                <w:noProof/>
                <w:webHidden/>
              </w:rPr>
              <w:fldChar w:fldCharType="begin"/>
            </w:r>
            <w:r>
              <w:rPr>
                <w:noProof/>
                <w:webHidden/>
              </w:rPr>
              <w:instrText xml:space="preserve"> PAGEREF _Toc215058193 \h </w:instrText>
            </w:r>
            <w:r>
              <w:rPr>
                <w:noProof/>
                <w:webHidden/>
              </w:rPr>
            </w:r>
            <w:r>
              <w:rPr>
                <w:noProof/>
                <w:webHidden/>
              </w:rPr>
              <w:fldChar w:fldCharType="separate"/>
            </w:r>
            <w:r>
              <w:rPr>
                <w:noProof/>
                <w:webHidden/>
              </w:rPr>
              <w:t>9</w:t>
            </w:r>
            <w:r>
              <w:rPr>
                <w:noProof/>
                <w:webHidden/>
              </w:rPr>
              <w:fldChar w:fldCharType="end"/>
            </w:r>
          </w:hyperlink>
        </w:p>
        <w:p w14:paraId="7DDA326B" w14:textId="6F0F0338" w:rsidR="00BD5B8B" w:rsidRDefault="00BD5B8B">
          <w:pPr>
            <w:pStyle w:val="TOC2"/>
            <w:tabs>
              <w:tab w:val="right" w:pos="9350"/>
            </w:tabs>
            <w:rPr>
              <w:rFonts w:eastAsiaTheme="minorEastAsia"/>
              <w:noProof/>
              <w:lang w:eastAsia="en-GB"/>
            </w:rPr>
          </w:pPr>
          <w:hyperlink w:anchor="_Toc215058194" w:history="1">
            <w:r w:rsidRPr="00DA06AA">
              <w:rPr>
                <w:rStyle w:val="Hyperlink"/>
                <w:rFonts w:ascii="Arial" w:eastAsia="Times New Roman" w:hAnsi="Arial" w:cs="Arial"/>
                <w:noProof/>
                <w:kern w:val="0"/>
                <w:lang w:eastAsia="en-GB"/>
                <w14:ligatures w14:val="none"/>
              </w:rPr>
              <w:t>4.4 Competitive Positioning Summary</w:t>
            </w:r>
            <w:r>
              <w:rPr>
                <w:noProof/>
                <w:webHidden/>
              </w:rPr>
              <w:tab/>
            </w:r>
            <w:r>
              <w:rPr>
                <w:noProof/>
                <w:webHidden/>
              </w:rPr>
              <w:fldChar w:fldCharType="begin"/>
            </w:r>
            <w:r>
              <w:rPr>
                <w:noProof/>
                <w:webHidden/>
              </w:rPr>
              <w:instrText xml:space="preserve"> PAGEREF _Toc215058194 \h </w:instrText>
            </w:r>
            <w:r>
              <w:rPr>
                <w:noProof/>
                <w:webHidden/>
              </w:rPr>
            </w:r>
            <w:r>
              <w:rPr>
                <w:noProof/>
                <w:webHidden/>
              </w:rPr>
              <w:fldChar w:fldCharType="separate"/>
            </w:r>
            <w:r>
              <w:rPr>
                <w:noProof/>
                <w:webHidden/>
              </w:rPr>
              <w:t>10</w:t>
            </w:r>
            <w:r>
              <w:rPr>
                <w:noProof/>
                <w:webHidden/>
              </w:rPr>
              <w:fldChar w:fldCharType="end"/>
            </w:r>
          </w:hyperlink>
        </w:p>
        <w:p w14:paraId="36CD3F10" w14:textId="0E7126D8" w:rsidR="00BD5B8B" w:rsidRDefault="00BD5B8B">
          <w:pPr>
            <w:pStyle w:val="TOC1"/>
            <w:tabs>
              <w:tab w:val="right" w:pos="9350"/>
            </w:tabs>
            <w:rPr>
              <w:rFonts w:eastAsiaTheme="minorEastAsia"/>
              <w:noProof/>
              <w:lang w:eastAsia="en-GB"/>
            </w:rPr>
          </w:pPr>
          <w:hyperlink w:anchor="_Toc215058195" w:history="1">
            <w:r w:rsidRPr="00DA06AA">
              <w:rPr>
                <w:rStyle w:val="Hyperlink"/>
                <w:rFonts w:ascii="Arial" w:eastAsia="Times New Roman" w:hAnsi="Arial" w:cs="Arial"/>
                <w:noProof/>
                <w:kern w:val="0"/>
                <w:lang w:eastAsia="en-GB"/>
                <w14:ligatures w14:val="none"/>
              </w:rPr>
              <w:t>5. Strategic Growth Choices &amp; New Sustainable Strategy: Ansoff and BCG</w:t>
            </w:r>
            <w:r>
              <w:rPr>
                <w:noProof/>
                <w:webHidden/>
              </w:rPr>
              <w:tab/>
            </w:r>
            <w:r>
              <w:rPr>
                <w:noProof/>
                <w:webHidden/>
              </w:rPr>
              <w:fldChar w:fldCharType="begin"/>
            </w:r>
            <w:r>
              <w:rPr>
                <w:noProof/>
                <w:webHidden/>
              </w:rPr>
              <w:instrText xml:space="preserve"> PAGEREF _Toc215058195 \h </w:instrText>
            </w:r>
            <w:r>
              <w:rPr>
                <w:noProof/>
                <w:webHidden/>
              </w:rPr>
            </w:r>
            <w:r>
              <w:rPr>
                <w:noProof/>
                <w:webHidden/>
              </w:rPr>
              <w:fldChar w:fldCharType="separate"/>
            </w:r>
            <w:r>
              <w:rPr>
                <w:noProof/>
                <w:webHidden/>
              </w:rPr>
              <w:t>11</w:t>
            </w:r>
            <w:r>
              <w:rPr>
                <w:noProof/>
                <w:webHidden/>
              </w:rPr>
              <w:fldChar w:fldCharType="end"/>
            </w:r>
          </w:hyperlink>
        </w:p>
        <w:p w14:paraId="7AF91CF4" w14:textId="01E020CC" w:rsidR="00BD5B8B" w:rsidRDefault="00BD5B8B">
          <w:pPr>
            <w:pStyle w:val="TOC1"/>
            <w:tabs>
              <w:tab w:val="right" w:pos="9350"/>
            </w:tabs>
            <w:rPr>
              <w:rFonts w:eastAsiaTheme="minorEastAsia"/>
              <w:noProof/>
              <w:lang w:eastAsia="en-GB"/>
            </w:rPr>
          </w:pPr>
          <w:hyperlink w:anchor="_Toc215058196" w:history="1">
            <w:r w:rsidRPr="00DA06AA">
              <w:rPr>
                <w:rStyle w:val="Hyperlink"/>
                <w:rFonts w:ascii="Arial" w:eastAsia="Times New Roman" w:hAnsi="Arial" w:cs="Arial"/>
                <w:noProof/>
                <w:kern w:val="0"/>
                <w:lang w:eastAsia="en-GB"/>
                <w14:ligatures w14:val="none"/>
              </w:rPr>
              <w:t>6. Stakeholder Analysis</w:t>
            </w:r>
            <w:r>
              <w:rPr>
                <w:noProof/>
                <w:webHidden/>
              </w:rPr>
              <w:tab/>
            </w:r>
            <w:r>
              <w:rPr>
                <w:noProof/>
                <w:webHidden/>
              </w:rPr>
              <w:fldChar w:fldCharType="begin"/>
            </w:r>
            <w:r>
              <w:rPr>
                <w:noProof/>
                <w:webHidden/>
              </w:rPr>
              <w:instrText xml:space="preserve"> PAGEREF _Toc215058196 \h </w:instrText>
            </w:r>
            <w:r>
              <w:rPr>
                <w:noProof/>
                <w:webHidden/>
              </w:rPr>
            </w:r>
            <w:r>
              <w:rPr>
                <w:noProof/>
                <w:webHidden/>
              </w:rPr>
              <w:fldChar w:fldCharType="separate"/>
            </w:r>
            <w:r>
              <w:rPr>
                <w:noProof/>
                <w:webHidden/>
              </w:rPr>
              <w:t>13</w:t>
            </w:r>
            <w:r>
              <w:rPr>
                <w:noProof/>
                <w:webHidden/>
              </w:rPr>
              <w:fldChar w:fldCharType="end"/>
            </w:r>
          </w:hyperlink>
        </w:p>
        <w:p w14:paraId="41D8BC2B" w14:textId="60CC2822" w:rsidR="00BD5B8B" w:rsidRDefault="00BD5B8B">
          <w:pPr>
            <w:pStyle w:val="TOC1"/>
            <w:tabs>
              <w:tab w:val="right" w:pos="9350"/>
            </w:tabs>
            <w:rPr>
              <w:rFonts w:eastAsiaTheme="minorEastAsia"/>
              <w:noProof/>
              <w:lang w:eastAsia="en-GB"/>
            </w:rPr>
          </w:pPr>
          <w:hyperlink w:anchor="_Toc215058197" w:history="1">
            <w:r w:rsidRPr="00DA06AA">
              <w:rPr>
                <w:rStyle w:val="Hyperlink"/>
                <w:rFonts w:ascii="Arial" w:eastAsia="Times New Roman" w:hAnsi="Arial" w:cs="Arial"/>
                <w:noProof/>
                <w:kern w:val="0"/>
                <w:lang w:eastAsia="en-GB"/>
                <w14:ligatures w14:val="none"/>
              </w:rPr>
              <w:t>7. Strategic Recommendations</w:t>
            </w:r>
            <w:r>
              <w:rPr>
                <w:noProof/>
                <w:webHidden/>
              </w:rPr>
              <w:tab/>
            </w:r>
            <w:r>
              <w:rPr>
                <w:noProof/>
                <w:webHidden/>
              </w:rPr>
              <w:fldChar w:fldCharType="begin"/>
            </w:r>
            <w:r>
              <w:rPr>
                <w:noProof/>
                <w:webHidden/>
              </w:rPr>
              <w:instrText xml:space="preserve"> PAGEREF _Toc215058197 \h </w:instrText>
            </w:r>
            <w:r>
              <w:rPr>
                <w:noProof/>
                <w:webHidden/>
              </w:rPr>
            </w:r>
            <w:r>
              <w:rPr>
                <w:noProof/>
                <w:webHidden/>
              </w:rPr>
              <w:fldChar w:fldCharType="separate"/>
            </w:r>
            <w:r>
              <w:rPr>
                <w:noProof/>
                <w:webHidden/>
              </w:rPr>
              <w:t>14</w:t>
            </w:r>
            <w:r>
              <w:rPr>
                <w:noProof/>
                <w:webHidden/>
              </w:rPr>
              <w:fldChar w:fldCharType="end"/>
            </w:r>
          </w:hyperlink>
        </w:p>
        <w:p w14:paraId="32B79D75" w14:textId="0C10D9F9" w:rsidR="00BD5B8B" w:rsidRDefault="00BD5B8B">
          <w:pPr>
            <w:pStyle w:val="TOC1"/>
            <w:tabs>
              <w:tab w:val="right" w:pos="9350"/>
            </w:tabs>
            <w:rPr>
              <w:rFonts w:eastAsiaTheme="minorEastAsia"/>
              <w:noProof/>
              <w:lang w:eastAsia="en-GB"/>
            </w:rPr>
          </w:pPr>
          <w:hyperlink w:anchor="_Toc215058198" w:history="1">
            <w:r w:rsidRPr="00DA06AA">
              <w:rPr>
                <w:rStyle w:val="Hyperlink"/>
                <w:rFonts w:ascii="Arial" w:eastAsia="Times New Roman" w:hAnsi="Arial" w:cs="Arial"/>
                <w:noProof/>
                <w:kern w:val="0"/>
                <w:lang w:eastAsia="en-GB"/>
                <w14:ligatures w14:val="none"/>
              </w:rPr>
              <w:t>8. Conclusion</w:t>
            </w:r>
            <w:r>
              <w:rPr>
                <w:noProof/>
                <w:webHidden/>
              </w:rPr>
              <w:tab/>
            </w:r>
            <w:r>
              <w:rPr>
                <w:noProof/>
                <w:webHidden/>
              </w:rPr>
              <w:fldChar w:fldCharType="begin"/>
            </w:r>
            <w:r>
              <w:rPr>
                <w:noProof/>
                <w:webHidden/>
              </w:rPr>
              <w:instrText xml:space="preserve"> PAGEREF _Toc215058198 \h </w:instrText>
            </w:r>
            <w:r>
              <w:rPr>
                <w:noProof/>
                <w:webHidden/>
              </w:rPr>
            </w:r>
            <w:r>
              <w:rPr>
                <w:noProof/>
                <w:webHidden/>
              </w:rPr>
              <w:fldChar w:fldCharType="separate"/>
            </w:r>
            <w:r>
              <w:rPr>
                <w:noProof/>
                <w:webHidden/>
              </w:rPr>
              <w:t>15</w:t>
            </w:r>
            <w:r>
              <w:rPr>
                <w:noProof/>
                <w:webHidden/>
              </w:rPr>
              <w:fldChar w:fldCharType="end"/>
            </w:r>
          </w:hyperlink>
        </w:p>
        <w:p w14:paraId="49205131" w14:textId="09C8CCAF" w:rsidR="00BD5B8B" w:rsidRDefault="00BD5B8B">
          <w:pPr>
            <w:pStyle w:val="TOC1"/>
            <w:tabs>
              <w:tab w:val="right" w:pos="9350"/>
            </w:tabs>
            <w:rPr>
              <w:rFonts w:eastAsiaTheme="minorEastAsia"/>
              <w:noProof/>
              <w:lang w:eastAsia="en-GB"/>
            </w:rPr>
          </w:pPr>
          <w:hyperlink w:anchor="_Toc215058199" w:history="1">
            <w:r w:rsidRPr="00DA06AA">
              <w:rPr>
                <w:rStyle w:val="Hyperlink"/>
                <w:rFonts w:ascii="Arial" w:eastAsia="Times New Roman" w:hAnsi="Arial" w:cs="Arial"/>
                <w:noProof/>
                <w:kern w:val="0"/>
                <w:lang w:eastAsia="en-GB"/>
                <w14:ligatures w14:val="none"/>
              </w:rPr>
              <w:t>References</w:t>
            </w:r>
            <w:r>
              <w:rPr>
                <w:noProof/>
                <w:webHidden/>
              </w:rPr>
              <w:tab/>
            </w:r>
            <w:r>
              <w:rPr>
                <w:noProof/>
                <w:webHidden/>
              </w:rPr>
              <w:fldChar w:fldCharType="begin"/>
            </w:r>
            <w:r>
              <w:rPr>
                <w:noProof/>
                <w:webHidden/>
              </w:rPr>
              <w:instrText xml:space="preserve"> PAGEREF _Toc215058199 \h </w:instrText>
            </w:r>
            <w:r>
              <w:rPr>
                <w:noProof/>
                <w:webHidden/>
              </w:rPr>
            </w:r>
            <w:r>
              <w:rPr>
                <w:noProof/>
                <w:webHidden/>
              </w:rPr>
              <w:fldChar w:fldCharType="separate"/>
            </w:r>
            <w:r>
              <w:rPr>
                <w:noProof/>
                <w:webHidden/>
              </w:rPr>
              <w:t>16</w:t>
            </w:r>
            <w:r>
              <w:rPr>
                <w:noProof/>
                <w:webHidden/>
              </w:rPr>
              <w:fldChar w:fldCharType="end"/>
            </w:r>
          </w:hyperlink>
        </w:p>
        <w:p w14:paraId="3E793172" w14:textId="77D7ADC6"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fldChar w:fldCharType="end"/>
          </w:r>
        </w:p>
      </w:sdtContent>
    </w:sdt>
    <w:p w14:paraId="4A6AAA92"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br w:type="page"/>
      </w:r>
    </w:p>
    <w:p w14:paraId="791E79CE" w14:textId="77777777" w:rsidR="0052598D" w:rsidRPr="0052598D" w:rsidRDefault="0052598D" w:rsidP="0052598D">
      <w:pPr>
        <w:keepNext/>
        <w:keepLines/>
        <w:spacing w:before="360" w:after="80" w:line="360" w:lineRule="auto"/>
        <w:jc w:val="both"/>
        <w:outlineLvl w:val="0"/>
        <w:rPr>
          <w:rFonts w:ascii="Arial" w:eastAsia="Times New Roman" w:hAnsi="Arial" w:cs="Arial"/>
          <w:noProof/>
          <w:color w:val="0F4761" w:themeColor="accent1" w:themeShade="BF"/>
          <w:kern w:val="0"/>
          <w:sz w:val="32"/>
          <w:szCs w:val="32"/>
          <w:lang w:eastAsia="en-GB"/>
          <w14:ligatures w14:val="none"/>
        </w:rPr>
      </w:pPr>
      <w:bookmarkStart w:id="1" w:name="_Toc215058187"/>
      <w:r w:rsidRPr="0052598D">
        <w:rPr>
          <w:rFonts w:ascii="Arial" w:eastAsia="Times New Roman" w:hAnsi="Arial" w:cs="Arial"/>
          <w:noProof/>
          <w:color w:val="0F4761" w:themeColor="accent1" w:themeShade="BF"/>
          <w:kern w:val="0"/>
          <w:sz w:val="32"/>
          <w:szCs w:val="32"/>
          <w:lang w:eastAsia="en-GB"/>
          <w14:ligatures w14:val="none"/>
        </w:rPr>
        <w:lastRenderedPageBreak/>
        <w:t>1. Executive Summary</w:t>
      </w:r>
      <w:bookmarkEnd w:id="1"/>
    </w:p>
    <w:p w14:paraId="2133BAB7"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This report studies the strategic position of an SME-scale IKEA franchisee along with potential competition within the UK furniture retail market. The internal focus and other internal and external capabilities are explored using frameworks in strategy (Johnson, et al., 2017). The findings indicate significant brand equity, but also high exposure to increasing costs and competition digital competition in the UK retail sector and other sustainability concerns (Mintel, 2022). Consequently, the adoption of urban micro-store formats with the most developed digital service capabilities offers the highest potential for sustainable long-term growth. This strategy improves digital service penetration, operational cost efficiencies and aligns with the retailer's proactive sustainability goals. Typical SME barriers include digital shift, geographical focused product offering, and improved last-mile delivery. Overall, the report concludes that these strategic initiatives will propel this IKEA franchisee as an SME in the UK furniture retail sector.</w:t>
      </w:r>
    </w:p>
    <w:p w14:paraId="588EC117"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p>
    <w:p w14:paraId="77927B8D"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p>
    <w:p w14:paraId="499AB527"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br w:type="page"/>
      </w:r>
    </w:p>
    <w:p w14:paraId="4F24666B" w14:textId="77777777" w:rsidR="0052598D" w:rsidRPr="0052598D" w:rsidRDefault="0052598D" w:rsidP="0052598D">
      <w:pPr>
        <w:keepNext/>
        <w:keepLines/>
        <w:spacing w:before="360" w:after="80" w:line="360" w:lineRule="auto"/>
        <w:jc w:val="both"/>
        <w:outlineLvl w:val="0"/>
        <w:rPr>
          <w:rFonts w:ascii="Arial" w:eastAsia="Times New Roman" w:hAnsi="Arial" w:cs="Arial"/>
          <w:noProof/>
          <w:color w:val="0F4761" w:themeColor="accent1" w:themeShade="BF"/>
          <w:kern w:val="0"/>
          <w:sz w:val="32"/>
          <w:szCs w:val="32"/>
          <w:lang w:eastAsia="en-GB"/>
          <w14:ligatures w14:val="none"/>
        </w:rPr>
      </w:pPr>
      <w:bookmarkStart w:id="2" w:name="_Toc215058188"/>
      <w:r w:rsidRPr="0052598D">
        <w:rPr>
          <w:rFonts w:ascii="Arial" w:eastAsia="Times New Roman" w:hAnsi="Arial" w:cs="Arial"/>
          <w:noProof/>
          <w:color w:val="0F4761" w:themeColor="accent1" w:themeShade="BF"/>
          <w:kern w:val="0"/>
          <w:sz w:val="32"/>
          <w:szCs w:val="32"/>
          <w:lang w:eastAsia="en-GB"/>
          <w14:ligatures w14:val="none"/>
        </w:rPr>
        <w:lastRenderedPageBreak/>
        <w:t>2. Introduction to the Organisation</w:t>
      </w:r>
      <w:bookmarkEnd w:id="2"/>
    </w:p>
    <w:p w14:paraId="4279FB20"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This report analyses the SME-scale franchisees that operate within the UK furniture retail sector. IKEA is globally recognised for its Scandinavian-style flat-pack furniture, low prices, and efficient global supply chain (Akbar and Tracogna, 2018). As a franchisee, the firm sells do-it-yourself assembly furniture and home decor, provides delivery and planning services, and, as per the IKEA model, serves the clientele.</w:t>
      </w:r>
    </w:p>
    <w:p w14:paraId="5CA3D5D0" w14:textId="77777777" w:rsidR="0052598D" w:rsidRPr="0052598D" w:rsidRDefault="0052598D" w:rsidP="0052598D">
      <w:pPr>
        <w:keepNext/>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drawing>
          <wp:inline distT="0" distB="0" distL="0" distR="0" wp14:anchorId="7FC8A79B" wp14:editId="4FD2D0FB">
            <wp:extent cx="5943600" cy="2556510"/>
            <wp:effectExtent l="0" t="0" r="0" b="0"/>
            <wp:docPr id="18" name="Picture 18" descr="Will IKEA Find a Home in India? - Knowledge at Whar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ill IKEA Find a Home in India? - Knowledge at Whart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556510"/>
                    </a:xfrm>
                    <a:prstGeom prst="rect">
                      <a:avLst/>
                    </a:prstGeom>
                    <a:noFill/>
                    <a:ln>
                      <a:noFill/>
                    </a:ln>
                  </pic:spPr>
                </pic:pic>
              </a:graphicData>
            </a:graphic>
          </wp:inline>
        </w:drawing>
      </w:r>
    </w:p>
    <w:p w14:paraId="144E6894" w14:textId="77777777" w:rsidR="0052598D" w:rsidRPr="0052598D" w:rsidRDefault="0052598D" w:rsidP="0052598D">
      <w:pPr>
        <w:spacing w:after="200" w:line="240" w:lineRule="auto"/>
        <w:jc w:val="center"/>
        <w:rPr>
          <w:rFonts w:ascii="Arial" w:eastAsia="Times New Roman" w:hAnsi="Arial" w:cs="Arial"/>
          <w:i/>
          <w:iCs/>
          <w:noProof/>
          <w:color w:val="0E2841" w:themeColor="text2"/>
          <w:kern w:val="0"/>
          <w:sz w:val="18"/>
          <w:szCs w:val="18"/>
          <w:lang w:eastAsia="en-GB"/>
          <w14:ligatures w14:val="none"/>
        </w:rPr>
      </w:pPr>
      <w:r w:rsidRPr="0052598D">
        <w:rPr>
          <w:rFonts w:ascii="Arial" w:eastAsia="Times New Roman" w:hAnsi="Arial" w:cs="Arial"/>
          <w:i/>
          <w:iCs/>
          <w:noProof/>
          <w:color w:val="0E2841" w:themeColor="text2"/>
          <w:kern w:val="0"/>
          <w:sz w:val="18"/>
          <w:szCs w:val="18"/>
          <w:lang w:eastAsia="en-GB"/>
          <w14:ligatures w14:val="none"/>
        </w:rPr>
        <w:t xml:space="preserve">Figure </w:t>
      </w:r>
      <w:r w:rsidRPr="0052598D">
        <w:rPr>
          <w:rFonts w:ascii="Arial" w:eastAsia="Times New Roman" w:hAnsi="Arial" w:cs="Arial"/>
          <w:i/>
          <w:iCs/>
          <w:noProof/>
          <w:color w:val="0E2841" w:themeColor="text2"/>
          <w:kern w:val="0"/>
          <w:sz w:val="18"/>
          <w:szCs w:val="18"/>
          <w:lang w:eastAsia="en-GB"/>
          <w14:ligatures w14:val="none"/>
        </w:rPr>
        <w:fldChar w:fldCharType="begin"/>
      </w:r>
      <w:r w:rsidRPr="0052598D">
        <w:rPr>
          <w:rFonts w:ascii="Arial" w:eastAsia="Times New Roman" w:hAnsi="Arial" w:cs="Arial"/>
          <w:i/>
          <w:iCs/>
          <w:noProof/>
          <w:color w:val="0E2841" w:themeColor="text2"/>
          <w:kern w:val="0"/>
          <w:sz w:val="18"/>
          <w:szCs w:val="18"/>
          <w:lang w:eastAsia="en-GB"/>
          <w14:ligatures w14:val="none"/>
        </w:rPr>
        <w:instrText xml:space="preserve"> SEQ Figure \* ARABIC </w:instrText>
      </w:r>
      <w:r w:rsidRPr="0052598D">
        <w:rPr>
          <w:rFonts w:ascii="Arial" w:eastAsia="Times New Roman" w:hAnsi="Arial" w:cs="Arial"/>
          <w:i/>
          <w:iCs/>
          <w:noProof/>
          <w:color w:val="0E2841" w:themeColor="text2"/>
          <w:kern w:val="0"/>
          <w:sz w:val="18"/>
          <w:szCs w:val="18"/>
          <w:lang w:eastAsia="en-GB"/>
          <w14:ligatures w14:val="none"/>
        </w:rPr>
        <w:fldChar w:fldCharType="separate"/>
      </w:r>
      <w:r w:rsidRPr="0052598D">
        <w:rPr>
          <w:rFonts w:ascii="Arial" w:eastAsia="Times New Roman" w:hAnsi="Arial" w:cs="Arial"/>
          <w:i/>
          <w:iCs/>
          <w:noProof/>
          <w:color w:val="0E2841" w:themeColor="text2"/>
          <w:kern w:val="0"/>
          <w:sz w:val="18"/>
          <w:szCs w:val="18"/>
          <w:lang w:eastAsia="en-GB"/>
          <w14:ligatures w14:val="none"/>
        </w:rPr>
        <w:t>1</w:t>
      </w:r>
      <w:r w:rsidRPr="0052598D">
        <w:rPr>
          <w:rFonts w:ascii="Arial" w:eastAsia="Times New Roman" w:hAnsi="Arial" w:cs="Arial"/>
          <w:i/>
          <w:iCs/>
          <w:noProof/>
          <w:color w:val="0E2841" w:themeColor="text2"/>
          <w:kern w:val="0"/>
          <w:sz w:val="18"/>
          <w:szCs w:val="18"/>
          <w:lang w:eastAsia="en-GB"/>
          <w14:ligatures w14:val="none"/>
        </w:rPr>
        <w:fldChar w:fldCharType="end"/>
      </w:r>
      <w:r w:rsidRPr="0052598D">
        <w:rPr>
          <w:rFonts w:ascii="Arial" w:eastAsia="Times New Roman" w:hAnsi="Arial" w:cs="Arial"/>
          <w:i/>
          <w:iCs/>
          <w:noProof/>
          <w:color w:val="0E2841" w:themeColor="text2"/>
          <w:kern w:val="0"/>
          <w:sz w:val="18"/>
          <w:szCs w:val="18"/>
          <w:lang w:eastAsia="en-GB"/>
          <w14:ligatures w14:val="none"/>
        </w:rPr>
        <w:t>: An IKEA Store, Source: Reuters</w:t>
      </w:r>
    </w:p>
    <w:p w14:paraId="1F0EAB57"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According to Swedish retailing, the business model prescribes thin-margined, high-volume retailing, democratic design, and optimal integrated logistics systems (Grant, 2019). IKEA pricing and design functional attribute sustainability is in place. There is further a commitment to circularity and low-impact materials (IKEA, 2023). SME-scale franchisees operate within a global IKEA framework but, unlike IKEA, must contend with local market constraints and pressures including high cost pressures and intensified market competition from digital retailers in UK. These contextual factors determine the conditions to find optimal strategic slack to enable appropriate growth within the parameters set by IKEA’s brand standards.</w:t>
      </w:r>
    </w:p>
    <w:p w14:paraId="10CFFD94" w14:textId="77777777" w:rsidR="0052598D" w:rsidRPr="0052598D" w:rsidRDefault="0052598D" w:rsidP="0052598D">
      <w:pPr>
        <w:keepNext/>
        <w:keepLines/>
        <w:spacing w:before="360" w:after="80" w:line="360" w:lineRule="auto"/>
        <w:jc w:val="both"/>
        <w:outlineLvl w:val="0"/>
        <w:rPr>
          <w:rFonts w:ascii="Arial" w:eastAsia="Times New Roman" w:hAnsi="Arial" w:cs="Arial"/>
          <w:noProof/>
          <w:color w:val="0F4761" w:themeColor="accent1" w:themeShade="BF"/>
          <w:kern w:val="0"/>
          <w:sz w:val="32"/>
          <w:szCs w:val="32"/>
          <w:lang w:eastAsia="en-GB"/>
          <w14:ligatures w14:val="none"/>
        </w:rPr>
      </w:pPr>
      <w:bookmarkStart w:id="3" w:name="_Toc215058189"/>
      <w:r w:rsidRPr="0052598D">
        <w:rPr>
          <w:rFonts w:ascii="Arial" w:eastAsia="Times New Roman" w:hAnsi="Arial" w:cs="Arial"/>
          <w:noProof/>
          <w:color w:val="0F4761" w:themeColor="accent1" w:themeShade="BF"/>
          <w:kern w:val="0"/>
          <w:sz w:val="32"/>
          <w:szCs w:val="32"/>
          <w:lang w:eastAsia="en-GB"/>
          <w14:ligatures w14:val="none"/>
        </w:rPr>
        <w:t>3. Appraisal of the Current Strategic Direction</w:t>
      </w:r>
      <w:bookmarkEnd w:id="3"/>
    </w:p>
    <w:p w14:paraId="163FC97F"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While most international IKEA franchisees do not operate within the expansion framework of IKEA's vision, 'to improve the everyday lives of the many' and its mission of designing affordable, sustainably sourced home furnishings, the SME franchisee aspires to align its strategic direction as best as possible. Using the low cost, customer experience, digital, circular, and climate-positive </w:t>
      </w:r>
      <w:r w:rsidRPr="0052598D">
        <w:rPr>
          <w:rFonts w:ascii="Arial" w:eastAsia="Times New Roman" w:hAnsi="Arial" w:cs="Arial"/>
          <w:noProof/>
          <w:kern w:val="0"/>
          <w:sz w:val="22"/>
          <w:szCs w:val="22"/>
          <w:lang w:eastAsia="en-GB"/>
          <w14:ligatures w14:val="none"/>
        </w:rPr>
        <w:lastRenderedPageBreak/>
        <w:t>focus (IKEA, 2023), the franchisee's objectives align on several, but not all, dimensions. Integrating a low cost and a focus on value-adding, and innovative design, which is a trademark of the impressive logitics and market access of IKEA, is certainly ambitious. For the overall franchisee, the lack of strategic autonomy, however, poses a conundrum as adjustment of the business strategy to flex on the competitive and technological dynamics of the retail environment in the UK is unlikely. With the resource constraints common to SMEs, the growing focus on smart, connected, and retail services technology is a double-edged sword for the franchisee (Porter and Heppelmann, 2014). Overall, the strategic direction is adequate for the brand, and is configures optimally for the location, but the franchisee needs to implement location specific strategies to enhance its competitiveness and to ensure long term viability in the market.</w:t>
      </w:r>
    </w:p>
    <w:p w14:paraId="2821BF7E" w14:textId="77777777" w:rsidR="0052598D" w:rsidRPr="0052598D" w:rsidRDefault="0052598D" w:rsidP="0052598D">
      <w:pPr>
        <w:keepNext/>
        <w:keepLines/>
        <w:spacing w:before="360" w:after="80" w:line="360" w:lineRule="auto"/>
        <w:jc w:val="both"/>
        <w:outlineLvl w:val="0"/>
        <w:rPr>
          <w:rFonts w:ascii="Arial" w:eastAsia="Times New Roman" w:hAnsi="Arial" w:cs="Arial"/>
          <w:noProof/>
          <w:color w:val="0F4761" w:themeColor="accent1" w:themeShade="BF"/>
          <w:kern w:val="0"/>
          <w:sz w:val="32"/>
          <w:szCs w:val="32"/>
          <w:lang w:eastAsia="en-GB"/>
          <w14:ligatures w14:val="none"/>
        </w:rPr>
      </w:pPr>
      <w:bookmarkStart w:id="4" w:name="_Toc215058190"/>
      <w:r w:rsidRPr="0052598D">
        <w:rPr>
          <w:rFonts w:ascii="Arial" w:eastAsia="Times New Roman" w:hAnsi="Arial" w:cs="Arial"/>
          <w:noProof/>
          <w:color w:val="0F4761" w:themeColor="accent1" w:themeShade="BF"/>
          <w:kern w:val="0"/>
          <w:sz w:val="32"/>
          <w:szCs w:val="32"/>
          <w:lang w:eastAsia="en-GB"/>
          <w14:ligatures w14:val="none"/>
        </w:rPr>
        <w:lastRenderedPageBreak/>
        <w:t xml:space="preserve">4. Environmental Scan &amp; </w:t>
      </w:r>
      <w:r w:rsidRPr="0052598D">
        <w:rPr>
          <w:rFonts w:ascii="Arial" w:eastAsiaTheme="majorEastAsia" w:hAnsi="Arial" w:cs="Arial"/>
          <w:noProof/>
          <w:color w:val="0F4761" w:themeColor="accent1" w:themeShade="BF"/>
          <w:kern w:val="0"/>
          <w:sz w:val="32"/>
          <w:szCs w:val="32"/>
          <w:lang w:eastAsia="en-GB"/>
          <w14:ligatures w14:val="none"/>
        </w:rPr>
        <w:t>Competitive</w:t>
      </w:r>
      <w:r w:rsidRPr="0052598D">
        <w:rPr>
          <w:rFonts w:ascii="Arial" w:eastAsia="Times New Roman" w:hAnsi="Arial" w:cs="Arial"/>
          <w:noProof/>
          <w:color w:val="0F4761" w:themeColor="accent1" w:themeShade="BF"/>
          <w:kern w:val="0"/>
          <w:sz w:val="32"/>
          <w:szCs w:val="32"/>
          <w:lang w:eastAsia="en-GB"/>
          <w14:ligatures w14:val="none"/>
        </w:rPr>
        <w:t xml:space="preserve"> Positioning</w:t>
      </w:r>
      <w:bookmarkEnd w:id="4"/>
    </w:p>
    <w:p w14:paraId="31BBFAA6" w14:textId="77777777" w:rsidR="0052598D" w:rsidRDefault="0052598D" w:rsidP="0052598D">
      <w:pPr>
        <w:keepNext/>
        <w:keepLines/>
        <w:spacing w:before="160" w:after="80" w:line="360" w:lineRule="auto"/>
        <w:jc w:val="both"/>
        <w:outlineLvl w:val="1"/>
        <w:rPr>
          <w:rFonts w:ascii="Arial" w:eastAsiaTheme="majorEastAsia" w:hAnsi="Arial" w:cs="Arial"/>
          <w:noProof/>
          <w:color w:val="0F4761" w:themeColor="accent1" w:themeShade="BF"/>
          <w:kern w:val="0"/>
          <w:sz w:val="28"/>
          <w:szCs w:val="28"/>
          <w:lang w:eastAsia="en-GB"/>
          <w14:ligatures w14:val="none"/>
        </w:rPr>
      </w:pPr>
      <w:bookmarkStart w:id="5" w:name="_Toc215058191"/>
      <w:r w:rsidRPr="0052598D">
        <w:rPr>
          <w:rFonts w:ascii="Arial" w:eastAsia="Times New Roman" w:hAnsi="Arial" w:cs="Arial"/>
          <w:noProof/>
          <w:color w:val="0F4761" w:themeColor="accent1" w:themeShade="BF"/>
          <w:kern w:val="0"/>
          <w:sz w:val="28"/>
          <w:szCs w:val="28"/>
          <w:lang w:eastAsia="en-GB"/>
          <w14:ligatures w14:val="none"/>
        </w:rPr>
        <w:t xml:space="preserve">4.1 PESTEL </w:t>
      </w:r>
      <w:r w:rsidRPr="0052598D">
        <w:rPr>
          <w:rFonts w:ascii="Arial" w:eastAsiaTheme="majorEastAsia" w:hAnsi="Arial" w:cs="Arial"/>
          <w:noProof/>
          <w:color w:val="0F4761" w:themeColor="accent1" w:themeShade="BF"/>
          <w:kern w:val="0"/>
          <w:sz w:val="28"/>
          <w:szCs w:val="28"/>
          <w:lang w:eastAsia="en-GB"/>
          <w14:ligatures w14:val="none"/>
        </w:rPr>
        <w:t>Analysis</w:t>
      </w:r>
      <w:bookmarkEnd w:id="5"/>
    </w:p>
    <w:p w14:paraId="18C46DBE" w14:textId="03019F04" w:rsidR="008A24D2" w:rsidRPr="008A24D2" w:rsidRDefault="008A24D2" w:rsidP="0052598D">
      <w:pPr>
        <w:keepNext/>
        <w:keepLines/>
        <w:spacing w:before="160" w:after="80" w:line="360" w:lineRule="auto"/>
        <w:jc w:val="both"/>
        <w:outlineLvl w:val="1"/>
        <w:rPr>
          <w:rFonts w:ascii="Arial" w:eastAsiaTheme="majorEastAsia" w:hAnsi="Arial" w:cs="Arial"/>
          <w:noProof/>
          <w:color w:val="0F4761" w:themeColor="accent1" w:themeShade="BF"/>
          <w:kern w:val="0"/>
          <w:sz w:val="22"/>
          <w:szCs w:val="22"/>
          <w:lang w:eastAsia="en-GB"/>
          <w14:ligatures w14:val="none"/>
        </w:rPr>
      </w:pPr>
      <w:r w:rsidRPr="008A24D2">
        <w:rPr>
          <w:rFonts w:ascii="Arial" w:eastAsiaTheme="majorEastAsia" w:hAnsi="Arial" w:cs="Arial"/>
          <w:b/>
          <w:bCs/>
          <w:noProof/>
          <w:color w:val="0F4761" w:themeColor="accent1" w:themeShade="BF"/>
          <w:kern w:val="0"/>
          <w:sz w:val="22"/>
          <w:szCs w:val="22"/>
          <w:lang w:eastAsia="en-GB"/>
          <w14:ligatures w14:val="none"/>
        </w:rPr>
        <w:t>PESTEL</w:t>
      </w:r>
      <w:r w:rsidRPr="008A24D2">
        <w:rPr>
          <w:rFonts w:ascii="Arial" w:eastAsiaTheme="majorEastAsia" w:hAnsi="Arial" w:cs="Arial"/>
          <w:noProof/>
          <w:color w:val="0F4761" w:themeColor="accent1" w:themeShade="BF"/>
          <w:kern w:val="0"/>
          <w:sz w:val="22"/>
          <w:szCs w:val="22"/>
          <w:lang w:eastAsia="en-GB"/>
          <w14:ligatures w14:val="none"/>
        </w:rPr>
        <w:t xml:space="preserve"> is a strategic frame work used to analyse the key external , macro-environmental factors that can affect an organisation’s performance and deci</w:t>
      </w:r>
      <w:r>
        <w:rPr>
          <w:rFonts w:ascii="Arial" w:eastAsiaTheme="majorEastAsia" w:hAnsi="Arial" w:cs="Arial"/>
          <w:noProof/>
          <w:color w:val="0F4761" w:themeColor="accent1" w:themeShade="BF"/>
          <w:kern w:val="0"/>
          <w:sz w:val="22"/>
          <w:szCs w:val="22"/>
          <w:lang w:eastAsia="en-GB"/>
          <w14:ligatures w14:val="none"/>
        </w:rPr>
        <w:t>sions</w:t>
      </w:r>
      <w:r w:rsidRPr="008A24D2">
        <w:rPr>
          <w:rFonts w:ascii="Arial" w:eastAsiaTheme="majorEastAsia" w:hAnsi="Arial" w:cs="Arial"/>
          <w:noProof/>
          <w:color w:val="0F4761" w:themeColor="accent1" w:themeShade="BF"/>
          <w:kern w:val="0"/>
          <w:sz w:val="22"/>
          <w:szCs w:val="22"/>
          <w:lang w:eastAsia="en-GB"/>
          <w14:ligatures w14:val="none"/>
        </w:rPr>
        <w:t>: Political, Economical, Social, Technolohgical , Environmental and Legal Factors .</w:t>
      </w:r>
    </w:p>
    <w:p w14:paraId="138B7CC9" w14:textId="77777777" w:rsidR="0052598D" w:rsidRPr="0052598D" w:rsidRDefault="0052598D" w:rsidP="0052598D">
      <w:pPr>
        <w:keepNext/>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drawing>
          <wp:inline distT="0" distB="0" distL="0" distR="0" wp14:anchorId="65A807C5" wp14:editId="7A3F018E">
            <wp:extent cx="5943600" cy="4142014"/>
            <wp:effectExtent l="0" t="25400" r="0" b="36830"/>
            <wp:docPr id="1" name="Diagram 1">
              <a:extLst xmlns:a="http://schemas.openxmlformats.org/drawingml/2006/main">
                <a:ext uri="{FF2B5EF4-FFF2-40B4-BE49-F238E27FC236}">
                  <a16:creationId xmlns:a16="http://schemas.microsoft.com/office/drawing/2014/main" id="{9936C14F-ABC8-A56E-A3D9-01ED84F7B6A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93EF39F" w14:textId="77777777" w:rsidR="0052598D" w:rsidRPr="0052598D" w:rsidRDefault="0052598D" w:rsidP="0052598D">
      <w:pPr>
        <w:spacing w:after="200" w:line="240" w:lineRule="auto"/>
        <w:jc w:val="center"/>
        <w:rPr>
          <w:rFonts w:ascii="Arial" w:eastAsia="Times New Roman" w:hAnsi="Arial" w:cs="Arial"/>
          <w:i/>
          <w:iCs/>
          <w:noProof/>
          <w:color w:val="0E2841" w:themeColor="text2"/>
          <w:kern w:val="0"/>
          <w:sz w:val="18"/>
          <w:szCs w:val="18"/>
          <w:lang w:eastAsia="en-GB"/>
          <w14:ligatures w14:val="none"/>
        </w:rPr>
      </w:pPr>
      <w:r w:rsidRPr="0052598D">
        <w:rPr>
          <w:rFonts w:ascii="Arial" w:eastAsia="Times New Roman" w:hAnsi="Arial" w:cs="Arial"/>
          <w:i/>
          <w:iCs/>
          <w:noProof/>
          <w:color w:val="0E2841" w:themeColor="text2"/>
          <w:kern w:val="0"/>
          <w:sz w:val="18"/>
          <w:szCs w:val="18"/>
          <w:lang w:eastAsia="en-GB"/>
          <w14:ligatures w14:val="none"/>
        </w:rPr>
        <w:t xml:space="preserve">Figure </w:t>
      </w:r>
      <w:r w:rsidRPr="0052598D">
        <w:rPr>
          <w:rFonts w:ascii="Arial" w:eastAsia="Times New Roman" w:hAnsi="Arial" w:cs="Arial"/>
          <w:i/>
          <w:iCs/>
          <w:noProof/>
          <w:color w:val="0E2841" w:themeColor="text2"/>
          <w:kern w:val="0"/>
          <w:sz w:val="18"/>
          <w:szCs w:val="18"/>
          <w:lang w:eastAsia="en-GB"/>
          <w14:ligatures w14:val="none"/>
        </w:rPr>
        <w:fldChar w:fldCharType="begin"/>
      </w:r>
      <w:r w:rsidRPr="0052598D">
        <w:rPr>
          <w:rFonts w:ascii="Arial" w:eastAsia="Times New Roman" w:hAnsi="Arial" w:cs="Arial"/>
          <w:i/>
          <w:iCs/>
          <w:noProof/>
          <w:color w:val="0E2841" w:themeColor="text2"/>
          <w:kern w:val="0"/>
          <w:sz w:val="18"/>
          <w:szCs w:val="18"/>
          <w:lang w:eastAsia="en-GB"/>
          <w14:ligatures w14:val="none"/>
        </w:rPr>
        <w:instrText xml:space="preserve"> SEQ Figure \* ARABIC </w:instrText>
      </w:r>
      <w:r w:rsidRPr="0052598D">
        <w:rPr>
          <w:rFonts w:ascii="Arial" w:eastAsia="Times New Roman" w:hAnsi="Arial" w:cs="Arial"/>
          <w:i/>
          <w:iCs/>
          <w:noProof/>
          <w:color w:val="0E2841" w:themeColor="text2"/>
          <w:kern w:val="0"/>
          <w:sz w:val="18"/>
          <w:szCs w:val="18"/>
          <w:lang w:eastAsia="en-GB"/>
          <w14:ligatures w14:val="none"/>
        </w:rPr>
        <w:fldChar w:fldCharType="separate"/>
      </w:r>
      <w:r w:rsidRPr="0052598D">
        <w:rPr>
          <w:rFonts w:ascii="Arial" w:eastAsia="Times New Roman" w:hAnsi="Arial" w:cs="Arial"/>
          <w:i/>
          <w:iCs/>
          <w:noProof/>
          <w:color w:val="0E2841" w:themeColor="text2"/>
          <w:kern w:val="0"/>
          <w:sz w:val="18"/>
          <w:szCs w:val="18"/>
          <w:lang w:eastAsia="en-GB"/>
          <w14:ligatures w14:val="none"/>
        </w:rPr>
        <w:t>2</w:t>
      </w:r>
      <w:r w:rsidRPr="0052598D">
        <w:rPr>
          <w:rFonts w:ascii="Arial" w:eastAsia="Times New Roman" w:hAnsi="Arial" w:cs="Arial"/>
          <w:i/>
          <w:iCs/>
          <w:noProof/>
          <w:color w:val="0E2841" w:themeColor="text2"/>
          <w:kern w:val="0"/>
          <w:sz w:val="18"/>
          <w:szCs w:val="18"/>
          <w:lang w:eastAsia="en-GB"/>
          <w14:ligatures w14:val="none"/>
        </w:rPr>
        <w:fldChar w:fldCharType="end"/>
      </w:r>
      <w:r w:rsidRPr="0052598D">
        <w:rPr>
          <w:rFonts w:ascii="Arial" w:eastAsia="Times New Roman" w:hAnsi="Arial" w:cs="Arial"/>
          <w:i/>
          <w:iCs/>
          <w:noProof/>
          <w:color w:val="0E2841" w:themeColor="text2"/>
          <w:kern w:val="0"/>
          <w:sz w:val="18"/>
          <w:szCs w:val="18"/>
          <w:lang w:eastAsia="en-GB"/>
          <w14:ligatures w14:val="none"/>
        </w:rPr>
        <w:t>: PESTLE Analysis</w:t>
      </w:r>
    </w:p>
    <w:p w14:paraId="2F151B57"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The political environment affects the IKEA franchisee by the franchising regulations in the UK, the Brexit regulations that affect the sourcing costs and complexities (the import duties that apply Post Brexit), and the UK trading regulations. Policy initiatives on carbon neutrality and changes in waste management affect operational priorities and sustain some degree of control. Inflation and the UK living crisis affecting the households sustain a pressure on costs and affordability as there is less discretionary income and less spending in the household (ref. IKEA, 2023).</w:t>
      </w:r>
    </w:p>
    <w:p w14:paraId="57C6A6C1"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For small-scale retail businesses that engage in low-cost retailing as an operational strategy, the implications of volatile supply chain operational costs take a toll on net profitability (Mintel, 2022). </w:t>
      </w:r>
      <w:r w:rsidRPr="0052598D">
        <w:rPr>
          <w:rFonts w:ascii="Arial" w:eastAsia="Times New Roman" w:hAnsi="Arial" w:cs="Arial"/>
          <w:noProof/>
          <w:kern w:val="0"/>
          <w:sz w:val="22"/>
          <w:szCs w:val="22"/>
          <w:lang w:eastAsia="en-GB"/>
          <w14:ligatures w14:val="none"/>
        </w:rPr>
        <w:lastRenderedPageBreak/>
        <w:t>From a societal perspective, there is an increase in the interest in small-unit living, the demand for adaptable pieces of furniture, and the affinity toward eco-friendly products for the home (which IKEA designs as well) (Akbar and Tracogna, 2018). From a technological perspective, there is the phenomenon of fast digitalisation which has transformed the paradigms of consumer retail and created an expectation toward virtual space planning (Kraus et al., 2019). People and governments for that matter, want to see a reduced emphasis on the ecosystem as well as for a need and supply of circular (andenvironmentally friendly) materials for reduced emissions, responsible sourcing and waste stream reduction (Dey et al., 2011). The need to comply with consumer, health and safety, employment &amp; franchising regulations has Legal implications that impact operational functions and necessitate the proper allocation of available resources to fulfill operational objectives (Johnson et al., 2017).</w:t>
      </w:r>
    </w:p>
    <w:p w14:paraId="7AF82542" w14:textId="77777777" w:rsidR="0052598D" w:rsidRDefault="0052598D" w:rsidP="0052598D">
      <w:pPr>
        <w:keepNext/>
        <w:keepLines/>
        <w:spacing w:before="160" w:after="80" w:line="360" w:lineRule="auto"/>
        <w:jc w:val="both"/>
        <w:outlineLvl w:val="1"/>
        <w:rPr>
          <w:rFonts w:ascii="Arial" w:eastAsia="Times New Roman" w:hAnsi="Arial" w:cs="Arial"/>
          <w:noProof/>
          <w:color w:val="0F4761" w:themeColor="accent1" w:themeShade="BF"/>
          <w:kern w:val="0"/>
          <w:sz w:val="28"/>
          <w:szCs w:val="28"/>
          <w:lang w:eastAsia="en-GB"/>
          <w14:ligatures w14:val="none"/>
        </w:rPr>
      </w:pPr>
      <w:bookmarkStart w:id="6" w:name="_Toc215058192"/>
      <w:r w:rsidRPr="0052598D">
        <w:rPr>
          <w:rFonts w:ascii="Arial" w:eastAsia="Times New Roman" w:hAnsi="Arial" w:cs="Arial"/>
          <w:noProof/>
          <w:color w:val="0F4761" w:themeColor="accent1" w:themeShade="BF"/>
          <w:kern w:val="0"/>
          <w:sz w:val="28"/>
          <w:szCs w:val="28"/>
          <w:lang w:eastAsia="en-GB"/>
          <w14:ligatures w14:val="none"/>
        </w:rPr>
        <w:lastRenderedPageBreak/>
        <w:t>4.2 Porter’s Five Forces</w:t>
      </w:r>
      <w:bookmarkEnd w:id="6"/>
    </w:p>
    <w:p w14:paraId="2406D80D" w14:textId="0884ED6B" w:rsidR="008A24D2" w:rsidRPr="00F07B47" w:rsidRDefault="008A24D2" w:rsidP="0052598D">
      <w:pPr>
        <w:keepNext/>
        <w:keepLines/>
        <w:spacing w:before="160" w:after="80" w:line="360" w:lineRule="auto"/>
        <w:jc w:val="both"/>
        <w:outlineLvl w:val="1"/>
        <w:rPr>
          <w:rFonts w:ascii="Arial" w:eastAsia="Times New Roman" w:hAnsi="Arial" w:cs="Arial"/>
          <w:noProof/>
          <w:color w:val="0F4761" w:themeColor="accent1" w:themeShade="BF"/>
          <w:kern w:val="0"/>
          <w:sz w:val="22"/>
          <w:szCs w:val="22"/>
          <w:lang w:eastAsia="en-GB"/>
          <w14:ligatures w14:val="none"/>
        </w:rPr>
      </w:pPr>
      <w:r w:rsidRPr="00F07B47">
        <w:rPr>
          <w:rFonts w:ascii="Arial" w:eastAsia="Times New Roman" w:hAnsi="Arial" w:cs="Arial"/>
          <w:b/>
          <w:bCs/>
          <w:noProof/>
          <w:color w:val="0F4761" w:themeColor="accent1" w:themeShade="BF"/>
          <w:kern w:val="0"/>
          <w:sz w:val="22"/>
          <w:szCs w:val="22"/>
          <w:lang w:eastAsia="en-GB"/>
          <w14:ligatures w14:val="none"/>
        </w:rPr>
        <w:t>Porter’s five forces</w:t>
      </w:r>
      <w:r w:rsidRPr="00F07B47">
        <w:rPr>
          <w:rFonts w:ascii="Arial" w:eastAsia="Times New Roman" w:hAnsi="Arial" w:cs="Arial"/>
          <w:noProof/>
          <w:color w:val="0F4761" w:themeColor="accent1" w:themeShade="BF"/>
          <w:kern w:val="0"/>
          <w:sz w:val="22"/>
          <w:szCs w:val="22"/>
          <w:lang w:eastAsia="en-GB"/>
          <w14:ligatures w14:val="none"/>
        </w:rPr>
        <w:t xml:space="preserve"> is a framework for analysing the competitive structure and profitability of an industry , developed by Michael E. Porter in 1979 . It explains ho</w:t>
      </w:r>
      <w:r w:rsidR="00F07B47">
        <w:rPr>
          <w:rFonts w:ascii="Arial" w:eastAsia="Times New Roman" w:hAnsi="Arial" w:cs="Arial"/>
          <w:noProof/>
          <w:color w:val="0F4761" w:themeColor="accent1" w:themeShade="BF"/>
          <w:kern w:val="0"/>
          <w:sz w:val="22"/>
          <w:szCs w:val="22"/>
          <w:lang w:eastAsia="en-GB"/>
          <w14:ligatures w14:val="none"/>
        </w:rPr>
        <w:t>w</w:t>
      </w:r>
      <w:r w:rsidRPr="00F07B47">
        <w:rPr>
          <w:rFonts w:ascii="Arial" w:eastAsia="Times New Roman" w:hAnsi="Arial" w:cs="Arial"/>
          <w:noProof/>
          <w:color w:val="0F4761" w:themeColor="accent1" w:themeShade="BF"/>
          <w:kern w:val="0"/>
          <w:sz w:val="22"/>
          <w:szCs w:val="22"/>
          <w:lang w:eastAsia="en-GB"/>
          <w14:ligatures w14:val="none"/>
        </w:rPr>
        <w:t xml:space="preserve"> f</w:t>
      </w:r>
      <w:r w:rsidR="00F07B47">
        <w:rPr>
          <w:rFonts w:ascii="Arial" w:eastAsia="Times New Roman" w:hAnsi="Arial" w:cs="Arial"/>
          <w:noProof/>
          <w:color w:val="0F4761" w:themeColor="accent1" w:themeShade="BF"/>
          <w:kern w:val="0"/>
          <w:sz w:val="22"/>
          <w:szCs w:val="22"/>
          <w:lang w:eastAsia="en-GB"/>
          <w14:ligatures w14:val="none"/>
        </w:rPr>
        <w:t>iv</w:t>
      </w:r>
      <w:r w:rsidRPr="00F07B47">
        <w:rPr>
          <w:rFonts w:ascii="Arial" w:eastAsia="Times New Roman" w:hAnsi="Arial" w:cs="Arial"/>
          <w:noProof/>
          <w:color w:val="0F4761" w:themeColor="accent1" w:themeShade="BF"/>
          <w:kern w:val="0"/>
          <w:sz w:val="22"/>
          <w:szCs w:val="22"/>
          <w:lang w:eastAsia="en-GB"/>
          <w14:ligatures w14:val="none"/>
        </w:rPr>
        <w:t>e key competitive forces together determine how attractive or unattractive an industry is in terms of long-run profit potential</w:t>
      </w:r>
      <w:r w:rsidR="00F07B47">
        <w:rPr>
          <w:rFonts w:ascii="Arial" w:eastAsia="Times New Roman" w:hAnsi="Arial" w:cs="Arial"/>
          <w:noProof/>
          <w:color w:val="0F4761" w:themeColor="accent1" w:themeShade="BF"/>
          <w:kern w:val="0"/>
          <w:sz w:val="22"/>
          <w:szCs w:val="22"/>
          <w:lang w:eastAsia="en-GB"/>
          <w14:ligatures w14:val="none"/>
        </w:rPr>
        <w:t xml:space="preserve"> ( Anon, 2019) .</w:t>
      </w:r>
    </w:p>
    <w:p w14:paraId="1CBA4B71" w14:textId="77777777" w:rsidR="0052598D" w:rsidRPr="0052598D" w:rsidRDefault="0052598D" w:rsidP="0052598D">
      <w:pPr>
        <w:keepNext/>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drawing>
          <wp:inline distT="0" distB="0" distL="0" distR="0" wp14:anchorId="5E2BA17D" wp14:editId="4ADF30D2">
            <wp:extent cx="5943600" cy="4174671"/>
            <wp:effectExtent l="0" t="25400" r="0" b="3810"/>
            <wp:docPr id="2" name="Diagram 2">
              <a:extLst xmlns:a="http://schemas.openxmlformats.org/drawingml/2006/main">
                <a:ext uri="{FF2B5EF4-FFF2-40B4-BE49-F238E27FC236}">
                  <a16:creationId xmlns:a16="http://schemas.microsoft.com/office/drawing/2014/main" id="{26F60E16-CA59-072F-C19E-FF71FDA2D09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1ECE845" w14:textId="77777777" w:rsidR="0052598D" w:rsidRPr="0052598D" w:rsidRDefault="0052598D" w:rsidP="0052598D">
      <w:pPr>
        <w:spacing w:after="200" w:line="240" w:lineRule="auto"/>
        <w:jc w:val="center"/>
        <w:rPr>
          <w:rFonts w:ascii="Arial" w:eastAsia="Times New Roman" w:hAnsi="Arial" w:cs="Arial"/>
          <w:i/>
          <w:iCs/>
          <w:noProof/>
          <w:color w:val="0E2841" w:themeColor="text2"/>
          <w:kern w:val="0"/>
          <w:sz w:val="18"/>
          <w:szCs w:val="18"/>
          <w:lang w:eastAsia="en-GB"/>
          <w14:ligatures w14:val="none"/>
        </w:rPr>
      </w:pPr>
      <w:r w:rsidRPr="0052598D">
        <w:rPr>
          <w:rFonts w:ascii="Arial" w:eastAsia="Times New Roman" w:hAnsi="Arial" w:cs="Arial"/>
          <w:i/>
          <w:iCs/>
          <w:noProof/>
          <w:color w:val="0E2841" w:themeColor="text2"/>
          <w:kern w:val="0"/>
          <w:sz w:val="18"/>
          <w:szCs w:val="18"/>
          <w:lang w:eastAsia="en-GB"/>
          <w14:ligatures w14:val="none"/>
        </w:rPr>
        <w:t xml:space="preserve">Figure </w:t>
      </w:r>
      <w:r w:rsidRPr="0052598D">
        <w:rPr>
          <w:rFonts w:ascii="Arial" w:eastAsia="Times New Roman" w:hAnsi="Arial" w:cs="Arial"/>
          <w:i/>
          <w:iCs/>
          <w:noProof/>
          <w:color w:val="0E2841" w:themeColor="text2"/>
          <w:kern w:val="0"/>
          <w:sz w:val="18"/>
          <w:szCs w:val="18"/>
          <w:lang w:eastAsia="en-GB"/>
          <w14:ligatures w14:val="none"/>
        </w:rPr>
        <w:fldChar w:fldCharType="begin"/>
      </w:r>
      <w:r w:rsidRPr="0052598D">
        <w:rPr>
          <w:rFonts w:ascii="Arial" w:eastAsia="Times New Roman" w:hAnsi="Arial" w:cs="Arial"/>
          <w:i/>
          <w:iCs/>
          <w:noProof/>
          <w:color w:val="0E2841" w:themeColor="text2"/>
          <w:kern w:val="0"/>
          <w:sz w:val="18"/>
          <w:szCs w:val="18"/>
          <w:lang w:eastAsia="en-GB"/>
          <w14:ligatures w14:val="none"/>
        </w:rPr>
        <w:instrText xml:space="preserve"> SEQ Figure \* ARABIC </w:instrText>
      </w:r>
      <w:r w:rsidRPr="0052598D">
        <w:rPr>
          <w:rFonts w:ascii="Arial" w:eastAsia="Times New Roman" w:hAnsi="Arial" w:cs="Arial"/>
          <w:i/>
          <w:iCs/>
          <w:noProof/>
          <w:color w:val="0E2841" w:themeColor="text2"/>
          <w:kern w:val="0"/>
          <w:sz w:val="18"/>
          <w:szCs w:val="18"/>
          <w:lang w:eastAsia="en-GB"/>
          <w14:ligatures w14:val="none"/>
        </w:rPr>
        <w:fldChar w:fldCharType="separate"/>
      </w:r>
      <w:r w:rsidRPr="0052598D">
        <w:rPr>
          <w:rFonts w:ascii="Arial" w:eastAsia="Times New Roman" w:hAnsi="Arial" w:cs="Arial"/>
          <w:i/>
          <w:iCs/>
          <w:noProof/>
          <w:color w:val="0E2841" w:themeColor="text2"/>
          <w:kern w:val="0"/>
          <w:sz w:val="18"/>
          <w:szCs w:val="18"/>
          <w:lang w:eastAsia="en-GB"/>
          <w14:ligatures w14:val="none"/>
        </w:rPr>
        <w:t>3</w:t>
      </w:r>
      <w:r w:rsidRPr="0052598D">
        <w:rPr>
          <w:rFonts w:ascii="Arial" w:eastAsia="Times New Roman" w:hAnsi="Arial" w:cs="Arial"/>
          <w:i/>
          <w:iCs/>
          <w:noProof/>
          <w:color w:val="0E2841" w:themeColor="text2"/>
          <w:kern w:val="0"/>
          <w:sz w:val="18"/>
          <w:szCs w:val="18"/>
          <w:lang w:eastAsia="en-GB"/>
          <w14:ligatures w14:val="none"/>
        </w:rPr>
        <w:fldChar w:fldCharType="end"/>
      </w:r>
      <w:r w:rsidRPr="0052598D">
        <w:rPr>
          <w:rFonts w:ascii="Arial" w:eastAsia="Times New Roman" w:hAnsi="Arial" w:cs="Arial"/>
          <w:i/>
          <w:iCs/>
          <w:noProof/>
          <w:color w:val="0E2841" w:themeColor="text2"/>
          <w:kern w:val="0"/>
          <w:sz w:val="18"/>
          <w:szCs w:val="18"/>
          <w:lang w:eastAsia="en-GB"/>
          <w14:ligatures w14:val="none"/>
        </w:rPr>
        <w:t>: Porter’s Five Forces Analysis</w:t>
      </w:r>
    </w:p>
    <w:p w14:paraId="68977E13"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Even in the UK’s furniture industry, the threat of new entrants is considered modest. With no physical stores, online-only retailers face very few initial and ongoing costs in entering the industry. As Ghezzi (2013) suggests, online market competitors gain market share at a faster rate since traditional retailers face significant administrative delays in opening a new physical location. On the other hand, physical retailers (including small SMEs like IKEA) do have an ability to limit market entry due to significant costs related to real estate, stock, labor, and transportation.</w:t>
      </w:r>
    </w:p>
    <w:p w14:paraId="16CC8508"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The threat of substitutes is still extremely high due to the availability of alternatives in the furniture market. Competitors like Dunelm and Wayfair have varying and multi form products and the </w:t>
      </w:r>
      <w:r w:rsidRPr="0052598D">
        <w:rPr>
          <w:rFonts w:ascii="Arial" w:eastAsia="Times New Roman" w:hAnsi="Arial" w:cs="Arial"/>
          <w:noProof/>
          <w:kern w:val="0"/>
          <w:sz w:val="22"/>
          <w:szCs w:val="22"/>
          <w:lang w:eastAsia="en-GB"/>
          <w14:ligatures w14:val="none"/>
        </w:rPr>
        <w:lastRenderedPageBreak/>
        <w:t>second-hand market and upcycling caters to the eco-conscious and budget-friendly Statista (2023). These alternatives in the market and are there to cater to the eco-conscious and budget friendly. This reduces customer loyalty, and increases the ease of switching. When prices rise, services stagnate, or there is a lack of quality in the product or ongoing service to meet a satisfied or complete demand. This gives a strong bargaining power to the buyers in the market, which is the case in the UK, consumer is constrained to low switching costs therefore the Franchisee is in a precarious position of sustaining a fair competitive price in the market.</w:t>
      </w:r>
    </w:p>
    <w:p w14:paraId="3F184D7C"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The influencers of buying behavior are somewhat strong. While IKEA has substantial global buying power, franchisees are SMEs that are still centrally sourced, which limits their ability to respond to local demand and to negotiate on their own. This results in situations in which the supply chain loses its agility, and the franchisee faces the risk of higher costs of imports and/or supply chain delays (Grant, 2019).</w:t>
      </w:r>
    </w:p>
    <w:p w14:paraId="22617620"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The level of competitive rivalry is extremely high due to high market saturation and the level of fierce promotional activity, seasonal promotions, and continuous modification of services which the market is expected to reorganize in terms of service, convenience, and sustainability. UK Retailers are highly price competitive which combined with the need for faster delivery and greater product assortment intensifies rivalry for all participants in the market (Mintel, 2022).</w:t>
      </w:r>
    </w:p>
    <w:p w14:paraId="23F64A87" w14:textId="6B63115F" w:rsidR="00F07B47" w:rsidRDefault="0052598D" w:rsidP="0052598D">
      <w:pPr>
        <w:keepNext/>
        <w:keepLines/>
        <w:spacing w:before="160" w:after="80" w:line="360" w:lineRule="auto"/>
        <w:jc w:val="both"/>
        <w:outlineLvl w:val="1"/>
        <w:rPr>
          <w:rFonts w:ascii="Arial" w:eastAsia="Times New Roman" w:hAnsi="Arial" w:cs="Arial"/>
          <w:noProof/>
          <w:color w:val="0F4761" w:themeColor="accent1" w:themeShade="BF"/>
          <w:kern w:val="0"/>
          <w:sz w:val="28"/>
          <w:szCs w:val="28"/>
          <w:lang w:eastAsia="en-GB"/>
          <w14:ligatures w14:val="none"/>
        </w:rPr>
      </w:pPr>
      <w:bookmarkStart w:id="7" w:name="_Toc215058193"/>
      <w:r w:rsidRPr="0052598D">
        <w:rPr>
          <w:rFonts w:ascii="Arial" w:eastAsia="Times New Roman" w:hAnsi="Arial" w:cs="Arial"/>
          <w:noProof/>
          <w:color w:val="0F4761" w:themeColor="accent1" w:themeShade="BF"/>
          <w:kern w:val="0"/>
          <w:sz w:val="28"/>
          <w:szCs w:val="28"/>
          <w:lang w:eastAsia="en-GB"/>
          <w14:ligatures w14:val="none"/>
        </w:rPr>
        <w:lastRenderedPageBreak/>
        <w:t>4.3 SWOT</w:t>
      </w:r>
      <w:bookmarkEnd w:id="7"/>
    </w:p>
    <w:p w14:paraId="0501A2C1" w14:textId="33A971EA" w:rsidR="00F57B80" w:rsidRPr="00F57B80" w:rsidRDefault="00F57B80" w:rsidP="0052598D">
      <w:pPr>
        <w:keepNext/>
        <w:keepLines/>
        <w:spacing w:before="160" w:after="80" w:line="360" w:lineRule="auto"/>
        <w:jc w:val="both"/>
        <w:outlineLvl w:val="1"/>
        <w:rPr>
          <w:rFonts w:ascii="Arial" w:eastAsia="Times New Roman" w:hAnsi="Arial" w:cs="Arial"/>
          <w:b/>
          <w:bCs/>
          <w:noProof/>
          <w:color w:val="0F4761" w:themeColor="accent1" w:themeShade="BF"/>
          <w:kern w:val="0"/>
          <w:sz w:val="22"/>
          <w:szCs w:val="22"/>
          <w:lang w:eastAsia="en-GB"/>
          <w14:ligatures w14:val="none"/>
        </w:rPr>
      </w:pPr>
      <w:r w:rsidRPr="00F57B80">
        <w:rPr>
          <w:rFonts w:ascii="Arial" w:eastAsia="Times New Roman" w:hAnsi="Arial" w:cs="Arial"/>
          <w:b/>
          <w:bCs/>
          <w:noProof/>
          <w:color w:val="0F4761" w:themeColor="accent1" w:themeShade="BF"/>
          <w:kern w:val="0"/>
          <w:sz w:val="22"/>
          <w:szCs w:val="22"/>
          <w:lang w:eastAsia="en-GB"/>
          <w14:ligatures w14:val="none"/>
        </w:rPr>
        <w:t>SWOT</w:t>
      </w:r>
      <w:r>
        <w:rPr>
          <w:rFonts w:ascii="Arial" w:eastAsia="Times New Roman" w:hAnsi="Arial" w:cs="Arial"/>
          <w:noProof/>
          <w:color w:val="0F4761" w:themeColor="accent1" w:themeShade="BF"/>
          <w:kern w:val="0"/>
          <w:sz w:val="22"/>
          <w:szCs w:val="22"/>
          <w:lang w:eastAsia="en-GB"/>
          <w14:ligatures w14:val="none"/>
        </w:rPr>
        <w:t xml:space="preserve"> </w:t>
      </w:r>
      <w:r w:rsidRPr="00F57B80">
        <w:rPr>
          <w:rFonts w:ascii="Arial" w:hAnsi="Arial" w:cs="Arial"/>
          <w:b/>
          <w:bCs/>
          <w:color w:val="2C2C2C"/>
          <w:sz w:val="22"/>
          <w:szCs w:val="22"/>
          <w:shd w:val="clear" w:color="auto" w:fill="FFFFFF"/>
        </w:rPr>
        <w:t>analysis</w:t>
      </w:r>
      <w:r w:rsidRPr="00F57B80">
        <w:rPr>
          <w:rFonts w:ascii="Arial" w:hAnsi="Arial" w:cs="Arial"/>
          <w:b/>
          <w:bCs/>
          <w:color w:val="2C2C2C"/>
          <w:sz w:val="22"/>
          <w:szCs w:val="22"/>
          <w:shd w:val="clear" w:color="auto" w:fill="FFFFFF"/>
        </w:rPr>
        <w:t xml:space="preserve"> </w:t>
      </w:r>
      <w:r w:rsidRPr="00F57B80">
        <w:rPr>
          <w:rFonts w:ascii="Arial" w:hAnsi="Arial" w:cs="Arial"/>
          <w:color w:val="2C2C2C"/>
          <w:sz w:val="22"/>
          <w:szCs w:val="22"/>
          <w:shd w:val="clear" w:color="auto" w:fill="FFFFFF"/>
        </w:rPr>
        <w:t>is a strategic planning technique designed to identify and evaluate the strengths, weaknesses, opportunities and threats pertinent to a business or a specific project</w:t>
      </w:r>
      <w:r>
        <w:rPr>
          <w:rFonts w:ascii="Arial" w:hAnsi="Arial" w:cs="Arial"/>
          <w:color w:val="2C2C2C"/>
          <w:sz w:val="22"/>
          <w:szCs w:val="22"/>
          <w:shd w:val="clear" w:color="auto" w:fill="FFFFFF"/>
        </w:rPr>
        <w:t>.</w:t>
      </w:r>
      <w:r w:rsidRPr="00F57B80">
        <w:rPr>
          <w:rFonts w:ascii="Arial" w:hAnsi="Arial" w:cs="Arial"/>
          <w:color w:val="2C2C2C"/>
          <w:sz w:val="22"/>
          <w:szCs w:val="22"/>
          <w:shd w:val="clear" w:color="auto" w:fill="FFFFFF"/>
        </w:rPr>
        <w:t xml:space="preserve"> </w:t>
      </w:r>
      <w:r>
        <w:rPr>
          <w:rFonts w:ascii="Arial" w:hAnsi="Arial" w:cs="Arial"/>
          <w:color w:val="2C2C2C"/>
          <w:sz w:val="22"/>
          <w:szCs w:val="22"/>
          <w:shd w:val="clear" w:color="auto" w:fill="FFFFFF"/>
        </w:rPr>
        <w:t>T</w:t>
      </w:r>
      <w:r w:rsidRPr="00F57B80">
        <w:rPr>
          <w:rFonts w:ascii="Arial" w:hAnsi="Arial" w:cs="Arial"/>
          <w:color w:val="2C2C2C"/>
          <w:sz w:val="22"/>
          <w:szCs w:val="22"/>
          <w:shd w:val="clear" w:color="auto" w:fill="FFFFFF"/>
        </w:rPr>
        <w:t>his framework provides a panoramic view of an organisation’s current position by examining internal capabilities and external environmental factors</w:t>
      </w:r>
      <w:r>
        <w:rPr>
          <w:rFonts w:ascii="Arial" w:hAnsi="Arial" w:cs="Arial"/>
          <w:color w:val="2C2C2C"/>
          <w:sz w:val="22"/>
          <w:szCs w:val="22"/>
          <w:shd w:val="clear" w:color="auto" w:fill="FFFFFF"/>
        </w:rPr>
        <w:t xml:space="preserve"> (Anon, 2025). </w:t>
      </w:r>
    </w:p>
    <w:p w14:paraId="07A14C56" w14:textId="77777777" w:rsidR="0052598D" w:rsidRPr="0052598D" w:rsidRDefault="0052598D" w:rsidP="0052598D">
      <w:pPr>
        <w:keepNext/>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drawing>
          <wp:inline distT="0" distB="0" distL="0" distR="0" wp14:anchorId="6F60BE28" wp14:editId="6D6BE483">
            <wp:extent cx="5943600" cy="4892675"/>
            <wp:effectExtent l="0" t="0" r="0" b="0"/>
            <wp:docPr id="3" name="Diagram 3">
              <a:extLst xmlns:a="http://schemas.openxmlformats.org/drawingml/2006/main">
                <a:ext uri="{FF2B5EF4-FFF2-40B4-BE49-F238E27FC236}">
                  <a16:creationId xmlns:a16="http://schemas.microsoft.com/office/drawing/2014/main" id="{F079A65A-F7BD-BD28-B508-7E07A029B19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1FA218F" w14:textId="77777777" w:rsidR="0052598D" w:rsidRPr="0052598D" w:rsidRDefault="0052598D" w:rsidP="0052598D">
      <w:pPr>
        <w:spacing w:after="200" w:line="240" w:lineRule="auto"/>
        <w:jc w:val="center"/>
        <w:rPr>
          <w:rFonts w:ascii="Arial" w:eastAsia="Times New Roman" w:hAnsi="Arial" w:cs="Arial"/>
          <w:i/>
          <w:iCs/>
          <w:noProof/>
          <w:color w:val="0E2841" w:themeColor="text2"/>
          <w:kern w:val="0"/>
          <w:sz w:val="18"/>
          <w:szCs w:val="18"/>
          <w:lang w:eastAsia="en-GB"/>
          <w14:ligatures w14:val="none"/>
        </w:rPr>
      </w:pPr>
      <w:r w:rsidRPr="0052598D">
        <w:rPr>
          <w:rFonts w:ascii="Arial" w:eastAsia="Times New Roman" w:hAnsi="Arial" w:cs="Arial"/>
          <w:i/>
          <w:iCs/>
          <w:noProof/>
          <w:color w:val="0E2841" w:themeColor="text2"/>
          <w:kern w:val="0"/>
          <w:sz w:val="18"/>
          <w:szCs w:val="18"/>
          <w:lang w:eastAsia="en-GB"/>
          <w14:ligatures w14:val="none"/>
        </w:rPr>
        <w:t xml:space="preserve">Figure </w:t>
      </w:r>
      <w:r w:rsidRPr="0052598D">
        <w:rPr>
          <w:rFonts w:ascii="Arial" w:eastAsia="Times New Roman" w:hAnsi="Arial" w:cs="Arial"/>
          <w:i/>
          <w:iCs/>
          <w:noProof/>
          <w:color w:val="0E2841" w:themeColor="text2"/>
          <w:kern w:val="0"/>
          <w:sz w:val="18"/>
          <w:szCs w:val="18"/>
          <w:lang w:eastAsia="en-GB"/>
          <w14:ligatures w14:val="none"/>
        </w:rPr>
        <w:fldChar w:fldCharType="begin"/>
      </w:r>
      <w:r w:rsidRPr="0052598D">
        <w:rPr>
          <w:rFonts w:ascii="Arial" w:eastAsia="Times New Roman" w:hAnsi="Arial" w:cs="Arial"/>
          <w:i/>
          <w:iCs/>
          <w:noProof/>
          <w:color w:val="0E2841" w:themeColor="text2"/>
          <w:kern w:val="0"/>
          <w:sz w:val="18"/>
          <w:szCs w:val="18"/>
          <w:lang w:eastAsia="en-GB"/>
          <w14:ligatures w14:val="none"/>
        </w:rPr>
        <w:instrText xml:space="preserve"> SEQ Figure \* ARABIC </w:instrText>
      </w:r>
      <w:r w:rsidRPr="0052598D">
        <w:rPr>
          <w:rFonts w:ascii="Arial" w:eastAsia="Times New Roman" w:hAnsi="Arial" w:cs="Arial"/>
          <w:i/>
          <w:iCs/>
          <w:noProof/>
          <w:color w:val="0E2841" w:themeColor="text2"/>
          <w:kern w:val="0"/>
          <w:sz w:val="18"/>
          <w:szCs w:val="18"/>
          <w:lang w:eastAsia="en-GB"/>
          <w14:ligatures w14:val="none"/>
        </w:rPr>
        <w:fldChar w:fldCharType="separate"/>
      </w:r>
      <w:r w:rsidRPr="0052598D">
        <w:rPr>
          <w:rFonts w:ascii="Arial" w:eastAsia="Times New Roman" w:hAnsi="Arial" w:cs="Arial"/>
          <w:i/>
          <w:iCs/>
          <w:noProof/>
          <w:color w:val="0E2841" w:themeColor="text2"/>
          <w:kern w:val="0"/>
          <w:sz w:val="18"/>
          <w:szCs w:val="18"/>
          <w:lang w:eastAsia="en-GB"/>
          <w14:ligatures w14:val="none"/>
        </w:rPr>
        <w:t>4</w:t>
      </w:r>
      <w:r w:rsidRPr="0052598D">
        <w:rPr>
          <w:rFonts w:ascii="Arial" w:eastAsia="Times New Roman" w:hAnsi="Arial" w:cs="Arial"/>
          <w:i/>
          <w:iCs/>
          <w:noProof/>
          <w:color w:val="0E2841" w:themeColor="text2"/>
          <w:kern w:val="0"/>
          <w:sz w:val="18"/>
          <w:szCs w:val="18"/>
          <w:lang w:eastAsia="en-GB"/>
          <w14:ligatures w14:val="none"/>
        </w:rPr>
        <w:fldChar w:fldCharType="end"/>
      </w:r>
      <w:r w:rsidRPr="0052598D">
        <w:rPr>
          <w:rFonts w:ascii="Arial" w:eastAsia="Times New Roman" w:hAnsi="Arial" w:cs="Arial"/>
          <w:i/>
          <w:iCs/>
          <w:noProof/>
          <w:color w:val="0E2841" w:themeColor="text2"/>
          <w:kern w:val="0"/>
          <w:sz w:val="18"/>
          <w:szCs w:val="18"/>
          <w:lang w:eastAsia="en-GB"/>
          <w14:ligatures w14:val="none"/>
        </w:rPr>
        <w:t>: SWOT Analysis</w:t>
      </w:r>
    </w:p>
    <w:p w14:paraId="03E64C23"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IKEA has built its franchise system upon the reputation and value propositions of their highly recognized and respected brand, building customer loyalty and broad, cross-border customer traffic (Akbar and Tracogna, 2018). Supply chain efficiencies on the franchise level result in a broad, versatile, flexible, and customizable product offering that fulfills a wide variety of value needs within the target market. Such an offering forms a strong competitive advantage within an industry where both price and aesthetic design are dominant purchase drivers. Such value, </w:t>
      </w:r>
      <w:r w:rsidRPr="0052598D">
        <w:rPr>
          <w:rFonts w:ascii="Arial" w:eastAsia="Times New Roman" w:hAnsi="Arial" w:cs="Arial"/>
          <w:noProof/>
          <w:kern w:val="0"/>
          <w:sz w:val="22"/>
          <w:szCs w:val="22"/>
          <w:lang w:eastAsia="en-GB"/>
          <w14:ligatures w14:val="none"/>
        </w:rPr>
        <w:lastRenderedPageBreak/>
        <w:t>however, is constrained on the franchise level where the SME franchisee has limited opportunities for product differentiation and independent innovation, reducing a franchisee’s ability to compete on their local market.</w:t>
      </w:r>
    </w:p>
    <w:p w14:paraId="35037E62"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Increasing operational and delivery costs hinder flexible pricing strategies, as growing costs and weakening profitability create inefficient delivery costs and lost revenue from unmet delivery deadlines creating urban logistical challenges (Kraus et al., 2019). In contrast to the growing digital adoption of E-Commerce, this resulted in the loss of digitally attainable revenue due to the convenience offered by smaller urban store footprints. IKEA integrated digitally with green circular redesign and community centered environmental policy initiatives to widen the sustainable EWASTE opportunities (IKEA, 2023).</w:t>
      </w:r>
    </w:p>
    <w:p w14:paraId="5FB06FCC" w14:textId="7CE01FBD"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There are challenges to the strategic position of the franchisee due to the current economic environment which drives cyclical deflation and lowers the profitability of the E-Commerce franchise. In the cyber environment, however, deflationary pricing is brought about as competitors in digital E-Commerce dominate pricing and control the delivery time. The increased costs and constraints due to the disruptive layers of the global supply chain is still the critical path for all SMEs. Timeframes for operational sustainability complaints, along with cost, product lifecycle disruptions, and regulatory framework complexity for SMEs have become critical, especially with more advanced regulatory frameworks. (Dey et al., 2011).</w:t>
      </w:r>
    </w:p>
    <w:p w14:paraId="0EBDE1A5" w14:textId="413D79C1" w:rsidR="0052598D" w:rsidRPr="0052598D" w:rsidRDefault="0052598D" w:rsidP="0052598D">
      <w:pPr>
        <w:keepNext/>
        <w:keepLines/>
        <w:spacing w:before="160" w:after="80" w:line="360" w:lineRule="auto"/>
        <w:jc w:val="both"/>
        <w:outlineLvl w:val="1"/>
        <w:rPr>
          <w:rFonts w:ascii="Arial" w:eastAsia="Times New Roman" w:hAnsi="Arial" w:cs="Arial"/>
          <w:noProof/>
          <w:color w:val="0F4761" w:themeColor="accent1" w:themeShade="BF"/>
          <w:kern w:val="0"/>
          <w:sz w:val="28"/>
          <w:szCs w:val="28"/>
          <w:lang w:eastAsia="en-GB"/>
          <w14:ligatures w14:val="none"/>
        </w:rPr>
      </w:pPr>
      <w:bookmarkStart w:id="8" w:name="_Toc215058194"/>
      <w:r w:rsidRPr="0052598D">
        <w:rPr>
          <w:rFonts w:ascii="Arial" w:eastAsia="Times New Roman" w:hAnsi="Arial" w:cs="Arial"/>
          <w:noProof/>
          <w:color w:val="0F4761" w:themeColor="accent1" w:themeShade="BF"/>
          <w:kern w:val="0"/>
          <w:sz w:val="28"/>
          <w:szCs w:val="28"/>
          <w:lang w:eastAsia="en-GB"/>
          <w14:ligatures w14:val="none"/>
        </w:rPr>
        <w:t>4.</w:t>
      </w:r>
      <w:r w:rsidR="00AF09EA">
        <w:rPr>
          <w:rFonts w:ascii="Arial" w:eastAsia="Times New Roman" w:hAnsi="Arial" w:cs="Arial"/>
          <w:noProof/>
          <w:color w:val="0F4761" w:themeColor="accent1" w:themeShade="BF"/>
          <w:kern w:val="0"/>
          <w:sz w:val="28"/>
          <w:szCs w:val="28"/>
          <w:lang w:eastAsia="en-GB"/>
          <w14:ligatures w14:val="none"/>
        </w:rPr>
        <w:t>4</w:t>
      </w:r>
      <w:r w:rsidRPr="0052598D">
        <w:rPr>
          <w:rFonts w:ascii="Arial" w:eastAsia="Times New Roman" w:hAnsi="Arial" w:cs="Arial"/>
          <w:noProof/>
          <w:color w:val="0F4761" w:themeColor="accent1" w:themeShade="BF"/>
          <w:kern w:val="0"/>
          <w:sz w:val="28"/>
          <w:szCs w:val="28"/>
          <w:lang w:eastAsia="en-GB"/>
          <w14:ligatures w14:val="none"/>
        </w:rPr>
        <w:t xml:space="preserve"> Competitive Positioning Summary</w:t>
      </w:r>
      <w:bookmarkEnd w:id="8"/>
    </w:p>
    <w:p w14:paraId="25862613"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IKEA's SME systematic franchisee has anchored cost-leadership combined with multi-national presence and streamlined operations. Even so, the saturation of the UK market, combined with enhanced customer expectations and technological disruption, requires a differentiating strategy centred on improved service and digital innovation (Porter and Heppelmann, 2014). Sustainability commitments also diffuse active competition, as more customers choose sustainably friendly retailers (IKEA, 2023). By further enhancing digital and logistical capabilities and adjusting suitable local practices, the business will increase competitiveness and resilience.</w:t>
      </w:r>
    </w:p>
    <w:p w14:paraId="266F640C" w14:textId="2CC47A10" w:rsidR="0052598D" w:rsidRDefault="0052598D" w:rsidP="0052598D">
      <w:pPr>
        <w:keepNext/>
        <w:keepLines/>
        <w:spacing w:before="360" w:after="80" w:line="360" w:lineRule="auto"/>
        <w:jc w:val="both"/>
        <w:outlineLvl w:val="0"/>
        <w:rPr>
          <w:rFonts w:ascii="Arial" w:eastAsia="Times New Roman" w:hAnsi="Arial" w:cs="Arial"/>
          <w:noProof/>
          <w:color w:val="0F4761" w:themeColor="accent1" w:themeShade="BF"/>
          <w:kern w:val="0"/>
          <w:sz w:val="32"/>
          <w:szCs w:val="32"/>
          <w:lang w:eastAsia="en-GB"/>
          <w14:ligatures w14:val="none"/>
        </w:rPr>
      </w:pPr>
      <w:bookmarkStart w:id="9" w:name="_Toc215058195"/>
      <w:r w:rsidRPr="0052598D">
        <w:rPr>
          <w:rFonts w:ascii="Arial" w:eastAsia="Times New Roman" w:hAnsi="Arial" w:cs="Arial"/>
          <w:noProof/>
          <w:color w:val="0F4761" w:themeColor="accent1" w:themeShade="BF"/>
          <w:kern w:val="0"/>
          <w:sz w:val="32"/>
          <w:szCs w:val="32"/>
          <w:lang w:eastAsia="en-GB"/>
          <w14:ligatures w14:val="none"/>
        </w:rPr>
        <w:lastRenderedPageBreak/>
        <w:t>5. Strategic Growth Choices &amp; New Sustainable Strategy</w:t>
      </w:r>
      <w:r w:rsidR="00664274">
        <w:rPr>
          <w:rFonts w:ascii="Arial" w:eastAsia="Times New Roman" w:hAnsi="Arial" w:cs="Arial"/>
          <w:noProof/>
          <w:color w:val="0F4761" w:themeColor="accent1" w:themeShade="BF"/>
          <w:kern w:val="0"/>
          <w:sz w:val="32"/>
          <w:szCs w:val="32"/>
          <w:lang w:eastAsia="en-GB"/>
          <w14:ligatures w14:val="none"/>
        </w:rPr>
        <w:t>: Ansoff and BCG</w:t>
      </w:r>
      <w:bookmarkEnd w:id="9"/>
    </w:p>
    <w:p w14:paraId="5EF6CA1A" w14:textId="113E3752" w:rsidR="006973F4" w:rsidRPr="006973F4" w:rsidRDefault="006973F4" w:rsidP="0052598D">
      <w:pPr>
        <w:keepNext/>
        <w:keepLines/>
        <w:spacing w:before="360" w:after="80" w:line="360" w:lineRule="auto"/>
        <w:jc w:val="both"/>
        <w:outlineLvl w:val="0"/>
        <w:rPr>
          <w:rFonts w:ascii="Arial" w:eastAsia="Times New Roman" w:hAnsi="Arial" w:cs="Arial"/>
          <w:noProof/>
          <w:color w:val="0F4761" w:themeColor="accent1" w:themeShade="BF"/>
          <w:kern w:val="0"/>
          <w:sz w:val="22"/>
          <w:szCs w:val="22"/>
          <w:lang w:eastAsia="en-GB"/>
          <w14:ligatures w14:val="none"/>
        </w:rPr>
      </w:pPr>
      <w:r w:rsidRPr="006973F4">
        <w:rPr>
          <w:rFonts w:ascii="Arial" w:hAnsi="Arial" w:cs="Arial"/>
          <w:b/>
          <w:bCs/>
          <w:color w:val="374151"/>
          <w:sz w:val="22"/>
          <w:szCs w:val="22"/>
          <w:shd w:val="clear" w:color="auto" w:fill="FFFFFF"/>
        </w:rPr>
        <w:t>The Ansoff Matrix</w:t>
      </w:r>
      <w:r w:rsidRPr="006973F4">
        <w:rPr>
          <w:rFonts w:ascii="Arial" w:hAnsi="Arial" w:cs="Arial"/>
          <w:color w:val="374151"/>
          <w:sz w:val="22"/>
          <w:szCs w:val="22"/>
          <w:shd w:val="clear" w:color="auto" w:fill="FFFFFF"/>
        </w:rPr>
        <w:t>, often called the Product/Market Expansion Grid, is a two-by-two framework used by management teams and the analyst community to help plan and evaluate growth initiatives. In particular, the tool helps stakeholders conceptualize the level of risk associated with different growth strategies</w:t>
      </w:r>
      <w:r>
        <w:rPr>
          <w:rFonts w:ascii="Arial" w:hAnsi="Arial" w:cs="Arial"/>
          <w:color w:val="374151"/>
          <w:sz w:val="22"/>
          <w:szCs w:val="22"/>
          <w:shd w:val="clear" w:color="auto" w:fill="FFFFFF"/>
        </w:rPr>
        <w:t xml:space="preserve"> </w:t>
      </w:r>
      <w:proofErr w:type="gramStart"/>
      <w:r>
        <w:rPr>
          <w:rFonts w:ascii="Arial" w:hAnsi="Arial" w:cs="Arial"/>
          <w:color w:val="374151"/>
          <w:sz w:val="22"/>
          <w:szCs w:val="22"/>
          <w:shd w:val="clear" w:color="auto" w:fill="FFFFFF"/>
        </w:rPr>
        <w:t>( Kyle</w:t>
      </w:r>
      <w:proofErr w:type="gramEnd"/>
      <w:r>
        <w:rPr>
          <w:rFonts w:ascii="Arial" w:hAnsi="Arial" w:cs="Arial"/>
          <w:color w:val="374151"/>
          <w:sz w:val="22"/>
          <w:szCs w:val="22"/>
          <w:shd w:val="clear" w:color="auto" w:fill="FFFFFF"/>
        </w:rPr>
        <w:t xml:space="preserve"> </w:t>
      </w:r>
      <w:proofErr w:type="spellStart"/>
      <w:r>
        <w:rPr>
          <w:rFonts w:ascii="Arial" w:hAnsi="Arial" w:cs="Arial"/>
          <w:color w:val="374151"/>
          <w:sz w:val="22"/>
          <w:szCs w:val="22"/>
          <w:shd w:val="clear" w:color="auto" w:fill="FFFFFF"/>
        </w:rPr>
        <w:t>Peterdy</w:t>
      </w:r>
      <w:proofErr w:type="spellEnd"/>
      <w:r>
        <w:rPr>
          <w:rFonts w:ascii="Arial" w:hAnsi="Arial" w:cs="Arial"/>
          <w:color w:val="374151"/>
          <w:sz w:val="22"/>
          <w:szCs w:val="22"/>
          <w:shd w:val="clear" w:color="auto" w:fill="FFFFFF"/>
        </w:rPr>
        <w:t>, 2025).</w:t>
      </w:r>
    </w:p>
    <w:p w14:paraId="1A5DDC3B" w14:textId="77777777" w:rsidR="0052598D" w:rsidRPr="0052598D" w:rsidRDefault="0052598D" w:rsidP="0052598D">
      <w:pPr>
        <w:keepNext/>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drawing>
          <wp:inline distT="0" distB="0" distL="0" distR="0" wp14:anchorId="780AC5D7" wp14:editId="5054C99B">
            <wp:extent cx="5943600" cy="2743200"/>
            <wp:effectExtent l="0" t="0" r="0" b="0"/>
            <wp:docPr id="5" name="Diagram 5">
              <a:extLst xmlns:a="http://schemas.openxmlformats.org/drawingml/2006/main">
                <a:ext uri="{FF2B5EF4-FFF2-40B4-BE49-F238E27FC236}">
                  <a16:creationId xmlns:a16="http://schemas.microsoft.com/office/drawing/2014/main" id="{F352B1EF-8FC1-EFC4-5574-7D292C9203D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DD67BEF" w14:textId="77777777" w:rsidR="0052598D" w:rsidRPr="0052598D" w:rsidRDefault="0052598D" w:rsidP="0052598D">
      <w:pPr>
        <w:spacing w:after="200" w:line="240" w:lineRule="auto"/>
        <w:jc w:val="center"/>
        <w:rPr>
          <w:rFonts w:ascii="Arial" w:eastAsia="Times New Roman" w:hAnsi="Arial" w:cs="Arial"/>
          <w:i/>
          <w:iCs/>
          <w:noProof/>
          <w:color w:val="0E2841" w:themeColor="text2"/>
          <w:kern w:val="0"/>
          <w:sz w:val="18"/>
          <w:szCs w:val="18"/>
          <w:lang w:eastAsia="en-GB"/>
          <w14:ligatures w14:val="none"/>
        </w:rPr>
      </w:pPr>
      <w:r w:rsidRPr="0052598D">
        <w:rPr>
          <w:rFonts w:ascii="Arial" w:eastAsia="Times New Roman" w:hAnsi="Arial" w:cs="Arial"/>
          <w:i/>
          <w:iCs/>
          <w:noProof/>
          <w:color w:val="0E2841" w:themeColor="text2"/>
          <w:kern w:val="0"/>
          <w:sz w:val="18"/>
          <w:szCs w:val="18"/>
          <w:lang w:eastAsia="en-GB"/>
          <w14:ligatures w14:val="none"/>
        </w:rPr>
        <w:t xml:space="preserve">Figure </w:t>
      </w:r>
      <w:r w:rsidRPr="0052598D">
        <w:rPr>
          <w:rFonts w:ascii="Arial" w:eastAsia="Times New Roman" w:hAnsi="Arial" w:cs="Arial"/>
          <w:i/>
          <w:iCs/>
          <w:noProof/>
          <w:color w:val="0E2841" w:themeColor="text2"/>
          <w:kern w:val="0"/>
          <w:sz w:val="18"/>
          <w:szCs w:val="18"/>
          <w:lang w:eastAsia="en-GB"/>
          <w14:ligatures w14:val="none"/>
        </w:rPr>
        <w:fldChar w:fldCharType="begin"/>
      </w:r>
      <w:r w:rsidRPr="0052598D">
        <w:rPr>
          <w:rFonts w:ascii="Arial" w:eastAsia="Times New Roman" w:hAnsi="Arial" w:cs="Arial"/>
          <w:i/>
          <w:iCs/>
          <w:noProof/>
          <w:color w:val="0E2841" w:themeColor="text2"/>
          <w:kern w:val="0"/>
          <w:sz w:val="18"/>
          <w:szCs w:val="18"/>
          <w:lang w:eastAsia="en-GB"/>
          <w14:ligatures w14:val="none"/>
        </w:rPr>
        <w:instrText xml:space="preserve"> SEQ Figure \* ARABIC </w:instrText>
      </w:r>
      <w:r w:rsidRPr="0052598D">
        <w:rPr>
          <w:rFonts w:ascii="Arial" w:eastAsia="Times New Roman" w:hAnsi="Arial" w:cs="Arial"/>
          <w:i/>
          <w:iCs/>
          <w:noProof/>
          <w:color w:val="0E2841" w:themeColor="text2"/>
          <w:kern w:val="0"/>
          <w:sz w:val="18"/>
          <w:szCs w:val="18"/>
          <w:lang w:eastAsia="en-GB"/>
          <w14:ligatures w14:val="none"/>
        </w:rPr>
        <w:fldChar w:fldCharType="separate"/>
      </w:r>
      <w:r w:rsidRPr="0052598D">
        <w:rPr>
          <w:rFonts w:ascii="Arial" w:eastAsia="Times New Roman" w:hAnsi="Arial" w:cs="Arial"/>
          <w:i/>
          <w:iCs/>
          <w:noProof/>
          <w:color w:val="0E2841" w:themeColor="text2"/>
          <w:kern w:val="0"/>
          <w:sz w:val="18"/>
          <w:szCs w:val="18"/>
          <w:lang w:eastAsia="en-GB"/>
          <w14:ligatures w14:val="none"/>
        </w:rPr>
        <w:t>6</w:t>
      </w:r>
      <w:r w:rsidRPr="0052598D">
        <w:rPr>
          <w:rFonts w:ascii="Arial" w:eastAsia="Times New Roman" w:hAnsi="Arial" w:cs="Arial"/>
          <w:i/>
          <w:iCs/>
          <w:noProof/>
          <w:color w:val="0E2841" w:themeColor="text2"/>
          <w:kern w:val="0"/>
          <w:sz w:val="18"/>
          <w:szCs w:val="18"/>
          <w:lang w:eastAsia="en-GB"/>
          <w14:ligatures w14:val="none"/>
        </w:rPr>
        <w:fldChar w:fldCharType="end"/>
      </w:r>
      <w:r w:rsidRPr="0052598D">
        <w:rPr>
          <w:rFonts w:ascii="Arial" w:eastAsia="Times New Roman" w:hAnsi="Arial" w:cs="Arial"/>
          <w:i/>
          <w:iCs/>
          <w:noProof/>
          <w:color w:val="0E2841" w:themeColor="text2"/>
          <w:kern w:val="0"/>
          <w:sz w:val="18"/>
          <w:szCs w:val="18"/>
          <w:lang w:eastAsia="en-GB"/>
          <w14:ligatures w14:val="none"/>
        </w:rPr>
        <w:t>: Ansoff Matrix</w:t>
      </w:r>
    </w:p>
    <w:p w14:paraId="485D31A7" w14:textId="7F0DAE67" w:rsidR="0052598D" w:rsidRDefault="00D54871" w:rsidP="0052598D">
      <w:pPr>
        <w:spacing w:line="360" w:lineRule="auto"/>
        <w:jc w:val="both"/>
        <w:rPr>
          <w:rFonts w:ascii="Arial" w:eastAsia="Times New Roman" w:hAnsi="Arial" w:cs="Arial"/>
          <w:noProof/>
          <w:kern w:val="0"/>
          <w:sz w:val="22"/>
          <w:szCs w:val="22"/>
          <w:lang w:eastAsia="en-GB"/>
          <w14:ligatures w14:val="none"/>
        </w:rPr>
      </w:pPr>
      <w:r w:rsidRPr="00D54871">
        <w:rPr>
          <w:rFonts w:ascii="Arial" w:eastAsia="Times New Roman" w:hAnsi="Arial" w:cs="Arial"/>
          <w:noProof/>
          <w:kern w:val="0"/>
          <w:sz w:val="22"/>
          <w:szCs w:val="22"/>
          <w:lang w:eastAsia="en-GB"/>
          <w14:ligatures w14:val="none"/>
        </w:rPr>
        <w:t>As part of the SME sector, an analysis of growth options available to IKEA is vital. Applying the Ansoff Growth Matrix, it is possible to understand the potential growth options available to the company. Cost leadership has always been the dominant strategy that has worked in IKEA's favor on the basis of efficient global sourcing and economies of scale (Grant, 2019). However, coupled with the growth of digital competitors, it becomes pertinent that this strategy be slightly altered, given the stiff competition in the UK furniture market (Mintel, 2022). Using the Ansoff Growth Matrix, some growth options available to IKEA include improved digital marketing and promotion, the opening of small format "micro" urban stores to access new markets, launching a new line of home services (including in-house service packages), and introducing a new product line focused on sustainability (Johnson et al., 2017). But this is limited by the lack of autonomy and financing typical of SME franchising.</w:t>
      </w:r>
    </w:p>
    <w:p w14:paraId="2B5AECCC" w14:textId="77777777" w:rsidR="006973F4" w:rsidRDefault="006973F4" w:rsidP="0052598D">
      <w:pPr>
        <w:spacing w:line="360" w:lineRule="auto"/>
        <w:jc w:val="both"/>
        <w:rPr>
          <w:rFonts w:ascii="Arial" w:eastAsia="Times New Roman" w:hAnsi="Arial" w:cs="Arial"/>
          <w:noProof/>
          <w:kern w:val="0"/>
          <w:sz w:val="22"/>
          <w:szCs w:val="22"/>
          <w:lang w:eastAsia="en-GB"/>
          <w14:ligatures w14:val="none"/>
        </w:rPr>
      </w:pPr>
    </w:p>
    <w:p w14:paraId="28CC1A38" w14:textId="24FCD6A3" w:rsidR="006973F4" w:rsidRPr="006973F4" w:rsidRDefault="006973F4" w:rsidP="0052598D">
      <w:pPr>
        <w:spacing w:line="360" w:lineRule="auto"/>
        <w:jc w:val="both"/>
        <w:rPr>
          <w:rFonts w:ascii="Arial" w:eastAsia="Times New Roman" w:hAnsi="Arial" w:cs="Arial"/>
          <w:noProof/>
          <w:kern w:val="0"/>
          <w:sz w:val="22"/>
          <w:szCs w:val="22"/>
          <w:lang w:eastAsia="en-GB"/>
          <w14:ligatures w14:val="none"/>
        </w:rPr>
      </w:pPr>
      <w:r w:rsidRPr="006973F4">
        <w:rPr>
          <w:rFonts w:ascii="Arial" w:hAnsi="Arial" w:cs="Arial"/>
          <w:b/>
          <w:bCs/>
          <w:color w:val="314249"/>
          <w:sz w:val="22"/>
          <w:szCs w:val="22"/>
        </w:rPr>
        <w:lastRenderedPageBreak/>
        <w:t>The Boston Consulting Group's BCG Matrix</w:t>
      </w:r>
      <w:r w:rsidRPr="006973F4">
        <w:rPr>
          <w:rFonts w:ascii="Arial" w:hAnsi="Arial" w:cs="Arial"/>
          <w:color w:val="314249"/>
          <w:sz w:val="22"/>
          <w:szCs w:val="22"/>
        </w:rPr>
        <w:t xml:space="preserve"> is </w:t>
      </w:r>
      <w:r>
        <w:rPr>
          <w:rFonts w:ascii="Arial" w:hAnsi="Arial" w:cs="Arial"/>
          <w:color w:val="314249"/>
          <w:sz w:val="22"/>
          <w:szCs w:val="22"/>
        </w:rPr>
        <w:t>a strategic framework</w:t>
      </w:r>
      <w:r w:rsidRPr="006973F4">
        <w:rPr>
          <w:rFonts w:ascii="Arial" w:hAnsi="Arial" w:cs="Arial"/>
          <w:color w:val="314249"/>
          <w:sz w:val="22"/>
          <w:szCs w:val="22"/>
        </w:rPr>
        <w:t xml:space="preserve"> </w:t>
      </w:r>
      <w:r>
        <w:rPr>
          <w:rFonts w:ascii="Arial" w:hAnsi="Arial" w:cs="Arial"/>
          <w:color w:val="314249"/>
          <w:sz w:val="22"/>
          <w:szCs w:val="22"/>
        </w:rPr>
        <w:t>f</w:t>
      </w:r>
      <w:r w:rsidRPr="006973F4">
        <w:rPr>
          <w:rFonts w:ascii="Arial" w:hAnsi="Arial" w:cs="Arial"/>
          <w:color w:val="314249"/>
          <w:sz w:val="22"/>
          <w:szCs w:val="22"/>
        </w:rPr>
        <w:t xml:space="preserve">or businesses to </w:t>
      </w:r>
      <w:r w:rsidRPr="006973F4">
        <w:rPr>
          <w:rFonts w:ascii="Arial" w:hAnsi="Arial" w:cs="Arial"/>
          <w:color w:val="314249"/>
          <w:sz w:val="22"/>
          <w:szCs w:val="22"/>
        </w:rPr>
        <w:t>analyse</w:t>
      </w:r>
      <w:r w:rsidRPr="006973F4">
        <w:rPr>
          <w:rFonts w:ascii="Arial" w:hAnsi="Arial" w:cs="Arial"/>
          <w:color w:val="314249"/>
          <w:sz w:val="22"/>
          <w:szCs w:val="22"/>
        </w:rPr>
        <w:t xml:space="preserve"> their product portfolio based on market share and market growth rate. It categorizes products into four quadrants, guiding decisions on investment, divestment, or development</w:t>
      </w:r>
      <w:r>
        <w:rPr>
          <w:rFonts w:ascii="Arial" w:hAnsi="Arial" w:cs="Arial"/>
          <w:color w:val="314249"/>
          <w:sz w:val="22"/>
          <w:szCs w:val="22"/>
        </w:rPr>
        <w:t xml:space="preserve"> (</w:t>
      </w:r>
      <w:proofErr w:type="spellStart"/>
      <w:r>
        <w:rPr>
          <w:rFonts w:ascii="Arial" w:hAnsi="Arial" w:cs="Arial"/>
          <w:color w:val="314249"/>
          <w:sz w:val="22"/>
          <w:szCs w:val="22"/>
        </w:rPr>
        <w:t>Quantive</w:t>
      </w:r>
      <w:proofErr w:type="spellEnd"/>
      <w:r>
        <w:rPr>
          <w:rFonts w:ascii="Arial" w:hAnsi="Arial" w:cs="Arial"/>
          <w:color w:val="314249"/>
          <w:sz w:val="22"/>
          <w:szCs w:val="22"/>
        </w:rPr>
        <w:t>, 2024).</w:t>
      </w:r>
    </w:p>
    <w:p w14:paraId="08690043" w14:textId="619549B3" w:rsidR="003F045B" w:rsidRPr="0052598D" w:rsidRDefault="003F045B" w:rsidP="0052598D">
      <w:pPr>
        <w:spacing w:line="360" w:lineRule="auto"/>
        <w:jc w:val="both"/>
        <w:rPr>
          <w:rFonts w:ascii="Arial" w:eastAsia="Times New Roman" w:hAnsi="Arial" w:cs="Arial"/>
          <w:noProof/>
          <w:kern w:val="0"/>
          <w:sz w:val="22"/>
          <w:szCs w:val="22"/>
          <w:lang w:eastAsia="en-GB"/>
          <w14:ligatures w14:val="none"/>
        </w:rPr>
      </w:pPr>
      <w:r w:rsidRPr="003F045B">
        <w:rPr>
          <w:rFonts w:ascii="Arial" w:eastAsia="Times New Roman" w:hAnsi="Arial" w:cs="Arial"/>
          <w:noProof/>
          <w:kern w:val="0"/>
          <w:sz w:val="22"/>
          <w:szCs w:val="22"/>
          <w:lang w:eastAsia="en-GB"/>
          <w14:ligatures w14:val="none"/>
        </w:rPr>
        <w:drawing>
          <wp:inline distT="0" distB="0" distL="0" distR="0" wp14:anchorId="373934B7" wp14:editId="5CF10B2A">
            <wp:extent cx="5943600" cy="4902200"/>
            <wp:effectExtent l="0" t="0" r="0" b="0"/>
            <wp:docPr id="10" name="Picture 9">
              <a:extLst xmlns:a="http://schemas.openxmlformats.org/drawingml/2006/main">
                <a:ext uri="{FF2B5EF4-FFF2-40B4-BE49-F238E27FC236}">
                  <a16:creationId xmlns:a16="http://schemas.microsoft.com/office/drawing/2014/main" id="{BCAD2B92-058B-C70C-CCF6-E477EFE07B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BCAD2B92-058B-C70C-CCF6-E477EFE07BF6}"/>
                        </a:ext>
                      </a:extLst>
                    </pic:cNvPr>
                    <pic:cNvPicPr>
                      <a:picLocks noChangeAspect="1"/>
                    </pic:cNvPicPr>
                  </pic:nvPicPr>
                  <pic:blipFill>
                    <a:blip r:embed="rId28"/>
                    <a:stretch>
                      <a:fillRect/>
                    </a:stretch>
                  </pic:blipFill>
                  <pic:spPr>
                    <a:xfrm>
                      <a:off x="0" y="0"/>
                      <a:ext cx="5943600" cy="4902200"/>
                    </a:xfrm>
                    <a:prstGeom prst="rect">
                      <a:avLst/>
                    </a:prstGeom>
                  </pic:spPr>
                </pic:pic>
              </a:graphicData>
            </a:graphic>
          </wp:inline>
        </w:drawing>
      </w:r>
    </w:p>
    <w:p w14:paraId="53466D13" w14:textId="77777777" w:rsidR="003D4405" w:rsidRPr="00BB77D6" w:rsidRDefault="003D4405" w:rsidP="00E226B2">
      <w:pPr>
        <w:spacing w:line="360" w:lineRule="auto"/>
        <w:jc w:val="both"/>
        <w:rPr>
          <w:rFonts w:ascii="Arial" w:eastAsia="Times New Roman" w:hAnsi="Arial" w:cs="Arial"/>
          <w:noProof/>
          <w:color w:val="000000" w:themeColor="text1"/>
          <w:kern w:val="0"/>
          <w:sz w:val="22"/>
          <w:szCs w:val="22"/>
          <w:lang w:eastAsia="en-GB"/>
          <w14:ligatures w14:val="none"/>
        </w:rPr>
      </w:pPr>
      <w:r w:rsidRPr="00BB77D6">
        <w:rPr>
          <w:rFonts w:ascii="Arial" w:eastAsia="Times New Roman" w:hAnsi="Arial" w:cs="Arial"/>
          <w:noProof/>
          <w:color w:val="000000" w:themeColor="text1"/>
          <w:kern w:val="0"/>
          <w:sz w:val="22"/>
          <w:szCs w:val="22"/>
          <w:lang w:eastAsia="en-GB"/>
          <w14:ligatures w14:val="none"/>
        </w:rPr>
        <w:t xml:space="preserve">Dividing products according to market growth and relative market share is one of the approaches employed by the BCG matrix to streamline the product portfolio analysis. At IKEA, modular storage systems and kitchen units are Stars products due to their customizability, strong demand, and solid growth positioned in the urban-living market. Core flat-pack furniture and high-volume home accessories, however, are Cash Cows that generate consistent revenue from low-growth mature markets. However, continued margin pressures of these products may correlate to some of their profitability. Smart home tech and new urban micro-store concepts land in the Question Marks category. Although these products are in high-growth markets, their low market share is concerning. Slow-moving legacy ranges and seasonal décor items fall within the Dogs category. </w:t>
      </w:r>
      <w:r w:rsidRPr="00BB77D6">
        <w:rPr>
          <w:rFonts w:ascii="Arial" w:eastAsia="Times New Roman" w:hAnsi="Arial" w:cs="Arial"/>
          <w:noProof/>
          <w:color w:val="000000" w:themeColor="text1"/>
          <w:kern w:val="0"/>
          <w:sz w:val="22"/>
          <w:szCs w:val="22"/>
          <w:lang w:eastAsia="en-GB"/>
          <w14:ligatures w14:val="none"/>
        </w:rPr>
        <w:lastRenderedPageBreak/>
        <w:t>Their low turnover generates inventory challenges and little strategic value. They are just left with little to no turnover. Although it is useful, the BCG matrix has static and simplifies the analysis of the products based on the assumption that consumer behavior and digital retail systems are not changing. (Johnson et al, 2017).</w:t>
      </w:r>
    </w:p>
    <w:p w14:paraId="0840BE2C" w14:textId="23D23BA2" w:rsidR="0007124E" w:rsidRPr="00E226B2" w:rsidRDefault="0007124E" w:rsidP="0052598D">
      <w:pPr>
        <w:spacing w:line="360" w:lineRule="auto"/>
        <w:jc w:val="both"/>
        <w:rPr>
          <w:rFonts w:ascii="Arial" w:eastAsia="Times New Roman" w:hAnsi="Arial" w:cs="Arial"/>
          <w:noProof/>
          <w:kern w:val="0"/>
          <w:sz w:val="22"/>
          <w:szCs w:val="22"/>
          <w:lang w:eastAsia="en-GB"/>
          <w14:ligatures w14:val="none"/>
        </w:rPr>
      </w:pPr>
    </w:p>
    <w:p w14:paraId="434793BD" w14:textId="72462685" w:rsidR="0052598D" w:rsidRPr="0052598D" w:rsidRDefault="00B2682A" w:rsidP="0052598D">
      <w:pPr>
        <w:spacing w:line="360" w:lineRule="auto"/>
        <w:jc w:val="both"/>
        <w:rPr>
          <w:rFonts w:ascii="Arial" w:eastAsia="Times New Roman" w:hAnsi="Arial" w:cs="Arial"/>
          <w:noProof/>
          <w:kern w:val="0"/>
          <w:sz w:val="22"/>
          <w:szCs w:val="22"/>
          <w:lang w:eastAsia="en-GB"/>
          <w14:ligatures w14:val="none"/>
        </w:rPr>
      </w:pPr>
      <w:r w:rsidRPr="00B2682A">
        <w:rPr>
          <w:rFonts w:ascii="Arial" w:eastAsia="Times New Roman" w:hAnsi="Arial" w:cs="Arial"/>
          <w:noProof/>
          <w:kern w:val="0"/>
          <w:sz w:val="22"/>
          <w:szCs w:val="22"/>
          <w:lang w:eastAsia="en-GB"/>
          <w14:ligatures w14:val="none"/>
        </w:rPr>
        <w:t>McDonald’s digitally personalised micro urban store strategy supporting franchisees aligned with the Ansoff’s Market Development strategy (Akbar and Tracogna, 2018). This operating urban format enhances accessibility and improves consumer behavior alignment with the ‘sustainability’ (km) and circularity (IKEA, 2023) aspirations. The interconnectedness of retail services enhances products and consumer engagement across diverse retail channels (Porter and Heppelmann, 2014). Additionally, this incorporates the franchisee’s local strengths of brand equity, supply chain, and design management, while also overcoming the barriers of local adaptability and response time. The design of this system, which addresses the limitations of small and medium-sized enterprises (SMEs) while also being scalable, enables the firm to reduce competitive, economic, and ecological challenges in the UK (Dey et al., 2011). This illustrates IKEA’s growth, improvement, adaptability, and sustainability in a practical and efficient manner.</w:t>
      </w:r>
    </w:p>
    <w:p w14:paraId="2BFB7FA5" w14:textId="77777777" w:rsidR="0052598D" w:rsidRPr="0052598D" w:rsidRDefault="0052598D" w:rsidP="0052598D">
      <w:pPr>
        <w:keepNext/>
        <w:keepLines/>
        <w:spacing w:before="360" w:after="80" w:line="360" w:lineRule="auto"/>
        <w:jc w:val="both"/>
        <w:outlineLvl w:val="0"/>
        <w:rPr>
          <w:rFonts w:ascii="Arial" w:eastAsia="Times New Roman" w:hAnsi="Arial" w:cs="Arial"/>
          <w:noProof/>
          <w:color w:val="0F4761" w:themeColor="accent1" w:themeShade="BF"/>
          <w:kern w:val="0"/>
          <w:sz w:val="32"/>
          <w:szCs w:val="32"/>
          <w:lang w:eastAsia="en-GB"/>
          <w14:ligatures w14:val="none"/>
        </w:rPr>
      </w:pPr>
      <w:bookmarkStart w:id="10" w:name="_Toc215058196"/>
      <w:r w:rsidRPr="0052598D">
        <w:rPr>
          <w:rFonts w:ascii="Arial" w:eastAsia="Times New Roman" w:hAnsi="Arial" w:cs="Arial"/>
          <w:noProof/>
          <w:color w:val="0F4761" w:themeColor="accent1" w:themeShade="BF"/>
          <w:kern w:val="0"/>
          <w:sz w:val="32"/>
          <w:szCs w:val="32"/>
          <w:lang w:eastAsia="en-GB"/>
          <w14:ligatures w14:val="none"/>
        </w:rPr>
        <w:t>6. Stakeholder Analysis</w:t>
      </w:r>
      <w:bookmarkEnd w:id="10"/>
    </w:p>
    <w:p w14:paraId="6A5CA971"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The SME-scale IKEA franchisee functions in a multi-layered system of stakeholders whose demands and potentials drive strategic choices. Domestically, there are the franchise owners, managers, and employees. The franchisee has, positively, high power as well as a high interest, since they are in charge of the strategic approval and resource distribution. In the meantime, managers and employees have a strong interest in operational changes, but have only moderate power, and thus, such changes should be communicated and woven into the implementation plan (Osiyevskyy and Dewald, 2015). External stakeholders with high power include Inter IKEA Systems, the regulatory bodies, and the local authorities as they control compliance, sustainability, and trading condition control. On the other hand, customers and the local communities have high interest, but have less power, albeit their preferences greatly impact the competitiveness and quality of the services (O’Regan et al., 2012).</w:t>
      </w:r>
    </w:p>
    <w:p w14:paraId="7FDD3F58"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p>
    <w:p w14:paraId="65D4175D" w14:textId="77777777" w:rsidR="0052598D" w:rsidRPr="0052598D" w:rsidRDefault="0052598D" w:rsidP="0052598D">
      <w:pPr>
        <w:keepNext/>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rPr>
        <w:lastRenderedPageBreak/>
        <w:drawing>
          <wp:inline distT="0" distB="0" distL="0" distR="0" wp14:anchorId="5FC72CED" wp14:editId="77137655">
            <wp:extent cx="5943600" cy="3357245"/>
            <wp:effectExtent l="0" t="0" r="0" b="0"/>
            <wp:docPr id="17" name="Diagram 17">
              <a:extLst xmlns:a="http://schemas.openxmlformats.org/drawingml/2006/main">
                <a:ext uri="{FF2B5EF4-FFF2-40B4-BE49-F238E27FC236}">
                  <a16:creationId xmlns:a16="http://schemas.microsoft.com/office/drawing/2014/main" id="{4085C0B2-3669-7575-2994-4D9C229F37A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1491497E" w14:textId="77777777" w:rsidR="0052598D" w:rsidRPr="0052598D" w:rsidRDefault="0052598D" w:rsidP="0052598D">
      <w:pPr>
        <w:spacing w:after="200" w:line="240" w:lineRule="auto"/>
        <w:jc w:val="center"/>
        <w:rPr>
          <w:rFonts w:ascii="Arial" w:eastAsia="Times New Roman" w:hAnsi="Arial" w:cs="Arial"/>
          <w:i/>
          <w:iCs/>
          <w:noProof/>
          <w:color w:val="0E2841" w:themeColor="text2"/>
          <w:kern w:val="0"/>
          <w:sz w:val="18"/>
          <w:szCs w:val="18"/>
          <w:lang w:eastAsia="en-GB"/>
          <w14:ligatures w14:val="none"/>
        </w:rPr>
      </w:pPr>
      <w:r w:rsidRPr="0052598D">
        <w:rPr>
          <w:rFonts w:ascii="Arial" w:eastAsia="Times New Roman" w:hAnsi="Arial" w:cs="Arial"/>
          <w:i/>
          <w:iCs/>
          <w:noProof/>
          <w:color w:val="0E2841" w:themeColor="text2"/>
          <w:kern w:val="0"/>
          <w:sz w:val="18"/>
          <w:szCs w:val="18"/>
          <w:lang w:eastAsia="en-GB"/>
          <w14:ligatures w14:val="none"/>
        </w:rPr>
        <w:t xml:space="preserve">Figure </w:t>
      </w:r>
      <w:r w:rsidRPr="0052598D">
        <w:rPr>
          <w:rFonts w:ascii="Arial" w:eastAsia="Times New Roman" w:hAnsi="Arial" w:cs="Arial"/>
          <w:i/>
          <w:iCs/>
          <w:noProof/>
          <w:color w:val="0E2841" w:themeColor="text2"/>
          <w:kern w:val="0"/>
          <w:sz w:val="18"/>
          <w:szCs w:val="18"/>
          <w:lang w:eastAsia="en-GB"/>
          <w14:ligatures w14:val="none"/>
        </w:rPr>
        <w:fldChar w:fldCharType="begin"/>
      </w:r>
      <w:r w:rsidRPr="0052598D">
        <w:rPr>
          <w:rFonts w:ascii="Arial" w:eastAsia="Times New Roman" w:hAnsi="Arial" w:cs="Arial"/>
          <w:i/>
          <w:iCs/>
          <w:noProof/>
          <w:color w:val="0E2841" w:themeColor="text2"/>
          <w:kern w:val="0"/>
          <w:sz w:val="18"/>
          <w:szCs w:val="18"/>
          <w:lang w:eastAsia="en-GB"/>
          <w14:ligatures w14:val="none"/>
        </w:rPr>
        <w:instrText xml:space="preserve"> SEQ Figure \* ARABIC </w:instrText>
      </w:r>
      <w:r w:rsidRPr="0052598D">
        <w:rPr>
          <w:rFonts w:ascii="Arial" w:eastAsia="Times New Roman" w:hAnsi="Arial" w:cs="Arial"/>
          <w:i/>
          <w:iCs/>
          <w:noProof/>
          <w:color w:val="0E2841" w:themeColor="text2"/>
          <w:kern w:val="0"/>
          <w:sz w:val="18"/>
          <w:szCs w:val="18"/>
          <w:lang w:eastAsia="en-GB"/>
          <w14:ligatures w14:val="none"/>
        </w:rPr>
        <w:fldChar w:fldCharType="separate"/>
      </w:r>
      <w:r w:rsidRPr="0052598D">
        <w:rPr>
          <w:rFonts w:ascii="Arial" w:eastAsia="Times New Roman" w:hAnsi="Arial" w:cs="Arial"/>
          <w:i/>
          <w:iCs/>
          <w:noProof/>
          <w:color w:val="0E2841" w:themeColor="text2"/>
          <w:kern w:val="0"/>
          <w:sz w:val="18"/>
          <w:szCs w:val="18"/>
          <w:lang w:eastAsia="en-GB"/>
          <w14:ligatures w14:val="none"/>
        </w:rPr>
        <w:t>7</w:t>
      </w:r>
      <w:r w:rsidRPr="0052598D">
        <w:rPr>
          <w:rFonts w:ascii="Arial" w:eastAsia="Times New Roman" w:hAnsi="Arial" w:cs="Arial"/>
          <w:i/>
          <w:iCs/>
          <w:noProof/>
          <w:color w:val="0E2841" w:themeColor="text2"/>
          <w:kern w:val="0"/>
          <w:sz w:val="18"/>
          <w:szCs w:val="18"/>
          <w:lang w:eastAsia="en-GB"/>
          <w14:ligatures w14:val="none"/>
        </w:rPr>
        <w:fldChar w:fldCharType="end"/>
      </w:r>
      <w:r w:rsidRPr="0052598D">
        <w:rPr>
          <w:rFonts w:ascii="Arial" w:eastAsia="Times New Roman" w:hAnsi="Arial" w:cs="Arial"/>
          <w:i/>
          <w:iCs/>
          <w:noProof/>
          <w:color w:val="0E2841" w:themeColor="text2"/>
          <w:kern w:val="0"/>
          <w:sz w:val="18"/>
          <w:szCs w:val="18"/>
          <w:lang w:eastAsia="en-GB"/>
          <w14:ligatures w14:val="none"/>
        </w:rPr>
        <w:t>: Mendelow’s Matrix</w:t>
      </w:r>
    </w:p>
    <w:p w14:paraId="24BD202C"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Mendelow’s Matrix classifies the franchise owners and the regulatory bodies as ‘Key Players’ in the ‘Engage Closely’ quadrant and certainly has to be interacted with. Employees and customers belong to the ‘Keep Informed’ category as they have high interest but little power. In this sense, the suppliers are of edge, but their power is less in this case as they control the global sourcing (Barney and Mackey, 2016).</w:t>
      </w:r>
    </w:p>
    <w:p w14:paraId="0687F0B5"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Using a RACI framework assists in understanding the roles and responsibilities that will be needed in order to carry out the proposed strategy. Managers along with the digital leads should be Responsible for driving the urban store development and the digital enhancements, while the Franchise Owner will be Accountable for the overall strategy approval. Suppliers, Sustainability Advisors, and Local Councils should be Consulted for their Compliance and Operational Change roles. Customers and Community Stakeholders should be Informed in order to keep their trust and sponsorship.</w:t>
      </w:r>
    </w:p>
    <w:p w14:paraId="282A167D" w14:textId="77777777" w:rsidR="0052598D" w:rsidRPr="0052598D" w:rsidRDefault="0052598D" w:rsidP="0052598D">
      <w:pPr>
        <w:keepNext/>
        <w:keepLines/>
        <w:spacing w:before="360" w:after="80" w:line="360" w:lineRule="auto"/>
        <w:jc w:val="both"/>
        <w:outlineLvl w:val="0"/>
        <w:rPr>
          <w:rFonts w:ascii="Arial" w:eastAsia="Times New Roman" w:hAnsi="Arial" w:cs="Arial"/>
          <w:noProof/>
          <w:color w:val="0F4761" w:themeColor="accent1" w:themeShade="BF"/>
          <w:kern w:val="0"/>
          <w:sz w:val="32"/>
          <w:szCs w:val="32"/>
          <w:lang w:eastAsia="en-GB"/>
          <w14:ligatures w14:val="none"/>
        </w:rPr>
      </w:pPr>
      <w:bookmarkStart w:id="11" w:name="_Toc215058197"/>
      <w:r w:rsidRPr="0052598D">
        <w:rPr>
          <w:rFonts w:ascii="Arial" w:eastAsia="Times New Roman" w:hAnsi="Arial" w:cs="Arial"/>
          <w:noProof/>
          <w:color w:val="0F4761" w:themeColor="accent1" w:themeShade="BF"/>
          <w:kern w:val="0"/>
          <w:sz w:val="32"/>
          <w:szCs w:val="32"/>
          <w:lang w:eastAsia="en-GB"/>
          <w14:ligatures w14:val="none"/>
        </w:rPr>
        <w:t>7. Strategic Recommendations</w:t>
      </w:r>
      <w:bookmarkEnd w:id="11"/>
    </w:p>
    <w:p w14:paraId="71AD7EDE"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From the analysis, the SME-scale IKEA franchisee should focus on strategic actions that improve the competitiveness while being realistic with the availability of resources. For starters, the firm should focus on speeding the roll out of micro-format urban stores, having lower operational cost, </w:t>
      </w:r>
      <w:r w:rsidRPr="0052598D">
        <w:rPr>
          <w:rFonts w:ascii="Arial" w:eastAsia="Times New Roman" w:hAnsi="Arial" w:cs="Arial"/>
          <w:noProof/>
          <w:kern w:val="0"/>
          <w:sz w:val="22"/>
          <w:szCs w:val="22"/>
          <w:lang w:eastAsia="en-GB"/>
          <w14:ligatures w14:val="none"/>
        </w:rPr>
        <w:lastRenderedPageBreak/>
        <w:t>better access and a lower range of environmental impact when compared to the other store formats, thus meeting the changing consumer demands and sustainability needs (IKEA, 2023). In tandem with this, the franchisee should be able to improve digital options, AI oriented room planning and other digital interfaces that allow for better click and collect services. This will be important for the franchisee to counter digital competition and meet the changing customer needs (Kraus et al., 2019). Lastly, the organisation needs to improve the last mile logistics by partnering with local delivery companies in order to ease the cost strain and improve the reliability of delivery which is important in the competitive market (Mintel, 2022).</w:t>
      </w:r>
    </w:p>
    <w:p w14:paraId="27E8F31A"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Moreover, the franchisee, to the possible extent, should add locally obtainable, sustainable diversity, as follows complemented to IKEA international assortment, for the purpose of differentiation, regulatory and environmental challenges (Dey et al., 2011). The franchisee will strengthen internal capacity and facilitate effective execution of the new plan by investing in employee skills, particularly in customer experience, digital tools, and sustainable practices (O’Regan et al., 2012). Lastly, the business should adopt clear KPIs focused on sales growth, digital conversion, customer satisfaction and sustainability performance to monitor progress effectively (Johnson et al., 2017). Considering these recommendations the franchisee will be able to strengthen its resilience, utilize the brand’s strength and achieve sustainable and long-term growth in the UK retail space.</w:t>
      </w:r>
    </w:p>
    <w:p w14:paraId="2EC2E804" w14:textId="77777777" w:rsidR="0052598D" w:rsidRPr="0052598D" w:rsidRDefault="0052598D" w:rsidP="0052598D">
      <w:pPr>
        <w:keepNext/>
        <w:keepLines/>
        <w:spacing w:before="360" w:after="80" w:line="360" w:lineRule="auto"/>
        <w:jc w:val="both"/>
        <w:outlineLvl w:val="0"/>
        <w:rPr>
          <w:rFonts w:ascii="Arial" w:eastAsia="Times New Roman" w:hAnsi="Arial" w:cs="Arial"/>
          <w:noProof/>
          <w:color w:val="0F4761" w:themeColor="accent1" w:themeShade="BF"/>
          <w:kern w:val="0"/>
          <w:sz w:val="32"/>
          <w:szCs w:val="32"/>
          <w:lang w:eastAsia="en-GB"/>
          <w14:ligatures w14:val="none"/>
        </w:rPr>
      </w:pPr>
      <w:bookmarkStart w:id="12" w:name="_Toc215058198"/>
      <w:r w:rsidRPr="0052598D">
        <w:rPr>
          <w:rFonts w:ascii="Arial" w:eastAsia="Times New Roman" w:hAnsi="Arial" w:cs="Arial"/>
          <w:noProof/>
          <w:color w:val="0F4761" w:themeColor="accent1" w:themeShade="BF"/>
          <w:kern w:val="0"/>
          <w:sz w:val="32"/>
          <w:szCs w:val="32"/>
          <w:lang w:eastAsia="en-GB"/>
          <w14:ligatures w14:val="none"/>
        </w:rPr>
        <w:t>8. Conclusion</w:t>
      </w:r>
      <w:bookmarkEnd w:id="12"/>
    </w:p>
    <w:p w14:paraId="064BA471"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This report has assessed the strategic position of an SME-scale IKEA franchisee and identified the necessity for enhanced flexibility in the context of the competitive and digitally enabled UK environment. The environmental scan identified critical sustainability demands and strategic renewal threat determined by powerful market forces and changing consumer sustainable purchases (Statista, 2023). The micro-format urban stores complemented by digital services propose a sustainable and optimal variation that fits the contextual and brand global priorities. The franchisee will be able to develop digital and logistics capabilities together with contextual adaptability to gain sustainable competitive advantage and as a result, retain flexibility in a changing environment (Teece, 2018).</w:t>
      </w:r>
    </w:p>
    <w:p w14:paraId="1EF0455D"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p>
    <w:p w14:paraId="02A1D11D"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p>
    <w:p w14:paraId="14DFEE39" w14:textId="77777777" w:rsidR="0052598D" w:rsidRPr="0052598D" w:rsidRDefault="0052598D" w:rsidP="0052598D">
      <w:pPr>
        <w:spacing w:line="360" w:lineRule="auto"/>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br w:type="page"/>
      </w:r>
    </w:p>
    <w:p w14:paraId="6DC2CC62" w14:textId="77777777" w:rsidR="0052598D" w:rsidRPr="0052598D" w:rsidRDefault="0052598D" w:rsidP="0052598D">
      <w:pPr>
        <w:keepNext/>
        <w:keepLines/>
        <w:spacing w:before="360" w:after="80" w:line="360" w:lineRule="auto"/>
        <w:jc w:val="both"/>
        <w:outlineLvl w:val="0"/>
        <w:rPr>
          <w:rFonts w:ascii="Arial" w:eastAsia="Times New Roman" w:hAnsi="Arial" w:cs="Arial"/>
          <w:noProof/>
          <w:color w:val="0F4761" w:themeColor="accent1" w:themeShade="BF"/>
          <w:kern w:val="0"/>
          <w:sz w:val="32"/>
          <w:szCs w:val="32"/>
          <w:lang w:eastAsia="en-GB"/>
          <w14:ligatures w14:val="none"/>
        </w:rPr>
      </w:pPr>
      <w:bookmarkStart w:id="13" w:name="_y7tu2cmptes9" w:colFirst="0" w:colLast="0"/>
      <w:bookmarkStart w:id="14" w:name="_Toc215058199"/>
      <w:bookmarkEnd w:id="13"/>
      <w:r w:rsidRPr="0052598D">
        <w:rPr>
          <w:rFonts w:ascii="Arial" w:eastAsia="Times New Roman" w:hAnsi="Arial" w:cs="Arial"/>
          <w:noProof/>
          <w:color w:val="0F4761" w:themeColor="accent1" w:themeShade="BF"/>
          <w:kern w:val="0"/>
          <w:sz w:val="32"/>
          <w:szCs w:val="32"/>
          <w:lang w:eastAsia="en-GB"/>
          <w14:ligatures w14:val="none"/>
        </w:rPr>
        <w:lastRenderedPageBreak/>
        <w:t>References</w:t>
      </w:r>
      <w:bookmarkEnd w:id="14"/>
    </w:p>
    <w:bookmarkEnd w:id="0"/>
    <w:p w14:paraId="6527CDFA"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Akbar, Y.H. and Tracogna, A. (2018) ‘The sharing economy and the future of the furniture retail industry’, </w:t>
      </w:r>
      <w:r w:rsidRPr="0052598D">
        <w:rPr>
          <w:rFonts w:ascii="Arial" w:eastAsia="Times New Roman" w:hAnsi="Arial" w:cs="Arial"/>
          <w:i/>
          <w:iCs/>
          <w:noProof/>
          <w:kern w:val="0"/>
          <w:sz w:val="22"/>
          <w:szCs w:val="22"/>
          <w:lang w:eastAsia="en-GB"/>
          <w14:ligatures w14:val="none"/>
        </w:rPr>
        <w:t>Journal of Business Research</w:t>
      </w:r>
      <w:r w:rsidRPr="0052598D">
        <w:rPr>
          <w:rFonts w:ascii="Arial" w:eastAsia="Times New Roman" w:hAnsi="Arial" w:cs="Arial"/>
          <w:noProof/>
          <w:kern w:val="0"/>
          <w:sz w:val="22"/>
          <w:szCs w:val="22"/>
          <w:lang w:eastAsia="en-GB"/>
          <w14:ligatures w14:val="none"/>
        </w:rPr>
        <w:t>, 92, pp. 260–270.</w:t>
      </w:r>
    </w:p>
    <w:p w14:paraId="4315CBC2"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Barney, J.B. and Mackey, A. (2016) ‘Text and metatext in the resource-based view’, </w:t>
      </w:r>
      <w:r w:rsidRPr="0052598D">
        <w:rPr>
          <w:rFonts w:ascii="Arial" w:eastAsia="Times New Roman" w:hAnsi="Arial" w:cs="Arial"/>
          <w:i/>
          <w:iCs/>
          <w:noProof/>
          <w:kern w:val="0"/>
          <w:sz w:val="22"/>
          <w:szCs w:val="22"/>
          <w:lang w:eastAsia="en-GB"/>
          <w14:ligatures w14:val="none"/>
        </w:rPr>
        <w:t>Human Resource Management Journal</w:t>
      </w:r>
      <w:r w:rsidRPr="0052598D">
        <w:rPr>
          <w:rFonts w:ascii="Arial" w:eastAsia="Times New Roman" w:hAnsi="Arial" w:cs="Arial"/>
          <w:noProof/>
          <w:kern w:val="0"/>
          <w:sz w:val="22"/>
          <w:szCs w:val="22"/>
          <w:lang w:eastAsia="en-GB"/>
          <w14:ligatures w14:val="none"/>
        </w:rPr>
        <w:t>, 26(3), pp. 369–378.</w:t>
      </w:r>
    </w:p>
    <w:p w14:paraId="3636A672"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Dey, P.K., LaGuardia, P. and Srinivasan, M. (2011) ‘Building sustainability in supply chains’, </w:t>
      </w:r>
      <w:r w:rsidRPr="0052598D">
        <w:rPr>
          <w:rFonts w:ascii="Arial" w:eastAsia="Times New Roman" w:hAnsi="Arial" w:cs="Arial"/>
          <w:i/>
          <w:iCs/>
          <w:noProof/>
          <w:kern w:val="0"/>
          <w:sz w:val="22"/>
          <w:szCs w:val="22"/>
          <w:lang w:eastAsia="en-GB"/>
          <w14:ligatures w14:val="none"/>
        </w:rPr>
        <w:t>International Journal of Production Economics</w:t>
      </w:r>
      <w:r w:rsidRPr="0052598D">
        <w:rPr>
          <w:rFonts w:ascii="Arial" w:eastAsia="Times New Roman" w:hAnsi="Arial" w:cs="Arial"/>
          <w:noProof/>
          <w:kern w:val="0"/>
          <w:sz w:val="22"/>
          <w:szCs w:val="22"/>
          <w:lang w:eastAsia="en-GB"/>
          <w14:ligatures w14:val="none"/>
        </w:rPr>
        <w:t>, 140(1), pp. 168–182.</w:t>
      </w:r>
    </w:p>
    <w:p w14:paraId="699C3C80"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Freeman, R.E., Phillips, R.A. and Sisodia, R. (2020) ‘TQM, stakeholder theory, and the value chain’, </w:t>
      </w:r>
      <w:r w:rsidRPr="0052598D">
        <w:rPr>
          <w:rFonts w:ascii="Arial" w:eastAsia="Times New Roman" w:hAnsi="Arial" w:cs="Arial"/>
          <w:i/>
          <w:iCs/>
          <w:noProof/>
          <w:kern w:val="0"/>
          <w:sz w:val="22"/>
          <w:szCs w:val="22"/>
          <w:lang w:eastAsia="en-GB"/>
          <w14:ligatures w14:val="none"/>
        </w:rPr>
        <w:t>Journal of Management</w:t>
      </w:r>
      <w:r w:rsidRPr="0052598D">
        <w:rPr>
          <w:rFonts w:ascii="Arial" w:eastAsia="Times New Roman" w:hAnsi="Arial" w:cs="Arial"/>
          <w:noProof/>
          <w:kern w:val="0"/>
          <w:sz w:val="22"/>
          <w:szCs w:val="22"/>
          <w:lang w:eastAsia="en-GB"/>
          <w14:ligatures w14:val="none"/>
        </w:rPr>
        <w:t>, 46(1), pp. 9–30.</w:t>
      </w:r>
    </w:p>
    <w:p w14:paraId="29C9F994"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Ghezzi, A. (2013) ‘Revisiting business strategy under digital transformation’, </w:t>
      </w:r>
      <w:r w:rsidRPr="0052598D">
        <w:rPr>
          <w:rFonts w:ascii="Arial" w:eastAsia="Times New Roman" w:hAnsi="Arial" w:cs="Arial"/>
          <w:i/>
          <w:iCs/>
          <w:noProof/>
          <w:kern w:val="0"/>
          <w:sz w:val="22"/>
          <w:szCs w:val="22"/>
          <w:lang w:eastAsia="en-GB"/>
          <w14:ligatures w14:val="none"/>
        </w:rPr>
        <w:t>Business Horizons</w:t>
      </w:r>
      <w:r w:rsidRPr="0052598D">
        <w:rPr>
          <w:rFonts w:ascii="Arial" w:eastAsia="Times New Roman" w:hAnsi="Arial" w:cs="Arial"/>
          <w:noProof/>
          <w:kern w:val="0"/>
          <w:sz w:val="22"/>
          <w:szCs w:val="22"/>
          <w:lang w:eastAsia="en-GB"/>
          <w14:ligatures w14:val="none"/>
        </w:rPr>
        <w:t>, 56(4), pp. 451–461.</w:t>
      </w:r>
    </w:p>
    <w:p w14:paraId="44787F01"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Grant, R.M. (2019) </w:t>
      </w:r>
      <w:r w:rsidRPr="0052598D">
        <w:rPr>
          <w:rFonts w:ascii="Arial" w:eastAsia="Times New Roman" w:hAnsi="Arial" w:cs="Arial"/>
          <w:i/>
          <w:iCs/>
          <w:noProof/>
          <w:kern w:val="0"/>
          <w:sz w:val="22"/>
          <w:szCs w:val="22"/>
          <w:lang w:eastAsia="en-GB"/>
          <w14:ligatures w14:val="none"/>
        </w:rPr>
        <w:t>Contemporary Strategy Analysis</w:t>
      </w:r>
      <w:r w:rsidRPr="0052598D">
        <w:rPr>
          <w:rFonts w:ascii="Arial" w:eastAsia="Times New Roman" w:hAnsi="Arial" w:cs="Arial"/>
          <w:noProof/>
          <w:kern w:val="0"/>
          <w:sz w:val="22"/>
          <w:szCs w:val="22"/>
          <w:lang w:eastAsia="en-GB"/>
          <w14:ligatures w14:val="none"/>
        </w:rPr>
        <w:t>. 10th edn. Hoboken, NJ: Wiley.</w:t>
      </w:r>
    </w:p>
    <w:p w14:paraId="5DAD13D7"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IKEA (2023) IKEA Sustainability Report FY2023. Inter IKEA Group.</w:t>
      </w:r>
    </w:p>
    <w:p w14:paraId="53DF0E13"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Johnson, G., Whittington, R., Regnér, P., Angwin, D. and Scholes, K. (2017) </w:t>
      </w:r>
      <w:r w:rsidRPr="0052598D">
        <w:rPr>
          <w:rFonts w:ascii="Arial" w:eastAsia="Times New Roman" w:hAnsi="Arial" w:cs="Arial"/>
          <w:i/>
          <w:iCs/>
          <w:noProof/>
          <w:kern w:val="0"/>
          <w:sz w:val="22"/>
          <w:szCs w:val="22"/>
          <w:lang w:eastAsia="en-GB"/>
          <w14:ligatures w14:val="none"/>
        </w:rPr>
        <w:t>Exploring Strategy: Text and Cases</w:t>
      </w:r>
      <w:r w:rsidRPr="0052598D">
        <w:rPr>
          <w:rFonts w:ascii="Arial" w:eastAsia="Times New Roman" w:hAnsi="Arial" w:cs="Arial"/>
          <w:noProof/>
          <w:kern w:val="0"/>
          <w:sz w:val="22"/>
          <w:szCs w:val="22"/>
          <w:lang w:eastAsia="en-GB"/>
          <w14:ligatures w14:val="none"/>
        </w:rPr>
        <w:t>. 11th edn. Harlow: Pearson.</w:t>
      </w:r>
    </w:p>
    <w:p w14:paraId="2F2BC91E"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Kraus, S., Palmer, C., Kailer, N., Kallinger, F.L. and Spitzer, J. (2019) ‘Digital transformation and SMEs: A systematic literature review’, </w:t>
      </w:r>
      <w:r w:rsidRPr="0052598D">
        <w:rPr>
          <w:rFonts w:ascii="Arial" w:eastAsia="Times New Roman" w:hAnsi="Arial" w:cs="Arial"/>
          <w:i/>
          <w:iCs/>
          <w:noProof/>
          <w:kern w:val="0"/>
          <w:sz w:val="22"/>
          <w:szCs w:val="22"/>
          <w:lang w:eastAsia="en-GB"/>
          <w14:ligatures w14:val="none"/>
        </w:rPr>
        <w:t>Journal of Small Business Management</w:t>
      </w:r>
      <w:r w:rsidRPr="0052598D">
        <w:rPr>
          <w:rFonts w:ascii="Arial" w:eastAsia="Times New Roman" w:hAnsi="Arial" w:cs="Arial"/>
          <w:noProof/>
          <w:kern w:val="0"/>
          <w:sz w:val="22"/>
          <w:szCs w:val="22"/>
          <w:lang w:eastAsia="en-GB"/>
          <w14:ligatures w14:val="none"/>
        </w:rPr>
        <w:t>, 57(S2), pp. 326–359.</w:t>
      </w:r>
    </w:p>
    <w:p w14:paraId="3DCF520D"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Mintel (2022) </w:t>
      </w:r>
      <w:r w:rsidRPr="0052598D">
        <w:rPr>
          <w:rFonts w:ascii="Arial" w:eastAsia="Times New Roman" w:hAnsi="Arial" w:cs="Arial"/>
          <w:i/>
          <w:iCs/>
          <w:noProof/>
          <w:kern w:val="0"/>
          <w:sz w:val="22"/>
          <w:szCs w:val="22"/>
          <w:lang w:eastAsia="en-GB"/>
          <w14:ligatures w14:val="none"/>
        </w:rPr>
        <w:t>UK Furniture Retailing Market Report</w:t>
      </w:r>
      <w:r w:rsidRPr="0052598D">
        <w:rPr>
          <w:rFonts w:ascii="Arial" w:eastAsia="Times New Roman" w:hAnsi="Arial" w:cs="Arial"/>
          <w:noProof/>
          <w:kern w:val="0"/>
          <w:sz w:val="22"/>
          <w:szCs w:val="22"/>
          <w:lang w:eastAsia="en-GB"/>
          <w14:ligatures w14:val="none"/>
        </w:rPr>
        <w:t>. London: Mintel Group Ltd.</w:t>
      </w:r>
    </w:p>
    <w:p w14:paraId="558B8181"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O’Regan, N., Ghobadian, A. and Gallear, D. (2012) ‘In search of the drivers of high growth in manufacturing SMEs’, </w:t>
      </w:r>
      <w:r w:rsidRPr="0052598D">
        <w:rPr>
          <w:rFonts w:ascii="Arial" w:eastAsia="Times New Roman" w:hAnsi="Arial" w:cs="Arial"/>
          <w:i/>
          <w:iCs/>
          <w:noProof/>
          <w:kern w:val="0"/>
          <w:sz w:val="22"/>
          <w:szCs w:val="22"/>
          <w:lang w:eastAsia="en-GB"/>
          <w14:ligatures w14:val="none"/>
        </w:rPr>
        <w:t>European Business Review</w:t>
      </w:r>
      <w:r w:rsidRPr="0052598D">
        <w:rPr>
          <w:rFonts w:ascii="Arial" w:eastAsia="Times New Roman" w:hAnsi="Arial" w:cs="Arial"/>
          <w:noProof/>
          <w:kern w:val="0"/>
          <w:sz w:val="22"/>
          <w:szCs w:val="22"/>
          <w:lang w:eastAsia="en-GB"/>
          <w14:ligatures w14:val="none"/>
        </w:rPr>
        <w:t>, 24(2), pp. 124–139.</w:t>
      </w:r>
    </w:p>
    <w:p w14:paraId="63F42853"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Osiyevskyy, O. and Dewald, J. (2015) ‘Explorative versus exploitative business model change: The impact of organisational design’, </w:t>
      </w:r>
      <w:r w:rsidRPr="0052598D">
        <w:rPr>
          <w:rFonts w:ascii="Arial" w:eastAsia="Times New Roman" w:hAnsi="Arial" w:cs="Arial"/>
          <w:i/>
          <w:iCs/>
          <w:noProof/>
          <w:kern w:val="0"/>
          <w:sz w:val="22"/>
          <w:szCs w:val="22"/>
          <w:lang w:eastAsia="en-GB"/>
          <w14:ligatures w14:val="none"/>
        </w:rPr>
        <w:t>Journal of Business Research</w:t>
      </w:r>
      <w:r w:rsidRPr="0052598D">
        <w:rPr>
          <w:rFonts w:ascii="Arial" w:eastAsia="Times New Roman" w:hAnsi="Arial" w:cs="Arial"/>
          <w:noProof/>
          <w:kern w:val="0"/>
          <w:sz w:val="22"/>
          <w:szCs w:val="22"/>
          <w:lang w:eastAsia="en-GB"/>
          <w14:ligatures w14:val="none"/>
        </w:rPr>
        <w:t>, 68(3), pp. 582–592.</w:t>
      </w:r>
    </w:p>
    <w:p w14:paraId="28BBD8A9"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 xml:space="preserve">Porter, M.E. and Heppelmann, J. (2014) ‘How smart, connected products are transforming competition’, </w:t>
      </w:r>
      <w:r w:rsidRPr="0052598D">
        <w:rPr>
          <w:rFonts w:ascii="Arial" w:eastAsia="Times New Roman" w:hAnsi="Arial" w:cs="Arial"/>
          <w:i/>
          <w:iCs/>
          <w:noProof/>
          <w:kern w:val="0"/>
          <w:sz w:val="22"/>
          <w:szCs w:val="22"/>
          <w:lang w:eastAsia="en-GB"/>
          <w14:ligatures w14:val="none"/>
        </w:rPr>
        <w:t>Harvard Business Review</w:t>
      </w:r>
      <w:r w:rsidRPr="0052598D">
        <w:rPr>
          <w:rFonts w:ascii="Arial" w:eastAsia="Times New Roman" w:hAnsi="Arial" w:cs="Arial"/>
          <w:noProof/>
          <w:kern w:val="0"/>
          <w:sz w:val="22"/>
          <w:szCs w:val="22"/>
          <w:lang w:eastAsia="en-GB"/>
          <w14:ligatures w14:val="none"/>
        </w:rPr>
        <w:t>, 92(11), pp. 64–88.</w:t>
      </w:r>
    </w:p>
    <w:p w14:paraId="4973A36F"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t>Statista (2023) Furniture Market in the United Kingdom – Statistics and Facts. Hamburg: Statista Research Department.</w:t>
      </w:r>
    </w:p>
    <w:p w14:paraId="7451C392" w14:textId="77777777" w:rsidR="0052598D" w:rsidRPr="0052598D" w:rsidRDefault="0052598D" w:rsidP="0052598D">
      <w:pPr>
        <w:spacing w:line="360" w:lineRule="auto"/>
        <w:ind w:left="720" w:hanging="720"/>
        <w:jc w:val="both"/>
        <w:rPr>
          <w:rFonts w:ascii="Arial" w:eastAsia="Times New Roman" w:hAnsi="Arial" w:cs="Arial"/>
          <w:noProof/>
          <w:kern w:val="0"/>
          <w:sz w:val="22"/>
          <w:szCs w:val="22"/>
          <w:lang w:eastAsia="en-GB"/>
          <w14:ligatures w14:val="none"/>
        </w:rPr>
      </w:pPr>
      <w:r w:rsidRPr="0052598D">
        <w:rPr>
          <w:rFonts w:ascii="Arial" w:eastAsia="Times New Roman" w:hAnsi="Arial" w:cs="Arial"/>
          <w:noProof/>
          <w:kern w:val="0"/>
          <w:sz w:val="22"/>
          <w:szCs w:val="22"/>
          <w:lang w:eastAsia="en-GB"/>
          <w14:ligatures w14:val="none"/>
        </w:rPr>
        <w:lastRenderedPageBreak/>
        <w:t xml:space="preserve">Teece, D.J. (2018) ‘Business models and dynamic capabilities’, </w:t>
      </w:r>
      <w:r w:rsidRPr="0052598D">
        <w:rPr>
          <w:rFonts w:ascii="Arial" w:eastAsia="Times New Roman" w:hAnsi="Arial" w:cs="Arial"/>
          <w:i/>
          <w:iCs/>
          <w:noProof/>
          <w:kern w:val="0"/>
          <w:sz w:val="22"/>
          <w:szCs w:val="22"/>
          <w:lang w:eastAsia="en-GB"/>
          <w14:ligatures w14:val="none"/>
        </w:rPr>
        <w:t>Long Range Planning</w:t>
      </w:r>
      <w:r w:rsidRPr="0052598D">
        <w:rPr>
          <w:rFonts w:ascii="Arial" w:eastAsia="Times New Roman" w:hAnsi="Arial" w:cs="Arial"/>
          <w:noProof/>
          <w:kern w:val="0"/>
          <w:sz w:val="22"/>
          <w:szCs w:val="22"/>
          <w:lang w:eastAsia="en-GB"/>
          <w14:ligatures w14:val="none"/>
        </w:rPr>
        <w:t>, 51(1), pp. 40–49.</w:t>
      </w:r>
    </w:p>
    <w:p w14:paraId="10821444" w14:textId="77777777" w:rsidR="00AB11EA" w:rsidRPr="0052598D" w:rsidRDefault="00AB11EA" w:rsidP="0016414A">
      <w:pPr>
        <w:rPr>
          <w:rFonts w:ascii="Arial" w:hAnsi="Arial" w:cs="Arial"/>
        </w:rPr>
      </w:pPr>
    </w:p>
    <w:sectPr w:rsidR="00AB11EA" w:rsidRPr="0052598D" w:rsidSect="0052598D">
      <w:footerReference w:type="even" r:id="rId34"/>
      <w:footerReference w:type="default" r:id="rId3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531F8" w14:textId="77777777" w:rsidR="00E62430" w:rsidRDefault="00E62430">
      <w:pPr>
        <w:spacing w:after="0" w:line="240" w:lineRule="auto"/>
      </w:pPr>
      <w:r>
        <w:separator/>
      </w:r>
    </w:p>
  </w:endnote>
  <w:endnote w:type="continuationSeparator" w:id="0">
    <w:p w14:paraId="58622C3B" w14:textId="77777777" w:rsidR="00E62430" w:rsidRDefault="00E62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embedRegular r:id="rId1" w:fontKey="{FA302DE2-6C75-4C46-82AC-1E148845CCE8}"/>
    <w:embedBold r:id="rId2" w:fontKey="{BD142FA4-CBA6-004A-B7C0-B219628D7646}"/>
    <w:embedItalic r:id="rId3" w:fontKey="{66ED5491-43DC-4741-955B-18281EE2BC56}"/>
  </w:font>
  <w:font w:name="Arial">
    <w:panose1 w:val="020B0604020202020204"/>
    <w:charset w:val="00"/>
    <w:family w:val="swiss"/>
    <w:pitch w:val="variable"/>
    <w:sig w:usb0="E0002EFF" w:usb1="C000785B" w:usb2="00000009" w:usb3="00000000" w:csb0="000001FF" w:csb1="00000000"/>
    <w:embedRegular r:id="rId4" w:fontKey="{FD9678FE-6D02-D24B-93E5-20F58FEA077E}"/>
    <w:embedBold r:id="rId5" w:fontKey="{0405A7D8-73FD-C348-B2F1-1A5CCD5DA6D8}"/>
    <w:embedItalic r:id="rId6" w:fontKey="{A0A33C79-2D41-DA44-B943-049185C1F78A}"/>
  </w:font>
  <w:font w:name="Aptos Display">
    <w:panose1 w:val="020B0004020202020204"/>
    <w:charset w:val="00"/>
    <w:family w:val="swiss"/>
    <w:pitch w:val="variable"/>
    <w:sig w:usb0="20000287" w:usb1="00000003" w:usb2="00000000" w:usb3="00000000" w:csb0="0000019F" w:csb1="00000000"/>
    <w:embedRegular r:id="rId7" w:fontKey="{4C3BF85D-05ED-3E46-A764-A53C06EE9304}"/>
  </w:font>
  <w:font w:name="Times New Roman">
    <w:panose1 w:val="02020603050405020304"/>
    <w:charset w:val="00"/>
    <w:family w:val="roman"/>
    <w:pitch w:val="variable"/>
    <w:sig w:usb0="E0002EFF" w:usb1="C000785B" w:usb2="00000009" w:usb3="00000000" w:csb0="000001FF" w:csb1="00000000"/>
    <w:embedRegular r:id="rId8" w:fontKey="{09E90684-8965-E841-9C36-55A318FEE3BE}"/>
    <w:embedBold r:id="rId9" w:fontKey="{C0DE047D-398E-7D4F-A1B1-EE9C330D5E26}"/>
    <w:embedItalic r:id="rId10" w:fontKey="{95BE3710-A29F-314F-AE99-DE719440C0E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1057115"/>
      <w:docPartObj>
        <w:docPartGallery w:val="Page Numbers (Bottom of Page)"/>
        <w:docPartUnique/>
      </w:docPartObj>
    </w:sdtPr>
    <w:sdtContent>
      <w:p w14:paraId="6BE950DC" w14:textId="77618A8B" w:rsidR="00E34318" w:rsidRDefault="00E34318" w:rsidP="00A1694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E520728" w14:textId="77777777" w:rsidR="00E34318" w:rsidRDefault="00E34318" w:rsidP="00E34318">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30546"/>
      <w:docPartObj>
        <w:docPartGallery w:val="Page Numbers (Bottom of Page)"/>
        <w:docPartUnique/>
      </w:docPartObj>
    </w:sdtPr>
    <w:sdtContent>
      <w:p w14:paraId="66595368" w14:textId="0C1C17BB" w:rsidR="00E34318" w:rsidRDefault="00E34318" w:rsidP="00A1694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0AF8CD8" w14:textId="3DB3C5E2" w:rsidR="00CD4C45" w:rsidRDefault="00CD4C45" w:rsidP="00E34318">
    <w:pPr>
      <w:pStyle w:val="Footer"/>
      <w:ind w:firstLine="360"/>
    </w:pPr>
  </w:p>
  <w:p w14:paraId="29BB1EF3" w14:textId="77777777" w:rsidR="00CD4C45" w:rsidRDefault="00CD4C45" w:rsidP="00872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24D0D" w14:textId="77777777" w:rsidR="00E62430" w:rsidRDefault="00E62430">
      <w:pPr>
        <w:spacing w:after="0" w:line="240" w:lineRule="auto"/>
      </w:pPr>
      <w:r>
        <w:separator/>
      </w:r>
    </w:p>
  </w:footnote>
  <w:footnote w:type="continuationSeparator" w:id="0">
    <w:p w14:paraId="6913D805" w14:textId="77777777" w:rsidR="00E62430" w:rsidRDefault="00E624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416"/>
    <w:rsid w:val="000064D9"/>
    <w:rsid w:val="000071E4"/>
    <w:rsid w:val="00056C99"/>
    <w:rsid w:val="0007124E"/>
    <w:rsid w:val="000E4C48"/>
    <w:rsid w:val="001105E9"/>
    <w:rsid w:val="001417A4"/>
    <w:rsid w:val="00147A69"/>
    <w:rsid w:val="0016414A"/>
    <w:rsid w:val="00173889"/>
    <w:rsid w:val="00380990"/>
    <w:rsid w:val="00383040"/>
    <w:rsid w:val="003B4AFD"/>
    <w:rsid w:val="003D4405"/>
    <w:rsid w:val="003F045B"/>
    <w:rsid w:val="0041421B"/>
    <w:rsid w:val="00427668"/>
    <w:rsid w:val="004F4416"/>
    <w:rsid w:val="0052598D"/>
    <w:rsid w:val="00550427"/>
    <w:rsid w:val="005F5C37"/>
    <w:rsid w:val="005F70AA"/>
    <w:rsid w:val="00664274"/>
    <w:rsid w:val="006973F4"/>
    <w:rsid w:val="006B3DC1"/>
    <w:rsid w:val="00736602"/>
    <w:rsid w:val="007D58AF"/>
    <w:rsid w:val="007F4BF3"/>
    <w:rsid w:val="00816DB1"/>
    <w:rsid w:val="00857055"/>
    <w:rsid w:val="0087670A"/>
    <w:rsid w:val="008826AD"/>
    <w:rsid w:val="008A24D2"/>
    <w:rsid w:val="008B7B32"/>
    <w:rsid w:val="0094088E"/>
    <w:rsid w:val="009B3DD9"/>
    <w:rsid w:val="009D5A7B"/>
    <w:rsid w:val="00A461E6"/>
    <w:rsid w:val="00A85439"/>
    <w:rsid w:val="00AB11EA"/>
    <w:rsid w:val="00AC2926"/>
    <w:rsid w:val="00AF09EA"/>
    <w:rsid w:val="00B2682A"/>
    <w:rsid w:val="00B60711"/>
    <w:rsid w:val="00BB77D6"/>
    <w:rsid w:val="00BB7D65"/>
    <w:rsid w:val="00BD5B8B"/>
    <w:rsid w:val="00BF07C4"/>
    <w:rsid w:val="00C10FA8"/>
    <w:rsid w:val="00C117E6"/>
    <w:rsid w:val="00C619A6"/>
    <w:rsid w:val="00CB03EC"/>
    <w:rsid w:val="00CD33C0"/>
    <w:rsid w:val="00CD4C45"/>
    <w:rsid w:val="00D54871"/>
    <w:rsid w:val="00DD2E63"/>
    <w:rsid w:val="00DE7474"/>
    <w:rsid w:val="00E226B2"/>
    <w:rsid w:val="00E34318"/>
    <w:rsid w:val="00E62430"/>
    <w:rsid w:val="00E63CC6"/>
    <w:rsid w:val="00EA58AD"/>
    <w:rsid w:val="00EB0306"/>
    <w:rsid w:val="00F07B47"/>
    <w:rsid w:val="00F57B80"/>
    <w:rsid w:val="00FE2503"/>
    <w:rsid w:val="00FE34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7CAE0"/>
  <w15:chartTrackingRefBased/>
  <w15:docId w15:val="{3291E79C-2DA0-45A7-89B5-536E171AE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4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4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4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4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4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4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4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4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4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4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4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4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4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4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4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4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4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416"/>
    <w:rPr>
      <w:rFonts w:eastAsiaTheme="majorEastAsia" w:cstheme="majorBidi"/>
      <w:color w:val="272727" w:themeColor="text1" w:themeTint="D8"/>
    </w:rPr>
  </w:style>
  <w:style w:type="paragraph" w:styleId="Title">
    <w:name w:val="Title"/>
    <w:basedOn w:val="Normal"/>
    <w:next w:val="Normal"/>
    <w:link w:val="TitleChar"/>
    <w:uiPriority w:val="10"/>
    <w:qFormat/>
    <w:rsid w:val="004F44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4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4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4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416"/>
    <w:pPr>
      <w:spacing w:before="160"/>
      <w:jc w:val="center"/>
    </w:pPr>
    <w:rPr>
      <w:i/>
      <w:iCs/>
      <w:color w:val="404040" w:themeColor="text1" w:themeTint="BF"/>
    </w:rPr>
  </w:style>
  <w:style w:type="character" w:customStyle="1" w:styleId="QuoteChar">
    <w:name w:val="Quote Char"/>
    <w:basedOn w:val="DefaultParagraphFont"/>
    <w:link w:val="Quote"/>
    <w:uiPriority w:val="29"/>
    <w:rsid w:val="004F4416"/>
    <w:rPr>
      <w:i/>
      <w:iCs/>
      <w:color w:val="404040" w:themeColor="text1" w:themeTint="BF"/>
    </w:rPr>
  </w:style>
  <w:style w:type="paragraph" w:styleId="ListParagraph">
    <w:name w:val="List Paragraph"/>
    <w:basedOn w:val="Normal"/>
    <w:uiPriority w:val="34"/>
    <w:qFormat/>
    <w:rsid w:val="004F4416"/>
    <w:pPr>
      <w:ind w:left="720"/>
      <w:contextualSpacing/>
    </w:pPr>
  </w:style>
  <w:style w:type="character" w:styleId="IntenseEmphasis">
    <w:name w:val="Intense Emphasis"/>
    <w:basedOn w:val="DefaultParagraphFont"/>
    <w:uiPriority w:val="21"/>
    <w:qFormat/>
    <w:rsid w:val="004F4416"/>
    <w:rPr>
      <w:i/>
      <w:iCs/>
      <w:color w:val="0F4761" w:themeColor="accent1" w:themeShade="BF"/>
    </w:rPr>
  </w:style>
  <w:style w:type="paragraph" w:styleId="IntenseQuote">
    <w:name w:val="Intense Quote"/>
    <w:basedOn w:val="Normal"/>
    <w:next w:val="Normal"/>
    <w:link w:val="IntenseQuoteChar"/>
    <w:uiPriority w:val="30"/>
    <w:qFormat/>
    <w:rsid w:val="004F44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416"/>
    <w:rPr>
      <w:i/>
      <w:iCs/>
      <w:color w:val="0F4761" w:themeColor="accent1" w:themeShade="BF"/>
    </w:rPr>
  </w:style>
  <w:style w:type="character" w:styleId="IntenseReference">
    <w:name w:val="Intense Reference"/>
    <w:basedOn w:val="DefaultParagraphFont"/>
    <w:uiPriority w:val="32"/>
    <w:qFormat/>
    <w:rsid w:val="004F4416"/>
    <w:rPr>
      <w:b/>
      <w:bCs/>
      <w:smallCaps/>
      <w:color w:val="0F4761" w:themeColor="accent1" w:themeShade="BF"/>
      <w:spacing w:val="5"/>
    </w:rPr>
  </w:style>
  <w:style w:type="paragraph" w:styleId="Footer">
    <w:name w:val="footer"/>
    <w:basedOn w:val="Normal"/>
    <w:link w:val="FooterChar"/>
    <w:uiPriority w:val="99"/>
    <w:unhideWhenUsed/>
    <w:rsid w:val="00525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98D"/>
  </w:style>
  <w:style w:type="paragraph" w:styleId="TOC1">
    <w:name w:val="toc 1"/>
    <w:basedOn w:val="Normal"/>
    <w:next w:val="Normal"/>
    <w:autoRedefine/>
    <w:uiPriority w:val="39"/>
    <w:unhideWhenUsed/>
    <w:rsid w:val="00C117E6"/>
    <w:pPr>
      <w:spacing w:after="100"/>
    </w:pPr>
  </w:style>
  <w:style w:type="paragraph" w:styleId="TOC2">
    <w:name w:val="toc 2"/>
    <w:basedOn w:val="Normal"/>
    <w:next w:val="Normal"/>
    <w:autoRedefine/>
    <w:uiPriority w:val="39"/>
    <w:unhideWhenUsed/>
    <w:rsid w:val="00C117E6"/>
    <w:pPr>
      <w:spacing w:after="100"/>
      <w:ind w:left="240"/>
    </w:pPr>
  </w:style>
  <w:style w:type="character" w:styleId="Hyperlink">
    <w:name w:val="Hyperlink"/>
    <w:basedOn w:val="DefaultParagraphFont"/>
    <w:uiPriority w:val="99"/>
    <w:unhideWhenUsed/>
    <w:rsid w:val="00C117E6"/>
    <w:rPr>
      <w:color w:val="467886" w:themeColor="hyperlink"/>
      <w:u w:val="single"/>
    </w:rPr>
  </w:style>
  <w:style w:type="paragraph" w:styleId="NormalWeb">
    <w:name w:val="Normal (Web)"/>
    <w:basedOn w:val="Normal"/>
    <w:uiPriority w:val="99"/>
    <w:semiHidden/>
    <w:unhideWhenUsed/>
    <w:rsid w:val="00BB77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E34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21" Type="http://schemas.openxmlformats.org/officeDocument/2006/relationships/diagramColors" Target="diagrams/colors3.xml"/><Relationship Id="rId34" Type="http://schemas.openxmlformats.org/officeDocument/2006/relationships/footer" Target="footer1.xml"/><Relationship Id="rId7" Type="http://schemas.openxmlformats.org/officeDocument/2006/relationships/image" Target="media/image2.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microsoft.com/office/2007/relationships/diagramDrawing" Target="diagrams/drawing5.xml"/><Relationship Id="rId2" Type="http://schemas.openxmlformats.org/officeDocument/2006/relationships/settings" Target="setting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Data" Target="diagrams/data5.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diagramColors" Target="diagrams/colors5.xm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image" Target="media/image3.png"/><Relationship Id="rId36"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QuickStyle" Target="diagrams/quickStyle5.xml"/><Relationship Id="rId4" Type="http://schemas.openxmlformats.org/officeDocument/2006/relationships/footnotes" Target="footnote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Layout" Target="diagrams/layout5.xml"/><Relationship Id="rId35" Type="http://schemas.openxmlformats.org/officeDocument/2006/relationships/footer" Target="footer2.xml"/><Relationship Id="rId8" Type="http://schemas.openxmlformats.org/officeDocument/2006/relationships/diagramData" Target="diagrams/data1.xml"/><Relationship Id="rId3" Type="http://schemas.openxmlformats.org/officeDocument/2006/relationships/webSettings" Target="web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233ACF-720B-4004-A6D6-E8E925A2D05F}" type="doc">
      <dgm:prSet loTypeId="urn:microsoft.com/office/officeart/2005/8/layout/vList5" loCatId="list" qsTypeId="urn:microsoft.com/office/officeart/2005/8/quickstyle/simple1" qsCatId="simple" csTypeId="urn:microsoft.com/office/officeart/2005/8/colors/colorful5" csCatId="colorful" phldr="1"/>
      <dgm:spPr/>
      <dgm:t>
        <a:bodyPr/>
        <a:lstStyle/>
        <a:p>
          <a:endParaRPr lang="en-GB"/>
        </a:p>
      </dgm:t>
    </dgm:pt>
    <dgm:pt modelId="{5659929E-F055-46CA-93F8-DC16C3584329}">
      <dgm:prSet/>
      <dgm:spPr>
        <a:xfrm>
          <a:off x="531425" y="1137"/>
          <a:ext cx="1076844" cy="662358"/>
        </a:xfrm>
        <a:prstGeom prst="roundRect">
          <a:avLst/>
        </a:prstGeom>
        <a:solidFill>
          <a:srgbClr val="A02B93">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dirty="0">
              <a:solidFill>
                <a:sysClr val="window" lastClr="FFFFFF"/>
              </a:solidFill>
              <a:latin typeface="Aptos" panose="02110004020202020204"/>
              <a:ea typeface="+mn-ea"/>
              <a:cs typeface="+mn-cs"/>
            </a:rPr>
            <a:t>P</a:t>
          </a:r>
          <a:endParaRPr lang="en-GB" dirty="0">
            <a:solidFill>
              <a:sysClr val="window" lastClr="FFFFFF"/>
            </a:solidFill>
            <a:latin typeface="Aptos" panose="02110004020202020204"/>
            <a:ea typeface="+mn-ea"/>
            <a:cs typeface="+mn-cs"/>
          </a:endParaRPr>
        </a:p>
      </dgm:t>
    </dgm:pt>
    <dgm:pt modelId="{EE18D28C-8FEF-4EF8-BCD8-B051B8FD18CE}" type="parTrans" cxnId="{6E31C13C-FC8D-403B-A155-A6EC84B3AA22}">
      <dgm:prSet/>
      <dgm:spPr/>
      <dgm:t>
        <a:bodyPr/>
        <a:lstStyle/>
        <a:p>
          <a:endParaRPr lang="en-GB"/>
        </a:p>
      </dgm:t>
    </dgm:pt>
    <dgm:pt modelId="{05349828-D04A-4C9B-9D23-402B57E85143}" type="sibTrans" cxnId="{6E31C13C-FC8D-403B-A155-A6EC84B3AA22}">
      <dgm:prSet/>
      <dgm:spPr/>
      <dgm:t>
        <a:bodyPr/>
        <a:lstStyle/>
        <a:p>
          <a:endParaRPr lang="en-GB"/>
        </a:p>
      </dgm:t>
    </dgm:pt>
    <dgm:pt modelId="{18955421-4C6C-4668-8012-090CCCE0EAA6}">
      <dgm:prSet/>
      <dgm:spPr>
        <a:xfrm rot="5400000">
          <a:off x="3245279" y="-1569635"/>
          <a:ext cx="529886" cy="3803904"/>
        </a:xfrm>
        <a:prstGeom prst="round2SameRect">
          <a:avLst/>
        </a:prstGeom>
        <a:solidFill>
          <a:srgbClr val="A02B93">
            <a:tint val="40000"/>
            <a:alpha val="90000"/>
            <a:hueOff val="0"/>
            <a:satOff val="0"/>
            <a:lumOff val="0"/>
            <a:alphaOff val="0"/>
          </a:srgbClr>
        </a:solidFill>
        <a:ln w="12700" cap="flat" cmpd="sng" algn="ctr">
          <a:solidFill>
            <a:srgbClr val="A02B93">
              <a:tint val="40000"/>
              <a:alpha val="9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Post-Brexit import duties</a:t>
          </a:r>
        </a:p>
      </dgm:t>
    </dgm:pt>
    <dgm:pt modelId="{90C9B6C9-A36F-4B7B-BB38-BCC760F049A5}" type="parTrans" cxnId="{99656E72-453E-48DB-9E7F-C5C4B98385A7}">
      <dgm:prSet/>
      <dgm:spPr/>
      <dgm:t>
        <a:bodyPr/>
        <a:lstStyle/>
        <a:p>
          <a:endParaRPr lang="en-GB"/>
        </a:p>
      </dgm:t>
    </dgm:pt>
    <dgm:pt modelId="{F8E6C8AA-EE49-4574-9380-DEB3508AA2C9}" type="sibTrans" cxnId="{99656E72-453E-48DB-9E7F-C5C4B98385A7}">
      <dgm:prSet/>
      <dgm:spPr/>
      <dgm:t>
        <a:bodyPr/>
        <a:lstStyle/>
        <a:p>
          <a:endParaRPr lang="en-GB"/>
        </a:p>
      </dgm:t>
    </dgm:pt>
    <dgm:pt modelId="{A98EE1D3-C4CE-4F93-B031-21478F058A1C}">
      <dgm:prSet/>
      <dgm:spPr>
        <a:xfrm rot="5400000">
          <a:off x="3245279" y="-1569635"/>
          <a:ext cx="529886" cy="3803904"/>
        </a:xfrm>
        <a:prstGeom prst="round2SameRect">
          <a:avLst/>
        </a:prstGeom>
        <a:solidFill>
          <a:srgbClr val="A02B93">
            <a:tint val="40000"/>
            <a:alpha val="90000"/>
            <a:hueOff val="0"/>
            <a:satOff val="0"/>
            <a:lumOff val="0"/>
            <a:alphaOff val="0"/>
          </a:srgbClr>
        </a:solidFill>
        <a:ln w="12700" cap="flat" cmpd="sng" algn="ctr">
          <a:solidFill>
            <a:srgbClr val="A02B93">
              <a:tint val="40000"/>
              <a:alpha val="9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Sustainability and waste regulations</a:t>
          </a:r>
        </a:p>
      </dgm:t>
    </dgm:pt>
    <dgm:pt modelId="{23BBDDD6-70CD-464B-A737-65DA7723BEFC}" type="parTrans" cxnId="{7BE208C5-637E-4236-804E-1041F4995DD3}">
      <dgm:prSet/>
      <dgm:spPr/>
      <dgm:t>
        <a:bodyPr/>
        <a:lstStyle/>
        <a:p>
          <a:endParaRPr lang="en-GB"/>
        </a:p>
      </dgm:t>
    </dgm:pt>
    <dgm:pt modelId="{C9513544-A793-4027-93BB-134F30729FFF}" type="sibTrans" cxnId="{7BE208C5-637E-4236-804E-1041F4995DD3}">
      <dgm:prSet/>
      <dgm:spPr/>
      <dgm:t>
        <a:bodyPr/>
        <a:lstStyle/>
        <a:p>
          <a:endParaRPr lang="en-GB"/>
        </a:p>
      </dgm:t>
    </dgm:pt>
    <dgm:pt modelId="{46493F15-121E-421B-B4EF-1FA7BA1733E4}">
      <dgm:prSet/>
      <dgm:spPr>
        <a:xfrm>
          <a:off x="531425" y="696613"/>
          <a:ext cx="1076844" cy="662358"/>
        </a:xfrm>
        <a:prstGeom prst="roundRect">
          <a:avLst/>
        </a:prstGeom>
        <a:solidFill>
          <a:srgbClr val="A02B93">
            <a:hueOff val="-2430430"/>
            <a:satOff val="-165"/>
            <a:lumOff val="39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dirty="0">
              <a:solidFill>
                <a:sysClr val="window" lastClr="FFFFFF"/>
              </a:solidFill>
              <a:latin typeface="Aptos" panose="02110004020202020204"/>
              <a:ea typeface="+mn-ea"/>
              <a:cs typeface="+mn-cs"/>
            </a:rPr>
            <a:t>E</a:t>
          </a:r>
          <a:endParaRPr lang="en-GB" dirty="0">
            <a:solidFill>
              <a:sysClr val="window" lastClr="FFFFFF"/>
            </a:solidFill>
            <a:latin typeface="Aptos" panose="02110004020202020204"/>
            <a:ea typeface="+mn-ea"/>
            <a:cs typeface="+mn-cs"/>
          </a:endParaRPr>
        </a:p>
      </dgm:t>
    </dgm:pt>
    <dgm:pt modelId="{3700D6CC-7235-4D70-A2EF-81AFDEB24FA0}" type="parTrans" cxnId="{7B762EE3-12B8-4457-A295-E616104D9D65}">
      <dgm:prSet/>
      <dgm:spPr/>
      <dgm:t>
        <a:bodyPr/>
        <a:lstStyle/>
        <a:p>
          <a:endParaRPr lang="en-GB"/>
        </a:p>
      </dgm:t>
    </dgm:pt>
    <dgm:pt modelId="{9A133002-9BF8-4836-8209-2A3C29E67DF8}" type="sibTrans" cxnId="{7B762EE3-12B8-4457-A295-E616104D9D65}">
      <dgm:prSet/>
      <dgm:spPr/>
      <dgm:t>
        <a:bodyPr/>
        <a:lstStyle/>
        <a:p>
          <a:endParaRPr lang="en-GB"/>
        </a:p>
      </dgm:t>
    </dgm:pt>
    <dgm:pt modelId="{A6651EBA-F31C-4B59-BFDC-57E9D3EEAA53}">
      <dgm:prSet/>
      <dgm:spPr>
        <a:xfrm rot="5400000">
          <a:off x="3245279" y="-874159"/>
          <a:ext cx="529886" cy="3803904"/>
        </a:xfrm>
        <a:prstGeom prst="round2SameRect">
          <a:avLst/>
        </a:prstGeom>
        <a:solidFill>
          <a:srgbClr val="A02B93">
            <a:tint val="40000"/>
            <a:alpha val="90000"/>
            <a:hueOff val="-2388933"/>
            <a:satOff val="533"/>
            <a:lumOff val="80"/>
            <a:alphaOff val="0"/>
          </a:srgbClr>
        </a:solidFill>
        <a:ln w="12700" cap="flat" cmpd="sng" algn="ctr">
          <a:solidFill>
            <a:srgbClr val="A02B93">
              <a:tint val="40000"/>
              <a:alpha val="90000"/>
              <a:hueOff val="-2388933"/>
              <a:satOff val="533"/>
              <a:lumOff val="8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Inflation pressures</a:t>
          </a:r>
        </a:p>
      </dgm:t>
    </dgm:pt>
    <dgm:pt modelId="{93387DB7-87F7-46C3-B7D7-A1FF1CC93AE9}" type="parTrans" cxnId="{F3FE2569-C025-41E9-B6FE-8BCEF55A22DB}">
      <dgm:prSet/>
      <dgm:spPr/>
      <dgm:t>
        <a:bodyPr/>
        <a:lstStyle/>
        <a:p>
          <a:endParaRPr lang="en-GB"/>
        </a:p>
      </dgm:t>
    </dgm:pt>
    <dgm:pt modelId="{50FEA71E-F2ED-4469-BCAE-91267B6BE37D}" type="sibTrans" cxnId="{F3FE2569-C025-41E9-B6FE-8BCEF55A22DB}">
      <dgm:prSet/>
      <dgm:spPr/>
      <dgm:t>
        <a:bodyPr/>
        <a:lstStyle/>
        <a:p>
          <a:endParaRPr lang="en-GB"/>
        </a:p>
      </dgm:t>
    </dgm:pt>
    <dgm:pt modelId="{369A5C4B-E152-4856-B561-67068439EECF}">
      <dgm:prSet/>
      <dgm:spPr>
        <a:xfrm rot="5400000">
          <a:off x="3245279" y="-874159"/>
          <a:ext cx="529886" cy="3803904"/>
        </a:xfrm>
        <a:prstGeom prst="round2SameRect">
          <a:avLst/>
        </a:prstGeom>
        <a:solidFill>
          <a:srgbClr val="A02B93">
            <a:tint val="40000"/>
            <a:alpha val="90000"/>
            <a:hueOff val="-2388933"/>
            <a:satOff val="533"/>
            <a:lumOff val="80"/>
            <a:alphaOff val="0"/>
          </a:srgbClr>
        </a:solidFill>
        <a:ln w="12700" cap="flat" cmpd="sng" algn="ctr">
          <a:solidFill>
            <a:srgbClr val="A02B93">
              <a:tint val="40000"/>
              <a:alpha val="90000"/>
              <a:hueOff val="-2388933"/>
              <a:satOff val="533"/>
              <a:lumOff val="8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Reduced household spending</a:t>
          </a:r>
        </a:p>
      </dgm:t>
    </dgm:pt>
    <dgm:pt modelId="{7A71B47F-0142-478F-A82A-2DF167A38C98}" type="parTrans" cxnId="{0A63E324-1B8F-43F2-A313-CB01BB837198}">
      <dgm:prSet/>
      <dgm:spPr/>
      <dgm:t>
        <a:bodyPr/>
        <a:lstStyle/>
        <a:p>
          <a:endParaRPr lang="en-GB"/>
        </a:p>
      </dgm:t>
    </dgm:pt>
    <dgm:pt modelId="{8A918465-4956-475C-A1D2-072314A95FFD}" type="sibTrans" cxnId="{0A63E324-1B8F-43F2-A313-CB01BB837198}">
      <dgm:prSet/>
      <dgm:spPr/>
      <dgm:t>
        <a:bodyPr/>
        <a:lstStyle/>
        <a:p>
          <a:endParaRPr lang="en-GB"/>
        </a:p>
      </dgm:t>
    </dgm:pt>
    <dgm:pt modelId="{B2CDD9E7-74BF-4070-92D8-7911CE00C674}">
      <dgm:prSet/>
      <dgm:spPr>
        <a:xfrm rot="5400000">
          <a:off x="3245279" y="-874159"/>
          <a:ext cx="529886" cy="3803904"/>
        </a:xfrm>
        <a:prstGeom prst="round2SameRect">
          <a:avLst/>
        </a:prstGeom>
        <a:solidFill>
          <a:srgbClr val="A02B93">
            <a:tint val="40000"/>
            <a:alpha val="90000"/>
            <a:hueOff val="-2388933"/>
            <a:satOff val="533"/>
            <a:lumOff val="80"/>
            <a:alphaOff val="0"/>
          </a:srgbClr>
        </a:solidFill>
        <a:ln w="12700" cap="flat" cmpd="sng" algn="ctr">
          <a:solidFill>
            <a:srgbClr val="A02B93">
              <a:tint val="40000"/>
              <a:alpha val="90000"/>
              <a:hueOff val="-2388933"/>
              <a:satOff val="533"/>
              <a:lumOff val="8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Rising supply chain costs</a:t>
          </a:r>
        </a:p>
      </dgm:t>
    </dgm:pt>
    <dgm:pt modelId="{400CA8A9-D346-4416-83A5-5D06C69FA461}" type="parTrans" cxnId="{A53A0F31-681A-4800-8F39-F8CC849FCC61}">
      <dgm:prSet/>
      <dgm:spPr/>
      <dgm:t>
        <a:bodyPr/>
        <a:lstStyle/>
        <a:p>
          <a:endParaRPr lang="en-GB"/>
        </a:p>
      </dgm:t>
    </dgm:pt>
    <dgm:pt modelId="{4D0DE861-03B5-4750-ABF2-448E0DC3CA89}" type="sibTrans" cxnId="{A53A0F31-681A-4800-8F39-F8CC849FCC61}">
      <dgm:prSet/>
      <dgm:spPr/>
      <dgm:t>
        <a:bodyPr/>
        <a:lstStyle/>
        <a:p>
          <a:endParaRPr lang="en-GB"/>
        </a:p>
      </dgm:t>
    </dgm:pt>
    <dgm:pt modelId="{772D66E4-D7D3-49F4-8DAE-3F97C5261771}">
      <dgm:prSet/>
      <dgm:spPr>
        <a:xfrm>
          <a:off x="531425" y="1392089"/>
          <a:ext cx="1076844" cy="662358"/>
        </a:xfrm>
        <a:prstGeom prst="roundRect">
          <a:avLst/>
        </a:prstGeom>
        <a:solidFill>
          <a:srgbClr val="A02B93">
            <a:hueOff val="-4860860"/>
            <a:satOff val="-330"/>
            <a:lumOff val="78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dirty="0">
              <a:solidFill>
                <a:sysClr val="window" lastClr="FFFFFF"/>
              </a:solidFill>
              <a:latin typeface="Aptos" panose="02110004020202020204"/>
              <a:ea typeface="+mn-ea"/>
              <a:cs typeface="+mn-cs"/>
            </a:rPr>
            <a:t>S</a:t>
          </a:r>
          <a:endParaRPr lang="en-GB" dirty="0">
            <a:solidFill>
              <a:sysClr val="window" lastClr="FFFFFF"/>
            </a:solidFill>
            <a:latin typeface="Aptos" panose="02110004020202020204"/>
            <a:ea typeface="+mn-ea"/>
            <a:cs typeface="+mn-cs"/>
          </a:endParaRPr>
        </a:p>
      </dgm:t>
    </dgm:pt>
    <dgm:pt modelId="{C8636DF2-49F5-458F-87A6-EE0C654C77E2}" type="parTrans" cxnId="{524D21C9-6482-464F-ACDF-1598A7210DC8}">
      <dgm:prSet/>
      <dgm:spPr/>
      <dgm:t>
        <a:bodyPr/>
        <a:lstStyle/>
        <a:p>
          <a:endParaRPr lang="en-GB"/>
        </a:p>
      </dgm:t>
    </dgm:pt>
    <dgm:pt modelId="{C0E73B6B-C212-4244-BD98-AFDD93A2C330}" type="sibTrans" cxnId="{524D21C9-6482-464F-ACDF-1598A7210DC8}">
      <dgm:prSet/>
      <dgm:spPr/>
      <dgm:t>
        <a:bodyPr/>
        <a:lstStyle/>
        <a:p>
          <a:endParaRPr lang="en-GB"/>
        </a:p>
      </dgm:t>
    </dgm:pt>
    <dgm:pt modelId="{58FB95EF-AEC7-4B0B-BADD-F104123726E2}">
      <dgm:prSet/>
      <dgm:spPr>
        <a:xfrm rot="5400000">
          <a:off x="3245279" y="-178683"/>
          <a:ext cx="529886" cy="3803904"/>
        </a:xfrm>
        <a:prstGeom prst="round2SameRect">
          <a:avLst/>
        </a:prstGeom>
        <a:solidFill>
          <a:srgbClr val="A02B93">
            <a:tint val="40000"/>
            <a:alpha val="90000"/>
            <a:hueOff val="-4777866"/>
            <a:satOff val="1067"/>
            <a:lumOff val="160"/>
            <a:alphaOff val="0"/>
          </a:srgbClr>
        </a:solidFill>
        <a:ln w="12700" cap="flat" cmpd="sng" algn="ctr">
          <a:solidFill>
            <a:srgbClr val="A02B93">
              <a:tint val="40000"/>
              <a:alpha val="90000"/>
              <a:hueOff val="-4777866"/>
              <a:satOff val="1067"/>
              <a:lumOff val="16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Small-space and urban living trends</a:t>
          </a:r>
        </a:p>
      </dgm:t>
    </dgm:pt>
    <dgm:pt modelId="{60C6C8CD-80DB-4D0F-BE22-55E41AF2F0DD}" type="parTrans" cxnId="{E0D195F7-CE6A-4E54-80DF-6B798DE369FA}">
      <dgm:prSet/>
      <dgm:spPr/>
      <dgm:t>
        <a:bodyPr/>
        <a:lstStyle/>
        <a:p>
          <a:endParaRPr lang="en-GB"/>
        </a:p>
      </dgm:t>
    </dgm:pt>
    <dgm:pt modelId="{E6A1C3B3-7642-486E-BE90-A71742FC74D4}" type="sibTrans" cxnId="{E0D195F7-CE6A-4E54-80DF-6B798DE369FA}">
      <dgm:prSet/>
      <dgm:spPr/>
      <dgm:t>
        <a:bodyPr/>
        <a:lstStyle/>
        <a:p>
          <a:endParaRPr lang="en-GB"/>
        </a:p>
      </dgm:t>
    </dgm:pt>
    <dgm:pt modelId="{185DA791-F0D9-49E6-A826-12E0279CD62B}">
      <dgm:prSet/>
      <dgm:spPr>
        <a:xfrm rot="5400000">
          <a:off x="3245279" y="-178683"/>
          <a:ext cx="529886" cy="3803904"/>
        </a:xfrm>
        <a:prstGeom prst="round2SameRect">
          <a:avLst/>
        </a:prstGeom>
        <a:solidFill>
          <a:srgbClr val="A02B93">
            <a:tint val="40000"/>
            <a:alpha val="90000"/>
            <a:hueOff val="-4777866"/>
            <a:satOff val="1067"/>
            <a:lumOff val="160"/>
            <a:alphaOff val="0"/>
          </a:srgbClr>
        </a:solidFill>
        <a:ln w="12700" cap="flat" cmpd="sng" algn="ctr">
          <a:solidFill>
            <a:srgbClr val="A02B93">
              <a:tint val="40000"/>
              <a:alpha val="90000"/>
              <a:hueOff val="-4777866"/>
              <a:satOff val="1067"/>
              <a:lumOff val="16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Preference for sustainable products</a:t>
          </a:r>
        </a:p>
      </dgm:t>
    </dgm:pt>
    <dgm:pt modelId="{4B98BB46-3AD8-46D9-BB68-F6731B922543}" type="parTrans" cxnId="{05C2CA5F-6EA5-4283-9AF2-4220B72140B0}">
      <dgm:prSet/>
      <dgm:spPr/>
      <dgm:t>
        <a:bodyPr/>
        <a:lstStyle/>
        <a:p>
          <a:endParaRPr lang="en-GB"/>
        </a:p>
      </dgm:t>
    </dgm:pt>
    <dgm:pt modelId="{686887B8-AD46-4C17-9F46-916E464A56D2}" type="sibTrans" cxnId="{05C2CA5F-6EA5-4283-9AF2-4220B72140B0}">
      <dgm:prSet/>
      <dgm:spPr/>
      <dgm:t>
        <a:bodyPr/>
        <a:lstStyle/>
        <a:p>
          <a:endParaRPr lang="en-GB"/>
        </a:p>
      </dgm:t>
    </dgm:pt>
    <dgm:pt modelId="{36842360-09FF-42A2-954E-45B8F881B5B4}">
      <dgm:prSet/>
      <dgm:spPr>
        <a:xfrm>
          <a:off x="531425" y="2087565"/>
          <a:ext cx="1076844" cy="662358"/>
        </a:xfrm>
        <a:prstGeom prst="roundRect">
          <a:avLst/>
        </a:prstGeom>
        <a:solidFill>
          <a:srgbClr val="A02B93">
            <a:hueOff val="-7291290"/>
            <a:satOff val="-496"/>
            <a:lumOff val="1177"/>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dirty="0">
              <a:solidFill>
                <a:sysClr val="window" lastClr="FFFFFF"/>
              </a:solidFill>
              <a:latin typeface="Aptos" panose="02110004020202020204"/>
              <a:ea typeface="+mn-ea"/>
              <a:cs typeface="+mn-cs"/>
            </a:rPr>
            <a:t>T</a:t>
          </a:r>
          <a:endParaRPr lang="en-GB" dirty="0">
            <a:solidFill>
              <a:sysClr val="window" lastClr="FFFFFF"/>
            </a:solidFill>
            <a:latin typeface="Aptos" panose="02110004020202020204"/>
            <a:ea typeface="+mn-ea"/>
            <a:cs typeface="+mn-cs"/>
          </a:endParaRPr>
        </a:p>
      </dgm:t>
    </dgm:pt>
    <dgm:pt modelId="{479EF9EA-3976-4AA2-87FA-01978D7E9E3B}" type="parTrans" cxnId="{7CC25F7B-8261-40DF-A99B-605CCA2240A9}">
      <dgm:prSet/>
      <dgm:spPr/>
      <dgm:t>
        <a:bodyPr/>
        <a:lstStyle/>
        <a:p>
          <a:endParaRPr lang="en-GB"/>
        </a:p>
      </dgm:t>
    </dgm:pt>
    <dgm:pt modelId="{C9FE182C-724A-4808-AE65-787D3B716D6A}" type="sibTrans" cxnId="{7CC25F7B-8261-40DF-A99B-605CCA2240A9}">
      <dgm:prSet/>
      <dgm:spPr/>
      <dgm:t>
        <a:bodyPr/>
        <a:lstStyle/>
        <a:p>
          <a:endParaRPr lang="en-GB"/>
        </a:p>
      </dgm:t>
    </dgm:pt>
    <dgm:pt modelId="{56FC92DA-C718-4948-A17C-2E4FB43CF405}">
      <dgm:prSet/>
      <dgm:spPr>
        <a:xfrm rot="5400000">
          <a:off x="3245279" y="516793"/>
          <a:ext cx="529886" cy="3803904"/>
        </a:xfrm>
        <a:prstGeom prst="round2SameRect">
          <a:avLst/>
        </a:prstGeom>
        <a:solidFill>
          <a:srgbClr val="A02B93">
            <a:tint val="40000"/>
            <a:alpha val="90000"/>
            <a:hueOff val="-7166800"/>
            <a:satOff val="1600"/>
            <a:lumOff val="241"/>
            <a:alphaOff val="0"/>
          </a:srgbClr>
        </a:solidFill>
        <a:ln w="12700" cap="flat" cmpd="sng" algn="ctr">
          <a:solidFill>
            <a:srgbClr val="A02B93">
              <a:tint val="40000"/>
              <a:alpha val="90000"/>
              <a:hueOff val="-7166800"/>
              <a:satOff val="1600"/>
              <a:lumOff val="241"/>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Growth of digital retail</a:t>
          </a:r>
        </a:p>
      </dgm:t>
    </dgm:pt>
    <dgm:pt modelId="{2BE3CF3F-E044-4A85-AF28-9173CFEB075B}" type="parTrans" cxnId="{857AAFF9-77AC-4FD7-B27D-E8CD8CA35F96}">
      <dgm:prSet/>
      <dgm:spPr/>
      <dgm:t>
        <a:bodyPr/>
        <a:lstStyle/>
        <a:p>
          <a:endParaRPr lang="en-GB"/>
        </a:p>
      </dgm:t>
    </dgm:pt>
    <dgm:pt modelId="{1B807A30-23FF-4461-8FBC-7ECF2C179168}" type="sibTrans" cxnId="{857AAFF9-77AC-4FD7-B27D-E8CD8CA35F96}">
      <dgm:prSet/>
      <dgm:spPr/>
      <dgm:t>
        <a:bodyPr/>
        <a:lstStyle/>
        <a:p>
          <a:endParaRPr lang="en-GB"/>
        </a:p>
      </dgm:t>
    </dgm:pt>
    <dgm:pt modelId="{2A408500-17DF-4FC4-98FA-F9DB4E6B1D1B}">
      <dgm:prSet/>
      <dgm:spPr>
        <a:xfrm rot="5400000">
          <a:off x="3245279" y="516793"/>
          <a:ext cx="529886" cy="3803904"/>
        </a:xfrm>
        <a:prstGeom prst="round2SameRect">
          <a:avLst/>
        </a:prstGeom>
        <a:solidFill>
          <a:srgbClr val="A02B93">
            <a:tint val="40000"/>
            <a:alpha val="90000"/>
            <a:hueOff val="-7166800"/>
            <a:satOff val="1600"/>
            <a:lumOff val="241"/>
            <a:alphaOff val="0"/>
          </a:srgbClr>
        </a:solidFill>
        <a:ln w="12700" cap="flat" cmpd="sng" algn="ctr">
          <a:solidFill>
            <a:srgbClr val="A02B93">
              <a:tint val="40000"/>
              <a:alpha val="90000"/>
              <a:hueOff val="-7166800"/>
              <a:satOff val="1600"/>
              <a:lumOff val="241"/>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Demand for online planning tools</a:t>
          </a:r>
        </a:p>
      </dgm:t>
    </dgm:pt>
    <dgm:pt modelId="{3F6F901B-0B5C-4678-925C-EF966847BD2C}" type="parTrans" cxnId="{0C2C3735-2744-4951-A025-3C433AFF0F5B}">
      <dgm:prSet/>
      <dgm:spPr/>
      <dgm:t>
        <a:bodyPr/>
        <a:lstStyle/>
        <a:p>
          <a:endParaRPr lang="en-GB"/>
        </a:p>
      </dgm:t>
    </dgm:pt>
    <dgm:pt modelId="{9C3BB42E-8B2E-4F15-B10D-C7828625D96C}" type="sibTrans" cxnId="{0C2C3735-2744-4951-A025-3C433AFF0F5B}">
      <dgm:prSet/>
      <dgm:spPr/>
      <dgm:t>
        <a:bodyPr/>
        <a:lstStyle/>
        <a:p>
          <a:endParaRPr lang="en-GB"/>
        </a:p>
      </dgm:t>
    </dgm:pt>
    <dgm:pt modelId="{9639883F-1D37-4C87-8FF4-458CDDA19843}">
      <dgm:prSet/>
      <dgm:spPr>
        <a:xfrm>
          <a:off x="531425" y="2783042"/>
          <a:ext cx="1076844" cy="662358"/>
        </a:xfrm>
        <a:prstGeom prst="roundRect">
          <a:avLst/>
        </a:prstGeom>
        <a:solidFill>
          <a:srgbClr val="A02B93">
            <a:hueOff val="-9721720"/>
            <a:satOff val="-661"/>
            <a:lumOff val="1569"/>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dirty="0">
              <a:solidFill>
                <a:sysClr val="window" lastClr="FFFFFF"/>
              </a:solidFill>
              <a:latin typeface="Aptos" panose="02110004020202020204"/>
              <a:ea typeface="+mn-ea"/>
              <a:cs typeface="+mn-cs"/>
            </a:rPr>
            <a:t>E</a:t>
          </a:r>
          <a:endParaRPr lang="en-GB" dirty="0">
            <a:solidFill>
              <a:sysClr val="window" lastClr="FFFFFF"/>
            </a:solidFill>
            <a:latin typeface="Aptos" panose="02110004020202020204"/>
            <a:ea typeface="+mn-ea"/>
            <a:cs typeface="+mn-cs"/>
          </a:endParaRPr>
        </a:p>
      </dgm:t>
    </dgm:pt>
    <dgm:pt modelId="{D59DD289-A3CB-4B24-ACE5-7CD562E96E32}" type="parTrans" cxnId="{05718EA2-9355-4BB6-A55D-10DE1B66BA20}">
      <dgm:prSet/>
      <dgm:spPr/>
      <dgm:t>
        <a:bodyPr/>
        <a:lstStyle/>
        <a:p>
          <a:endParaRPr lang="en-GB"/>
        </a:p>
      </dgm:t>
    </dgm:pt>
    <dgm:pt modelId="{32CA217A-F511-4204-9CE6-8F0A0F202BA8}" type="sibTrans" cxnId="{05718EA2-9355-4BB6-A55D-10DE1B66BA20}">
      <dgm:prSet/>
      <dgm:spPr/>
      <dgm:t>
        <a:bodyPr/>
        <a:lstStyle/>
        <a:p>
          <a:endParaRPr lang="en-GB"/>
        </a:p>
      </dgm:t>
    </dgm:pt>
    <dgm:pt modelId="{4329EACF-0225-4EA4-A31F-94561F754265}">
      <dgm:prSet/>
      <dgm:spPr>
        <a:xfrm rot="5400000">
          <a:off x="3245279" y="1212269"/>
          <a:ext cx="529886" cy="3803904"/>
        </a:xfrm>
        <a:prstGeom prst="round2SameRect">
          <a:avLst/>
        </a:prstGeom>
        <a:solidFill>
          <a:srgbClr val="A02B93">
            <a:tint val="40000"/>
            <a:alpha val="90000"/>
            <a:hueOff val="-9555732"/>
            <a:satOff val="2134"/>
            <a:lumOff val="321"/>
            <a:alphaOff val="0"/>
          </a:srgbClr>
        </a:solidFill>
        <a:ln w="12700" cap="flat" cmpd="sng" algn="ctr">
          <a:solidFill>
            <a:srgbClr val="A02B93">
              <a:tint val="40000"/>
              <a:alpha val="90000"/>
              <a:hueOff val="-9555732"/>
              <a:satOff val="2134"/>
              <a:lumOff val="321"/>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Circular economy expectations</a:t>
          </a:r>
        </a:p>
      </dgm:t>
    </dgm:pt>
    <dgm:pt modelId="{B11C7539-9D61-40BB-8EE6-06805997B666}" type="parTrans" cxnId="{C29CB7B5-DB6E-40D1-BCA4-B53BC80FA1A3}">
      <dgm:prSet/>
      <dgm:spPr/>
      <dgm:t>
        <a:bodyPr/>
        <a:lstStyle/>
        <a:p>
          <a:endParaRPr lang="en-GB"/>
        </a:p>
      </dgm:t>
    </dgm:pt>
    <dgm:pt modelId="{67452DF9-963D-4A70-A8C0-AC9C1009F023}" type="sibTrans" cxnId="{C29CB7B5-DB6E-40D1-BCA4-B53BC80FA1A3}">
      <dgm:prSet/>
      <dgm:spPr/>
      <dgm:t>
        <a:bodyPr/>
        <a:lstStyle/>
        <a:p>
          <a:endParaRPr lang="en-GB"/>
        </a:p>
      </dgm:t>
    </dgm:pt>
    <dgm:pt modelId="{86071E63-6FFF-4B1C-9978-B2B5EDDCBC0F}">
      <dgm:prSet/>
      <dgm:spPr>
        <a:xfrm rot="5400000">
          <a:off x="3245279" y="1212269"/>
          <a:ext cx="529886" cy="3803904"/>
        </a:xfrm>
        <a:prstGeom prst="round2SameRect">
          <a:avLst/>
        </a:prstGeom>
        <a:solidFill>
          <a:srgbClr val="A02B93">
            <a:tint val="40000"/>
            <a:alpha val="90000"/>
            <a:hueOff val="-9555732"/>
            <a:satOff val="2134"/>
            <a:lumOff val="321"/>
            <a:alphaOff val="0"/>
          </a:srgbClr>
        </a:solidFill>
        <a:ln w="12700" cap="flat" cmpd="sng" algn="ctr">
          <a:solidFill>
            <a:srgbClr val="A02B93">
              <a:tint val="40000"/>
              <a:alpha val="90000"/>
              <a:hueOff val="-9555732"/>
              <a:satOff val="2134"/>
              <a:lumOff val="321"/>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Carbon reduction requirements</a:t>
          </a:r>
        </a:p>
      </dgm:t>
    </dgm:pt>
    <dgm:pt modelId="{3DB0F3F2-EFEE-4C19-B0FC-0AB9643DBCF3}" type="parTrans" cxnId="{F809C35A-14EB-4C81-888A-48BCD5D60D89}">
      <dgm:prSet/>
      <dgm:spPr/>
      <dgm:t>
        <a:bodyPr/>
        <a:lstStyle/>
        <a:p>
          <a:endParaRPr lang="en-GB"/>
        </a:p>
      </dgm:t>
    </dgm:pt>
    <dgm:pt modelId="{E2ACF92B-3CD2-4357-B367-9DEC8D7C1C4E}" type="sibTrans" cxnId="{F809C35A-14EB-4C81-888A-48BCD5D60D89}">
      <dgm:prSet/>
      <dgm:spPr/>
      <dgm:t>
        <a:bodyPr/>
        <a:lstStyle/>
        <a:p>
          <a:endParaRPr lang="en-GB"/>
        </a:p>
      </dgm:t>
    </dgm:pt>
    <dgm:pt modelId="{CE1E8C55-77C1-4E9A-8D4E-253C6C75DED8}">
      <dgm:prSet/>
      <dgm:spPr>
        <a:xfrm>
          <a:off x="531425" y="3478518"/>
          <a:ext cx="1076844" cy="662358"/>
        </a:xfrm>
        <a:prstGeom prst="roundRect">
          <a:avLst/>
        </a:prstGeom>
        <a:solidFill>
          <a:srgbClr val="A02B93">
            <a:hueOff val="-12152150"/>
            <a:satOff val="-826"/>
            <a:lumOff val="196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L</a:t>
          </a:r>
          <a:endParaRPr lang="en-GB" dirty="0">
            <a:solidFill>
              <a:sysClr val="window" lastClr="FFFFFF"/>
            </a:solidFill>
            <a:latin typeface="Aptos" panose="02110004020202020204"/>
            <a:ea typeface="+mn-ea"/>
            <a:cs typeface="+mn-cs"/>
          </a:endParaRPr>
        </a:p>
      </dgm:t>
    </dgm:pt>
    <dgm:pt modelId="{AD853770-40D7-480E-85DD-3CF6A87B6AAF}" type="parTrans" cxnId="{736EA1C7-2814-45F5-9017-CB6BD2E9576D}">
      <dgm:prSet/>
      <dgm:spPr/>
      <dgm:t>
        <a:bodyPr/>
        <a:lstStyle/>
        <a:p>
          <a:endParaRPr lang="en-GB"/>
        </a:p>
      </dgm:t>
    </dgm:pt>
    <dgm:pt modelId="{7B973AD8-5AED-4E6F-A9BF-64BEE9DA88F6}" type="sibTrans" cxnId="{736EA1C7-2814-45F5-9017-CB6BD2E9576D}">
      <dgm:prSet/>
      <dgm:spPr/>
      <dgm:t>
        <a:bodyPr/>
        <a:lstStyle/>
        <a:p>
          <a:endParaRPr lang="en-GB"/>
        </a:p>
      </dgm:t>
    </dgm:pt>
    <dgm:pt modelId="{79D45AE0-47A7-4694-86DE-55079D95B721}">
      <dgm:prSet/>
      <dgm:spPr>
        <a:xfrm rot="5400000">
          <a:off x="3245279" y="1907745"/>
          <a:ext cx="529886" cy="3803904"/>
        </a:xfrm>
        <a:prstGeom prst="round2SameRect">
          <a:avLst/>
        </a:prstGeom>
        <a:solidFill>
          <a:srgbClr val="A02B93">
            <a:tint val="40000"/>
            <a:alpha val="90000"/>
            <a:hueOff val="-11944666"/>
            <a:satOff val="2667"/>
            <a:lumOff val="401"/>
            <a:alphaOff val="0"/>
          </a:srgbClr>
        </a:solidFill>
        <a:ln w="12700" cap="flat" cmpd="sng" algn="ctr">
          <a:solidFill>
            <a:srgbClr val="A02B93">
              <a:tint val="40000"/>
              <a:alpha val="90000"/>
              <a:hueOff val="-11944666"/>
              <a:satOff val="2667"/>
              <a:lumOff val="401"/>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Consumer protection laws</a:t>
          </a:r>
        </a:p>
      </dgm:t>
    </dgm:pt>
    <dgm:pt modelId="{1190679F-B912-4CA7-BA6A-FE3EBD4F5F42}" type="parTrans" cxnId="{67265EAA-1BC1-46DF-B540-5B2293678956}">
      <dgm:prSet/>
      <dgm:spPr/>
      <dgm:t>
        <a:bodyPr/>
        <a:lstStyle/>
        <a:p>
          <a:endParaRPr lang="en-GB"/>
        </a:p>
      </dgm:t>
    </dgm:pt>
    <dgm:pt modelId="{F088CA63-8BB6-4452-AEDB-551992803A97}" type="sibTrans" cxnId="{67265EAA-1BC1-46DF-B540-5B2293678956}">
      <dgm:prSet/>
      <dgm:spPr/>
      <dgm:t>
        <a:bodyPr/>
        <a:lstStyle/>
        <a:p>
          <a:endParaRPr lang="en-GB"/>
        </a:p>
      </dgm:t>
    </dgm:pt>
    <dgm:pt modelId="{5F31EC15-9761-49DD-B5F3-31BC91E19055}">
      <dgm:prSet/>
      <dgm:spPr>
        <a:xfrm rot="5400000">
          <a:off x="3245279" y="1907745"/>
          <a:ext cx="529886" cy="3803904"/>
        </a:xfrm>
        <a:prstGeom prst="round2SameRect">
          <a:avLst/>
        </a:prstGeom>
        <a:solidFill>
          <a:srgbClr val="A02B93">
            <a:tint val="40000"/>
            <a:alpha val="90000"/>
            <a:hueOff val="-11944666"/>
            <a:satOff val="2667"/>
            <a:lumOff val="401"/>
            <a:alphaOff val="0"/>
          </a:srgbClr>
        </a:solidFill>
        <a:ln w="12700" cap="flat" cmpd="sng" algn="ctr">
          <a:solidFill>
            <a:srgbClr val="A02B93">
              <a:tint val="40000"/>
              <a:alpha val="90000"/>
              <a:hueOff val="-11944666"/>
              <a:satOff val="2667"/>
              <a:lumOff val="401"/>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Franchising and compliance obligations</a:t>
          </a:r>
        </a:p>
      </dgm:t>
    </dgm:pt>
    <dgm:pt modelId="{544D5FB8-8DD8-455E-937F-06336502222B}" type="parTrans" cxnId="{0DDFB98F-6E6E-4723-8520-BA7CE76C7511}">
      <dgm:prSet/>
      <dgm:spPr/>
      <dgm:t>
        <a:bodyPr/>
        <a:lstStyle/>
        <a:p>
          <a:endParaRPr lang="en-GB"/>
        </a:p>
      </dgm:t>
    </dgm:pt>
    <dgm:pt modelId="{34AEF675-3C1C-4F68-934C-51F2DF33AEAE}" type="sibTrans" cxnId="{0DDFB98F-6E6E-4723-8520-BA7CE76C7511}">
      <dgm:prSet/>
      <dgm:spPr/>
      <dgm:t>
        <a:bodyPr/>
        <a:lstStyle/>
        <a:p>
          <a:endParaRPr lang="en-GB"/>
        </a:p>
      </dgm:t>
    </dgm:pt>
    <dgm:pt modelId="{80EAA6D9-8E12-46F3-B803-17049A5F569A}" type="pres">
      <dgm:prSet presAssocID="{E0233ACF-720B-4004-A6D6-E8E925A2D05F}" presName="Name0" presStyleCnt="0">
        <dgm:presLayoutVars>
          <dgm:dir/>
          <dgm:animLvl val="lvl"/>
          <dgm:resizeHandles val="exact"/>
        </dgm:presLayoutVars>
      </dgm:prSet>
      <dgm:spPr/>
    </dgm:pt>
    <dgm:pt modelId="{99102987-5819-4060-9F87-8FA648A387FB}" type="pres">
      <dgm:prSet presAssocID="{5659929E-F055-46CA-93F8-DC16C3584329}" presName="linNode" presStyleCnt="0"/>
      <dgm:spPr/>
    </dgm:pt>
    <dgm:pt modelId="{12901ABD-A9AC-44A7-B92B-A37ACEBFF574}" type="pres">
      <dgm:prSet presAssocID="{5659929E-F055-46CA-93F8-DC16C3584329}" presName="parentText" presStyleLbl="node1" presStyleIdx="0" presStyleCnt="6" custScaleX="50327">
        <dgm:presLayoutVars>
          <dgm:chMax val="1"/>
          <dgm:bulletEnabled val="1"/>
        </dgm:presLayoutVars>
      </dgm:prSet>
      <dgm:spPr/>
    </dgm:pt>
    <dgm:pt modelId="{12525607-DA91-4326-9B66-918BDDB3BFC3}" type="pres">
      <dgm:prSet presAssocID="{5659929E-F055-46CA-93F8-DC16C3584329}" presName="descendantText" presStyleLbl="alignAccFollowNode1" presStyleIdx="0" presStyleCnt="6">
        <dgm:presLayoutVars>
          <dgm:bulletEnabled val="1"/>
        </dgm:presLayoutVars>
      </dgm:prSet>
      <dgm:spPr/>
    </dgm:pt>
    <dgm:pt modelId="{DB9F4E66-B780-40A0-88C3-E0C9E7EDAEE3}" type="pres">
      <dgm:prSet presAssocID="{05349828-D04A-4C9B-9D23-402B57E85143}" presName="sp" presStyleCnt="0"/>
      <dgm:spPr/>
    </dgm:pt>
    <dgm:pt modelId="{239B100A-BAB2-4E3A-8DF2-A8F1092785C8}" type="pres">
      <dgm:prSet presAssocID="{46493F15-121E-421B-B4EF-1FA7BA1733E4}" presName="linNode" presStyleCnt="0"/>
      <dgm:spPr/>
    </dgm:pt>
    <dgm:pt modelId="{E07C132A-C6C9-4B09-AEAD-A87C9B391C2D}" type="pres">
      <dgm:prSet presAssocID="{46493F15-121E-421B-B4EF-1FA7BA1733E4}" presName="parentText" presStyleLbl="node1" presStyleIdx="1" presStyleCnt="6" custScaleX="50327">
        <dgm:presLayoutVars>
          <dgm:chMax val="1"/>
          <dgm:bulletEnabled val="1"/>
        </dgm:presLayoutVars>
      </dgm:prSet>
      <dgm:spPr/>
    </dgm:pt>
    <dgm:pt modelId="{770D037E-83A0-4A1C-8DC0-F041BFA28DE4}" type="pres">
      <dgm:prSet presAssocID="{46493F15-121E-421B-B4EF-1FA7BA1733E4}" presName="descendantText" presStyleLbl="alignAccFollowNode1" presStyleIdx="1" presStyleCnt="6">
        <dgm:presLayoutVars>
          <dgm:bulletEnabled val="1"/>
        </dgm:presLayoutVars>
      </dgm:prSet>
      <dgm:spPr/>
    </dgm:pt>
    <dgm:pt modelId="{015EDAA9-9DB3-40F3-A82D-9BE7CA799C38}" type="pres">
      <dgm:prSet presAssocID="{9A133002-9BF8-4836-8209-2A3C29E67DF8}" presName="sp" presStyleCnt="0"/>
      <dgm:spPr/>
    </dgm:pt>
    <dgm:pt modelId="{9B771686-E6BA-4CA0-890A-1E1B03742E35}" type="pres">
      <dgm:prSet presAssocID="{772D66E4-D7D3-49F4-8DAE-3F97C5261771}" presName="linNode" presStyleCnt="0"/>
      <dgm:spPr/>
    </dgm:pt>
    <dgm:pt modelId="{4555AEB6-BAC1-48EF-A3E9-A692C5F22559}" type="pres">
      <dgm:prSet presAssocID="{772D66E4-D7D3-49F4-8DAE-3F97C5261771}" presName="parentText" presStyleLbl="node1" presStyleIdx="2" presStyleCnt="6" custScaleX="50327">
        <dgm:presLayoutVars>
          <dgm:chMax val="1"/>
          <dgm:bulletEnabled val="1"/>
        </dgm:presLayoutVars>
      </dgm:prSet>
      <dgm:spPr/>
    </dgm:pt>
    <dgm:pt modelId="{7D4A73B4-CA17-4049-AFFE-CAA4D924B445}" type="pres">
      <dgm:prSet presAssocID="{772D66E4-D7D3-49F4-8DAE-3F97C5261771}" presName="descendantText" presStyleLbl="alignAccFollowNode1" presStyleIdx="2" presStyleCnt="6">
        <dgm:presLayoutVars>
          <dgm:bulletEnabled val="1"/>
        </dgm:presLayoutVars>
      </dgm:prSet>
      <dgm:spPr/>
    </dgm:pt>
    <dgm:pt modelId="{4DAA2258-7CEE-4AE7-ACC7-EBBA4FF63590}" type="pres">
      <dgm:prSet presAssocID="{C0E73B6B-C212-4244-BD98-AFDD93A2C330}" presName="sp" presStyleCnt="0"/>
      <dgm:spPr/>
    </dgm:pt>
    <dgm:pt modelId="{5CB5C2DF-30D7-475B-842D-692D17DECD76}" type="pres">
      <dgm:prSet presAssocID="{36842360-09FF-42A2-954E-45B8F881B5B4}" presName="linNode" presStyleCnt="0"/>
      <dgm:spPr/>
    </dgm:pt>
    <dgm:pt modelId="{05F25FC0-939D-429E-8878-40A19A44DD6E}" type="pres">
      <dgm:prSet presAssocID="{36842360-09FF-42A2-954E-45B8F881B5B4}" presName="parentText" presStyleLbl="node1" presStyleIdx="3" presStyleCnt="6" custScaleX="50327">
        <dgm:presLayoutVars>
          <dgm:chMax val="1"/>
          <dgm:bulletEnabled val="1"/>
        </dgm:presLayoutVars>
      </dgm:prSet>
      <dgm:spPr/>
    </dgm:pt>
    <dgm:pt modelId="{6ABAF0CA-79CB-4EEC-8678-5768B6EFA905}" type="pres">
      <dgm:prSet presAssocID="{36842360-09FF-42A2-954E-45B8F881B5B4}" presName="descendantText" presStyleLbl="alignAccFollowNode1" presStyleIdx="3" presStyleCnt="6">
        <dgm:presLayoutVars>
          <dgm:bulletEnabled val="1"/>
        </dgm:presLayoutVars>
      </dgm:prSet>
      <dgm:spPr/>
    </dgm:pt>
    <dgm:pt modelId="{866F19E6-5F54-41B9-B061-3C7F82E59F6A}" type="pres">
      <dgm:prSet presAssocID="{C9FE182C-724A-4808-AE65-787D3B716D6A}" presName="sp" presStyleCnt="0"/>
      <dgm:spPr/>
    </dgm:pt>
    <dgm:pt modelId="{4F4C0659-57DE-4CE9-A51E-534911804FBB}" type="pres">
      <dgm:prSet presAssocID="{9639883F-1D37-4C87-8FF4-458CDDA19843}" presName="linNode" presStyleCnt="0"/>
      <dgm:spPr/>
    </dgm:pt>
    <dgm:pt modelId="{446CA3D7-D25F-4E41-B434-2F4033AF0DB2}" type="pres">
      <dgm:prSet presAssocID="{9639883F-1D37-4C87-8FF4-458CDDA19843}" presName="parentText" presStyleLbl="node1" presStyleIdx="4" presStyleCnt="6" custScaleX="50327">
        <dgm:presLayoutVars>
          <dgm:chMax val="1"/>
          <dgm:bulletEnabled val="1"/>
        </dgm:presLayoutVars>
      </dgm:prSet>
      <dgm:spPr/>
    </dgm:pt>
    <dgm:pt modelId="{5401EC7B-7CBA-48C6-9D29-3C44D47B678B}" type="pres">
      <dgm:prSet presAssocID="{9639883F-1D37-4C87-8FF4-458CDDA19843}" presName="descendantText" presStyleLbl="alignAccFollowNode1" presStyleIdx="4" presStyleCnt="6">
        <dgm:presLayoutVars>
          <dgm:bulletEnabled val="1"/>
        </dgm:presLayoutVars>
      </dgm:prSet>
      <dgm:spPr/>
    </dgm:pt>
    <dgm:pt modelId="{AF49720D-E5D0-408C-BEFD-0245873AFDA7}" type="pres">
      <dgm:prSet presAssocID="{32CA217A-F511-4204-9CE6-8F0A0F202BA8}" presName="sp" presStyleCnt="0"/>
      <dgm:spPr/>
    </dgm:pt>
    <dgm:pt modelId="{0ACF029A-103A-42D6-A6A3-AB9795921905}" type="pres">
      <dgm:prSet presAssocID="{CE1E8C55-77C1-4E9A-8D4E-253C6C75DED8}" presName="linNode" presStyleCnt="0"/>
      <dgm:spPr/>
    </dgm:pt>
    <dgm:pt modelId="{D0BF9E9E-8E94-4A1C-BCFD-2F9CE2D011A4}" type="pres">
      <dgm:prSet presAssocID="{CE1E8C55-77C1-4E9A-8D4E-253C6C75DED8}" presName="parentText" presStyleLbl="node1" presStyleIdx="5" presStyleCnt="6" custScaleX="50327">
        <dgm:presLayoutVars>
          <dgm:chMax val="1"/>
          <dgm:bulletEnabled val="1"/>
        </dgm:presLayoutVars>
      </dgm:prSet>
      <dgm:spPr/>
    </dgm:pt>
    <dgm:pt modelId="{CBCFFDE8-9485-4F17-83F5-55B3AF118E77}" type="pres">
      <dgm:prSet presAssocID="{CE1E8C55-77C1-4E9A-8D4E-253C6C75DED8}" presName="descendantText" presStyleLbl="alignAccFollowNode1" presStyleIdx="5" presStyleCnt="6">
        <dgm:presLayoutVars>
          <dgm:bulletEnabled val="1"/>
        </dgm:presLayoutVars>
      </dgm:prSet>
      <dgm:spPr/>
    </dgm:pt>
  </dgm:ptLst>
  <dgm:cxnLst>
    <dgm:cxn modelId="{A8C17114-E537-4BED-B012-3E177CFBC8BC}" type="presOf" srcId="{185DA791-F0D9-49E6-A826-12E0279CD62B}" destId="{7D4A73B4-CA17-4049-AFFE-CAA4D924B445}" srcOrd="0" destOrd="1" presId="urn:microsoft.com/office/officeart/2005/8/layout/vList5"/>
    <dgm:cxn modelId="{315EDF17-0CC8-4676-849A-35A868BDD3B7}" type="presOf" srcId="{772D66E4-D7D3-49F4-8DAE-3F97C5261771}" destId="{4555AEB6-BAC1-48EF-A3E9-A692C5F22559}" srcOrd="0" destOrd="0" presId="urn:microsoft.com/office/officeart/2005/8/layout/vList5"/>
    <dgm:cxn modelId="{0A63E324-1B8F-43F2-A313-CB01BB837198}" srcId="{46493F15-121E-421B-B4EF-1FA7BA1733E4}" destId="{369A5C4B-E152-4856-B561-67068439EECF}" srcOrd="1" destOrd="0" parTransId="{7A71B47F-0142-478F-A82A-2DF167A38C98}" sibTransId="{8A918465-4956-475C-A1D2-072314A95FFD}"/>
    <dgm:cxn modelId="{0ADE9D2D-3CD1-42D5-A2B2-34978D7E59D6}" type="presOf" srcId="{9639883F-1D37-4C87-8FF4-458CDDA19843}" destId="{446CA3D7-D25F-4E41-B434-2F4033AF0DB2}" srcOrd="0" destOrd="0" presId="urn:microsoft.com/office/officeart/2005/8/layout/vList5"/>
    <dgm:cxn modelId="{A53A0F31-681A-4800-8F39-F8CC849FCC61}" srcId="{46493F15-121E-421B-B4EF-1FA7BA1733E4}" destId="{B2CDD9E7-74BF-4070-92D8-7911CE00C674}" srcOrd="2" destOrd="0" parTransId="{400CA8A9-D346-4416-83A5-5D06C69FA461}" sibTransId="{4D0DE861-03B5-4750-ABF2-448E0DC3CA89}"/>
    <dgm:cxn modelId="{0C2C3735-2744-4951-A025-3C433AFF0F5B}" srcId="{36842360-09FF-42A2-954E-45B8F881B5B4}" destId="{2A408500-17DF-4FC4-98FA-F9DB4E6B1D1B}" srcOrd="1" destOrd="0" parTransId="{3F6F901B-0B5C-4678-925C-EF966847BD2C}" sibTransId="{9C3BB42E-8B2E-4F15-B10D-C7828625D96C}"/>
    <dgm:cxn modelId="{6E31C13C-FC8D-403B-A155-A6EC84B3AA22}" srcId="{E0233ACF-720B-4004-A6D6-E8E925A2D05F}" destId="{5659929E-F055-46CA-93F8-DC16C3584329}" srcOrd="0" destOrd="0" parTransId="{EE18D28C-8FEF-4EF8-BCD8-B051B8FD18CE}" sibTransId="{05349828-D04A-4C9B-9D23-402B57E85143}"/>
    <dgm:cxn modelId="{06E25A41-74A3-4F15-832C-84526BA6AFA8}" type="presOf" srcId="{36842360-09FF-42A2-954E-45B8F881B5B4}" destId="{05F25FC0-939D-429E-8878-40A19A44DD6E}" srcOrd="0" destOrd="0" presId="urn:microsoft.com/office/officeart/2005/8/layout/vList5"/>
    <dgm:cxn modelId="{6E421B48-B43C-4B0B-874E-5148F1B48613}" type="presOf" srcId="{E0233ACF-720B-4004-A6D6-E8E925A2D05F}" destId="{80EAA6D9-8E12-46F3-B803-17049A5F569A}" srcOrd="0" destOrd="0" presId="urn:microsoft.com/office/officeart/2005/8/layout/vList5"/>
    <dgm:cxn modelId="{F809C35A-14EB-4C81-888A-48BCD5D60D89}" srcId="{9639883F-1D37-4C87-8FF4-458CDDA19843}" destId="{86071E63-6FFF-4B1C-9978-B2B5EDDCBC0F}" srcOrd="1" destOrd="0" parTransId="{3DB0F3F2-EFEE-4C19-B0FC-0AB9643DBCF3}" sibTransId="{E2ACF92B-3CD2-4357-B367-9DEC8D7C1C4E}"/>
    <dgm:cxn modelId="{05C2CA5F-6EA5-4283-9AF2-4220B72140B0}" srcId="{772D66E4-D7D3-49F4-8DAE-3F97C5261771}" destId="{185DA791-F0D9-49E6-A826-12E0279CD62B}" srcOrd="1" destOrd="0" parTransId="{4B98BB46-3AD8-46D9-BB68-F6731B922543}" sibTransId="{686887B8-AD46-4C17-9F46-916E464A56D2}"/>
    <dgm:cxn modelId="{F3FE2569-C025-41E9-B6FE-8BCEF55A22DB}" srcId="{46493F15-121E-421B-B4EF-1FA7BA1733E4}" destId="{A6651EBA-F31C-4B59-BFDC-57E9D3EEAA53}" srcOrd="0" destOrd="0" parTransId="{93387DB7-87F7-46C3-B7D7-A1FF1CC93AE9}" sibTransId="{50FEA71E-F2ED-4469-BCAE-91267B6BE37D}"/>
    <dgm:cxn modelId="{91AB946D-4EBD-426C-AD59-7AA6AB151F46}" type="presOf" srcId="{A6651EBA-F31C-4B59-BFDC-57E9D3EEAA53}" destId="{770D037E-83A0-4A1C-8DC0-F041BFA28DE4}" srcOrd="0" destOrd="0" presId="urn:microsoft.com/office/officeart/2005/8/layout/vList5"/>
    <dgm:cxn modelId="{99656E72-453E-48DB-9E7F-C5C4B98385A7}" srcId="{5659929E-F055-46CA-93F8-DC16C3584329}" destId="{18955421-4C6C-4668-8012-090CCCE0EAA6}" srcOrd="0" destOrd="0" parTransId="{90C9B6C9-A36F-4B7B-BB38-BCC760F049A5}" sibTransId="{F8E6C8AA-EE49-4574-9380-DEB3508AA2C9}"/>
    <dgm:cxn modelId="{7CC25F7B-8261-40DF-A99B-605CCA2240A9}" srcId="{E0233ACF-720B-4004-A6D6-E8E925A2D05F}" destId="{36842360-09FF-42A2-954E-45B8F881B5B4}" srcOrd="3" destOrd="0" parTransId="{479EF9EA-3976-4AA2-87FA-01978D7E9E3B}" sibTransId="{C9FE182C-724A-4808-AE65-787D3B716D6A}"/>
    <dgm:cxn modelId="{5580FA81-7E3C-4777-B920-9718DD346040}" type="presOf" srcId="{2A408500-17DF-4FC4-98FA-F9DB4E6B1D1B}" destId="{6ABAF0CA-79CB-4EEC-8678-5768B6EFA905}" srcOrd="0" destOrd="1" presId="urn:microsoft.com/office/officeart/2005/8/layout/vList5"/>
    <dgm:cxn modelId="{D4B5AA83-A46D-456C-96CE-33CD7271ABBA}" type="presOf" srcId="{58FB95EF-AEC7-4B0B-BADD-F104123726E2}" destId="{7D4A73B4-CA17-4049-AFFE-CAA4D924B445}" srcOrd="0" destOrd="0" presId="urn:microsoft.com/office/officeart/2005/8/layout/vList5"/>
    <dgm:cxn modelId="{449DC884-723A-4DD2-8857-8840A22011E8}" type="presOf" srcId="{5659929E-F055-46CA-93F8-DC16C3584329}" destId="{12901ABD-A9AC-44A7-B92B-A37ACEBFF574}" srcOrd="0" destOrd="0" presId="urn:microsoft.com/office/officeart/2005/8/layout/vList5"/>
    <dgm:cxn modelId="{0CB4CA86-099A-494D-9208-D0ADB3BA761B}" type="presOf" srcId="{56FC92DA-C718-4948-A17C-2E4FB43CF405}" destId="{6ABAF0CA-79CB-4EEC-8678-5768B6EFA905}" srcOrd="0" destOrd="0" presId="urn:microsoft.com/office/officeart/2005/8/layout/vList5"/>
    <dgm:cxn modelId="{0DDFB98F-6E6E-4723-8520-BA7CE76C7511}" srcId="{CE1E8C55-77C1-4E9A-8D4E-253C6C75DED8}" destId="{5F31EC15-9761-49DD-B5F3-31BC91E19055}" srcOrd="1" destOrd="0" parTransId="{544D5FB8-8DD8-455E-937F-06336502222B}" sibTransId="{34AEF675-3C1C-4F68-934C-51F2DF33AEAE}"/>
    <dgm:cxn modelId="{BE9D5C99-E635-4C8F-B764-507E9F095B3C}" type="presOf" srcId="{4329EACF-0225-4EA4-A31F-94561F754265}" destId="{5401EC7B-7CBA-48C6-9D29-3C44D47B678B}" srcOrd="0" destOrd="0" presId="urn:microsoft.com/office/officeart/2005/8/layout/vList5"/>
    <dgm:cxn modelId="{05718EA2-9355-4BB6-A55D-10DE1B66BA20}" srcId="{E0233ACF-720B-4004-A6D6-E8E925A2D05F}" destId="{9639883F-1D37-4C87-8FF4-458CDDA19843}" srcOrd="4" destOrd="0" parTransId="{D59DD289-A3CB-4B24-ACE5-7CD562E96E32}" sibTransId="{32CA217A-F511-4204-9CE6-8F0A0F202BA8}"/>
    <dgm:cxn modelId="{67265EAA-1BC1-46DF-B540-5B2293678956}" srcId="{CE1E8C55-77C1-4E9A-8D4E-253C6C75DED8}" destId="{79D45AE0-47A7-4694-86DE-55079D95B721}" srcOrd="0" destOrd="0" parTransId="{1190679F-B912-4CA7-BA6A-FE3EBD4F5F42}" sibTransId="{F088CA63-8BB6-4452-AEDB-551992803A97}"/>
    <dgm:cxn modelId="{5F700BB0-115C-4322-9EEF-61D762FBD820}" type="presOf" srcId="{A98EE1D3-C4CE-4F93-B031-21478F058A1C}" destId="{12525607-DA91-4326-9B66-918BDDB3BFC3}" srcOrd="0" destOrd="1" presId="urn:microsoft.com/office/officeart/2005/8/layout/vList5"/>
    <dgm:cxn modelId="{E075F5B0-D98F-419A-8A5A-FB220F41D0CA}" type="presOf" srcId="{CE1E8C55-77C1-4E9A-8D4E-253C6C75DED8}" destId="{D0BF9E9E-8E94-4A1C-BCFD-2F9CE2D011A4}" srcOrd="0" destOrd="0" presId="urn:microsoft.com/office/officeart/2005/8/layout/vList5"/>
    <dgm:cxn modelId="{F99CB2B3-CAEF-40F7-9871-6A0C004988B6}" type="presOf" srcId="{18955421-4C6C-4668-8012-090CCCE0EAA6}" destId="{12525607-DA91-4326-9B66-918BDDB3BFC3}" srcOrd="0" destOrd="0" presId="urn:microsoft.com/office/officeart/2005/8/layout/vList5"/>
    <dgm:cxn modelId="{952B0AB5-6D65-4532-9D95-48613563996A}" type="presOf" srcId="{B2CDD9E7-74BF-4070-92D8-7911CE00C674}" destId="{770D037E-83A0-4A1C-8DC0-F041BFA28DE4}" srcOrd="0" destOrd="2" presId="urn:microsoft.com/office/officeart/2005/8/layout/vList5"/>
    <dgm:cxn modelId="{B5DD22B5-1E8E-4150-B33C-B29762FA4FEC}" type="presOf" srcId="{5F31EC15-9761-49DD-B5F3-31BC91E19055}" destId="{CBCFFDE8-9485-4F17-83F5-55B3AF118E77}" srcOrd="0" destOrd="1" presId="urn:microsoft.com/office/officeart/2005/8/layout/vList5"/>
    <dgm:cxn modelId="{C29CB7B5-DB6E-40D1-BCA4-B53BC80FA1A3}" srcId="{9639883F-1D37-4C87-8FF4-458CDDA19843}" destId="{4329EACF-0225-4EA4-A31F-94561F754265}" srcOrd="0" destOrd="0" parTransId="{B11C7539-9D61-40BB-8EE6-06805997B666}" sibTransId="{67452DF9-963D-4A70-A8C0-AC9C1009F023}"/>
    <dgm:cxn modelId="{FA2DACB7-B59D-4E9E-AC1F-32BD7489E25B}" type="presOf" srcId="{46493F15-121E-421B-B4EF-1FA7BA1733E4}" destId="{E07C132A-C6C9-4B09-AEAD-A87C9B391C2D}" srcOrd="0" destOrd="0" presId="urn:microsoft.com/office/officeart/2005/8/layout/vList5"/>
    <dgm:cxn modelId="{7BE208C5-637E-4236-804E-1041F4995DD3}" srcId="{5659929E-F055-46CA-93F8-DC16C3584329}" destId="{A98EE1D3-C4CE-4F93-B031-21478F058A1C}" srcOrd="1" destOrd="0" parTransId="{23BBDDD6-70CD-464B-A737-65DA7723BEFC}" sibTransId="{C9513544-A793-4027-93BB-134F30729FFF}"/>
    <dgm:cxn modelId="{19F22CC7-AA16-40E0-94F9-45497845B00B}" type="presOf" srcId="{86071E63-6FFF-4B1C-9978-B2B5EDDCBC0F}" destId="{5401EC7B-7CBA-48C6-9D29-3C44D47B678B}" srcOrd="0" destOrd="1" presId="urn:microsoft.com/office/officeart/2005/8/layout/vList5"/>
    <dgm:cxn modelId="{736EA1C7-2814-45F5-9017-CB6BD2E9576D}" srcId="{E0233ACF-720B-4004-A6D6-E8E925A2D05F}" destId="{CE1E8C55-77C1-4E9A-8D4E-253C6C75DED8}" srcOrd="5" destOrd="0" parTransId="{AD853770-40D7-480E-85DD-3CF6A87B6AAF}" sibTransId="{7B973AD8-5AED-4E6F-A9BF-64BEE9DA88F6}"/>
    <dgm:cxn modelId="{524D21C9-6482-464F-ACDF-1598A7210DC8}" srcId="{E0233ACF-720B-4004-A6D6-E8E925A2D05F}" destId="{772D66E4-D7D3-49F4-8DAE-3F97C5261771}" srcOrd="2" destOrd="0" parTransId="{C8636DF2-49F5-458F-87A6-EE0C654C77E2}" sibTransId="{C0E73B6B-C212-4244-BD98-AFDD93A2C330}"/>
    <dgm:cxn modelId="{7B762EE3-12B8-4457-A295-E616104D9D65}" srcId="{E0233ACF-720B-4004-A6D6-E8E925A2D05F}" destId="{46493F15-121E-421B-B4EF-1FA7BA1733E4}" srcOrd="1" destOrd="0" parTransId="{3700D6CC-7235-4D70-A2EF-81AFDEB24FA0}" sibTransId="{9A133002-9BF8-4836-8209-2A3C29E67DF8}"/>
    <dgm:cxn modelId="{4E03FAF0-1CC2-4C31-8A6B-5DB5D213613B}" type="presOf" srcId="{79D45AE0-47A7-4694-86DE-55079D95B721}" destId="{CBCFFDE8-9485-4F17-83F5-55B3AF118E77}" srcOrd="0" destOrd="0" presId="urn:microsoft.com/office/officeart/2005/8/layout/vList5"/>
    <dgm:cxn modelId="{E0D195F7-CE6A-4E54-80DF-6B798DE369FA}" srcId="{772D66E4-D7D3-49F4-8DAE-3F97C5261771}" destId="{58FB95EF-AEC7-4B0B-BADD-F104123726E2}" srcOrd="0" destOrd="0" parTransId="{60C6C8CD-80DB-4D0F-BE22-55E41AF2F0DD}" sibTransId="{E6A1C3B3-7642-486E-BE90-A71742FC74D4}"/>
    <dgm:cxn modelId="{857AAFF9-77AC-4FD7-B27D-E8CD8CA35F96}" srcId="{36842360-09FF-42A2-954E-45B8F881B5B4}" destId="{56FC92DA-C718-4948-A17C-2E4FB43CF405}" srcOrd="0" destOrd="0" parTransId="{2BE3CF3F-E044-4A85-AF28-9173CFEB075B}" sibTransId="{1B807A30-23FF-4461-8FBC-7ECF2C179168}"/>
    <dgm:cxn modelId="{B53CC5FE-057E-4646-8C15-B4EFED82DF1A}" type="presOf" srcId="{369A5C4B-E152-4856-B561-67068439EECF}" destId="{770D037E-83A0-4A1C-8DC0-F041BFA28DE4}" srcOrd="0" destOrd="1" presId="urn:microsoft.com/office/officeart/2005/8/layout/vList5"/>
    <dgm:cxn modelId="{1CFB2E23-C37A-4466-9632-936F510E6EAA}" type="presParOf" srcId="{80EAA6D9-8E12-46F3-B803-17049A5F569A}" destId="{99102987-5819-4060-9F87-8FA648A387FB}" srcOrd="0" destOrd="0" presId="urn:microsoft.com/office/officeart/2005/8/layout/vList5"/>
    <dgm:cxn modelId="{7BE4E527-3938-4289-95DB-CB93D7E3D73F}" type="presParOf" srcId="{99102987-5819-4060-9F87-8FA648A387FB}" destId="{12901ABD-A9AC-44A7-B92B-A37ACEBFF574}" srcOrd="0" destOrd="0" presId="urn:microsoft.com/office/officeart/2005/8/layout/vList5"/>
    <dgm:cxn modelId="{8D141607-9318-4E85-B70D-9D3E2DCC76EA}" type="presParOf" srcId="{99102987-5819-4060-9F87-8FA648A387FB}" destId="{12525607-DA91-4326-9B66-918BDDB3BFC3}" srcOrd="1" destOrd="0" presId="urn:microsoft.com/office/officeart/2005/8/layout/vList5"/>
    <dgm:cxn modelId="{E0B9B447-51BE-426C-AB89-27476A8B771C}" type="presParOf" srcId="{80EAA6D9-8E12-46F3-B803-17049A5F569A}" destId="{DB9F4E66-B780-40A0-88C3-E0C9E7EDAEE3}" srcOrd="1" destOrd="0" presId="urn:microsoft.com/office/officeart/2005/8/layout/vList5"/>
    <dgm:cxn modelId="{461D3EBD-F5DF-4433-8F25-C49E450C0164}" type="presParOf" srcId="{80EAA6D9-8E12-46F3-B803-17049A5F569A}" destId="{239B100A-BAB2-4E3A-8DF2-A8F1092785C8}" srcOrd="2" destOrd="0" presId="urn:microsoft.com/office/officeart/2005/8/layout/vList5"/>
    <dgm:cxn modelId="{C20011E2-D7C3-45E1-B7A7-EB0B4DB90461}" type="presParOf" srcId="{239B100A-BAB2-4E3A-8DF2-A8F1092785C8}" destId="{E07C132A-C6C9-4B09-AEAD-A87C9B391C2D}" srcOrd="0" destOrd="0" presId="urn:microsoft.com/office/officeart/2005/8/layout/vList5"/>
    <dgm:cxn modelId="{25A40759-FFC5-4D7B-95EE-498318900990}" type="presParOf" srcId="{239B100A-BAB2-4E3A-8DF2-A8F1092785C8}" destId="{770D037E-83A0-4A1C-8DC0-F041BFA28DE4}" srcOrd="1" destOrd="0" presId="urn:microsoft.com/office/officeart/2005/8/layout/vList5"/>
    <dgm:cxn modelId="{7F852BFE-8C4C-42A7-AE72-6E899E9F254C}" type="presParOf" srcId="{80EAA6D9-8E12-46F3-B803-17049A5F569A}" destId="{015EDAA9-9DB3-40F3-A82D-9BE7CA799C38}" srcOrd="3" destOrd="0" presId="urn:microsoft.com/office/officeart/2005/8/layout/vList5"/>
    <dgm:cxn modelId="{57485625-85E5-4231-BE00-F53F3A8CC8AE}" type="presParOf" srcId="{80EAA6D9-8E12-46F3-B803-17049A5F569A}" destId="{9B771686-E6BA-4CA0-890A-1E1B03742E35}" srcOrd="4" destOrd="0" presId="urn:microsoft.com/office/officeart/2005/8/layout/vList5"/>
    <dgm:cxn modelId="{6B79F4CC-7B26-4E82-BA94-21160D1B55CC}" type="presParOf" srcId="{9B771686-E6BA-4CA0-890A-1E1B03742E35}" destId="{4555AEB6-BAC1-48EF-A3E9-A692C5F22559}" srcOrd="0" destOrd="0" presId="urn:microsoft.com/office/officeart/2005/8/layout/vList5"/>
    <dgm:cxn modelId="{51E6AF95-7CB3-42DC-9027-BD5AD5CEDC01}" type="presParOf" srcId="{9B771686-E6BA-4CA0-890A-1E1B03742E35}" destId="{7D4A73B4-CA17-4049-AFFE-CAA4D924B445}" srcOrd="1" destOrd="0" presId="urn:microsoft.com/office/officeart/2005/8/layout/vList5"/>
    <dgm:cxn modelId="{9D1DCFBB-3CBB-4F58-85BA-665FAC99867B}" type="presParOf" srcId="{80EAA6D9-8E12-46F3-B803-17049A5F569A}" destId="{4DAA2258-7CEE-4AE7-ACC7-EBBA4FF63590}" srcOrd="5" destOrd="0" presId="urn:microsoft.com/office/officeart/2005/8/layout/vList5"/>
    <dgm:cxn modelId="{06EA10E0-E7D7-4CDA-AD71-F6D46DCFEC02}" type="presParOf" srcId="{80EAA6D9-8E12-46F3-B803-17049A5F569A}" destId="{5CB5C2DF-30D7-475B-842D-692D17DECD76}" srcOrd="6" destOrd="0" presId="urn:microsoft.com/office/officeart/2005/8/layout/vList5"/>
    <dgm:cxn modelId="{E99C4A13-48D0-4006-BD63-AA57A94B0125}" type="presParOf" srcId="{5CB5C2DF-30D7-475B-842D-692D17DECD76}" destId="{05F25FC0-939D-429E-8878-40A19A44DD6E}" srcOrd="0" destOrd="0" presId="urn:microsoft.com/office/officeart/2005/8/layout/vList5"/>
    <dgm:cxn modelId="{1D60356D-8BC1-47D1-A560-5C4EA596E860}" type="presParOf" srcId="{5CB5C2DF-30D7-475B-842D-692D17DECD76}" destId="{6ABAF0CA-79CB-4EEC-8678-5768B6EFA905}" srcOrd="1" destOrd="0" presId="urn:microsoft.com/office/officeart/2005/8/layout/vList5"/>
    <dgm:cxn modelId="{F6B7ED06-A595-4BED-9F13-5EB6B442A46C}" type="presParOf" srcId="{80EAA6D9-8E12-46F3-B803-17049A5F569A}" destId="{866F19E6-5F54-41B9-B061-3C7F82E59F6A}" srcOrd="7" destOrd="0" presId="urn:microsoft.com/office/officeart/2005/8/layout/vList5"/>
    <dgm:cxn modelId="{9E7144CF-7A0A-4AC7-B7B3-C075FBE407A4}" type="presParOf" srcId="{80EAA6D9-8E12-46F3-B803-17049A5F569A}" destId="{4F4C0659-57DE-4CE9-A51E-534911804FBB}" srcOrd="8" destOrd="0" presId="urn:microsoft.com/office/officeart/2005/8/layout/vList5"/>
    <dgm:cxn modelId="{D3208731-CDBD-40CF-B522-5A9E59936347}" type="presParOf" srcId="{4F4C0659-57DE-4CE9-A51E-534911804FBB}" destId="{446CA3D7-D25F-4E41-B434-2F4033AF0DB2}" srcOrd="0" destOrd="0" presId="urn:microsoft.com/office/officeart/2005/8/layout/vList5"/>
    <dgm:cxn modelId="{182BFA2E-9C2E-4C20-87A9-CB50B779CF90}" type="presParOf" srcId="{4F4C0659-57DE-4CE9-A51E-534911804FBB}" destId="{5401EC7B-7CBA-48C6-9D29-3C44D47B678B}" srcOrd="1" destOrd="0" presId="urn:microsoft.com/office/officeart/2005/8/layout/vList5"/>
    <dgm:cxn modelId="{B6D597C5-4F5C-4183-A6D8-8E16C8B76307}" type="presParOf" srcId="{80EAA6D9-8E12-46F3-B803-17049A5F569A}" destId="{AF49720D-E5D0-408C-BEFD-0245873AFDA7}" srcOrd="9" destOrd="0" presId="urn:microsoft.com/office/officeart/2005/8/layout/vList5"/>
    <dgm:cxn modelId="{6EC84CD3-C2D2-45BF-A32A-4696DA7F81F3}" type="presParOf" srcId="{80EAA6D9-8E12-46F3-B803-17049A5F569A}" destId="{0ACF029A-103A-42D6-A6A3-AB9795921905}" srcOrd="10" destOrd="0" presId="urn:microsoft.com/office/officeart/2005/8/layout/vList5"/>
    <dgm:cxn modelId="{BE50787F-E33A-47F4-A1CA-F812837B24C6}" type="presParOf" srcId="{0ACF029A-103A-42D6-A6A3-AB9795921905}" destId="{D0BF9E9E-8E94-4A1C-BCFD-2F9CE2D011A4}" srcOrd="0" destOrd="0" presId="urn:microsoft.com/office/officeart/2005/8/layout/vList5"/>
    <dgm:cxn modelId="{EA55DD23-E2D6-4EF3-9E14-22C451F6D0E0}" type="presParOf" srcId="{0ACF029A-103A-42D6-A6A3-AB9795921905}" destId="{CBCFFDE8-9485-4F17-83F5-55B3AF118E77}" srcOrd="1" destOrd="0" presId="urn:microsoft.com/office/officeart/2005/8/layout/vList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7446339-0F40-4B47-BFFE-A1FC025C107E}" type="doc">
      <dgm:prSet loTypeId="urn:microsoft.com/office/officeart/2005/8/layout/lProcess3" loCatId="process" qsTypeId="urn:microsoft.com/office/officeart/2005/8/quickstyle/simple1" qsCatId="simple" csTypeId="urn:microsoft.com/office/officeart/2005/8/colors/colorful4" csCatId="colorful"/>
      <dgm:spPr/>
      <dgm:t>
        <a:bodyPr/>
        <a:lstStyle/>
        <a:p>
          <a:endParaRPr lang="en-GB"/>
        </a:p>
      </dgm:t>
    </dgm:pt>
    <dgm:pt modelId="{FFD7D701-4E8A-42A8-A35B-9723B4103CD2}">
      <dgm:prSet/>
      <dgm:spPr>
        <a:xfrm>
          <a:off x="709118" y="2571"/>
          <a:ext cx="1874787" cy="749915"/>
        </a:xfrm>
        <a:prstGeom prst="chevron">
          <a:avLst/>
        </a:prstGeom>
        <a:solidFill>
          <a:srgbClr val="0F9E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Threat of New Entrants</a:t>
          </a:r>
          <a:endParaRPr lang="en-GB">
            <a:solidFill>
              <a:sysClr val="window" lastClr="FFFFFF"/>
            </a:solidFill>
            <a:latin typeface="Aptos" panose="02110004020202020204"/>
            <a:ea typeface="+mn-ea"/>
            <a:cs typeface="+mn-cs"/>
          </a:endParaRPr>
        </a:p>
      </dgm:t>
    </dgm:pt>
    <dgm:pt modelId="{8D477291-0FD2-4E9B-863B-7C9DDB53CE76}" type="parTrans" cxnId="{0136480F-6E44-48D2-8325-BA51000FC892}">
      <dgm:prSet/>
      <dgm:spPr/>
      <dgm:t>
        <a:bodyPr/>
        <a:lstStyle/>
        <a:p>
          <a:endParaRPr lang="en-GB"/>
        </a:p>
      </dgm:t>
    </dgm:pt>
    <dgm:pt modelId="{5572E1AF-662C-49D9-B011-62F34B6D9978}" type="sibTrans" cxnId="{0136480F-6E44-48D2-8325-BA51000FC892}">
      <dgm:prSet/>
      <dgm:spPr/>
      <dgm:t>
        <a:bodyPr/>
        <a:lstStyle/>
        <a:p>
          <a:endParaRPr lang="en-GB"/>
        </a:p>
      </dgm:t>
    </dgm:pt>
    <dgm:pt modelId="{D40011AD-B5C8-4654-9B12-2BA930841ACD}">
      <dgm:prSet/>
      <dgm:spPr>
        <a:xfrm>
          <a:off x="2340183" y="66314"/>
          <a:ext cx="1556073" cy="622429"/>
        </a:xfrm>
        <a:prstGeom prst="chevron">
          <a:avLst/>
        </a:prstGeom>
        <a:solidFill>
          <a:srgbClr val="0F9ED5">
            <a:tint val="40000"/>
            <a:alpha val="90000"/>
            <a:hueOff val="0"/>
            <a:satOff val="0"/>
            <a:lumOff val="0"/>
            <a:alphaOff val="0"/>
          </a:srgbClr>
        </a:solidFill>
        <a:ln w="12700" cap="flat" cmpd="sng" algn="ctr">
          <a:solidFill>
            <a:srgbClr val="0F9ED5">
              <a:tint val="40000"/>
              <a:alpha val="90000"/>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Easy entry for online-only retailers</a:t>
          </a:r>
        </a:p>
      </dgm:t>
    </dgm:pt>
    <dgm:pt modelId="{BF032F6A-3316-48C3-8438-4D381481D026}" type="parTrans" cxnId="{4DF57225-053E-4CFE-86FE-1FC3315382E0}">
      <dgm:prSet/>
      <dgm:spPr/>
      <dgm:t>
        <a:bodyPr/>
        <a:lstStyle/>
        <a:p>
          <a:endParaRPr lang="en-GB"/>
        </a:p>
      </dgm:t>
    </dgm:pt>
    <dgm:pt modelId="{76031D5C-8FCE-4E6F-8FD5-98593C10B8A5}" type="sibTrans" cxnId="{4DF57225-053E-4CFE-86FE-1FC3315382E0}">
      <dgm:prSet/>
      <dgm:spPr/>
      <dgm:t>
        <a:bodyPr/>
        <a:lstStyle/>
        <a:p>
          <a:endParaRPr lang="en-GB"/>
        </a:p>
      </dgm:t>
    </dgm:pt>
    <dgm:pt modelId="{75408D63-C3E8-403B-9E23-45BE1A2DE0D3}">
      <dgm:prSet/>
      <dgm:spPr>
        <a:xfrm>
          <a:off x="3678407" y="66314"/>
          <a:ext cx="1556073" cy="622429"/>
        </a:xfrm>
        <a:prstGeom prst="chevron">
          <a:avLst/>
        </a:prstGeom>
        <a:solidFill>
          <a:srgbClr val="0F9ED5">
            <a:tint val="40000"/>
            <a:alpha val="90000"/>
            <a:hueOff val="684393"/>
            <a:satOff val="-3408"/>
            <a:lumOff val="-323"/>
            <a:alphaOff val="0"/>
          </a:srgbClr>
        </a:solidFill>
        <a:ln w="12700" cap="flat" cmpd="sng" algn="ctr">
          <a:solidFill>
            <a:srgbClr val="0F9ED5">
              <a:tint val="40000"/>
              <a:alpha val="90000"/>
              <a:hueOff val="684393"/>
              <a:satOff val="-3408"/>
              <a:lumOff val="-323"/>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High cost for physical stores</a:t>
          </a:r>
        </a:p>
      </dgm:t>
    </dgm:pt>
    <dgm:pt modelId="{F2DCEF45-4476-4FF1-BB3E-BD109177D525}" type="parTrans" cxnId="{F7505D1E-F22B-4EF0-8EAD-802A9A0F7014}">
      <dgm:prSet/>
      <dgm:spPr/>
      <dgm:t>
        <a:bodyPr/>
        <a:lstStyle/>
        <a:p>
          <a:endParaRPr lang="en-GB"/>
        </a:p>
      </dgm:t>
    </dgm:pt>
    <dgm:pt modelId="{5542E0D1-8A4B-400D-923D-F132F7AE487E}" type="sibTrans" cxnId="{F7505D1E-F22B-4EF0-8EAD-802A9A0F7014}">
      <dgm:prSet/>
      <dgm:spPr/>
      <dgm:t>
        <a:bodyPr/>
        <a:lstStyle/>
        <a:p>
          <a:endParaRPr lang="en-GB"/>
        </a:p>
      </dgm:t>
    </dgm:pt>
    <dgm:pt modelId="{6C866258-B2C2-4D70-BD40-DA4CA7A5FF95}">
      <dgm:prSet/>
      <dgm:spPr>
        <a:xfrm>
          <a:off x="709118" y="857474"/>
          <a:ext cx="1874787" cy="749915"/>
        </a:xfrm>
        <a:prstGeom prst="chevron">
          <a:avLst/>
        </a:prstGeom>
        <a:solidFill>
          <a:srgbClr val="0F9ED5">
            <a:hueOff val="1649984"/>
            <a:satOff val="-7300"/>
            <a:lumOff val="-12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Threat of Substitutes</a:t>
          </a:r>
          <a:endParaRPr lang="en-GB">
            <a:solidFill>
              <a:sysClr val="window" lastClr="FFFFFF"/>
            </a:solidFill>
            <a:latin typeface="Aptos" panose="02110004020202020204"/>
            <a:ea typeface="+mn-ea"/>
            <a:cs typeface="+mn-cs"/>
          </a:endParaRPr>
        </a:p>
      </dgm:t>
    </dgm:pt>
    <dgm:pt modelId="{8CE918C8-9946-47F8-ABAB-C1A356898132}" type="parTrans" cxnId="{9D70BEAC-87AD-4283-A266-C6B40CE15BBA}">
      <dgm:prSet/>
      <dgm:spPr/>
      <dgm:t>
        <a:bodyPr/>
        <a:lstStyle/>
        <a:p>
          <a:endParaRPr lang="en-GB"/>
        </a:p>
      </dgm:t>
    </dgm:pt>
    <dgm:pt modelId="{11ED81F5-8BBE-40DF-9AD7-38CF04C4D59E}" type="sibTrans" cxnId="{9D70BEAC-87AD-4283-A266-C6B40CE15BBA}">
      <dgm:prSet/>
      <dgm:spPr/>
      <dgm:t>
        <a:bodyPr/>
        <a:lstStyle/>
        <a:p>
          <a:endParaRPr lang="en-GB"/>
        </a:p>
      </dgm:t>
    </dgm:pt>
    <dgm:pt modelId="{6155E209-8BF4-4873-8396-CF4EFF914B82}">
      <dgm:prSet/>
      <dgm:spPr>
        <a:xfrm>
          <a:off x="2340183" y="921217"/>
          <a:ext cx="1556073" cy="622429"/>
        </a:xfrm>
        <a:prstGeom prst="chevron">
          <a:avLst/>
        </a:prstGeom>
        <a:solidFill>
          <a:srgbClr val="0F9ED5">
            <a:tint val="40000"/>
            <a:alpha val="90000"/>
            <a:hueOff val="1368786"/>
            <a:satOff val="-6815"/>
            <a:lumOff val="-647"/>
            <a:alphaOff val="0"/>
          </a:srgbClr>
        </a:solidFill>
        <a:ln w="12700" cap="flat" cmpd="sng" algn="ctr">
          <a:solidFill>
            <a:srgbClr val="0F9ED5">
              <a:tint val="40000"/>
              <a:alpha val="90000"/>
              <a:hueOff val="1368786"/>
              <a:satOff val="-6815"/>
              <a:lumOff val="-647"/>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Second-hand furniture market</a:t>
          </a:r>
        </a:p>
      </dgm:t>
    </dgm:pt>
    <dgm:pt modelId="{E6302A49-2A0D-44EE-8615-4C7248A5CDC6}" type="parTrans" cxnId="{6C1C6219-C82C-4B5B-8169-3A1648EB3E2E}">
      <dgm:prSet/>
      <dgm:spPr/>
      <dgm:t>
        <a:bodyPr/>
        <a:lstStyle/>
        <a:p>
          <a:endParaRPr lang="en-GB"/>
        </a:p>
      </dgm:t>
    </dgm:pt>
    <dgm:pt modelId="{AAA7A0A4-A711-473E-B355-F0CED44708B3}" type="sibTrans" cxnId="{6C1C6219-C82C-4B5B-8169-3A1648EB3E2E}">
      <dgm:prSet/>
      <dgm:spPr/>
      <dgm:t>
        <a:bodyPr/>
        <a:lstStyle/>
        <a:p>
          <a:endParaRPr lang="en-GB"/>
        </a:p>
      </dgm:t>
    </dgm:pt>
    <dgm:pt modelId="{B89E551B-5CC0-4FB0-BDAC-5678C75506FF}">
      <dgm:prSet/>
      <dgm:spPr>
        <a:xfrm>
          <a:off x="3678407" y="921217"/>
          <a:ext cx="1556073" cy="622429"/>
        </a:xfrm>
        <a:prstGeom prst="chevron">
          <a:avLst/>
        </a:prstGeom>
        <a:solidFill>
          <a:srgbClr val="0F9ED5">
            <a:tint val="40000"/>
            <a:alpha val="90000"/>
            <a:hueOff val="2053179"/>
            <a:satOff val="-10223"/>
            <a:lumOff val="-970"/>
            <a:alphaOff val="0"/>
          </a:srgbClr>
        </a:solidFill>
        <a:ln w="12700" cap="flat" cmpd="sng" algn="ctr">
          <a:solidFill>
            <a:srgbClr val="0F9ED5">
              <a:tint val="40000"/>
              <a:alpha val="90000"/>
              <a:hueOff val="2053179"/>
              <a:satOff val="-10223"/>
              <a:lumOff val="-97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Competitor homeware ranges</a:t>
          </a:r>
        </a:p>
      </dgm:t>
    </dgm:pt>
    <dgm:pt modelId="{08C53465-C397-419C-836A-BF785D15A41E}" type="parTrans" cxnId="{559E3436-9CF2-445C-8B1A-5FB0ED5FF979}">
      <dgm:prSet/>
      <dgm:spPr/>
      <dgm:t>
        <a:bodyPr/>
        <a:lstStyle/>
        <a:p>
          <a:endParaRPr lang="en-GB"/>
        </a:p>
      </dgm:t>
    </dgm:pt>
    <dgm:pt modelId="{6E140D43-9321-485D-8962-82A3B9D46531}" type="sibTrans" cxnId="{559E3436-9CF2-445C-8B1A-5FB0ED5FF979}">
      <dgm:prSet/>
      <dgm:spPr/>
      <dgm:t>
        <a:bodyPr/>
        <a:lstStyle/>
        <a:p>
          <a:endParaRPr lang="en-GB"/>
        </a:p>
      </dgm:t>
    </dgm:pt>
    <dgm:pt modelId="{4B21A2D0-9B2B-4861-965D-DF9AB5C872BA}">
      <dgm:prSet/>
      <dgm:spPr>
        <a:xfrm>
          <a:off x="709118" y="1712377"/>
          <a:ext cx="1874787" cy="749915"/>
        </a:xfrm>
        <a:prstGeom prst="chevron">
          <a:avLst/>
        </a:prstGeom>
        <a:solidFill>
          <a:srgbClr val="0F9ED5">
            <a:hueOff val="3299968"/>
            <a:satOff val="-14601"/>
            <a:lumOff val="-245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Buyer Power</a:t>
          </a:r>
          <a:endParaRPr lang="en-GB">
            <a:solidFill>
              <a:sysClr val="window" lastClr="FFFFFF"/>
            </a:solidFill>
            <a:latin typeface="Aptos" panose="02110004020202020204"/>
            <a:ea typeface="+mn-ea"/>
            <a:cs typeface="+mn-cs"/>
          </a:endParaRPr>
        </a:p>
      </dgm:t>
    </dgm:pt>
    <dgm:pt modelId="{3283A4CF-81E1-4782-B6D4-611A9113B7B0}" type="parTrans" cxnId="{54A5BE2E-1457-47F8-B708-1BFDB1D4BB3A}">
      <dgm:prSet/>
      <dgm:spPr/>
      <dgm:t>
        <a:bodyPr/>
        <a:lstStyle/>
        <a:p>
          <a:endParaRPr lang="en-GB"/>
        </a:p>
      </dgm:t>
    </dgm:pt>
    <dgm:pt modelId="{365F21B3-A515-4259-935F-82F75E156CF2}" type="sibTrans" cxnId="{54A5BE2E-1457-47F8-B708-1BFDB1D4BB3A}">
      <dgm:prSet/>
      <dgm:spPr/>
      <dgm:t>
        <a:bodyPr/>
        <a:lstStyle/>
        <a:p>
          <a:endParaRPr lang="en-GB"/>
        </a:p>
      </dgm:t>
    </dgm:pt>
    <dgm:pt modelId="{A0271494-E0C6-43F9-B459-1FF88BB9977E}">
      <dgm:prSet/>
      <dgm:spPr>
        <a:xfrm>
          <a:off x="2340183" y="1776120"/>
          <a:ext cx="1556073" cy="622429"/>
        </a:xfrm>
        <a:prstGeom prst="chevron">
          <a:avLst/>
        </a:prstGeom>
        <a:solidFill>
          <a:srgbClr val="0F9ED5">
            <a:tint val="40000"/>
            <a:alpha val="90000"/>
            <a:hueOff val="2737571"/>
            <a:satOff val="-13631"/>
            <a:lumOff val="-1293"/>
            <a:alphaOff val="0"/>
          </a:srgbClr>
        </a:solidFill>
        <a:ln w="12700" cap="flat" cmpd="sng" algn="ctr">
          <a:solidFill>
            <a:srgbClr val="0F9ED5">
              <a:tint val="40000"/>
              <a:alpha val="90000"/>
              <a:hueOff val="2737571"/>
              <a:satOff val="-13631"/>
              <a:lumOff val="-1293"/>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High price sensitivity</a:t>
          </a:r>
        </a:p>
      </dgm:t>
    </dgm:pt>
    <dgm:pt modelId="{534309ED-C8B3-4674-AB43-ED863745CE6E}" type="parTrans" cxnId="{48D9C6F8-7B15-49B6-B2F8-106ECAE26505}">
      <dgm:prSet/>
      <dgm:spPr/>
      <dgm:t>
        <a:bodyPr/>
        <a:lstStyle/>
        <a:p>
          <a:endParaRPr lang="en-GB"/>
        </a:p>
      </dgm:t>
    </dgm:pt>
    <dgm:pt modelId="{BBFDAD8C-CD6D-41D0-B3F1-D1A92A6AA092}" type="sibTrans" cxnId="{48D9C6F8-7B15-49B6-B2F8-106ECAE26505}">
      <dgm:prSet/>
      <dgm:spPr/>
      <dgm:t>
        <a:bodyPr/>
        <a:lstStyle/>
        <a:p>
          <a:endParaRPr lang="en-GB"/>
        </a:p>
      </dgm:t>
    </dgm:pt>
    <dgm:pt modelId="{89F30E64-0BB5-4F29-8B22-312C9CBABE22}">
      <dgm:prSet/>
      <dgm:spPr>
        <a:xfrm>
          <a:off x="3678407" y="1776120"/>
          <a:ext cx="1556073" cy="622429"/>
        </a:xfrm>
        <a:prstGeom prst="chevron">
          <a:avLst/>
        </a:prstGeom>
        <a:solidFill>
          <a:srgbClr val="0F9ED5">
            <a:tint val="40000"/>
            <a:alpha val="90000"/>
            <a:hueOff val="3421964"/>
            <a:satOff val="-17038"/>
            <a:lumOff val="-1617"/>
            <a:alphaOff val="0"/>
          </a:srgbClr>
        </a:solidFill>
        <a:ln w="12700" cap="flat" cmpd="sng" algn="ctr">
          <a:solidFill>
            <a:srgbClr val="0F9ED5">
              <a:tint val="40000"/>
              <a:alpha val="90000"/>
              <a:hueOff val="3421964"/>
              <a:satOff val="-17038"/>
              <a:lumOff val="-1617"/>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Many alternative retailers</a:t>
          </a:r>
        </a:p>
      </dgm:t>
    </dgm:pt>
    <dgm:pt modelId="{398ACC6F-06F5-44E8-B26F-D043462EC3DF}" type="parTrans" cxnId="{F23FEB6A-B8DE-4F53-A07F-5038A88C8FBA}">
      <dgm:prSet/>
      <dgm:spPr/>
      <dgm:t>
        <a:bodyPr/>
        <a:lstStyle/>
        <a:p>
          <a:endParaRPr lang="en-GB"/>
        </a:p>
      </dgm:t>
    </dgm:pt>
    <dgm:pt modelId="{3AFFB962-ADD7-43E0-A649-53B4C2478F22}" type="sibTrans" cxnId="{F23FEB6A-B8DE-4F53-A07F-5038A88C8FBA}">
      <dgm:prSet/>
      <dgm:spPr/>
      <dgm:t>
        <a:bodyPr/>
        <a:lstStyle/>
        <a:p>
          <a:endParaRPr lang="en-GB"/>
        </a:p>
      </dgm:t>
    </dgm:pt>
    <dgm:pt modelId="{0CD47ECF-2F7C-41DD-8323-CAA6136F9B3B}">
      <dgm:prSet/>
      <dgm:spPr>
        <a:xfrm>
          <a:off x="709118" y="2567281"/>
          <a:ext cx="1874787" cy="749915"/>
        </a:xfrm>
        <a:prstGeom prst="chevron">
          <a:avLst/>
        </a:prstGeom>
        <a:solidFill>
          <a:srgbClr val="0F9ED5">
            <a:hueOff val="4949952"/>
            <a:satOff val="-21901"/>
            <a:lumOff val="-3677"/>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Supplier Power</a:t>
          </a:r>
          <a:endParaRPr lang="en-GB">
            <a:solidFill>
              <a:sysClr val="window" lastClr="FFFFFF"/>
            </a:solidFill>
            <a:latin typeface="Aptos" panose="02110004020202020204"/>
            <a:ea typeface="+mn-ea"/>
            <a:cs typeface="+mn-cs"/>
          </a:endParaRPr>
        </a:p>
      </dgm:t>
    </dgm:pt>
    <dgm:pt modelId="{19CC3AF6-6B89-48B0-BF1F-454C0EEC7E4F}" type="parTrans" cxnId="{32300B50-77D1-45A5-805C-D9A9C254DCA1}">
      <dgm:prSet/>
      <dgm:spPr/>
      <dgm:t>
        <a:bodyPr/>
        <a:lstStyle/>
        <a:p>
          <a:endParaRPr lang="en-GB"/>
        </a:p>
      </dgm:t>
    </dgm:pt>
    <dgm:pt modelId="{F1469B40-D43F-4BD0-B6FD-AE81430791D4}" type="sibTrans" cxnId="{32300B50-77D1-45A5-805C-D9A9C254DCA1}">
      <dgm:prSet/>
      <dgm:spPr/>
      <dgm:t>
        <a:bodyPr/>
        <a:lstStyle/>
        <a:p>
          <a:endParaRPr lang="en-GB"/>
        </a:p>
      </dgm:t>
    </dgm:pt>
    <dgm:pt modelId="{463A1366-4D4A-48E5-9B49-8604638927DA}">
      <dgm:prSet/>
      <dgm:spPr>
        <a:xfrm>
          <a:off x="2340183" y="2631023"/>
          <a:ext cx="1556073" cy="622429"/>
        </a:xfrm>
        <a:prstGeom prst="chevron">
          <a:avLst/>
        </a:prstGeom>
        <a:solidFill>
          <a:srgbClr val="0F9ED5">
            <a:tint val="40000"/>
            <a:alpha val="90000"/>
            <a:hueOff val="4106357"/>
            <a:satOff val="-20446"/>
            <a:lumOff val="-1940"/>
            <a:alphaOff val="0"/>
          </a:srgbClr>
        </a:solidFill>
        <a:ln w="12700" cap="flat" cmpd="sng" algn="ctr">
          <a:solidFill>
            <a:srgbClr val="0F9ED5">
              <a:tint val="40000"/>
              <a:alpha val="90000"/>
              <a:hueOff val="4106357"/>
              <a:satOff val="-20446"/>
              <a:lumOff val="-194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Centralised IKEA sourcing</a:t>
          </a:r>
        </a:p>
      </dgm:t>
    </dgm:pt>
    <dgm:pt modelId="{6A058B4A-C04E-490C-A921-963D9E73EC45}" type="parTrans" cxnId="{B442CE25-E588-4EAB-98E4-A666EE3A35F9}">
      <dgm:prSet/>
      <dgm:spPr/>
      <dgm:t>
        <a:bodyPr/>
        <a:lstStyle/>
        <a:p>
          <a:endParaRPr lang="en-GB"/>
        </a:p>
      </dgm:t>
    </dgm:pt>
    <dgm:pt modelId="{20B7F4DA-AACA-4CAE-B1C4-F90496A56883}" type="sibTrans" cxnId="{B442CE25-E588-4EAB-98E4-A666EE3A35F9}">
      <dgm:prSet/>
      <dgm:spPr/>
      <dgm:t>
        <a:bodyPr/>
        <a:lstStyle/>
        <a:p>
          <a:endParaRPr lang="en-GB"/>
        </a:p>
      </dgm:t>
    </dgm:pt>
    <dgm:pt modelId="{E3290B16-BBDC-490C-A746-D15C7E2682C7}">
      <dgm:prSet/>
      <dgm:spPr>
        <a:xfrm>
          <a:off x="3678407" y="2631023"/>
          <a:ext cx="1556073" cy="622429"/>
        </a:xfrm>
        <a:prstGeom prst="chevron">
          <a:avLst/>
        </a:prstGeom>
        <a:solidFill>
          <a:srgbClr val="0F9ED5">
            <a:tint val="40000"/>
            <a:alpha val="90000"/>
            <a:hueOff val="4790750"/>
            <a:satOff val="-23854"/>
            <a:lumOff val="-2263"/>
            <a:alphaOff val="0"/>
          </a:srgbClr>
        </a:solidFill>
        <a:ln w="12700" cap="flat" cmpd="sng" algn="ctr">
          <a:solidFill>
            <a:srgbClr val="0F9ED5">
              <a:tint val="40000"/>
              <a:alpha val="90000"/>
              <a:hueOff val="4790750"/>
              <a:satOff val="-23854"/>
              <a:lumOff val="-2263"/>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Limited flexibility for franchisees</a:t>
          </a:r>
        </a:p>
      </dgm:t>
    </dgm:pt>
    <dgm:pt modelId="{A5BF5B82-3B64-4061-A53D-FD0B9A8E005E}" type="parTrans" cxnId="{A33569F5-C90E-4568-89C3-6BE18A31A45C}">
      <dgm:prSet/>
      <dgm:spPr/>
      <dgm:t>
        <a:bodyPr/>
        <a:lstStyle/>
        <a:p>
          <a:endParaRPr lang="en-GB"/>
        </a:p>
      </dgm:t>
    </dgm:pt>
    <dgm:pt modelId="{5CB118FB-6BC6-49F4-996C-800A69BF914A}" type="sibTrans" cxnId="{A33569F5-C90E-4568-89C3-6BE18A31A45C}">
      <dgm:prSet/>
      <dgm:spPr/>
      <dgm:t>
        <a:bodyPr/>
        <a:lstStyle/>
        <a:p>
          <a:endParaRPr lang="en-GB"/>
        </a:p>
      </dgm:t>
    </dgm:pt>
    <dgm:pt modelId="{54A99BB9-C995-4327-9781-32C870F4582C}">
      <dgm:prSet/>
      <dgm:spPr>
        <a:xfrm>
          <a:off x="709118" y="3422184"/>
          <a:ext cx="1874787" cy="749915"/>
        </a:xfrm>
        <a:prstGeom prst="chevron">
          <a:avLst/>
        </a:prstGeom>
        <a:solidFill>
          <a:srgbClr val="0F9ED5">
            <a:hueOff val="6599937"/>
            <a:satOff val="-29202"/>
            <a:lumOff val="-490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Competitive Rivalry</a:t>
          </a:r>
          <a:endParaRPr lang="en-GB">
            <a:solidFill>
              <a:sysClr val="window" lastClr="FFFFFF"/>
            </a:solidFill>
            <a:latin typeface="Aptos" panose="02110004020202020204"/>
            <a:ea typeface="+mn-ea"/>
            <a:cs typeface="+mn-cs"/>
          </a:endParaRPr>
        </a:p>
      </dgm:t>
    </dgm:pt>
    <dgm:pt modelId="{A1539827-D54D-498F-98AF-4508F5E47BD0}" type="parTrans" cxnId="{E8E077B1-BDE0-4C90-914B-37AAA3EFBFCD}">
      <dgm:prSet/>
      <dgm:spPr/>
      <dgm:t>
        <a:bodyPr/>
        <a:lstStyle/>
        <a:p>
          <a:endParaRPr lang="en-GB"/>
        </a:p>
      </dgm:t>
    </dgm:pt>
    <dgm:pt modelId="{5F26226B-CDC8-4B65-BBB6-01ABCDEBDDED}" type="sibTrans" cxnId="{E8E077B1-BDE0-4C90-914B-37AAA3EFBFCD}">
      <dgm:prSet/>
      <dgm:spPr/>
      <dgm:t>
        <a:bodyPr/>
        <a:lstStyle/>
        <a:p>
          <a:endParaRPr lang="en-GB"/>
        </a:p>
      </dgm:t>
    </dgm:pt>
    <dgm:pt modelId="{47518370-27E2-4B08-BF3F-C3A2DE60295D}">
      <dgm:prSet/>
      <dgm:spPr>
        <a:xfrm>
          <a:off x="2340183" y="3485927"/>
          <a:ext cx="1556073" cy="622429"/>
        </a:xfrm>
        <a:prstGeom prst="chevron">
          <a:avLst/>
        </a:prstGeom>
        <a:solidFill>
          <a:srgbClr val="0F9ED5">
            <a:tint val="40000"/>
            <a:alpha val="90000"/>
            <a:hueOff val="5475142"/>
            <a:satOff val="-27261"/>
            <a:lumOff val="-2587"/>
            <a:alphaOff val="0"/>
          </a:srgbClr>
        </a:solidFill>
        <a:ln w="12700" cap="flat" cmpd="sng" algn="ctr">
          <a:solidFill>
            <a:srgbClr val="0F9ED5">
              <a:tint val="40000"/>
              <a:alpha val="90000"/>
              <a:hueOff val="5475142"/>
              <a:satOff val="-27261"/>
              <a:lumOff val="-2587"/>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Highly saturated UK market</a:t>
          </a:r>
        </a:p>
      </dgm:t>
    </dgm:pt>
    <dgm:pt modelId="{8C98C9E1-673D-45D3-B7A6-34FF1536F8CC}" type="parTrans" cxnId="{5DF50A0F-F47C-4BDF-B603-9F0264486605}">
      <dgm:prSet/>
      <dgm:spPr/>
      <dgm:t>
        <a:bodyPr/>
        <a:lstStyle/>
        <a:p>
          <a:endParaRPr lang="en-GB"/>
        </a:p>
      </dgm:t>
    </dgm:pt>
    <dgm:pt modelId="{E8009127-B3B1-4701-AF56-2BE45CA46911}" type="sibTrans" cxnId="{5DF50A0F-F47C-4BDF-B603-9F0264486605}">
      <dgm:prSet/>
      <dgm:spPr/>
      <dgm:t>
        <a:bodyPr/>
        <a:lstStyle/>
        <a:p>
          <a:endParaRPr lang="en-GB"/>
        </a:p>
      </dgm:t>
    </dgm:pt>
    <dgm:pt modelId="{FA75FE48-A417-4B89-B96C-C87E3B9581B0}">
      <dgm:prSet/>
      <dgm:spPr>
        <a:xfrm>
          <a:off x="3678407" y="3485927"/>
          <a:ext cx="1556073" cy="622429"/>
        </a:xfrm>
        <a:prstGeom prst="chevron">
          <a:avLst/>
        </a:prstGeom>
        <a:solidFill>
          <a:srgbClr val="0F9ED5">
            <a:tint val="40000"/>
            <a:alpha val="90000"/>
            <a:hueOff val="6159535"/>
            <a:satOff val="-30669"/>
            <a:lumOff val="-2910"/>
            <a:alphaOff val="0"/>
          </a:srgbClr>
        </a:solidFill>
        <a:ln w="12700" cap="flat" cmpd="sng" algn="ctr">
          <a:solidFill>
            <a:srgbClr val="0F9ED5">
              <a:tint val="40000"/>
              <a:alpha val="90000"/>
              <a:hueOff val="6159535"/>
              <a:satOff val="-30669"/>
              <a:lumOff val="-291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Competition on delivery, price and service</a:t>
          </a:r>
        </a:p>
      </dgm:t>
    </dgm:pt>
    <dgm:pt modelId="{855CA0E1-9216-4F24-B18D-C96872286A6C}" type="parTrans" cxnId="{2F7CAA38-1037-4C72-8EB7-E5FF9DCA1426}">
      <dgm:prSet/>
      <dgm:spPr/>
      <dgm:t>
        <a:bodyPr/>
        <a:lstStyle/>
        <a:p>
          <a:endParaRPr lang="en-GB"/>
        </a:p>
      </dgm:t>
    </dgm:pt>
    <dgm:pt modelId="{37546C3A-FA40-4A8C-9F50-D28F89D90382}" type="sibTrans" cxnId="{2F7CAA38-1037-4C72-8EB7-E5FF9DCA1426}">
      <dgm:prSet/>
      <dgm:spPr/>
      <dgm:t>
        <a:bodyPr/>
        <a:lstStyle/>
        <a:p>
          <a:endParaRPr lang="en-GB"/>
        </a:p>
      </dgm:t>
    </dgm:pt>
    <dgm:pt modelId="{E49CBCF7-44ED-40E9-A976-D9B49A188AD2}" type="pres">
      <dgm:prSet presAssocID="{97446339-0F40-4B47-BFFE-A1FC025C107E}" presName="Name0" presStyleCnt="0">
        <dgm:presLayoutVars>
          <dgm:chPref val="3"/>
          <dgm:dir/>
          <dgm:animLvl val="lvl"/>
          <dgm:resizeHandles/>
        </dgm:presLayoutVars>
      </dgm:prSet>
      <dgm:spPr/>
    </dgm:pt>
    <dgm:pt modelId="{08DBD809-2855-4D7D-97AE-601591992AFE}" type="pres">
      <dgm:prSet presAssocID="{FFD7D701-4E8A-42A8-A35B-9723B4103CD2}" presName="horFlow" presStyleCnt="0"/>
      <dgm:spPr/>
    </dgm:pt>
    <dgm:pt modelId="{9F6D713E-CA96-4D35-94FC-95E7ABB9313F}" type="pres">
      <dgm:prSet presAssocID="{FFD7D701-4E8A-42A8-A35B-9723B4103CD2}" presName="bigChev" presStyleLbl="node1" presStyleIdx="0" presStyleCnt="5"/>
      <dgm:spPr/>
    </dgm:pt>
    <dgm:pt modelId="{487D314B-DAF3-4AFF-A77B-0C1308D0BC24}" type="pres">
      <dgm:prSet presAssocID="{BF032F6A-3316-48C3-8438-4D381481D026}" presName="parTrans" presStyleCnt="0"/>
      <dgm:spPr/>
    </dgm:pt>
    <dgm:pt modelId="{04D010E0-4D0A-49C5-8B78-5CCA252EF7C0}" type="pres">
      <dgm:prSet presAssocID="{D40011AD-B5C8-4654-9B12-2BA930841ACD}" presName="node" presStyleLbl="alignAccFollowNode1" presStyleIdx="0" presStyleCnt="10">
        <dgm:presLayoutVars>
          <dgm:bulletEnabled val="1"/>
        </dgm:presLayoutVars>
      </dgm:prSet>
      <dgm:spPr/>
    </dgm:pt>
    <dgm:pt modelId="{5555749E-0849-4CB2-92B9-CEDC8691463F}" type="pres">
      <dgm:prSet presAssocID="{76031D5C-8FCE-4E6F-8FD5-98593C10B8A5}" presName="sibTrans" presStyleCnt="0"/>
      <dgm:spPr/>
    </dgm:pt>
    <dgm:pt modelId="{3FDE30C6-8A26-4C1E-B13E-AC5581BBDCE5}" type="pres">
      <dgm:prSet presAssocID="{75408D63-C3E8-403B-9E23-45BE1A2DE0D3}" presName="node" presStyleLbl="alignAccFollowNode1" presStyleIdx="1" presStyleCnt="10">
        <dgm:presLayoutVars>
          <dgm:bulletEnabled val="1"/>
        </dgm:presLayoutVars>
      </dgm:prSet>
      <dgm:spPr/>
    </dgm:pt>
    <dgm:pt modelId="{7BE26ECF-6134-4D88-BDA2-61A15ED22307}" type="pres">
      <dgm:prSet presAssocID="{FFD7D701-4E8A-42A8-A35B-9723B4103CD2}" presName="vSp" presStyleCnt="0"/>
      <dgm:spPr/>
    </dgm:pt>
    <dgm:pt modelId="{5990EEB0-7DF6-4ABC-9641-704A926B6BF4}" type="pres">
      <dgm:prSet presAssocID="{6C866258-B2C2-4D70-BD40-DA4CA7A5FF95}" presName="horFlow" presStyleCnt="0"/>
      <dgm:spPr/>
    </dgm:pt>
    <dgm:pt modelId="{EC4B8964-A65A-46FC-98F9-6CD0319CEAD1}" type="pres">
      <dgm:prSet presAssocID="{6C866258-B2C2-4D70-BD40-DA4CA7A5FF95}" presName="bigChev" presStyleLbl="node1" presStyleIdx="1" presStyleCnt="5"/>
      <dgm:spPr/>
    </dgm:pt>
    <dgm:pt modelId="{F4625128-715C-4120-A959-29C43316ECB6}" type="pres">
      <dgm:prSet presAssocID="{E6302A49-2A0D-44EE-8615-4C7248A5CDC6}" presName="parTrans" presStyleCnt="0"/>
      <dgm:spPr/>
    </dgm:pt>
    <dgm:pt modelId="{98E3085E-D5A8-4CD2-B63B-98BBC9772BC1}" type="pres">
      <dgm:prSet presAssocID="{6155E209-8BF4-4873-8396-CF4EFF914B82}" presName="node" presStyleLbl="alignAccFollowNode1" presStyleIdx="2" presStyleCnt="10">
        <dgm:presLayoutVars>
          <dgm:bulletEnabled val="1"/>
        </dgm:presLayoutVars>
      </dgm:prSet>
      <dgm:spPr/>
    </dgm:pt>
    <dgm:pt modelId="{41FF68D5-ECD4-4F08-A6D1-C577E07BD433}" type="pres">
      <dgm:prSet presAssocID="{AAA7A0A4-A711-473E-B355-F0CED44708B3}" presName="sibTrans" presStyleCnt="0"/>
      <dgm:spPr/>
    </dgm:pt>
    <dgm:pt modelId="{948FCFC5-09F1-403A-9F42-2D944D04F28F}" type="pres">
      <dgm:prSet presAssocID="{B89E551B-5CC0-4FB0-BDAC-5678C75506FF}" presName="node" presStyleLbl="alignAccFollowNode1" presStyleIdx="3" presStyleCnt="10">
        <dgm:presLayoutVars>
          <dgm:bulletEnabled val="1"/>
        </dgm:presLayoutVars>
      </dgm:prSet>
      <dgm:spPr/>
    </dgm:pt>
    <dgm:pt modelId="{B65A6C7A-7928-4CF5-81EE-A54F5A63350C}" type="pres">
      <dgm:prSet presAssocID="{6C866258-B2C2-4D70-BD40-DA4CA7A5FF95}" presName="vSp" presStyleCnt="0"/>
      <dgm:spPr/>
    </dgm:pt>
    <dgm:pt modelId="{11BE175D-11FA-41E5-8E05-8AAF318B288D}" type="pres">
      <dgm:prSet presAssocID="{4B21A2D0-9B2B-4861-965D-DF9AB5C872BA}" presName="horFlow" presStyleCnt="0"/>
      <dgm:spPr/>
    </dgm:pt>
    <dgm:pt modelId="{1270114B-C779-4FA6-960F-F854B03817B8}" type="pres">
      <dgm:prSet presAssocID="{4B21A2D0-9B2B-4861-965D-DF9AB5C872BA}" presName="bigChev" presStyleLbl="node1" presStyleIdx="2" presStyleCnt="5"/>
      <dgm:spPr/>
    </dgm:pt>
    <dgm:pt modelId="{DCA672A3-727E-4800-B0BF-89E443A800F1}" type="pres">
      <dgm:prSet presAssocID="{534309ED-C8B3-4674-AB43-ED863745CE6E}" presName="parTrans" presStyleCnt="0"/>
      <dgm:spPr/>
    </dgm:pt>
    <dgm:pt modelId="{E107C1C5-3B60-4DA7-8114-887BD0B027B8}" type="pres">
      <dgm:prSet presAssocID="{A0271494-E0C6-43F9-B459-1FF88BB9977E}" presName="node" presStyleLbl="alignAccFollowNode1" presStyleIdx="4" presStyleCnt="10">
        <dgm:presLayoutVars>
          <dgm:bulletEnabled val="1"/>
        </dgm:presLayoutVars>
      </dgm:prSet>
      <dgm:spPr/>
    </dgm:pt>
    <dgm:pt modelId="{7F9C26DE-EC75-4573-98BE-589F3A856E0F}" type="pres">
      <dgm:prSet presAssocID="{BBFDAD8C-CD6D-41D0-B3F1-D1A92A6AA092}" presName="sibTrans" presStyleCnt="0"/>
      <dgm:spPr/>
    </dgm:pt>
    <dgm:pt modelId="{58212D8E-356A-4638-ADDF-2041D2A2B478}" type="pres">
      <dgm:prSet presAssocID="{89F30E64-0BB5-4F29-8B22-312C9CBABE22}" presName="node" presStyleLbl="alignAccFollowNode1" presStyleIdx="5" presStyleCnt="10">
        <dgm:presLayoutVars>
          <dgm:bulletEnabled val="1"/>
        </dgm:presLayoutVars>
      </dgm:prSet>
      <dgm:spPr/>
    </dgm:pt>
    <dgm:pt modelId="{7C731FFD-7FF3-46D9-8067-A0895CF70BE7}" type="pres">
      <dgm:prSet presAssocID="{4B21A2D0-9B2B-4861-965D-DF9AB5C872BA}" presName="vSp" presStyleCnt="0"/>
      <dgm:spPr/>
    </dgm:pt>
    <dgm:pt modelId="{0C6B87E8-F832-4C50-951B-8F0B7F0B59D4}" type="pres">
      <dgm:prSet presAssocID="{0CD47ECF-2F7C-41DD-8323-CAA6136F9B3B}" presName="horFlow" presStyleCnt="0"/>
      <dgm:spPr/>
    </dgm:pt>
    <dgm:pt modelId="{D6871083-5922-4E6B-A7EA-54C5B60BFC4C}" type="pres">
      <dgm:prSet presAssocID="{0CD47ECF-2F7C-41DD-8323-CAA6136F9B3B}" presName="bigChev" presStyleLbl="node1" presStyleIdx="3" presStyleCnt="5"/>
      <dgm:spPr/>
    </dgm:pt>
    <dgm:pt modelId="{A751AB50-2135-4E0A-9235-B5AAE512FB6D}" type="pres">
      <dgm:prSet presAssocID="{6A058B4A-C04E-490C-A921-963D9E73EC45}" presName="parTrans" presStyleCnt="0"/>
      <dgm:spPr/>
    </dgm:pt>
    <dgm:pt modelId="{85A1AF33-FC91-41D9-8673-0C49D54D4699}" type="pres">
      <dgm:prSet presAssocID="{463A1366-4D4A-48E5-9B49-8604638927DA}" presName="node" presStyleLbl="alignAccFollowNode1" presStyleIdx="6" presStyleCnt="10">
        <dgm:presLayoutVars>
          <dgm:bulletEnabled val="1"/>
        </dgm:presLayoutVars>
      </dgm:prSet>
      <dgm:spPr/>
    </dgm:pt>
    <dgm:pt modelId="{DB151AD4-FE9A-47A8-935E-092F32E85F17}" type="pres">
      <dgm:prSet presAssocID="{20B7F4DA-AACA-4CAE-B1C4-F90496A56883}" presName="sibTrans" presStyleCnt="0"/>
      <dgm:spPr/>
    </dgm:pt>
    <dgm:pt modelId="{DB8960A1-8338-4597-A115-32A81F6A66DE}" type="pres">
      <dgm:prSet presAssocID="{E3290B16-BBDC-490C-A746-D15C7E2682C7}" presName="node" presStyleLbl="alignAccFollowNode1" presStyleIdx="7" presStyleCnt="10">
        <dgm:presLayoutVars>
          <dgm:bulletEnabled val="1"/>
        </dgm:presLayoutVars>
      </dgm:prSet>
      <dgm:spPr/>
    </dgm:pt>
    <dgm:pt modelId="{A085A736-4922-4ACC-B97A-6490D1F60FB4}" type="pres">
      <dgm:prSet presAssocID="{0CD47ECF-2F7C-41DD-8323-CAA6136F9B3B}" presName="vSp" presStyleCnt="0"/>
      <dgm:spPr/>
    </dgm:pt>
    <dgm:pt modelId="{C2DA4D7D-7DB3-4A1F-94A0-B84601E1C089}" type="pres">
      <dgm:prSet presAssocID="{54A99BB9-C995-4327-9781-32C870F4582C}" presName="horFlow" presStyleCnt="0"/>
      <dgm:spPr/>
    </dgm:pt>
    <dgm:pt modelId="{1417C7F4-8E9D-4F53-A082-4F4E8FDF1511}" type="pres">
      <dgm:prSet presAssocID="{54A99BB9-C995-4327-9781-32C870F4582C}" presName="bigChev" presStyleLbl="node1" presStyleIdx="4" presStyleCnt="5"/>
      <dgm:spPr/>
    </dgm:pt>
    <dgm:pt modelId="{616CA3B2-A0FA-4045-A3DF-377DCE49B4E2}" type="pres">
      <dgm:prSet presAssocID="{8C98C9E1-673D-45D3-B7A6-34FF1536F8CC}" presName="parTrans" presStyleCnt="0"/>
      <dgm:spPr/>
    </dgm:pt>
    <dgm:pt modelId="{CC8CA22A-7D88-4DE9-800F-2B8A31DA8CAC}" type="pres">
      <dgm:prSet presAssocID="{47518370-27E2-4B08-BF3F-C3A2DE60295D}" presName="node" presStyleLbl="alignAccFollowNode1" presStyleIdx="8" presStyleCnt="10">
        <dgm:presLayoutVars>
          <dgm:bulletEnabled val="1"/>
        </dgm:presLayoutVars>
      </dgm:prSet>
      <dgm:spPr/>
    </dgm:pt>
    <dgm:pt modelId="{B2B37305-66FA-4B43-A6BB-FE8E2AD03260}" type="pres">
      <dgm:prSet presAssocID="{E8009127-B3B1-4701-AF56-2BE45CA46911}" presName="sibTrans" presStyleCnt="0"/>
      <dgm:spPr/>
    </dgm:pt>
    <dgm:pt modelId="{7DE5D1A9-1F38-4566-AAF3-A73F385858BC}" type="pres">
      <dgm:prSet presAssocID="{FA75FE48-A417-4B89-B96C-C87E3B9581B0}" presName="node" presStyleLbl="alignAccFollowNode1" presStyleIdx="9" presStyleCnt="10">
        <dgm:presLayoutVars>
          <dgm:bulletEnabled val="1"/>
        </dgm:presLayoutVars>
      </dgm:prSet>
      <dgm:spPr/>
    </dgm:pt>
  </dgm:ptLst>
  <dgm:cxnLst>
    <dgm:cxn modelId="{B5A5D908-7202-46F6-9E89-59B99D0C8DD9}" type="presOf" srcId="{54A99BB9-C995-4327-9781-32C870F4582C}" destId="{1417C7F4-8E9D-4F53-A082-4F4E8FDF1511}" srcOrd="0" destOrd="0" presId="urn:microsoft.com/office/officeart/2005/8/layout/lProcess3"/>
    <dgm:cxn modelId="{5DF50A0F-F47C-4BDF-B603-9F0264486605}" srcId="{54A99BB9-C995-4327-9781-32C870F4582C}" destId="{47518370-27E2-4B08-BF3F-C3A2DE60295D}" srcOrd="0" destOrd="0" parTransId="{8C98C9E1-673D-45D3-B7A6-34FF1536F8CC}" sibTransId="{E8009127-B3B1-4701-AF56-2BE45CA46911}"/>
    <dgm:cxn modelId="{0136480F-6E44-48D2-8325-BA51000FC892}" srcId="{97446339-0F40-4B47-BFFE-A1FC025C107E}" destId="{FFD7D701-4E8A-42A8-A35B-9723B4103CD2}" srcOrd="0" destOrd="0" parTransId="{8D477291-0FD2-4E9B-863B-7C9DDB53CE76}" sibTransId="{5572E1AF-662C-49D9-B011-62F34B6D9978}"/>
    <dgm:cxn modelId="{6C1C6219-C82C-4B5B-8169-3A1648EB3E2E}" srcId="{6C866258-B2C2-4D70-BD40-DA4CA7A5FF95}" destId="{6155E209-8BF4-4873-8396-CF4EFF914B82}" srcOrd="0" destOrd="0" parTransId="{E6302A49-2A0D-44EE-8615-4C7248A5CDC6}" sibTransId="{AAA7A0A4-A711-473E-B355-F0CED44708B3}"/>
    <dgm:cxn modelId="{066D6519-A8C7-4ACC-AE3B-B728BCC1B533}" type="presOf" srcId="{6C866258-B2C2-4D70-BD40-DA4CA7A5FF95}" destId="{EC4B8964-A65A-46FC-98F9-6CD0319CEAD1}" srcOrd="0" destOrd="0" presId="urn:microsoft.com/office/officeart/2005/8/layout/lProcess3"/>
    <dgm:cxn modelId="{F7505D1E-F22B-4EF0-8EAD-802A9A0F7014}" srcId="{FFD7D701-4E8A-42A8-A35B-9723B4103CD2}" destId="{75408D63-C3E8-403B-9E23-45BE1A2DE0D3}" srcOrd="1" destOrd="0" parTransId="{F2DCEF45-4476-4FF1-BB3E-BD109177D525}" sibTransId="{5542E0D1-8A4B-400D-923D-F132F7AE487E}"/>
    <dgm:cxn modelId="{4DF57225-053E-4CFE-86FE-1FC3315382E0}" srcId="{FFD7D701-4E8A-42A8-A35B-9723B4103CD2}" destId="{D40011AD-B5C8-4654-9B12-2BA930841ACD}" srcOrd="0" destOrd="0" parTransId="{BF032F6A-3316-48C3-8438-4D381481D026}" sibTransId="{76031D5C-8FCE-4E6F-8FD5-98593C10B8A5}"/>
    <dgm:cxn modelId="{B442CE25-E588-4EAB-98E4-A666EE3A35F9}" srcId="{0CD47ECF-2F7C-41DD-8323-CAA6136F9B3B}" destId="{463A1366-4D4A-48E5-9B49-8604638927DA}" srcOrd="0" destOrd="0" parTransId="{6A058B4A-C04E-490C-A921-963D9E73EC45}" sibTransId="{20B7F4DA-AACA-4CAE-B1C4-F90496A56883}"/>
    <dgm:cxn modelId="{62F01A27-4C01-455D-A614-40AD0D3781EF}" type="presOf" srcId="{0CD47ECF-2F7C-41DD-8323-CAA6136F9B3B}" destId="{D6871083-5922-4E6B-A7EA-54C5B60BFC4C}" srcOrd="0" destOrd="0" presId="urn:microsoft.com/office/officeart/2005/8/layout/lProcess3"/>
    <dgm:cxn modelId="{7B8C5A28-15D5-493D-8B09-9D8485D4075E}" type="presOf" srcId="{D40011AD-B5C8-4654-9B12-2BA930841ACD}" destId="{04D010E0-4D0A-49C5-8B78-5CCA252EF7C0}" srcOrd="0" destOrd="0" presId="urn:microsoft.com/office/officeart/2005/8/layout/lProcess3"/>
    <dgm:cxn modelId="{54A5BE2E-1457-47F8-B708-1BFDB1D4BB3A}" srcId="{97446339-0F40-4B47-BFFE-A1FC025C107E}" destId="{4B21A2D0-9B2B-4861-965D-DF9AB5C872BA}" srcOrd="2" destOrd="0" parTransId="{3283A4CF-81E1-4782-B6D4-611A9113B7B0}" sibTransId="{365F21B3-A515-4259-935F-82F75E156CF2}"/>
    <dgm:cxn modelId="{E0830E32-6FA6-4CCD-AC68-428636A5A1BB}" type="presOf" srcId="{FFD7D701-4E8A-42A8-A35B-9723B4103CD2}" destId="{9F6D713E-CA96-4D35-94FC-95E7ABB9313F}" srcOrd="0" destOrd="0" presId="urn:microsoft.com/office/officeart/2005/8/layout/lProcess3"/>
    <dgm:cxn modelId="{559E3436-9CF2-445C-8B1A-5FB0ED5FF979}" srcId="{6C866258-B2C2-4D70-BD40-DA4CA7A5FF95}" destId="{B89E551B-5CC0-4FB0-BDAC-5678C75506FF}" srcOrd="1" destOrd="0" parTransId="{08C53465-C397-419C-836A-BF785D15A41E}" sibTransId="{6E140D43-9321-485D-8962-82A3B9D46531}"/>
    <dgm:cxn modelId="{2F7CAA38-1037-4C72-8EB7-E5FF9DCA1426}" srcId="{54A99BB9-C995-4327-9781-32C870F4582C}" destId="{FA75FE48-A417-4B89-B96C-C87E3B9581B0}" srcOrd="1" destOrd="0" parTransId="{855CA0E1-9216-4F24-B18D-C96872286A6C}" sibTransId="{37546C3A-FA40-4A8C-9F50-D28F89D90382}"/>
    <dgm:cxn modelId="{98017041-D920-4E59-BF98-16E34C25D199}" type="presOf" srcId="{6155E209-8BF4-4873-8396-CF4EFF914B82}" destId="{98E3085E-D5A8-4CD2-B63B-98BBC9772BC1}" srcOrd="0" destOrd="0" presId="urn:microsoft.com/office/officeart/2005/8/layout/lProcess3"/>
    <dgm:cxn modelId="{32300B50-77D1-45A5-805C-D9A9C254DCA1}" srcId="{97446339-0F40-4B47-BFFE-A1FC025C107E}" destId="{0CD47ECF-2F7C-41DD-8323-CAA6136F9B3B}" srcOrd="3" destOrd="0" parTransId="{19CC3AF6-6B89-48B0-BF1F-454C0EEC7E4F}" sibTransId="{F1469B40-D43F-4BD0-B6FD-AE81430791D4}"/>
    <dgm:cxn modelId="{1A05D051-75B6-42E5-A27C-12D2F0C218CF}" type="presOf" srcId="{E3290B16-BBDC-490C-A746-D15C7E2682C7}" destId="{DB8960A1-8338-4597-A115-32A81F6A66DE}" srcOrd="0" destOrd="0" presId="urn:microsoft.com/office/officeart/2005/8/layout/lProcess3"/>
    <dgm:cxn modelId="{CDEED053-D9E3-424A-84FE-A86D2C0C6266}" type="presOf" srcId="{4B21A2D0-9B2B-4861-965D-DF9AB5C872BA}" destId="{1270114B-C779-4FA6-960F-F854B03817B8}" srcOrd="0" destOrd="0" presId="urn:microsoft.com/office/officeart/2005/8/layout/lProcess3"/>
    <dgm:cxn modelId="{9948D45C-0A7E-4DC2-AE69-F0D22E9D5558}" type="presOf" srcId="{463A1366-4D4A-48E5-9B49-8604638927DA}" destId="{85A1AF33-FC91-41D9-8673-0C49D54D4699}" srcOrd="0" destOrd="0" presId="urn:microsoft.com/office/officeart/2005/8/layout/lProcess3"/>
    <dgm:cxn modelId="{F23FEB6A-B8DE-4F53-A07F-5038A88C8FBA}" srcId="{4B21A2D0-9B2B-4861-965D-DF9AB5C872BA}" destId="{89F30E64-0BB5-4F29-8B22-312C9CBABE22}" srcOrd="1" destOrd="0" parTransId="{398ACC6F-06F5-44E8-B26F-D043462EC3DF}" sibTransId="{3AFFB962-ADD7-43E0-A649-53B4C2478F22}"/>
    <dgm:cxn modelId="{9D70BEAC-87AD-4283-A266-C6B40CE15BBA}" srcId="{97446339-0F40-4B47-BFFE-A1FC025C107E}" destId="{6C866258-B2C2-4D70-BD40-DA4CA7A5FF95}" srcOrd="1" destOrd="0" parTransId="{8CE918C8-9946-47F8-ABAB-C1A356898132}" sibTransId="{11ED81F5-8BBE-40DF-9AD7-38CF04C4D59E}"/>
    <dgm:cxn modelId="{E8E077B1-BDE0-4C90-914B-37AAA3EFBFCD}" srcId="{97446339-0F40-4B47-BFFE-A1FC025C107E}" destId="{54A99BB9-C995-4327-9781-32C870F4582C}" srcOrd="4" destOrd="0" parTransId="{A1539827-D54D-498F-98AF-4508F5E47BD0}" sibTransId="{5F26226B-CDC8-4B65-BBB6-01ABCDEBDDED}"/>
    <dgm:cxn modelId="{A6C427B5-4727-49C6-AC26-448206BF4C4C}" type="presOf" srcId="{75408D63-C3E8-403B-9E23-45BE1A2DE0D3}" destId="{3FDE30C6-8A26-4C1E-B13E-AC5581BBDCE5}" srcOrd="0" destOrd="0" presId="urn:microsoft.com/office/officeart/2005/8/layout/lProcess3"/>
    <dgm:cxn modelId="{01D1DDBE-5ACD-4E25-95D8-1D2BB16D0E34}" type="presOf" srcId="{89F30E64-0BB5-4F29-8B22-312C9CBABE22}" destId="{58212D8E-356A-4638-ADDF-2041D2A2B478}" srcOrd="0" destOrd="0" presId="urn:microsoft.com/office/officeart/2005/8/layout/lProcess3"/>
    <dgm:cxn modelId="{F7B300CB-DF5B-410B-81E1-C408AFBB04FF}" type="presOf" srcId="{FA75FE48-A417-4B89-B96C-C87E3B9581B0}" destId="{7DE5D1A9-1F38-4566-AAF3-A73F385858BC}" srcOrd="0" destOrd="0" presId="urn:microsoft.com/office/officeart/2005/8/layout/lProcess3"/>
    <dgm:cxn modelId="{9C1C59D1-7825-46CF-B028-E5052E9BB6F2}" type="presOf" srcId="{47518370-27E2-4B08-BF3F-C3A2DE60295D}" destId="{CC8CA22A-7D88-4DE9-800F-2B8A31DA8CAC}" srcOrd="0" destOrd="0" presId="urn:microsoft.com/office/officeart/2005/8/layout/lProcess3"/>
    <dgm:cxn modelId="{514397D5-4653-428F-B260-EE4D2B89F699}" type="presOf" srcId="{97446339-0F40-4B47-BFFE-A1FC025C107E}" destId="{E49CBCF7-44ED-40E9-A976-D9B49A188AD2}" srcOrd="0" destOrd="0" presId="urn:microsoft.com/office/officeart/2005/8/layout/lProcess3"/>
    <dgm:cxn modelId="{E5E212DB-B591-4335-AD84-56BE91788E22}" type="presOf" srcId="{A0271494-E0C6-43F9-B459-1FF88BB9977E}" destId="{E107C1C5-3B60-4DA7-8114-887BD0B027B8}" srcOrd="0" destOrd="0" presId="urn:microsoft.com/office/officeart/2005/8/layout/lProcess3"/>
    <dgm:cxn modelId="{D0B1A8EE-0B31-4BB8-AC88-33B6122BD8DF}" type="presOf" srcId="{B89E551B-5CC0-4FB0-BDAC-5678C75506FF}" destId="{948FCFC5-09F1-403A-9F42-2D944D04F28F}" srcOrd="0" destOrd="0" presId="urn:microsoft.com/office/officeart/2005/8/layout/lProcess3"/>
    <dgm:cxn modelId="{A33569F5-C90E-4568-89C3-6BE18A31A45C}" srcId="{0CD47ECF-2F7C-41DD-8323-CAA6136F9B3B}" destId="{E3290B16-BBDC-490C-A746-D15C7E2682C7}" srcOrd="1" destOrd="0" parTransId="{A5BF5B82-3B64-4061-A53D-FD0B9A8E005E}" sibTransId="{5CB118FB-6BC6-49F4-996C-800A69BF914A}"/>
    <dgm:cxn modelId="{48D9C6F8-7B15-49B6-B2F8-106ECAE26505}" srcId="{4B21A2D0-9B2B-4861-965D-DF9AB5C872BA}" destId="{A0271494-E0C6-43F9-B459-1FF88BB9977E}" srcOrd="0" destOrd="0" parTransId="{534309ED-C8B3-4674-AB43-ED863745CE6E}" sibTransId="{BBFDAD8C-CD6D-41D0-B3F1-D1A92A6AA092}"/>
    <dgm:cxn modelId="{5E5F69DC-E077-497F-9661-0FA64018EDAF}" type="presParOf" srcId="{E49CBCF7-44ED-40E9-A976-D9B49A188AD2}" destId="{08DBD809-2855-4D7D-97AE-601591992AFE}" srcOrd="0" destOrd="0" presId="urn:microsoft.com/office/officeart/2005/8/layout/lProcess3"/>
    <dgm:cxn modelId="{59E9E521-F389-498A-BD4B-C48AEEB88F99}" type="presParOf" srcId="{08DBD809-2855-4D7D-97AE-601591992AFE}" destId="{9F6D713E-CA96-4D35-94FC-95E7ABB9313F}" srcOrd="0" destOrd="0" presId="urn:microsoft.com/office/officeart/2005/8/layout/lProcess3"/>
    <dgm:cxn modelId="{1C95FCEE-CFB3-4AA2-95C9-8CFD93E8E10D}" type="presParOf" srcId="{08DBD809-2855-4D7D-97AE-601591992AFE}" destId="{487D314B-DAF3-4AFF-A77B-0C1308D0BC24}" srcOrd="1" destOrd="0" presId="urn:microsoft.com/office/officeart/2005/8/layout/lProcess3"/>
    <dgm:cxn modelId="{EAA39161-624E-4DC8-8342-2C20C83A53D3}" type="presParOf" srcId="{08DBD809-2855-4D7D-97AE-601591992AFE}" destId="{04D010E0-4D0A-49C5-8B78-5CCA252EF7C0}" srcOrd="2" destOrd="0" presId="urn:microsoft.com/office/officeart/2005/8/layout/lProcess3"/>
    <dgm:cxn modelId="{845AD3F4-05B7-4061-9F90-43C18FA8CCA2}" type="presParOf" srcId="{08DBD809-2855-4D7D-97AE-601591992AFE}" destId="{5555749E-0849-4CB2-92B9-CEDC8691463F}" srcOrd="3" destOrd="0" presId="urn:microsoft.com/office/officeart/2005/8/layout/lProcess3"/>
    <dgm:cxn modelId="{011BB695-9D49-4444-BF66-D3AA6ECB96EE}" type="presParOf" srcId="{08DBD809-2855-4D7D-97AE-601591992AFE}" destId="{3FDE30C6-8A26-4C1E-B13E-AC5581BBDCE5}" srcOrd="4" destOrd="0" presId="urn:microsoft.com/office/officeart/2005/8/layout/lProcess3"/>
    <dgm:cxn modelId="{1A926362-1ED9-4696-A20D-B4A101058E8C}" type="presParOf" srcId="{E49CBCF7-44ED-40E9-A976-D9B49A188AD2}" destId="{7BE26ECF-6134-4D88-BDA2-61A15ED22307}" srcOrd="1" destOrd="0" presId="urn:microsoft.com/office/officeart/2005/8/layout/lProcess3"/>
    <dgm:cxn modelId="{EA579A11-48C7-4E23-9D4C-F28F0BC59BB7}" type="presParOf" srcId="{E49CBCF7-44ED-40E9-A976-D9B49A188AD2}" destId="{5990EEB0-7DF6-4ABC-9641-704A926B6BF4}" srcOrd="2" destOrd="0" presId="urn:microsoft.com/office/officeart/2005/8/layout/lProcess3"/>
    <dgm:cxn modelId="{B266F980-9C37-4E99-AC08-099297472A68}" type="presParOf" srcId="{5990EEB0-7DF6-4ABC-9641-704A926B6BF4}" destId="{EC4B8964-A65A-46FC-98F9-6CD0319CEAD1}" srcOrd="0" destOrd="0" presId="urn:microsoft.com/office/officeart/2005/8/layout/lProcess3"/>
    <dgm:cxn modelId="{47500FF9-2918-4910-9784-613926593760}" type="presParOf" srcId="{5990EEB0-7DF6-4ABC-9641-704A926B6BF4}" destId="{F4625128-715C-4120-A959-29C43316ECB6}" srcOrd="1" destOrd="0" presId="urn:microsoft.com/office/officeart/2005/8/layout/lProcess3"/>
    <dgm:cxn modelId="{C4E305A8-55DF-46E4-A044-2263D3CDF7FF}" type="presParOf" srcId="{5990EEB0-7DF6-4ABC-9641-704A926B6BF4}" destId="{98E3085E-D5A8-4CD2-B63B-98BBC9772BC1}" srcOrd="2" destOrd="0" presId="urn:microsoft.com/office/officeart/2005/8/layout/lProcess3"/>
    <dgm:cxn modelId="{675B18D4-A6EB-45C9-ADB9-69A7BAE529FF}" type="presParOf" srcId="{5990EEB0-7DF6-4ABC-9641-704A926B6BF4}" destId="{41FF68D5-ECD4-4F08-A6D1-C577E07BD433}" srcOrd="3" destOrd="0" presId="urn:microsoft.com/office/officeart/2005/8/layout/lProcess3"/>
    <dgm:cxn modelId="{6ACA6783-0B01-4DA9-9A6E-BE8147975628}" type="presParOf" srcId="{5990EEB0-7DF6-4ABC-9641-704A926B6BF4}" destId="{948FCFC5-09F1-403A-9F42-2D944D04F28F}" srcOrd="4" destOrd="0" presId="urn:microsoft.com/office/officeart/2005/8/layout/lProcess3"/>
    <dgm:cxn modelId="{F7817562-A153-4F84-BA7C-3C766EF14538}" type="presParOf" srcId="{E49CBCF7-44ED-40E9-A976-D9B49A188AD2}" destId="{B65A6C7A-7928-4CF5-81EE-A54F5A63350C}" srcOrd="3" destOrd="0" presId="urn:microsoft.com/office/officeart/2005/8/layout/lProcess3"/>
    <dgm:cxn modelId="{852B64EE-FDF5-4B7E-92B8-59706BAFBC40}" type="presParOf" srcId="{E49CBCF7-44ED-40E9-A976-D9B49A188AD2}" destId="{11BE175D-11FA-41E5-8E05-8AAF318B288D}" srcOrd="4" destOrd="0" presId="urn:microsoft.com/office/officeart/2005/8/layout/lProcess3"/>
    <dgm:cxn modelId="{1F51B8A3-B051-41FC-93E7-9283A0C2BD8E}" type="presParOf" srcId="{11BE175D-11FA-41E5-8E05-8AAF318B288D}" destId="{1270114B-C779-4FA6-960F-F854B03817B8}" srcOrd="0" destOrd="0" presId="urn:microsoft.com/office/officeart/2005/8/layout/lProcess3"/>
    <dgm:cxn modelId="{3C267876-7106-4014-A8D0-4BDF77A40C03}" type="presParOf" srcId="{11BE175D-11FA-41E5-8E05-8AAF318B288D}" destId="{DCA672A3-727E-4800-B0BF-89E443A800F1}" srcOrd="1" destOrd="0" presId="urn:microsoft.com/office/officeart/2005/8/layout/lProcess3"/>
    <dgm:cxn modelId="{7A76A2F8-D251-4EF4-95D7-AA51D89E81E1}" type="presParOf" srcId="{11BE175D-11FA-41E5-8E05-8AAF318B288D}" destId="{E107C1C5-3B60-4DA7-8114-887BD0B027B8}" srcOrd="2" destOrd="0" presId="urn:microsoft.com/office/officeart/2005/8/layout/lProcess3"/>
    <dgm:cxn modelId="{5B7369FF-DEF9-4540-A759-D19144C2E0CA}" type="presParOf" srcId="{11BE175D-11FA-41E5-8E05-8AAF318B288D}" destId="{7F9C26DE-EC75-4573-98BE-589F3A856E0F}" srcOrd="3" destOrd="0" presId="urn:microsoft.com/office/officeart/2005/8/layout/lProcess3"/>
    <dgm:cxn modelId="{06D4C86D-D47D-4010-895E-3F6738F98A6F}" type="presParOf" srcId="{11BE175D-11FA-41E5-8E05-8AAF318B288D}" destId="{58212D8E-356A-4638-ADDF-2041D2A2B478}" srcOrd="4" destOrd="0" presId="urn:microsoft.com/office/officeart/2005/8/layout/lProcess3"/>
    <dgm:cxn modelId="{866BA041-BF38-4FCE-9329-464354D1A1E4}" type="presParOf" srcId="{E49CBCF7-44ED-40E9-A976-D9B49A188AD2}" destId="{7C731FFD-7FF3-46D9-8067-A0895CF70BE7}" srcOrd="5" destOrd="0" presId="urn:microsoft.com/office/officeart/2005/8/layout/lProcess3"/>
    <dgm:cxn modelId="{B3A621B1-A55E-48C2-A686-BCA6FD23EFFC}" type="presParOf" srcId="{E49CBCF7-44ED-40E9-A976-D9B49A188AD2}" destId="{0C6B87E8-F832-4C50-951B-8F0B7F0B59D4}" srcOrd="6" destOrd="0" presId="urn:microsoft.com/office/officeart/2005/8/layout/lProcess3"/>
    <dgm:cxn modelId="{F84321C1-8995-4DB6-8B96-68EB9EF9A094}" type="presParOf" srcId="{0C6B87E8-F832-4C50-951B-8F0B7F0B59D4}" destId="{D6871083-5922-4E6B-A7EA-54C5B60BFC4C}" srcOrd="0" destOrd="0" presId="urn:microsoft.com/office/officeart/2005/8/layout/lProcess3"/>
    <dgm:cxn modelId="{43A992AF-E450-4033-9DEE-C910CBF51F3B}" type="presParOf" srcId="{0C6B87E8-F832-4C50-951B-8F0B7F0B59D4}" destId="{A751AB50-2135-4E0A-9235-B5AAE512FB6D}" srcOrd="1" destOrd="0" presId="urn:microsoft.com/office/officeart/2005/8/layout/lProcess3"/>
    <dgm:cxn modelId="{A219523F-F875-4349-99BF-7D9B91C62D58}" type="presParOf" srcId="{0C6B87E8-F832-4C50-951B-8F0B7F0B59D4}" destId="{85A1AF33-FC91-41D9-8673-0C49D54D4699}" srcOrd="2" destOrd="0" presId="urn:microsoft.com/office/officeart/2005/8/layout/lProcess3"/>
    <dgm:cxn modelId="{0186875E-9DE3-4512-826C-D535DC11CF4C}" type="presParOf" srcId="{0C6B87E8-F832-4C50-951B-8F0B7F0B59D4}" destId="{DB151AD4-FE9A-47A8-935E-092F32E85F17}" srcOrd="3" destOrd="0" presId="urn:microsoft.com/office/officeart/2005/8/layout/lProcess3"/>
    <dgm:cxn modelId="{85DD2E49-BC16-408A-B5A5-51641CEE68AA}" type="presParOf" srcId="{0C6B87E8-F832-4C50-951B-8F0B7F0B59D4}" destId="{DB8960A1-8338-4597-A115-32A81F6A66DE}" srcOrd="4" destOrd="0" presId="urn:microsoft.com/office/officeart/2005/8/layout/lProcess3"/>
    <dgm:cxn modelId="{6A9C97D3-21DD-4042-BE91-D56DCF5B85F9}" type="presParOf" srcId="{E49CBCF7-44ED-40E9-A976-D9B49A188AD2}" destId="{A085A736-4922-4ACC-B97A-6490D1F60FB4}" srcOrd="7" destOrd="0" presId="urn:microsoft.com/office/officeart/2005/8/layout/lProcess3"/>
    <dgm:cxn modelId="{08DE7EAF-EE80-4343-B72A-7DABA8EF5B2B}" type="presParOf" srcId="{E49CBCF7-44ED-40E9-A976-D9B49A188AD2}" destId="{C2DA4D7D-7DB3-4A1F-94A0-B84601E1C089}" srcOrd="8" destOrd="0" presId="urn:microsoft.com/office/officeart/2005/8/layout/lProcess3"/>
    <dgm:cxn modelId="{9C8CB113-143D-4ACE-A983-EBA6419A442A}" type="presParOf" srcId="{C2DA4D7D-7DB3-4A1F-94A0-B84601E1C089}" destId="{1417C7F4-8E9D-4F53-A082-4F4E8FDF1511}" srcOrd="0" destOrd="0" presId="urn:microsoft.com/office/officeart/2005/8/layout/lProcess3"/>
    <dgm:cxn modelId="{6D3BDA30-B447-4E1F-A707-76ED88585C02}" type="presParOf" srcId="{C2DA4D7D-7DB3-4A1F-94A0-B84601E1C089}" destId="{616CA3B2-A0FA-4045-A3DF-377DCE49B4E2}" srcOrd="1" destOrd="0" presId="urn:microsoft.com/office/officeart/2005/8/layout/lProcess3"/>
    <dgm:cxn modelId="{4B4C9EFE-59C2-49F5-8E58-5C492832EF73}" type="presParOf" srcId="{C2DA4D7D-7DB3-4A1F-94A0-B84601E1C089}" destId="{CC8CA22A-7D88-4DE9-800F-2B8A31DA8CAC}" srcOrd="2" destOrd="0" presId="urn:microsoft.com/office/officeart/2005/8/layout/lProcess3"/>
    <dgm:cxn modelId="{9E108AE7-9223-4B93-B0A3-22EE199ABBFE}" type="presParOf" srcId="{C2DA4D7D-7DB3-4A1F-94A0-B84601E1C089}" destId="{B2B37305-66FA-4B43-A6BB-FE8E2AD03260}" srcOrd="3" destOrd="0" presId="urn:microsoft.com/office/officeart/2005/8/layout/lProcess3"/>
    <dgm:cxn modelId="{F402603F-4077-49B3-9321-88B6AE5F5197}" type="presParOf" srcId="{C2DA4D7D-7DB3-4A1F-94A0-B84601E1C089}" destId="{7DE5D1A9-1F38-4566-AAF3-A73F385858BC}" srcOrd="4" destOrd="0" presId="urn:microsoft.com/office/officeart/2005/8/layout/lProcess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8A96B6D-DF45-465D-A0DE-1BDFA307345B}" type="doc">
      <dgm:prSet loTypeId="urn:microsoft.com/office/officeart/2005/8/layout/matrix2" loCatId="matrix" qsTypeId="urn:microsoft.com/office/officeart/2005/8/quickstyle/simple1" qsCatId="simple" csTypeId="urn:microsoft.com/office/officeart/2005/8/colors/colorful4" csCatId="colorful"/>
      <dgm:spPr/>
      <dgm:t>
        <a:bodyPr/>
        <a:lstStyle/>
        <a:p>
          <a:endParaRPr lang="en-GB"/>
        </a:p>
      </dgm:t>
    </dgm:pt>
    <dgm:pt modelId="{365BB066-B1B3-48D3-8C1E-F8D1A7EB8006}">
      <dgm:prSet/>
      <dgm:spPr>
        <a:xfrm>
          <a:off x="843486" y="318023"/>
          <a:ext cx="1957070" cy="1957070"/>
        </a:xfrm>
        <a:prstGeom prst="roundRect">
          <a:avLst/>
        </a:prstGeom>
        <a:solidFill>
          <a:srgbClr val="0F9E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Strengths</a:t>
          </a:r>
          <a:endParaRPr lang="en-GB">
            <a:solidFill>
              <a:sysClr val="window" lastClr="FFFFFF"/>
            </a:solidFill>
            <a:latin typeface="Aptos" panose="02110004020202020204"/>
            <a:ea typeface="+mn-ea"/>
            <a:cs typeface="+mn-cs"/>
          </a:endParaRPr>
        </a:p>
      </dgm:t>
    </dgm:pt>
    <dgm:pt modelId="{9D5BAB7C-F4DB-4B6B-BBC1-5A67414388A0}" type="parTrans" cxnId="{47F4D84F-0F05-47A9-8117-F52631B1E7B1}">
      <dgm:prSet/>
      <dgm:spPr/>
      <dgm:t>
        <a:bodyPr/>
        <a:lstStyle/>
        <a:p>
          <a:endParaRPr lang="en-GB"/>
        </a:p>
      </dgm:t>
    </dgm:pt>
    <dgm:pt modelId="{47048F29-EA0F-4344-8CC9-75ECE46B25A8}" type="sibTrans" cxnId="{47F4D84F-0F05-47A9-8117-F52631B1E7B1}">
      <dgm:prSet/>
      <dgm:spPr/>
      <dgm:t>
        <a:bodyPr/>
        <a:lstStyle/>
        <a:p>
          <a:endParaRPr lang="en-GB"/>
        </a:p>
      </dgm:t>
    </dgm:pt>
    <dgm:pt modelId="{B8BE0903-3594-4246-BD1F-20CCAD1EDDF7}">
      <dgm:prSet/>
      <dgm:spPr>
        <a:xfrm>
          <a:off x="843486" y="318023"/>
          <a:ext cx="1957070" cy="1957070"/>
        </a:xfrm>
        <a:prstGeom prst="roundRect">
          <a:avLst/>
        </a:prstGeom>
        <a:solidFill>
          <a:srgbClr val="0F9E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Global brand recognition</a:t>
          </a:r>
        </a:p>
      </dgm:t>
    </dgm:pt>
    <dgm:pt modelId="{34533AB7-E45B-48C1-90CE-6030ABCBD2DC}" type="parTrans" cxnId="{F22F4A71-68C9-4926-88D6-C347BF45E859}">
      <dgm:prSet/>
      <dgm:spPr/>
      <dgm:t>
        <a:bodyPr/>
        <a:lstStyle/>
        <a:p>
          <a:endParaRPr lang="en-GB"/>
        </a:p>
      </dgm:t>
    </dgm:pt>
    <dgm:pt modelId="{61658984-E0A8-40B2-AA8D-2FE6FD61682D}" type="sibTrans" cxnId="{F22F4A71-68C9-4926-88D6-C347BF45E859}">
      <dgm:prSet/>
      <dgm:spPr/>
      <dgm:t>
        <a:bodyPr/>
        <a:lstStyle/>
        <a:p>
          <a:endParaRPr lang="en-GB"/>
        </a:p>
      </dgm:t>
    </dgm:pt>
    <dgm:pt modelId="{43F6FC17-943D-4346-9171-3E22C90B61DA}">
      <dgm:prSet/>
      <dgm:spPr>
        <a:xfrm>
          <a:off x="843486" y="318023"/>
          <a:ext cx="1957070" cy="1957070"/>
        </a:xfrm>
        <a:prstGeom prst="roundRect">
          <a:avLst/>
        </a:prstGeom>
        <a:solidFill>
          <a:srgbClr val="0F9E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Efficient, low-cost supply chain</a:t>
          </a:r>
        </a:p>
      </dgm:t>
    </dgm:pt>
    <dgm:pt modelId="{B6A5F21A-AEF7-4AEE-A150-94EBF2C1BCB6}" type="parTrans" cxnId="{DA591859-40DC-4177-957C-83BB0E9B1F0E}">
      <dgm:prSet/>
      <dgm:spPr/>
      <dgm:t>
        <a:bodyPr/>
        <a:lstStyle/>
        <a:p>
          <a:endParaRPr lang="en-GB"/>
        </a:p>
      </dgm:t>
    </dgm:pt>
    <dgm:pt modelId="{F020A8E9-5780-4AB2-8B70-8A3FF9352F40}" type="sibTrans" cxnId="{DA591859-40DC-4177-957C-83BB0E9B1F0E}">
      <dgm:prSet/>
      <dgm:spPr/>
      <dgm:t>
        <a:bodyPr/>
        <a:lstStyle/>
        <a:p>
          <a:endParaRPr lang="en-GB"/>
        </a:p>
      </dgm:t>
    </dgm:pt>
    <dgm:pt modelId="{D6D89B91-3ED3-4143-BEC6-319D573DA688}">
      <dgm:prSet/>
      <dgm:spPr>
        <a:xfrm>
          <a:off x="843486" y="318023"/>
          <a:ext cx="1957070" cy="1957070"/>
        </a:xfrm>
        <a:prstGeom prst="roundRect">
          <a:avLst/>
        </a:prstGeom>
        <a:solidFill>
          <a:srgbClr val="0F9E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Wide and adaptable product range</a:t>
          </a:r>
        </a:p>
      </dgm:t>
    </dgm:pt>
    <dgm:pt modelId="{F74A8BAF-02DE-4F39-A0CD-51B72BF90A08}" type="parTrans" cxnId="{8B6B0A4B-97D2-4B69-90D5-4BF84534918D}">
      <dgm:prSet/>
      <dgm:spPr/>
      <dgm:t>
        <a:bodyPr/>
        <a:lstStyle/>
        <a:p>
          <a:endParaRPr lang="en-GB"/>
        </a:p>
      </dgm:t>
    </dgm:pt>
    <dgm:pt modelId="{D30C28E3-CE08-41F3-B88A-4402063E7DF3}" type="sibTrans" cxnId="{8B6B0A4B-97D2-4B69-90D5-4BF84534918D}">
      <dgm:prSet/>
      <dgm:spPr/>
      <dgm:t>
        <a:bodyPr/>
        <a:lstStyle/>
        <a:p>
          <a:endParaRPr lang="en-GB"/>
        </a:p>
      </dgm:t>
    </dgm:pt>
    <dgm:pt modelId="{A0AEF538-4370-43E2-8ECF-853C730BDF3E}">
      <dgm:prSet/>
      <dgm:spPr>
        <a:xfrm>
          <a:off x="3143043" y="318023"/>
          <a:ext cx="1957070" cy="1957070"/>
        </a:xfrm>
        <a:prstGeom prst="roundRect">
          <a:avLst/>
        </a:prstGeom>
        <a:solidFill>
          <a:srgbClr val="0F9ED5">
            <a:hueOff val="2199979"/>
            <a:satOff val="-9734"/>
            <a:lumOff val="-163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Weaknesses</a:t>
          </a:r>
          <a:endParaRPr lang="en-GB">
            <a:solidFill>
              <a:sysClr val="window" lastClr="FFFFFF"/>
            </a:solidFill>
            <a:latin typeface="Aptos" panose="02110004020202020204"/>
            <a:ea typeface="+mn-ea"/>
            <a:cs typeface="+mn-cs"/>
          </a:endParaRPr>
        </a:p>
      </dgm:t>
    </dgm:pt>
    <dgm:pt modelId="{0ADCCBE9-F3A6-4385-9B7E-1970DE0F795F}" type="parTrans" cxnId="{C968D024-F691-49B2-B03F-B4904E14518B}">
      <dgm:prSet/>
      <dgm:spPr/>
      <dgm:t>
        <a:bodyPr/>
        <a:lstStyle/>
        <a:p>
          <a:endParaRPr lang="en-GB"/>
        </a:p>
      </dgm:t>
    </dgm:pt>
    <dgm:pt modelId="{FFD3A984-C4C1-4135-AAFE-491D1ED82A2C}" type="sibTrans" cxnId="{C968D024-F691-49B2-B03F-B4904E14518B}">
      <dgm:prSet/>
      <dgm:spPr/>
      <dgm:t>
        <a:bodyPr/>
        <a:lstStyle/>
        <a:p>
          <a:endParaRPr lang="en-GB"/>
        </a:p>
      </dgm:t>
    </dgm:pt>
    <dgm:pt modelId="{989BBF31-609E-4A21-A183-A536FD8E1655}">
      <dgm:prSet/>
      <dgm:spPr>
        <a:xfrm>
          <a:off x="3143043" y="318023"/>
          <a:ext cx="1957070" cy="1957070"/>
        </a:xfrm>
        <a:prstGeom prst="roundRect">
          <a:avLst/>
        </a:prstGeom>
        <a:solidFill>
          <a:srgbClr val="0F9ED5">
            <a:hueOff val="2199979"/>
            <a:satOff val="-9734"/>
            <a:lumOff val="-163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Limited local strategic autonomy</a:t>
          </a:r>
        </a:p>
      </dgm:t>
    </dgm:pt>
    <dgm:pt modelId="{1ACDF3DA-5E11-4403-A2A3-89A039F28979}" type="parTrans" cxnId="{DDDE082F-C730-4DE6-9DA1-D4D779BEDBCA}">
      <dgm:prSet/>
      <dgm:spPr/>
      <dgm:t>
        <a:bodyPr/>
        <a:lstStyle/>
        <a:p>
          <a:endParaRPr lang="en-GB"/>
        </a:p>
      </dgm:t>
    </dgm:pt>
    <dgm:pt modelId="{01B38EF0-E274-4A2B-B247-D9DB875B7582}" type="sibTrans" cxnId="{DDDE082F-C730-4DE6-9DA1-D4D779BEDBCA}">
      <dgm:prSet/>
      <dgm:spPr/>
      <dgm:t>
        <a:bodyPr/>
        <a:lstStyle/>
        <a:p>
          <a:endParaRPr lang="en-GB"/>
        </a:p>
      </dgm:t>
    </dgm:pt>
    <dgm:pt modelId="{6B694C3F-828A-4A83-AB31-003FC67B2CA6}">
      <dgm:prSet/>
      <dgm:spPr>
        <a:xfrm>
          <a:off x="3143043" y="318023"/>
          <a:ext cx="1957070" cy="1957070"/>
        </a:xfrm>
        <a:prstGeom prst="roundRect">
          <a:avLst/>
        </a:prstGeom>
        <a:solidFill>
          <a:srgbClr val="0F9ED5">
            <a:hueOff val="2199979"/>
            <a:satOff val="-9734"/>
            <a:lumOff val="-163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Rising operational and logistics costs</a:t>
          </a:r>
        </a:p>
      </dgm:t>
    </dgm:pt>
    <dgm:pt modelId="{FAA5508F-6EB2-40D1-8866-B701A9147A5B}" type="parTrans" cxnId="{11CDD457-D2C9-4F57-BCCB-90309FB6A0A0}">
      <dgm:prSet/>
      <dgm:spPr/>
      <dgm:t>
        <a:bodyPr/>
        <a:lstStyle/>
        <a:p>
          <a:endParaRPr lang="en-GB"/>
        </a:p>
      </dgm:t>
    </dgm:pt>
    <dgm:pt modelId="{7E9F5590-7601-4D7F-A6D5-421B94CE3AE0}" type="sibTrans" cxnId="{11CDD457-D2C9-4F57-BCCB-90309FB6A0A0}">
      <dgm:prSet/>
      <dgm:spPr/>
      <dgm:t>
        <a:bodyPr/>
        <a:lstStyle/>
        <a:p>
          <a:endParaRPr lang="en-GB"/>
        </a:p>
      </dgm:t>
    </dgm:pt>
    <dgm:pt modelId="{613E3C79-9BCD-48CA-AAF8-A0603D82575F}">
      <dgm:prSet/>
      <dgm:spPr>
        <a:xfrm>
          <a:off x="3143043" y="318023"/>
          <a:ext cx="1957070" cy="1957070"/>
        </a:xfrm>
        <a:prstGeom prst="roundRect">
          <a:avLst/>
        </a:prstGeom>
        <a:solidFill>
          <a:srgbClr val="0F9ED5">
            <a:hueOff val="2199979"/>
            <a:satOff val="-9734"/>
            <a:lumOff val="-163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Delivery and last-mile inefficiencies</a:t>
          </a:r>
        </a:p>
      </dgm:t>
    </dgm:pt>
    <dgm:pt modelId="{467C3B2A-9B22-4293-ACD1-2367BE3DEAE6}" type="parTrans" cxnId="{C93B08AB-13F5-467F-BB3E-8418A527EA43}">
      <dgm:prSet/>
      <dgm:spPr/>
      <dgm:t>
        <a:bodyPr/>
        <a:lstStyle/>
        <a:p>
          <a:endParaRPr lang="en-GB"/>
        </a:p>
      </dgm:t>
    </dgm:pt>
    <dgm:pt modelId="{8B4C0839-C2D5-4B5C-ACAB-FF5C3AD3E96D}" type="sibTrans" cxnId="{C93B08AB-13F5-467F-BB3E-8418A527EA43}">
      <dgm:prSet/>
      <dgm:spPr/>
      <dgm:t>
        <a:bodyPr/>
        <a:lstStyle/>
        <a:p>
          <a:endParaRPr lang="en-GB"/>
        </a:p>
      </dgm:t>
    </dgm:pt>
    <dgm:pt modelId="{0C3F1500-E761-4A61-954D-41CCA60C7020}">
      <dgm:prSet/>
      <dgm:spPr>
        <a:xfrm>
          <a:off x="843486" y="2617581"/>
          <a:ext cx="1957070" cy="1957070"/>
        </a:xfrm>
        <a:prstGeom prst="roundRect">
          <a:avLst/>
        </a:prstGeom>
        <a:solidFill>
          <a:srgbClr val="0F9ED5">
            <a:hueOff val="4399958"/>
            <a:satOff val="-19468"/>
            <a:lumOff val="-3269"/>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Opportunities</a:t>
          </a:r>
          <a:endParaRPr lang="en-GB">
            <a:solidFill>
              <a:sysClr val="window" lastClr="FFFFFF"/>
            </a:solidFill>
            <a:latin typeface="Aptos" panose="02110004020202020204"/>
            <a:ea typeface="+mn-ea"/>
            <a:cs typeface="+mn-cs"/>
          </a:endParaRPr>
        </a:p>
      </dgm:t>
    </dgm:pt>
    <dgm:pt modelId="{3DC2E0EC-B685-4F59-BB94-3343D3AFE2C2}" type="parTrans" cxnId="{AA6D6AC9-996F-4A05-9F41-5FDF50F841DC}">
      <dgm:prSet/>
      <dgm:spPr/>
      <dgm:t>
        <a:bodyPr/>
        <a:lstStyle/>
        <a:p>
          <a:endParaRPr lang="en-GB"/>
        </a:p>
      </dgm:t>
    </dgm:pt>
    <dgm:pt modelId="{A9BDA694-24A8-4F44-9E9C-9A841BA49C05}" type="sibTrans" cxnId="{AA6D6AC9-996F-4A05-9F41-5FDF50F841DC}">
      <dgm:prSet/>
      <dgm:spPr/>
      <dgm:t>
        <a:bodyPr/>
        <a:lstStyle/>
        <a:p>
          <a:endParaRPr lang="en-GB"/>
        </a:p>
      </dgm:t>
    </dgm:pt>
    <dgm:pt modelId="{493C1488-4D47-4E60-8C8E-7B1F20C510F4}">
      <dgm:prSet/>
      <dgm:spPr>
        <a:xfrm>
          <a:off x="843486" y="2617581"/>
          <a:ext cx="1957070" cy="1957070"/>
        </a:xfrm>
        <a:prstGeom prst="roundRect">
          <a:avLst/>
        </a:prstGeom>
        <a:solidFill>
          <a:srgbClr val="0F9ED5">
            <a:hueOff val="4399958"/>
            <a:satOff val="-19468"/>
            <a:lumOff val="-3269"/>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E-commerce expansion</a:t>
          </a:r>
        </a:p>
      </dgm:t>
    </dgm:pt>
    <dgm:pt modelId="{12CBD941-D1CE-4B27-A5E7-8F2978FE4B2D}" type="parTrans" cxnId="{84B00BA5-A2D9-47AE-8719-EE2ECDAD5B4E}">
      <dgm:prSet/>
      <dgm:spPr/>
      <dgm:t>
        <a:bodyPr/>
        <a:lstStyle/>
        <a:p>
          <a:endParaRPr lang="en-GB"/>
        </a:p>
      </dgm:t>
    </dgm:pt>
    <dgm:pt modelId="{D5F25DEB-3E45-4DA5-9C34-A5A0122913AF}" type="sibTrans" cxnId="{84B00BA5-A2D9-47AE-8719-EE2ECDAD5B4E}">
      <dgm:prSet/>
      <dgm:spPr/>
      <dgm:t>
        <a:bodyPr/>
        <a:lstStyle/>
        <a:p>
          <a:endParaRPr lang="en-GB"/>
        </a:p>
      </dgm:t>
    </dgm:pt>
    <dgm:pt modelId="{FB82840C-4FFD-4A81-9BA7-731E54144D69}">
      <dgm:prSet/>
      <dgm:spPr>
        <a:xfrm>
          <a:off x="843486" y="2617581"/>
          <a:ext cx="1957070" cy="1957070"/>
        </a:xfrm>
        <a:prstGeom prst="roundRect">
          <a:avLst/>
        </a:prstGeom>
        <a:solidFill>
          <a:srgbClr val="0F9ED5">
            <a:hueOff val="4399958"/>
            <a:satOff val="-19468"/>
            <a:lumOff val="-3269"/>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Urban micro-store formats</a:t>
          </a:r>
        </a:p>
      </dgm:t>
    </dgm:pt>
    <dgm:pt modelId="{7330D4DB-58E3-444F-92DD-2DB7098A5697}" type="parTrans" cxnId="{04763EFA-565F-4F32-B3E6-DE2462C0D520}">
      <dgm:prSet/>
      <dgm:spPr/>
      <dgm:t>
        <a:bodyPr/>
        <a:lstStyle/>
        <a:p>
          <a:endParaRPr lang="en-GB"/>
        </a:p>
      </dgm:t>
    </dgm:pt>
    <dgm:pt modelId="{4B0DA04D-EAB4-4576-AFD1-033BA033E4F9}" type="sibTrans" cxnId="{04763EFA-565F-4F32-B3E6-DE2462C0D520}">
      <dgm:prSet/>
      <dgm:spPr/>
      <dgm:t>
        <a:bodyPr/>
        <a:lstStyle/>
        <a:p>
          <a:endParaRPr lang="en-GB"/>
        </a:p>
      </dgm:t>
    </dgm:pt>
    <dgm:pt modelId="{F200FC08-7216-4CF5-B177-0CC00333D656}">
      <dgm:prSet/>
      <dgm:spPr>
        <a:xfrm>
          <a:off x="843486" y="2617581"/>
          <a:ext cx="1957070" cy="1957070"/>
        </a:xfrm>
        <a:prstGeom prst="roundRect">
          <a:avLst/>
        </a:prstGeom>
        <a:solidFill>
          <a:srgbClr val="0F9ED5">
            <a:hueOff val="4399958"/>
            <a:satOff val="-19468"/>
            <a:lumOff val="-3269"/>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Growth in sustainable and circular products</a:t>
          </a:r>
        </a:p>
      </dgm:t>
    </dgm:pt>
    <dgm:pt modelId="{34EED944-0BA6-495E-8ADB-6C4A8C42FEB6}" type="parTrans" cxnId="{8B2C9355-9907-4E12-93D2-5262B65513E5}">
      <dgm:prSet/>
      <dgm:spPr/>
      <dgm:t>
        <a:bodyPr/>
        <a:lstStyle/>
        <a:p>
          <a:endParaRPr lang="en-GB"/>
        </a:p>
      </dgm:t>
    </dgm:pt>
    <dgm:pt modelId="{8E4441DB-702C-42B3-B053-1FA5487646BA}" type="sibTrans" cxnId="{8B2C9355-9907-4E12-93D2-5262B65513E5}">
      <dgm:prSet/>
      <dgm:spPr/>
      <dgm:t>
        <a:bodyPr/>
        <a:lstStyle/>
        <a:p>
          <a:endParaRPr lang="en-GB"/>
        </a:p>
      </dgm:t>
    </dgm:pt>
    <dgm:pt modelId="{48CFE0FB-3B00-4268-924A-18DEA1E24CE4}">
      <dgm:prSet/>
      <dgm:spPr>
        <a:xfrm>
          <a:off x="3143043" y="2617581"/>
          <a:ext cx="1957070" cy="1957070"/>
        </a:xfrm>
        <a:prstGeom prst="roundRect">
          <a:avLst/>
        </a:prstGeom>
        <a:solidFill>
          <a:srgbClr val="0F9ED5">
            <a:hueOff val="6599937"/>
            <a:satOff val="-29202"/>
            <a:lumOff val="-490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Threats</a:t>
          </a:r>
          <a:endParaRPr lang="en-GB">
            <a:solidFill>
              <a:sysClr val="window" lastClr="FFFFFF"/>
            </a:solidFill>
            <a:latin typeface="Aptos" panose="02110004020202020204"/>
            <a:ea typeface="+mn-ea"/>
            <a:cs typeface="+mn-cs"/>
          </a:endParaRPr>
        </a:p>
      </dgm:t>
    </dgm:pt>
    <dgm:pt modelId="{1C2010E3-C5B4-409C-B194-941F0B4BBC5C}" type="parTrans" cxnId="{D6E758AA-65FD-4DA2-90AE-B5335FA42AEC}">
      <dgm:prSet/>
      <dgm:spPr/>
      <dgm:t>
        <a:bodyPr/>
        <a:lstStyle/>
        <a:p>
          <a:endParaRPr lang="en-GB"/>
        </a:p>
      </dgm:t>
    </dgm:pt>
    <dgm:pt modelId="{B192FF5F-CA3E-4789-A8DD-4EAA7C2B5225}" type="sibTrans" cxnId="{D6E758AA-65FD-4DA2-90AE-B5335FA42AEC}">
      <dgm:prSet/>
      <dgm:spPr/>
      <dgm:t>
        <a:bodyPr/>
        <a:lstStyle/>
        <a:p>
          <a:endParaRPr lang="en-GB"/>
        </a:p>
      </dgm:t>
    </dgm:pt>
    <dgm:pt modelId="{77C73A59-5D66-4AB4-86D0-49E679BA750F}">
      <dgm:prSet/>
      <dgm:spPr>
        <a:xfrm>
          <a:off x="3143043" y="2617581"/>
          <a:ext cx="1957070" cy="1957070"/>
        </a:xfrm>
        <a:prstGeom prst="roundRect">
          <a:avLst/>
        </a:prstGeom>
        <a:solidFill>
          <a:srgbClr val="0F9ED5">
            <a:hueOff val="6599937"/>
            <a:satOff val="-29202"/>
            <a:lumOff val="-490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Digital-first competitors</a:t>
          </a:r>
        </a:p>
      </dgm:t>
    </dgm:pt>
    <dgm:pt modelId="{18F58F2F-F0D0-4D36-A546-86364C561C0D}" type="parTrans" cxnId="{F8AD2DF9-360B-461A-A547-4CB0773C0E03}">
      <dgm:prSet/>
      <dgm:spPr/>
      <dgm:t>
        <a:bodyPr/>
        <a:lstStyle/>
        <a:p>
          <a:endParaRPr lang="en-GB"/>
        </a:p>
      </dgm:t>
    </dgm:pt>
    <dgm:pt modelId="{B2B1C9B4-DE57-4CC6-8B31-C454EBF60B44}" type="sibTrans" cxnId="{F8AD2DF9-360B-461A-A547-4CB0773C0E03}">
      <dgm:prSet/>
      <dgm:spPr/>
      <dgm:t>
        <a:bodyPr/>
        <a:lstStyle/>
        <a:p>
          <a:endParaRPr lang="en-GB"/>
        </a:p>
      </dgm:t>
    </dgm:pt>
    <dgm:pt modelId="{0DE79778-39D4-417F-970E-6EF84A2BACAE}">
      <dgm:prSet/>
      <dgm:spPr>
        <a:xfrm>
          <a:off x="3143043" y="2617581"/>
          <a:ext cx="1957070" cy="1957070"/>
        </a:xfrm>
        <a:prstGeom prst="roundRect">
          <a:avLst/>
        </a:prstGeom>
        <a:solidFill>
          <a:srgbClr val="0F9ED5">
            <a:hueOff val="6599937"/>
            <a:satOff val="-29202"/>
            <a:lumOff val="-490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Regulatory and sustainability pressures</a:t>
          </a:r>
        </a:p>
      </dgm:t>
    </dgm:pt>
    <dgm:pt modelId="{AA8AAC9E-6988-4E2E-8197-55DFABE0B96D}" type="parTrans" cxnId="{B32D22DD-212A-4A09-8643-9586E9D5CB64}">
      <dgm:prSet/>
      <dgm:spPr/>
      <dgm:t>
        <a:bodyPr/>
        <a:lstStyle/>
        <a:p>
          <a:endParaRPr lang="en-GB"/>
        </a:p>
      </dgm:t>
    </dgm:pt>
    <dgm:pt modelId="{A9B4C38E-D108-455C-B43D-805BBD294C73}" type="sibTrans" cxnId="{B32D22DD-212A-4A09-8643-9586E9D5CB64}">
      <dgm:prSet/>
      <dgm:spPr/>
      <dgm:t>
        <a:bodyPr/>
        <a:lstStyle/>
        <a:p>
          <a:endParaRPr lang="en-GB"/>
        </a:p>
      </dgm:t>
    </dgm:pt>
    <dgm:pt modelId="{05B58E83-FDCC-4CD1-976C-02397DEEA444}">
      <dgm:prSet/>
      <dgm:spPr>
        <a:xfrm>
          <a:off x="3143043" y="2617581"/>
          <a:ext cx="1957070" cy="1957070"/>
        </a:xfrm>
        <a:prstGeom prst="roundRect">
          <a:avLst/>
        </a:prstGeom>
        <a:solidFill>
          <a:srgbClr val="0F9ED5">
            <a:hueOff val="6599937"/>
            <a:satOff val="-29202"/>
            <a:lumOff val="-490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Economic instability in UK market</a:t>
          </a:r>
        </a:p>
      </dgm:t>
    </dgm:pt>
    <dgm:pt modelId="{97708A72-FFAF-4905-8412-9B015A91212D}" type="parTrans" cxnId="{9692DAA0-9B64-4DFD-A229-27E755D31BD8}">
      <dgm:prSet/>
      <dgm:spPr/>
      <dgm:t>
        <a:bodyPr/>
        <a:lstStyle/>
        <a:p>
          <a:endParaRPr lang="en-GB"/>
        </a:p>
      </dgm:t>
    </dgm:pt>
    <dgm:pt modelId="{8A2B44D5-2889-4B6E-9D49-B3E8D4E5EEEF}" type="sibTrans" cxnId="{9692DAA0-9B64-4DFD-A229-27E755D31BD8}">
      <dgm:prSet/>
      <dgm:spPr/>
      <dgm:t>
        <a:bodyPr/>
        <a:lstStyle/>
        <a:p>
          <a:endParaRPr lang="en-GB"/>
        </a:p>
      </dgm:t>
    </dgm:pt>
    <dgm:pt modelId="{865D903C-1DED-4781-813D-6EA170587E7F}" type="pres">
      <dgm:prSet presAssocID="{E8A96B6D-DF45-465D-A0DE-1BDFA307345B}" presName="matrix" presStyleCnt="0">
        <dgm:presLayoutVars>
          <dgm:chMax val="1"/>
          <dgm:dir/>
          <dgm:resizeHandles val="exact"/>
        </dgm:presLayoutVars>
      </dgm:prSet>
      <dgm:spPr/>
    </dgm:pt>
    <dgm:pt modelId="{ED7084B5-146E-4DFD-AA6E-7E54DB95FE29}" type="pres">
      <dgm:prSet presAssocID="{E8A96B6D-DF45-465D-A0DE-1BDFA307345B}" presName="axisShape" presStyleLbl="bgShp" presStyleIdx="0" presStyleCnt="1"/>
      <dgm:spPr>
        <a:xfrm>
          <a:off x="525462" y="0"/>
          <a:ext cx="4892675" cy="4892675"/>
        </a:xfrm>
        <a:prstGeom prst="quadArrow">
          <a:avLst>
            <a:gd name="adj1" fmla="val 2000"/>
            <a:gd name="adj2" fmla="val 4000"/>
            <a:gd name="adj3" fmla="val 5000"/>
          </a:avLst>
        </a:prstGeom>
        <a:solidFill>
          <a:srgbClr val="0F9ED5">
            <a:tint val="40000"/>
            <a:hueOff val="0"/>
            <a:satOff val="0"/>
            <a:lumOff val="0"/>
            <a:alphaOff val="0"/>
          </a:srgbClr>
        </a:solidFill>
        <a:ln>
          <a:noFill/>
        </a:ln>
        <a:effectLst/>
      </dgm:spPr>
    </dgm:pt>
    <dgm:pt modelId="{554A8A8A-E329-4B94-9831-ED54E3A2CED5}" type="pres">
      <dgm:prSet presAssocID="{E8A96B6D-DF45-465D-A0DE-1BDFA307345B}" presName="rect1" presStyleLbl="node1" presStyleIdx="0" presStyleCnt="4">
        <dgm:presLayoutVars>
          <dgm:chMax val="0"/>
          <dgm:chPref val="0"/>
          <dgm:bulletEnabled val="1"/>
        </dgm:presLayoutVars>
      </dgm:prSet>
      <dgm:spPr/>
    </dgm:pt>
    <dgm:pt modelId="{43AB438B-0904-4278-A82C-8063DF7D83AA}" type="pres">
      <dgm:prSet presAssocID="{E8A96B6D-DF45-465D-A0DE-1BDFA307345B}" presName="rect2" presStyleLbl="node1" presStyleIdx="1" presStyleCnt="4">
        <dgm:presLayoutVars>
          <dgm:chMax val="0"/>
          <dgm:chPref val="0"/>
          <dgm:bulletEnabled val="1"/>
        </dgm:presLayoutVars>
      </dgm:prSet>
      <dgm:spPr/>
    </dgm:pt>
    <dgm:pt modelId="{6DC0BE64-2FA1-425C-BB57-64FFC5843EA4}" type="pres">
      <dgm:prSet presAssocID="{E8A96B6D-DF45-465D-A0DE-1BDFA307345B}" presName="rect3" presStyleLbl="node1" presStyleIdx="2" presStyleCnt="4">
        <dgm:presLayoutVars>
          <dgm:chMax val="0"/>
          <dgm:chPref val="0"/>
          <dgm:bulletEnabled val="1"/>
        </dgm:presLayoutVars>
      </dgm:prSet>
      <dgm:spPr/>
    </dgm:pt>
    <dgm:pt modelId="{C355C659-F316-4254-8808-0A9F36153A19}" type="pres">
      <dgm:prSet presAssocID="{E8A96B6D-DF45-465D-A0DE-1BDFA307345B}" presName="rect4" presStyleLbl="node1" presStyleIdx="3" presStyleCnt="4">
        <dgm:presLayoutVars>
          <dgm:chMax val="0"/>
          <dgm:chPref val="0"/>
          <dgm:bulletEnabled val="1"/>
        </dgm:presLayoutVars>
      </dgm:prSet>
      <dgm:spPr/>
    </dgm:pt>
  </dgm:ptLst>
  <dgm:cxnLst>
    <dgm:cxn modelId="{7D38E30A-7296-4458-81B1-AED892A409D8}" type="presOf" srcId="{A0AEF538-4370-43E2-8ECF-853C730BDF3E}" destId="{43AB438B-0904-4278-A82C-8063DF7D83AA}" srcOrd="0" destOrd="0" presId="urn:microsoft.com/office/officeart/2005/8/layout/matrix2"/>
    <dgm:cxn modelId="{49C8120E-2F0F-4161-B6D9-D4B725057D3B}" type="presOf" srcId="{493C1488-4D47-4E60-8C8E-7B1F20C510F4}" destId="{6DC0BE64-2FA1-425C-BB57-64FFC5843EA4}" srcOrd="0" destOrd="1" presId="urn:microsoft.com/office/officeart/2005/8/layout/matrix2"/>
    <dgm:cxn modelId="{5D1A3B1B-32D7-4A0E-B08A-CD5B3F454BF5}" type="presOf" srcId="{B8BE0903-3594-4246-BD1F-20CCAD1EDDF7}" destId="{554A8A8A-E329-4B94-9831-ED54E3A2CED5}" srcOrd="0" destOrd="1" presId="urn:microsoft.com/office/officeart/2005/8/layout/matrix2"/>
    <dgm:cxn modelId="{C968D024-F691-49B2-B03F-B4904E14518B}" srcId="{E8A96B6D-DF45-465D-A0DE-1BDFA307345B}" destId="{A0AEF538-4370-43E2-8ECF-853C730BDF3E}" srcOrd="1" destOrd="0" parTransId="{0ADCCBE9-F3A6-4385-9B7E-1970DE0F795F}" sibTransId="{FFD3A984-C4C1-4135-AAFE-491D1ED82A2C}"/>
    <dgm:cxn modelId="{E22D1B2A-27DC-4659-9964-0F24FE9FA48C}" type="presOf" srcId="{0DE79778-39D4-417F-970E-6EF84A2BACAE}" destId="{C355C659-F316-4254-8808-0A9F36153A19}" srcOrd="0" destOrd="2" presId="urn:microsoft.com/office/officeart/2005/8/layout/matrix2"/>
    <dgm:cxn modelId="{DDDE082F-C730-4DE6-9DA1-D4D779BEDBCA}" srcId="{A0AEF538-4370-43E2-8ECF-853C730BDF3E}" destId="{989BBF31-609E-4A21-A183-A536FD8E1655}" srcOrd="0" destOrd="0" parTransId="{1ACDF3DA-5E11-4403-A2A3-89A039F28979}" sibTransId="{01B38EF0-E274-4A2B-B247-D9DB875B7582}"/>
    <dgm:cxn modelId="{8BF2C338-50E4-426E-9CAE-F64CE82BE9E6}" type="presOf" srcId="{F200FC08-7216-4CF5-B177-0CC00333D656}" destId="{6DC0BE64-2FA1-425C-BB57-64FFC5843EA4}" srcOrd="0" destOrd="3" presId="urn:microsoft.com/office/officeart/2005/8/layout/matrix2"/>
    <dgm:cxn modelId="{74BC1F46-07D6-42CB-9F4C-B303FFB1EA6C}" type="presOf" srcId="{989BBF31-609E-4A21-A183-A536FD8E1655}" destId="{43AB438B-0904-4278-A82C-8063DF7D83AA}" srcOrd="0" destOrd="1" presId="urn:microsoft.com/office/officeart/2005/8/layout/matrix2"/>
    <dgm:cxn modelId="{01763D49-C660-4A5D-AA2E-06FDE293DEC5}" type="presOf" srcId="{E8A96B6D-DF45-465D-A0DE-1BDFA307345B}" destId="{865D903C-1DED-4781-813D-6EA170587E7F}" srcOrd="0" destOrd="0" presId="urn:microsoft.com/office/officeart/2005/8/layout/matrix2"/>
    <dgm:cxn modelId="{8B6B0A4B-97D2-4B69-90D5-4BF84534918D}" srcId="{365BB066-B1B3-48D3-8C1E-F8D1A7EB8006}" destId="{D6D89B91-3ED3-4143-BEC6-319D573DA688}" srcOrd="2" destOrd="0" parTransId="{F74A8BAF-02DE-4F39-A0CD-51B72BF90A08}" sibTransId="{D30C28E3-CE08-41F3-B88A-4402063E7DF3}"/>
    <dgm:cxn modelId="{47F4D84F-0F05-47A9-8117-F52631B1E7B1}" srcId="{E8A96B6D-DF45-465D-A0DE-1BDFA307345B}" destId="{365BB066-B1B3-48D3-8C1E-F8D1A7EB8006}" srcOrd="0" destOrd="0" parTransId="{9D5BAB7C-F4DB-4B6B-BBC1-5A67414388A0}" sibTransId="{47048F29-EA0F-4344-8CC9-75ECE46B25A8}"/>
    <dgm:cxn modelId="{8B2C9355-9907-4E12-93D2-5262B65513E5}" srcId="{0C3F1500-E761-4A61-954D-41CCA60C7020}" destId="{F200FC08-7216-4CF5-B177-0CC00333D656}" srcOrd="2" destOrd="0" parTransId="{34EED944-0BA6-495E-8ADB-6C4A8C42FEB6}" sibTransId="{8E4441DB-702C-42B3-B053-1FA5487646BA}"/>
    <dgm:cxn modelId="{11CDD457-D2C9-4F57-BCCB-90309FB6A0A0}" srcId="{A0AEF538-4370-43E2-8ECF-853C730BDF3E}" destId="{6B694C3F-828A-4A83-AB31-003FC67B2CA6}" srcOrd="1" destOrd="0" parTransId="{FAA5508F-6EB2-40D1-8866-B701A9147A5B}" sibTransId="{7E9F5590-7601-4D7F-A6D5-421B94CE3AE0}"/>
    <dgm:cxn modelId="{DA591859-40DC-4177-957C-83BB0E9B1F0E}" srcId="{365BB066-B1B3-48D3-8C1E-F8D1A7EB8006}" destId="{43F6FC17-943D-4346-9171-3E22C90B61DA}" srcOrd="1" destOrd="0" parTransId="{B6A5F21A-AEF7-4AEE-A150-94EBF2C1BCB6}" sibTransId="{F020A8E9-5780-4AB2-8B70-8A3FF9352F40}"/>
    <dgm:cxn modelId="{4724535B-CDB5-4A51-BAD6-9DE11BDAC805}" type="presOf" srcId="{77C73A59-5D66-4AB4-86D0-49E679BA750F}" destId="{C355C659-F316-4254-8808-0A9F36153A19}" srcOrd="0" destOrd="1" presId="urn:microsoft.com/office/officeart/2005/8/layout/matrix2"/>
    <dgm:cxn modelId="{BCF7E460-3EAB-4FEA-9313-1C4CB2906CE3}" type="presOf" srcId="{48CFE0FB-3B00-4268-924A-18DEA1E24CE4}" destId="{C355C659-F316-4254-8808-0A9F36153A19}" srcOrd="0" destOrd="0" presId="urn:microsoft.com/office/officeart/2005/8/layout/matrix2"/>
    <dgm:cxn modelId="{F22F4A71-68C9-4926-88D6-C347BF45E859}" srcId="{365BB066-B1B3-48D3-8C1E-F8D1A7EB8006}" destId="{B8BE0903-3594-4246-BD1F-20CCAD1EDDF7}" srcOrd="0" destOrd="0" parTransId="{34533AB7-E45B-48C1-90CE-6030ABCBD2DC}" sibTransId="{61658984-E0A8-40B2-AA8D-2FE6FD61682D}"/>
    <dgm:cxn modelId="{EB494A7A-F475-4642-B7AD-65D2A001F00B}" type="presOf" srcId="{05B58E83-FDCC-4CD1-976C-02397DEEA444}" destId="{C355C659-F316-4254-8808-0A9F36153A19}" srcOrd="0" destOrd="3" presId="urn:microsoft.com/office/officeart/2005/8/layout/matrix2"/>
    <dgm:cxn modelId="{08B47F7C-F7F2-4ACB-8D7D-6B19666CE7E0}" type="presOf" srcId="{0C3F1500-E761-4A61-954D-41CCA60C7020}" destId="{6DC0BE64-2FA1-425C-BB57-64FFC5843EA4}" srcOrd="0" destOrd="0" presId="urn:microsoft.com/office/officeart/2005/8/layout/matrix2"/>
    <dgm:cxn modelId="{F04DE69E-37C0-4AA4-ACA2-7F67BBCA7B11}" type="presOf" srcId="{43F6FC17-943D-4346-9171-3E22C90B61DA}" destId="{554A8A8A-E329-4B94-9831-ED54E3A2CED5}" srcOrd="0" destOrd="2" presId="urn:microsoft.com/office/officeart/2005/8/layout/matrix2"/>
    <dgm:cxn modelId="{9692DAA0-9B64-4DFD-A229-27E755D31BD8}" srcId="{48CFE0FB-3B00-4268-924A-18DEA1E24CE4}" destId="{05B58E83-FDCC-4CD1-976C-02397DEEA444}" srcOrd="2" destOrd="0" parTransId="{97708A72-FFAF-4905-8412-9B015A91212D}" sibTransId="{8A2B44D5-2889-4B6E-9D49-B3E8D4E5EEEF}"/>
    <dgm:cxn modelId="{84B00BA5-A2D9-47AE-8719-EE2ECDAD5B4E}" srcId="{0C3F1500-E761-4A61-954D-41CCA60C7020}" destId="{493C1488-4D47-4E60-8C8E-7B1F20C510F4}" srcOrd="0" destOrd="0" parTransId="{12CBD941-D1CE-4B27-A5E7-8F2978FE4B2D}" sibTransId="{D5F25DEB-3E45-4DA5-9C34-A5A0122913AF}"/>
    <dgm:cxn modelId="{D6E758AA-65FD-4DA2-90AE-B5335FA42AEC}" srcId="{E8A96B6D-DF45-465D-A0DE-1BDFA307345B}" destId="{48CFE0FB-3B00-4268-924A-18DEA1E24CE4}" srcOrd="3" destOrd="0" parTransId="{1C2010E3-C5B4-409C-B194-941F0B4BBC5C}" sibTransId="{B192FF5F-CA3E-4789-A8DD-4EAA7C2B5225}"/>
    <dgm:cxn modelId="{C93B08AB-13F5-467F-BB3E-8418A527EA43}" srcId="{A0AEF538-4370-43E2-8ECF-853C730BDF3E}" destId="{613E3C79-9BCD-48CA-AAF8-A0603D82575F}" srcOrd="2" destOrd="0" parTransId="{467C3B2A-9B22-4293-ACD1-2367BE3DEAE6}" sibTransId="{8B4C0839-C2D5-4B5C-ACAB-FF5C3AD3E96D}"/>
    <dgm:cxn modelId="{44DBBCB7-8785-4728-886F-F0FD1C42CEFB}" type="presOf" srcId="{6B694C3F-828A-4A83-AB31-003FC67B2CA6}" destId="{43AB438B-0904-4278-A82C-8063DF7D83AA}" srcOrd="0" destOrd="2" presId="urn:microsoft.com/office/officeart/2005/8/layout/matrix2"/>
    <dgm:cxn modelId="{AA6D6AC9-996F-4A05-9F41-5FDF50F841DC}" srcId="{E8A96B6D-DF45-465D-A0DE-1BDFA307345B}" destId="{0C3F1500-E761-4A61-954D-41CCA60C7020}" srcOrd="2" destOrd="0" parTransId="{3DC2E0EC-B685-4F59-BB94-3343D3AFE2C2}" sibTransId="{A9BDA694-24A8-4F44-9E9C-9A841BA49C05}"/>
    <dgm:cxn modelId="{B32D22DD-212A-4A09-8643-9586E9D5CB64}" srcId="{48CFE0FB-3B00-4268-924A-18DEA1E24CE4}" destId="{0DE79778-39D4-417F-970E-6EF84A2BACAE}" srcOrd="1" destOrd="0" parTransId="{AA8AAC9E-6988-4E2E-8197-55DFABE0B96D}" sibTransId="{A9B4C38E-D108-455C-B43D-805BBD294C73}"/>
    <dgm:cxn modelId="{31E8B7F0-61C2-4042-B83C-BAE0D2A7ED3E}" type="presOf" srcId="{613E3C79-9BCD-48CA-AAF8-A0603D82575F}" destId="{43AB438B-0904-4278-A82C-8063DF7D83AA}" srcOrd="0" destOrd="3" presId="urn:microsoft.com/office/officeart/2005/8/layout/matrix2"/>
    <dgm:cxn modelId="{FED30EF2-BE34-43E7-AA6F-69782E34ADF5}" type="presOf" srcId="{D6D89B91-3ED3-4143-BEC6-319D573DA688}" destId="{554A8A8A-E329-4B94-9831-ED54E3A2CED5}" srcOrd="0" destOrd="3" presId="urn:microsoft.com/office/officeart/2005/8/layout/matrix2"/>
    <dgm:cxn modelId="{68F51BF9-FEFD-4E7F-B2BF-16DE7CDF2F67}" type="presOf" srcId="{365BB066-B1B3-48D3-8C1E-F8D1A7EB8006}" destId="{554A8A8A-E329-4B94-9831-ED54E3A2CED5}" srcOrd="0" destOrd="0" presId="urn:microsoft.com/office/officeart/2005/8/layout/matrix2"/>
    <dgm:cxn modelId="{F8AD2DF9-360B-461A-A547-4CB0773C0E03}" srcId="{48CFE0FB-3B00-4268-924A-18DEA1E24CE4}" destId="{77C73A59-5D66-4AB4-86D0-49E679BA750F}" srcOrd="0" destOrd="0" parTransId="{18F58F2F-F0D0-4D36-A546-86364C561C0D}" sibTransId="{B2B1C9B4-DE57-4CC6-8B31-C454EBF60B44}"/>
    <dgm:cxn modelId="{95D416FA-9741-4139-8D45-FA81F3ABFE14}" type="presOf" srcId="{FB82840C-4FFD-4A81-9BA7-731E54144D69}" destId="{6DC0BE64-2FA1-425C-BB57-64FFC5843EA4}" srcOrd="0" destOrd="2" presId="urn:microsoft.com/office/officeart/2005/8/layout/matrix2"/>
    <dgm:cxn modelId="{04763EFA-565F-4F32-B3E6-DE2462C0D520}" srcId="{0C3F1500-E761-4A61-954D-41CCA60C7020}" destId="{FB82840C-4FFD-4A81-9BA7-731E54144D69}" srcOrd="1" destOrd="0" parTransId="{7330D4DB-58E3-444F-92DD-2DB7098A5697}" sibTransId="{4B0DA04D-EAB4-4576-AFD1-033BA033E4F9}"/>
    <dgm:cxn modelId="{B231C83B-4B4A-44C8-A46A-FC7CF08F9CA4}" type="presParOf" srcId="{865D903C-1DED-4781-813D-6EA170587E7F}" destId="{ED7084B5-146E-4DFD-AA6E-7E54DB95FE29}" srcOrd="0" destOrd="0" presId="urn:microsoft.com/office/officeart/2005/8/layout/matrix2"/>
    <dgm:cxn modelId="{D3409C18-05E4-4AA0-8D4E-C60307D43C3D}" type="presParOf" srcId="{865D903C-1DED-4781-813D-6EA170587E7F}" destId="{554A8A8A-E329-4B94-9831-ED54E3A2CED5}" srcOrd="1" destOrd="0" presId="urn:microsoft.com/office/officeart/2005/8/layout/matrix2"/>
    <dgm:cxn modelId="{476AC11D-4397-489A-B25E-0043B4BC77DE}" type="presParOf" srcId="{865D903C-1DED-4781-813D-6EA170587E7F}" destId="{43AB438B-0904-4278-A82C-8063DF7D83AA}" srcOrd="2" destOrd="0" presId="urn:microsoft.com/office/officeart/2005/8/layout/matrix2"/>
    <dgm:cxn modelId="{2404831D-E108-4A8C-B5C6-8CF6A869746A}" type="presParOf" srcId="{865D903C-1DED-4781-813D-6EA170587E7F}" destId="{6DC0BE64-2FA1-425C-BB57-64FFC5843EA4}" srcOrd="3" destOrd="0" presId="urn:microsoft.com/office/officeart/2005/8/layout/matrix2"/>
    <dgm:cxn modelId="{7522CF8A-3979-4E06-9C09-05F0044D01FC}" type="presParOf" srcId="{865D903C-1DED-4781-813D-6EA170587E7F}" destId="{C355C659-F316-4254-8808-0A9F36153A19}" srcOrd="4" destOrd="0" presId="urn:microsoft.com/office/officeart/2005/8/layout/matrix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9DA36EC-E004-40E3-A547-C88A2FA82AFB}" type="doc">
      <dgm:prSet loTypeId="urn:microsoft.com/office/officeart/2005/8/layout/matrix2" loCatId="matrix" qsTypeId="urn:microsoft.com/office/officeart/2005/8/quickstyle/simple1" qsCatId="simple" csTypeId="urn:microsoft.com/office/officeart/2005/8/colors/colorful5" csCatId="colorful"/>
      <dgm:spPr/>
      <dgm:t>
        <a:bodyPr/>
        <a:lstStyle/>
        <a:p>
          <a:endParaRPr lang="en-GB"/>
        </a:p>
      </dgm:t>
    </dgm:pt>
    <dgm:pt modelId="{7D50E093-C796-45D3-938A-79D3554E228C}">
      <dgm:prSet/>
      <dgm:spPr>
        <a:xfrm>
          <a:off x="1778508" y="178308"/>
          <a:ext cx="1097280" cy="1097280"/>
        </a:xfrm>
        <a:prstGeom prst="roundRect">
          <a:avLst/>
        </a:prstGeom>
        <a:solidFill>
          <a:srgbClr val="A02B93">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Market Penetration</a:t>
          </a:r>
          <a:endParaRPr lang="en-GB">
            <a:solidFill>
              <a:sysClr val="window" lastClr="FFFFFF"/>
            </a:solidFill>
            <a:latin typeface="Aptos" panose="02110004020202020204"/>
            <a:ea typeface="+mn-ea"/>
            <a:cs typeface="+mn-cs"/>
          </a:endParaRPr>
        </a:p>
      </dgm:t>
    </dgm:pt>
    <dgm:pt modelId="{61EE5884-7DB9-44DE-9457-62E2BF0BCED8}" type="parTrans" cxnId="{E88B6180-49D1-46D1-ACDD-787FDF55B2F2}">
      <dgm:prSet/>
      <dgm:spPr/>
      <dgm:t>
        <a:bodyPr/>
        <a:lstStyle/>
        <a:p>
          <a:endParaRPr lang="en-GB"/>
        </a:p>
      </dgm:t>
    </dgm:pt>
    <dgm:pt modelId="{6A8C84B4-4D7F-4BA2-867B-7F6CF530F76E}" type="sibTrans" cxnId="{E88B6180-49D1-46D1-ACDD-787FDF55B2F2}">
      <dgm:prSet/>
      <dgm:spPr/>
      <dgm:t>
        <a:bodyPr/>
        <a:lstStyle/>
        <a:p>
          <a:endParaRPr lang="en-GB"/>
        </a:p>
      </dgm:t>
    </dgm:pt>
    <dgm:pt modelId="{AB66A539-1E37-475D-9245-539EB6320339}">
      <dgm:prSet/>
      <dgm:spPr>
        <a:xfrm>
          <a:off x="1778508" y="178308"/>
          <a:ext cx="1097280" cy="1097280"/>
        </a:xfrm>
        <a:prstGeom prst="roundRect">
          <a:avLst/>
        </a:prstGeom>
        <a:solidFill>
          <a:srgbClr val="A02B93">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Enhanced digital marketing</a:t>
          </a:r>
        </a:p>
      </dgm:t>
    </dgm:pt>
    <dgm:pt modelId="{96DFE692-EF1E-4702-B958-6780B629A02E}" type="parTrans" cxnId="{FD0BAEC0-A520-4AF5-8B00-B2AC9E267D33}">
      <dgm:prSet/>
      <dgm:spPr/>
      <dgm:t>
        <a:bodyPr/>
        <a:lstStyle/>
        <a:p>
          <a:endParaRPr lang="en-GB"/>
        </a:p>
      </dgm:t>
    </dgm:pt>
    <dgm:pt modelId="{7169922D-9E65-4FBA-B7AD-1A11D61F7B9C}" type="sibTrans" cxnId="{FD0BAEC0-A520-4AF5-8B00-B2AC9E267D33}">
      <dgm:prSet/>
      <dgm:spPr/>
      <dgm:t>
        <a:bodyPr/>
        <a:lstStyle/>
        <a:p>
          <a:endParaRPr lang="en-GB"/>
        </a:p>
      </dgm:t>
    </dgm:pt>
    <dgm:pt modelId="{2988FA1C-1B9B-42D8-A236-34DB784D49A0}">
      <dgm:prSet/>
      <dgm:spPr>
        <a:xfrm>
          <a:off x="1778508" y="178308"/>
          <a:ext cx="1097280" cy="1097280"/>
        </a:xfrm>
        <a:prstGeom prst="roundRect">
          <a:avLst/>
        </a:prstGeom>
        <a:solidFill>
          <a:srgbClr val="A02B93">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Improving customer loyalty tools</a:t>
          </a:r>
        </a:p>
      </dgm:t>
    </dgm:pt>
    <dgm:pt modelId="{2EF511D9-1688-4180-B198-98CA0B7491A6}" type="parTrans" cxnId="{04FA3B8D-A2B7-4700-9D5E-AF6DE1B79148}">
      <dgm:prSet/>
      <dgm:spPr/>
      <dgm:t>
        <a:bodyPr/>
        <a:lstStyle/>
        <a:p>
          <a:endParaRPr lang="en-GB"/>
        </a:p>
      </dgm:t>
    </dgm:pt>
    <dgm:pt modelId="{A5574633-DF03-4133-BF84-8AAC313E57C5}" type="sibTrans" cxnId="{04FA3B8D-A2B7-4700-9D5E-AF6DE1B79148}">
      <dgm:prSet/>
      <dgm:spPr/>
      <dgm:t>
        <a:bodyPr/>
        <a:lstStyle/>
        <a:p>
          <a:endParaRPr lang="en-GB"/>
        </a:p>
      </dgm:t>
    </dgm:pt>
    <dgm:pt modelId="{B790FE07-B5BC-4EB4-8C47-1F08C2D40800}">
      <dgm:prSet/>
      <dgm:spPr>
        <a:xfrm>
          <a:off x="3067811" y="178308"/>
          <a:ext cx="1097280" cy="1097280"/>
        </a:xfrm>
        <a:prstGeom prst="roundRect">
          <a:avLst/>
        </a:prstGeom>
        <a:solidFill>
          <a:srgbClr val="A02B93">
            <a:hueOff val="-4050717"/>
            <a:satOff val="-275"/>
            <a:lumOff val="65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Market Development</a:t>
          </a:r>
          <a:endParaRPr lang="en-GB">
            <a:solidFill>
              <a:sysClr val="window" lastClr="FFFFFF"/>
            </a:solidFill>
            <a:latin typeface="Aptos" panose="02110004020202020204"/>
            <a:ea typeface="+mn-ea"/>
            <a:cs typeface="+mn-cs"/>
          </a:endParaRPr>
        </a:p>
      </dgm:t>
    </dgm:pt>
    <dgm:pt modelId="{899FFEBC-627C-465D-A9BD-D7A909F82913}" type="parTrans" cxnId="{684F0466-3ED2-4FEE-97B8-BCFA1FB37217}">
      <dgm:prSet/>
      <dgm:spPr/>
      <dgm:t>
        <a:bodyPr/>
        <a:lstStyle/>
        <a:p>
          <a:endParaRPr lang="en-GB"/>
        </a:p>
      </dgm:t>
    </dgm:pt>
    <dgm:pt modelId="{ABFF37A5-C920-4DB8-AF2F-8C2FEE428831}" type="sibTrans" cxnId="{684F0466-3ED2-4FEE-97B8-BCFA1FB37217}">
      <dgm:prSet/>
      <dgm:spPr/>
      <dgm:t>
        <a:bodyPr/>
        <a:lstStyle/>
        <a:p>
          <a:endParaRPr lang="en-GB"/>
        </a:p>
      </dgm:t>
    </dgm:pt>
    <dgm:pt modelId="{9CD2957E-F14E-4BCC-89FF-5F6F057B3A19}">
      <dgm:prSet/>
      <dgm:spPr>
        <a:xfrm>
          <a:off x="3067811" y="178308"/>
          <a:ext cx="1097280" cy="1097280"/>
        </a:xfrm>
        <a:prstGeom prst="roundRect">
          <a:avLst/>
        </a:prstGeom>
        <a:solidFill>
          <a:srgbClr val="A02B93">
            <a:hueOff val="-4050717"/>
            <a:satOff val="-275"/>
            <a:lumOff val="65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Launching micro-format city stores</a:t>
          </a:r>
        </a:p>
      </dgm:t>
    </dgm:pt>
    <dgm:pt modelId="{23C95007-93DC-4443-BFA5-243E9D3FACF1}" type="parTrans" cxnId="{26DF0D36-3627-49F4-9221-BBC4A7E43983}">
      <dgm:prSet/>
      <dgm:spPr/>
      <dgm:t>
        <a:bodyPr/>
        <a:lstStyle/>
        <a:p>
          <a:endParaRPr lang="en-GB"/>
        </a:p>
      </dgm:t>
    </dgm:pt>
    <dgm:pt modelId="{D1B560D1-3D34-4D9E-96D1-5F577566D014}" type="sibTrans" cxnId="{26DF0D36-3627-49F4-9221-BBC4A7E43983}">
      <dgm:prSet/>
      <dgm:spPr/>
      <dgm:t>
        <a:bodyPr/>
        <a:lstStyle/>
        <a:p>
          <a:endParaRPr lang="en-GB"/>
        </a:p>
      </dgm:t>
    </dgm:pt>
    <dgm:pt modelId="{99D20311-4E04-453F-BBD3-925D6C8E13A1}">
      <dgm:prSet/>
      <dgm:spPr>
        <a:xfrm>
          <a:off x="1778508" y="1467611"/>
          <a:ext cx="1097280" cy="1097280"/>
        </a:xfrm>
        <a:prstGeom prst="roundRect">
          <a:avLst/>
        </a:prstGeom>
        <a:solidFill>
          <a:srgbClr val="A02B93">
            <a:hueOff val="-8101434"/>
            <a:satOff val="-551"/>
            <a:lumOff val="1307"/>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Product Development</a:t>
          </a:r>
          <a:endParaRPr lang="en-GB">
            <a:solidFill>
              <a:sysClr val="window" lastClr="FFFFFF"/>
            </a:solidFill>
            <a:latin typeface="Aptos" panose="02110004020202020204"/>
            <a:ea typeface="+mn-ea"/>
            <a:cs typeface="+mn-cs"/>
          </a:endParaRPr>
        </a:p>
      </dgm:t>
    </dgm:pt>
    <dgm:pt modelId="{2F0796B3-A48D-4919-BEB9-800B055B2063}" type="parTrans" cxnId="{B6D2BB21-5D92-44AE-A28C-372EA6FEB84F}">
      <dgm:prSet/>
      <dgm:spPr/>
      <dgm:t>
        <a:bodyPr/>
        <a:lstStyle/>
        <a:p>
          <a:endParaRPr lang="en-GB"/>
        </a:p>
      </dgm:t>
    </dgm:pt>
    <dgm:pt modelId="{F0602ED4-F3CD-4FEC-860C-25F35ACF82F1}" type="sibTrans" cxnId="{B6D2BB21-5D92-44AE-A28C-372EA6FEB84F}">
      <dgm:prSet/>
      <dgm:spPr/>
      <dgm:t>
        <a:bodyPr/>
        <a:lstStyle/>
        <a:p>
          <a:endParaRPr lang="en-GB"/>
        </a:p>
      </dgm:t>
    </dgm:pt>
    <dgm:pt modelId="{517B369E-D590-4AE1-B16E-9676219C81C3}">
      <dgm:prSet/>
      <dgm:spPr>
        <a:xfrm>
          <a:off x="1778508" y="1467611"/>
          <a:ext cx="1097280" cy="1097280"/>
        </a:xfrm>
        <a:prstGeom prst="roundRect">
          <a:avLst/>
        </a:prstGeom>
        <a:solidFill>
          <a:srgbClr val="A02B93">
            <a:hueOff val="-8101434"/>
            <a:satOff val="-551"/>
            <a:lumOff val="1307"/>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Introducing sustainable or locally sourced products</a:t>
          </a:r>
        </a:p>
      </dgm:t>
    </dgm:pt>
    <dgm:pt modelId="{C367EED4-27C5-4057-92E4-BF7F99CFB1E6}" type="parTrans" cxnId="{C6CE3C1B-9468-4EC2-B1F7-84F791E9254E}">
      <dgm:prSet/>
      <dgm:spPr/>
      <dgm:t>
        <a:bodyPr/>
        <a:lstStyle/>
        <a:p>
          <a:endParaRPr lang="en-GB"/>
        </a:p>
      </dgm:t>
    </dgm:pt>
    <dgm:pt modelId="{C25B779D-58A6-4771-853D-B3D5D597A37C}" type="sibTrans" cxnId="{C6CE3C1B-9468-4EC2-B1F7-84F791E9254E}">
      <dgm:prSet/>
      <dgm:spPr/>
      <dgm:t>
        <a:bodyPr/>
        <a:lstStyle/>
        <a:p>
          <a:endParaRPr lang="en-GB"/>
        </a:p>
      </dgm:t>
    </dgm:pt>
    <dgm:pt modelId="{E0152485-AE18-436C-98B2-E52C3E13D919}">
      <dgm:prSet/>
      <dgm:spPr>
        <a:xfrm>
          <a:off x="3067811" y="1467611"/>
          <a:ext cx="1097280" cy="1097280"/>
        </a:xfrm>
        <a:prstGeom prst="roundRect">
          <a:avLst/>
        </a:prstGeom>
        <a:solidFill>
          <a:srgbClr val="A02B93">
            <a:hueOff val="-12152150"/>
            <a:satOff val="-826"/>
            <a:lumOff val="196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Diversification</a:t>
          </a:r>
          <a:endParaRPr lang="en-GB">
            <a:solidFill>
              <a:sysClr val="window" lastClr="FFFFFF"/>
            </a:solidFill>
            <a:latin typeface="Aptos" panose="02110004020202020204"/>
            <a:ea typeface="+mn-ea"/>
            <a:cs typeface="+mn-cs"/>
          </a:endParaRPr>
        </a:p>
      </dgm:t>
    </dgm:pt>
    <dgm:pt modelId="{F571D772-65FC-42B5-87EC-782BFCD91424}" type="parTrans" cxnId="{7C26A0A9-C21B-4A1F-BF1F-94BA6B2E8132}">
      <dgm:prSet/>
      <dgm:spPr/>
      <dgm:t>
        <a:bodyPr/>
        <a:lstStyle/>
        <a:p>
          <a:endParaRPr lang="en-GB"/>
        </a:p>
      </dgm:t>
    </dgm:pt>
    <dgm:pt modelId="{3E3CFE2E-B0D7-4D80-BE3C-587135F64DF4}" type="sibTrans" cxnId="{7C26A0A9-C21B-4A1F-BF1F-94BA6B2E8132}">
      <dgm:prSet/>
      <dgm:spPr/>
      <dgm:t>
        <a:bodyPr/>
        <a:lstStyle/>
        <a:p>
          <a:endParaRPr lang="en-GB"/>
        </a:p>
      </dgm:t>
    </dgm:pt>
    <dgm:pt modelId="{0CD43EE5-7553-4872-B9D9-1010AAAAA5CE}">
      <dgm:prSet/>
      <dgm:spPr>
        <a:xfrm>
          <a:off x="3067811" y="1467611"/>
          <a:ext cx="1097280" cy="1097280"/>
        </a:xfrm>
        <a:prstGeom prst="roundRect">
          <a:avLst/>
        </a:prstGeom>
        <a:solidFill>
          <a:srgbClr val="A02B93">
            <a:hueOff val="-12152150"/>
            <a:satOff val="-826"/>
            <a:lumOff val="196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New home service packages or bundles</a:t>
          </a:r>
        </a:p>
      </dgm:t>
    </dgm:pt>
    <dgm:pt modelId="{E3A34418-9636-4810-8B34-1955119B73E5}" type="parTrans" cxnId="{3A1FD17D-6703-4C73-8B4F-D806E9B0A0A6}">
      <dgm:prSet/>
      <dgm:spPr/>
      <dgm:t>
        <a:bodyPr/>
        <a:lstStyle/>
        <a:p>
          <a:endParaRPr lang="en-GB"/>
        </a:p>
      </dgm:t>
    </dgm:pt>
    <dgm:pt modelId="{390680D3-35CE-4A54-A0F9-4CDA48D1AC30}" type="sibTrans" cxnId="{3A1FD17D-6703-4C73-8B4F-D806E9B0A0A6}">
      <dgm:prSet/>
      <dgm:spPr/>
      <dgm:t>
        <a:bodyPr/>
        <a:lstStyle/>
        <a:p>
          <a:endParaRPr lang="en-GB"/>
        </a:p>
      </dgm:t>
    </dgm:pt>
    <dgm:pt modelId="{D5AF17AA-5761-4737-BC5D-EE6EB4165307}" type="pres">
      <dgm:prSet presAssocID="{E9DA36EC-E004-40E3-A547-C88A2FA82AFB}" presName="matrix" presStyleCnt="0">
        <dgm:presLayoutVars>
          <dgm:chMax val="1"/>
          <dgm:dir/>
          <dgm:resizeHandles val="exact"/>
        </dgm:presLayoutVars>
      </dgm:prSet>
      <dgm:spPr/>
    </dgm:pt>
    <dgm:pt modelId="{DA37C5F8-3CA0-493E-ADE8-06B9DFF8B546}" type="pres">
      <dgm:prSet presAssocID="{E9DA36EC-E004-40E3-A547-C88A2FA82AFB}" presName="axisShape" presStyleLbl="bgShp" presStyleIdx="0" presStyleCnt="1"/>
      <dgm:spPr>
        <a:xfrm>
          <a:off x="1600199" y="0"/>
          <a:ext cx="2743200" cy="2743200"/>
        </a:xfrm>
        <a:prstGeom prst="quadArrow">
          <a:avLst>
            <a:gd name="adj1" fmla="val 2000"/>
            <a:gd name="adj2" fmla="val 4000"/>
            <a:gd name="adj3" fmla="val 5000"/>
          </a:avLst>
        </a:prstGeom>
        <a:solidFill>
          <a:srgbClr val="A02B93">
            <a:tint val="40000"/>
            <a:hueOff val="0"/>
            <a:satOff val="0"/>
            <a:lumOff val="0"/>
            <a:alphaOff val="0"/>
          </a:srgbClr>
        </a:solidFill>
        <a:ln>
          <a:noFill/>
        </a:ln>
        <a:effectLst/>
      </dgm:spPr>
    </dgm:pt>
    <dgm:pt modelId="{2A181C7C-8C5F-4D0A-B9CD-AF8819824708}" type="pres">
      <dgm:prSet presAssocID="{E9DA36EC-E004-40E3-A547-C88A2FA82AFB}" presName="rect1" presStyleLbl="node1" presStyleIdx="0" presStyleCnt="4">
        <dgm:presLayoutVars>
          <dgm:chMax val="0"/>
          <dgm:chPref val="0"/>
          <dgm:bulletEnabled val="1"/>
        </dgm:presLayoutVars>
      </dgm:prSet>
      <dgm:spPr/>
    </dgm:pt>
    <dgm:pt modelId="{09C5B950-AE9A-4FB9-9804-34EF78A49FD0}" type="pres">
      <dgm:prSet presAssocID="{E9DA36EC-E004-40E3-A547-C88A2FA82AFB}" presName="rect2" presStyleLbl="node1" presStyleIdx="1" presStyleCnt="4">
        <dgm:presLayoutVars>
          <dgm:chMax val="0"/>
          <dgm:chPref val="0"/>
          <dgm:bulletEnabled val="1"/>
        </dgm:presLayoutVars>
      </dgm:prSet>
      <dgm:spPr/>
    </dgm:pt>
    <dgm:pt modelId="{F9DBB0A4-DA66-4D88-96A4-D8F68CD4BFB3}" type="pres">
      <dgm:prSet presAssocID="{E9DA36EC-E004-40E3-A547-C88A2FA82AFB}" presName="rect3" presStyleLbl="node1" presStyleIdx="2" presStyleCnt="4">
        <dgm:presLayoutVars>
          <dgm:chMax val="0"/>
          <dgm:chPref val="0"/>
          <dgm:bulletEnabled val="1"/>
        </dgm:presLayoutVars>
      </dgm:prSet>
      <dgm:spPr/>
    </dgm:pt>
    <dgm:pt modelId="{43CC0DC0-1E4C-4603-A30F-B46A2080708E}" type="pres">
      <dgm:prSet presAssocID="{E9DA36EC-E004-40E3-A547-C88A2FA82AFB}" presName="rect4" presStyleLbl="node1" presStyleIdx="3" presStyleCnt="4">
        <dgm:presLayoutVars>
          <dgm:chMax val="0"/>
          <dgm:chPref val="0"/>
          <dgm:bulletEnabled val="1"/>
        </dgm:presLayoutVars>
      </dgm:prSet>
      <dgm:spPr/>
    </dgm:pt>
  </dgm:ptLst>
  <dgm:cxnLst>
    <dgm:cxn modelId="{070B2800-2D82-4299-AB71-91B9CF372E25}" type="presOf" srcId="{E0152485-AE18-436C-98B2-E52C3E13D919}" destId="{43CC0DC0-1E4C-4603-A30F-B46A2080708E}" srcOrd="0" destOrd="0" presId="urn:microsoft.com/office/officeart/2005/8/layout/matrix2"/>
    <dgm:cxn modelId="{C6CE3C1B-9468-4EC2-B1F7-84F791E9254E}" srcId="{99D20311-4E04-453F-BBD3-925D6C8E13A1}" destId="{517B369E-D590-4AE1-B16E-9676219C81C3}" srcOrd="0" destOrd="0" parTransId="{C367EED4-27C5-4057-92E4-BF7F99CFB1E6}" sibTransId="{C25B779D-58A6-4771-853D-B3D5D597A37C}"/>
    <dgm:cxn modelId="{B6D2BB21-5D92-44AE-A28C-372EA6FEB84F}" srcId="{E9DA36EC-E004-40E3-A547-C88A2FA82AFB}" destId="{99D20311-4E04-453F-BBD3-925D6C8E13A1}" srcOrd="2" destOrd="0" parTransId="{2F0796B3-A48D-4919-BEB9-800B055B2063}" sibTransId="{F0602ED4-F3CD-4FEC-860C-25F35ACF82F1}"/>
    <dgm:cxn modelId="{E164EB33-13CA-486B-B0C5-F6553A579638}" type="presOf" srcId="{2988FA1C-1B9B-42D8-A236-34DB784D49A0}" destId="{2A181C7C-8C5F-4D0A-B9CD-AF8819824708}" srcOrd="0" destOrd="2" presId="urn:microsoft.com/office/officeart/2005/8/layout/matrix2"/>
    <dgm:cxn modelId="{26DF0D36-3627-49F4-9221-BBC4A7E43983}" srcId="{B790FE07-B5BC-4EB4-8C47-1F08C2D40800}" destId="{9CD2957E-F14E-4BCC-89FF-5F6F057B3A19}" srcOrd="0" destOrd="0" parTransId="{23C95007-93DC-4443-BFA5-243E9D3FACF1}" sibTransId="{D1B560D1-3D34-4D9E-96D1-5F577566D014}"/>
    <dgm:cxn modelId="{7F856255-C19D-4011-8C90-F270D306D37C}" type="presOf" srcId="{B790FE07-B5BC-4EB4-8C47-1F08C2D40800}" destId="{09C5B950-AE9A-4FB9-9804-34EF78A49FD0}" srcOrd="0" destOrd="0" presId="urn:microsoft.com/office/officeart/2005/8/layout/matrix2"/>
    <dgm:cxn modelId="{684F0466-3ED2-4FEE-97B8-BCFA1FB37217}" srcId="{E9DA36EC-E004-40E3-A547-C88A2FA82AFB}" destId="{B790FE07-B5BC-4EB4-8C47-1F08C2D40800}" srcOrd="1" destOrd="0" parTransId="{899FFEBC-627C-465D-A9BD-D7A909F82913}" sibTransId="{ABFF37A5-C920-4DB8-AF2F-8C2FEE428831}"/>
    <dgm:cxn modelId="{1C827F73-B6A9-4E24-A762-AF755EDBA2EB}" type="presOf" srcId="{9CD2957E-F14E-4BCC-89FF-5F6F057B3A19}" destId="{09C5B950-AE9A-4FB9-9804-34EF78A49FD0}" srcOrd="0" destOrd="1" presId="urn:microsoft.com/office/officeart/2005/8/layout/matrix2"/>
    <dgm:cxn modelId="{3A1FD17D-6703-4C73-8B4F-D806E9B0A0A6}" srcId="{E0152485-AE18-436C-98B2-E52C3E13D919}" destId="{0CD43EE5-7553-4872-B9D9-1010AAAAA5CE}" srcOrd="0" destOrd="0" parTransId="{E3A34418-9636-4810-8B34-1955119B73E5}" sibTransId="{390680D3-35CE-4A54-A0F9-4CDA48D1AC30}"/>
    <dgm:cxn modelId="{E88B6180-49D1-46D1-ACDD-787FDF55B2F2}" srcId="{E9DA36EC-E004-40E3-A547-C88A2FA82AFB}" destId="{7D50E093-C796-45D3-938A-79D3554E228C}" srcOrd="0" destOrd="0" parTransId="{61EE5884-7DB9-44DE-9457-62E2BF0BCED8}" sibTransId="{6A8C84B4-4D7F-4BA2-867B-7F6CF530F76E}"/>
    <dgm:cxn modelId="{04FA3B8D-A2B7-4700-9D5E-AF6DE1B79148}" srcId="{7D50E093-C796-45D3-938A-79D3554E228C}" destId="{2988FA1C-1B9B-42D8-A236-34DB784D49A0}" srcOrd="1" destOrd="0" parTransId="{2EF511D9-1688-4180-B198-98CA0B7491A6}" sibTransId="{A5574633-DF03-4133-BF84-8AAC313E57C5}"/>
    <dgm:cxn modelId="{7C26A0A9-C21B-4A1F-BF1F-94BA6B2E8132}" srcId="{E9DA36EC-E004-40E3-A547-C88A2FA82AFB}" destId="{E0152485-AE18-436C-98B2-E52C3E13D919}" srcOrd="3" destOrd="0" parTransId="{F571D772-65FC-42B5-87EC-782BFCD91424}" sibTransId="{3E3CFE2E-B0D7-4D80-BE3C-587135F64DF4}"/>
    <dgm:cxn modelId="{50D04DB9-FC4F-4E98-B973-37B4BDD54816}" type="presOf" srcId="{E9DA36EC-E004-40E3-A547-C88A2FA82AFB}" destId="{D5AF17AA-5761-4737-BC5D-EE6EB4165307}" srcOrd="0" destOrd="0" presId="urn:microsoft.com/office/officeart/2005/8/layout/matrix2"/>
    <dgm:cxn modelId="{693C52BA-0D6D-41AA-950D-3CAFCA38C14E}" type="presOf" srcId="{AB66A539-1E37-475D-9245-539EB6320339}" destId="{2A181C7C-8C5F-4D0A-B9CD-AF8819824708}" srcOrd="0" destOrd="1" presId="urn:microsoft.com/office/officeart/2005/8/layout/matrix2"/>
    <dgm:cxn modelId="{FD0BAEC0-A520-4AF5-8B00-B2AC9E267D33}" srcId="{7D50E093-C796-45D3-938A-79D3554E228C}" destId="{AB66A539-1E37-475D-9245-539EB6320339}" srcOrd="0" destOrd="0" parTransId="{96DFE692-EF1E-4702-B958-6780B629A02E}" sibTransId="{7169922D-9E65-4FBA-B7AD-1A11D61F7B9C}"/>
    <dgm:cxn modelId="{DC31D7C9-C82E-42FE-92B2-82F529AD8DA7}" type="presOf" srcId="{0CD43EE5-7553-4872-B9D9-1010AAAAA5CE}" destId="{43CC0DC0-1E4C-4603-A30F-B46A2080708E}" srcOrd="0" destOrd="1" presId="urn:microsoft.com/office/officeart/2005/8/layout/matrix2"/>
    <dgm:cxn modelId="{649F76CC-AB00-4673-9BD8-39F258B3A021}" type="presOf" srcId="{99D20311-4E04-453F-BBD3-925D6C8E13A1}" destId="{F9DBB0A4-DA66-4D88-96A4-D8F68CD4BFB3}" srcOrd="0" destOrd="0" presId="urn:microsoft.com/office/officeart/2005/8/layout/matrix2"/>
    <dgm:cxn modelId="{6CD58DD0-2414-4C99-898F-491BDB7519DD}" type="presOf" srcId="{7D50E093-C796-45D3-938A-79D3554E228C}" destId="{2A181C7C-8C5F-4D0A-B9CD-AF8819824708}" srcOrd="0" destOrd="0" presId="urn:microsoft.com/office/officeart/2005/8/layout/matrix2"/>
    <dgm:cxn modelId="{3FD6FFD5-1386-49B7-ACE5-DA3A6D9375BD}" type="presOf" srcId="{517B369E-D590-4AE1-B16E-9676219C81C3}" destId="{F9DBB0A4-DA66-4D88-96A4-D8F68CD4BFB3}" srcOrd="0" destOrd="1" presId="urn:microsoft.com/office/officeart/2005/8/layout/matrix2"/>
    <dgm:cxn modelId="{553B7007-4F7D-42EE-9F76-FD68B1E85140}" type="presParOf" srcId="{D5AF17AA-5761-4737-BC5D-EE6EB4165307}" destId="{DA37C5F8-3CA0-493E-ADE8-06B9DFF8B546}" srcOrd="0" destOrd="0" presId="urn:microsoft.com/office/officeart/2005/8/layout/matrix2"/>
    <dgm:cxn modelId="{80D0F4C7-3329-45A8-81DC-7F364DA86F3C}" type="presParOf" srcId="{D5AF17AA-5761-4737-BC5D-EE6EB4165307}" destId="{2A181C7C-8C5F-4D0A-B9CD-AF8819824708}" srcOrd="1" destOrd="0" presId="urn:microsoft.com/office/officeart/2005/8/layout/matrix2"/>
    <dgm:cxn modelId="{DF7A17BA-6F53-4563-9EFB-96FD2EF91530}" type="presParOf" srcId="{D5AF17AA-5761-4737-BC5D-EE6EB4165307}" destId="{09C5B950-AE9A-4FB9-9804-34EF78A49FD0}" srcOrd="2" destOrd="0" presId="urn:microsoft.com/office/officeart/2005/8/layout/matrix2"/>
    <dgm:cxn modelId="{1802581E-3DCD-4039-BB81-852808A2F7C6}" type="presParOf" srcId="{D5AF17AA-5761-4737-BC5D-EE6EB4165307}" destId="{F9DBB0A4-DA66-4D88-96A4-D8F68CD4BFB3}" srcOrd="3" destOrd="0" presId="urn:microsoft.com/office/officeart/2005/8/layout/matrix2"/>
    <dgm:cxn modelId="{67A550A3-2864-4E98-AA03-8B6237712637}" type="presParOf" srcId="{D5AF17AA-5761-4737-BC5D-EE6EB4165307}" destId="{43CC0DC0-1E4C-4603-A30F-B46A2080708E}" srcOrd="4" destOrd="0" presId="urn:microsoft.com/office/officeart/2005/8/layout/matrix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355629D-4EE1-447A-93D0-7FB7BEC84E3E}" type="doc">
      <dgm:prSet loTypeId="urn:microsoft.com/office/officeart/2005/8/layout/matrix3" loCatId="matrix" qsTypeId="urn:microsoft.com/office/officeart/2005/8/quickstyle/simple2" qsCatId="simple" csTypeId="urn:microsoft.com/office/officeart/2005/8/colors/colorful1" csCatId="colorful"/>
      <dgm:spPr/>
      <dgm:t>
        <a:bodyPr/>
        <a:lstStyle/>
        <a:p>
          <a:endParaRPr lang="en-GB"/>
        </a:p>
      </dgm:t>
    </dgm:pt>
    <dgm:pt modelId="{920A1FAF-1FE6-4A9F-ACB3-ADCDB8E1F82B}">
      <dgm:prSet/>
      <dgm:spPr>
        <a:xfrm>
          <a:off x="1612115" y="318938"/>
          <a:ext cx="1309325" cy="1309325"/>
        </a:xfrm>
        <a:prstGeom prst="roundRect">
          <a:avLst/>
        </a:prstGeom>
        <a:solidFill>
          <a:srgbClr val="C830CC">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High Power / High Interest (Key Players)</a:t>
          </a:r>
          <a:endParaRPr lang="en-GB">
            <a:solidFill>
              <a:sysClr val="window" lastClr="FFFFFF"/>
            </a:solidFill>
            <a:latin typeface="Aptos" panose="02110004020202020204"/>
            <a:ea typeface="+mn-ea"/>
            <a:cs typeface="+mn-cs"/>
          </a:endParaRPr>
        </a:p>
      </dgm:t>
    </dgm:pt>
    <dgm:pt modelId="{1F5E0DF8-CB1E-44C7-B03D-6FCC84271836}" type="parTrans" cxnId="{98A7EA51-DECB-4428-B1D3-52F5927A4DDF}">
      <dgm:prSet/>
      <dgm:spPr/>
      <dgm:t>
        <a:bodyPr/>
        <a:lstStyle/>
        <a:p>
          <a:endParaRPr lang="en-GB"/>
        </a:p>
      </dgm:t>
    </dgm:pt>
    <dgm:pt modelId="{1DBF50E5-F81B-4561-9958-E1562198FA54}" type="sibTrans" cxnId="{98A7EA51-DECB-4428-B1D3-52F5927A4DDF}">
      <dgm:prSet/>
      <dgm:spPr/>
      <dgm:t>
        <a:bodyPr/>
        <a:lstStyle/>
        <a:p>
          <a:endParaRPr lang="en-GB"/>
        </a:p>
      </dgm:t>
    </dgm:pt>
    <dgm:pt modelId="{72BEE914-4D9C-4DD2-B24E-8753D974F9AA}">
      <dgm:prSet/>
      <dgm:spPr>
        <a:xfrm>
          <a:off x="1612115" y="318938"/>
          <a:ext cx="1309325" cy="1309325"/>
        </a:xfrm>
        <a:prstGeom prst="roundRect">
          <a:avLst/>
        </a:prstGeom>
        <a:solidFill>
          <a:srgbClr val="C830CC">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Franchise owner</a:t>
          </a:r>
        </a:p>
      </dgm:t>
    </dgm:pt>
    <dgm:pt modelId="{DDF218EA-DA1E-4F2F-81C3-1473E4E58AB5}" type="parTrans" cxnId="{72A7EB49-60B1-4DC7-99FB-E81906B3ABCC}">
      <dgm:prSet/>
      <dgm:spPr/>
      <dgm:t>
        <a:bodyPr/>
        <a:lstStyle/>
        <a:p>
          <a:endParaRPr lang="en-GB"/>
        </a:p>
      </dgm:t>
    </dgm:pt>
    <dgm:pt modelId="{C4C30890-41C9-453F-9108-34727D24A6AA}" type="sibTrans" cxnId="{72A7EB49-60B1-4DC7-99FB-E81906B3ABCC}">
      <dgm:prSet/>
      <dgm:spPr/>
      <dgm:t>
        <a:bodyPr/>
        <a:lstStyle/>
        <a:p>
          <a:endParaRPr lang="en-GB"/>
        </a:p>
      </dgm:t>
    </dgm:pt>
    <dgm:pt modelId="{68F8AD46-B94A-4679-81EB-E60CB9F78115}">
      <dgm:prSet/>
      <dgm:spPr>
        <a:xfrm>
          <a:off x="1612115" y="318938"/>
          <a:ext cx="1309325" cy="1309325"/>
        </a:xfrm>
        <a:prstGeom prst="roundRect">
          <a:avLst/>
        </a:prstGeom>
        <a:solidFill>
          <a:srgbClr val="C830CC">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Regulatory bodies and authorities</a:t>
          </a:r>
        </a:p>
      </dgm:t>
    </dgm:pt>
    <dgm:pt modelId="{96C2CBE5-3CCC-4AC6-8979-F5D89E523098}" type="parTrans" cxnId="{9865E282-F8C4-4EF2-9F48-55C57DDF86AF}">
      <dgm:prSet/>
      <dgm:spPr/>
      <dgm:t>
        <a:bodyPr/>
        <a:lstStyle/>
        <a:p>
          <a:endParaRPr lang="en-GB"/>
        </a:p>
      </dgm:t>
    </dgm:pt>
    <dgm:pt modelId="{CA158207-52FC-4B69-A791-A0B3ED062DA3}" type="sibTrans" cxnId="{9865E282-F8C4-4EF2-9F48-55C57DDF86AF}">
      <dgm:prSet/>
      <dgm:spPr/>
      <dgm:t>
        <a:bodyPr/>
        <a:lstStyle/>
        <a:p>
          <a:endParaRPr lang="en-GB"/>
        </a:p>
      </dgm:t>
    </dgm:pt>
    <dgm:pt modelId="{E668BB65-3BE3-448C-B580-165BB1675D12}">
      <dgm:prSet/>
      <dgm:spPr>
        <a:xfrm>
          <a:off x="3022158" y="318938"/>
          <a:ext cx="1309325" cy="1309325"/>
        </a:xfrm>
        <a:prstGeom prst="roundRect">
          <a:avLst/>
        </a:prstGeom>
        <a:solidFill>
          <a:srgbClr val="4EA6DC">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High Interest / Low Power (Keep Informed)</a:t>
          </a:r>
          <a:endParaRPr lang="en-GB">
            <a:solidFill>
              <a:sysClr val="window" lastClr="FFFFFF"/>
            </a:solidFill>
            <a:latin typeface="Aptos" panose="02110004020202020204"/>
            <a:ea typeface="+mn-ea"/>
            <a:cs typeface="+mn-cs"/>
          </a:endParaRPr>
        </a:p>
      </dgm:t>
    </dgm:pt>
    <dgm:pt modelId="{0DA1A317-B753-4189-BCBD-DDA87B665F28}" type="parTrans" cxnId="{1843E512-4ABF-447F-B038-A437898FADA6}">
      <dgm:prSet/>
      <dgm:spPr/>
      <dgm:t>
        <a:bodyPr/>
        <a:lstStyle/>
        <a:p>
          <a:endParaRPr lang="en-GB"/>
        </a:p>
      </dgm:t>
    </dgm:pt>
    <dgm:pt modelId="{08886981-05B4-4460-B9E5-C66AC65BEE65}" type="sibTrans" cxnId="{1843E512-4ABF-447F-B038-A437898FADA6}">
      <dgm:prSet/>
      <dgm:spPr/>
      <dgm:t>
        <a:bodyPr/>
        <a:lstStyle/>
        <a:p>
          <a:endParaRPr lang="en-GB"/>
        </a:p>
      </dgm:t>
    </dgm:pt>
    <dgm:pt modelId="{5E82BFD5-7543-431A-9B11-FAF2066C294E}">
      <dgm:prSet/>
      <dgm:spPr>
        <a:xfrm>
          <a:off x="3022158" y="318938"/>
          <a:ext cx="1309325" cy="1309325"/>
        </a:xfrm>
        <a:prstGeom prst="roundRect">
          <a:avLst/>
        </a:prstGeom>
        <a:solidFill>
          <a:srgbClr val="4EA6DC">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Customers</a:t>
          </a:r>
        </a:p>
      </dgm:t>
    </dgm:pt>
    <dgm:pt modelId="{D1F70EDA-85F9-4554-B088-C4F3CEA40FC2}" type="parTrans" cxnId="{6758A4CF-3D7B-442D-910B-F7AD901F1CB9}">
      <dgm:prSet/>
      <dgm:spPr/>
      <dgm:t>
        <a:bodyPr/>
        <a:lstStyle/>
        <a:p>
          <a:endParaRPr lang="en-GB"/>
        </a:p>
      </dgm:t>
    </dgm:pt>
    <dgm:pt modelId="{18F1DE90-6ADC-4F0B-B1BC-CF5B412560C8}" type="sibTrans" cxnId="{6758A4CF-3D7B-442D-910B-F7AD901F1CB9}">
      <dgm:prSet/>
      <dgm:spPr/>
      <dgm:t>
        <a:bodyPr/>
        <a:lstStyle/>
        <a:p>
          <a:endParaRPr lang="en-GB"/>
        </a:p>
      </dgm:t>
    </dgm:pt>
    <dgm:pt modelId="{B4D3A243-7FC5-40DB-8B6F-4697892AAE72}">
      <dgm:prSet/>
      <dgm:spPr>
        <a:xfrm>
          <a:off x="3022158" y="318938"/>
          <a:ext cx="1309325" cy="1309325"/>
        </a:xfrm>
        <a:prstGeom prst="roundRect">
          <a:avLst/>
        </a:prstGeom>
        <a:solidFill>
          <a:srgbClr val="4EA6DC">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Employees</a:t>
          </a:r>
        </a:p>
      </dgm:t>
    </dgm:pt>
    <dgm:pt modelId="{83097F66-FAA8-4F51-926C-9FF486A1B126}" type="parTrans" cxnId="{67BD3453-7101-4F33-B6CC-49909540EE1D}">
      <dgm:prSet/>
      <dgm:spPr/>
      <dgm:t>
        <a:bodyPr/>
        <a:lstStyle/>
        <a:p>
          <a:endParaRPr lang="en-GB"/>
        </a:p>
      </dgm:t>
    </dgm:pt>
    <dgm:pt modelId="{F61ED5E0-89CD-42E4-B739-201BCCD40BAA}" type="sibTrans" cxnId="{67BD3453-7101-4F33-B6CC-49909540EE1D}">
      <dgm:prSet/>
      <dgm:spPr/>
      <dgm:t>
        <a:bodyPr/>
        <a:lstStyle/>
        <a:p>
          <a:endParaRPr lang="en-GB"/>
        </a:p>
      </dgm:t>
    </dgm:pt>
    <dgm:pt modelId="{470FA230-7CDF-4800-A448-13ED4327B90F}">
      <dgm:prSet/>
      <dgm:spPr>
        <a:xfrm>
          <a:off x="1612115" y="1728981"/>
          <a:ext cx="1309325" cy="1309325"/>
        </a:xfrm>
        <a:prstGeom prst="roundRect">
          <a:avLst/>
        </a:prstGeom>
        <a:solidFill>
          <a:srgbClr val="4775E7">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High Power / Low Interest (Keep Satisfied)</a:t>
          </a:r>
          <a:endParaRPr lang="en-GB">
            <a:solidFill>
              <a:sysClr val="window" lastClr="FFFFFF"/>
            </a:solidFill>
            <a:latin typeface="Aptos" panose="02110004020202020204"/>
            <a:ea typeface="+mn-ea"/>
            <a:cs typeface="+mn-cs"/>
          </a:endParaRPr>
        </a:p>
      </dgm:t>
    </dgm:pt>
    <dgm:pt modelId="{CAE55533-11D0-4952-BA0A-FC7D692A991C}" type="parTrans" cxnId="{D261336B-804E-492C-B040-0C40EBDD1B03}">
      <dgm:prSet/>
      <dgm:spPr/>
      <dgm:t>
        <a:bodyPr/>
        <a:lstStyle/>
        <a:p>
          <a:endParaRPr lang="en-GB"/>
        </a:p>
      </dgm:t>
    </dgm:pt>
    <dgm:pt modelId="{B1FE6BAF-5E7E-4182-A0D1-B1D970260FD5}" type="sibTrans" cxnId="{D261336B-804E-492C-B040-0C40EBDD1B03}">
      <dgm:prSet/>
      <dgm:spPr/>
      <dgm:t>
        <a:bodyPr/>
        <a:lstStyle/>
        <a:p>
          <a:endParaRPr lang="en-GB"/>
        </a:p>
      </dgm:t>
    </dgm:pt>
    <dgm:pt modelId="{6FB6BF27-92EA-43A5-BEEF-5714FB5CF6FE}">
      <dgm:prSet/>
      <dgm:spPr>
        <a:xfrm>
          <a:off x="1612115" y="1728981"/>
          <a:ext cx="1309325" cy="1309325"/>
        </a:xfrm>
        <a:prstGeom prst="roundRect">
          <a:avLst/>
        </a:prstGeom>
        <a:solidFill>
          <a:srgbClr val="4775E7">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Suppliers</a:t>
          </a:r>
        </a:p>
      </dgm:t>
    </dgm:pt>
    <dgm:pt modelId="{152DA075-837A-4989-8FFD-77FC489A161B}" type="parTrans" cxnId="{0F31F9AD-568A-4183-B4A8-3241CF461169}">
      <dgm:prSet/>
      <dgm:spPr/>
      <dgm:t>
        <a:bodyPr/>
        <a:lstStyle/>
        <a:p>
          <a:endParaRPr lang="en-GB"/>
        </a:p>
      </dgm:t>
    </dgm:pt>
    <dgm:pt modelId="{6B0957D8-41A5-4713-A5BC-EB8C64994661}" type="sibTrans" cxnId="{0F31F9AD-568A-4183-B4A8-3241CF461169}">
      <dgm:prSet/>
      <dgm:spPr/>
      <dgm:t>
        <a:bodyPr/>
        <a:lstStyle/>
        <a:p>
          <a:endParaRPr lang="en-GB"/>
        </a:p>
      </dgm:t>
    </dgm:pt>
    <dgm:pt modelId="{DBFD9F67-547D-4609-AD04-9725EF71DCDC}">
      <dgm:prSet/>
      <dgm:spPr>
        <a:xfrm>
          <a:off x="1612115" y="1728981"/>
          <a:ext cx="1309325" cy="1309325"/>
        </a:xfrm>
        <a:prstGeom prst="roundRect">
          <a:avLst/>
        </a:prstGeom>
        <a:solidFill>
          <a:srgbClr val="4775E7">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Char char="•"/>
          </a:pPr>
          <a:r>
            <a:rPr lang="en-GB" dirty="0">
              <a:solidFill>
                <a:sysClr val="window" lastClr="FFFFFF"/>
              </a:solidFill>
              <a:latin typeface="Aptos" panose="02110004020202020204"/>
              <a:ea typeface="+mn-ea"/>
              <a:cs typeface="+mn-cs"/>
            </a:rPr>
            <a:t>Local councils</a:t>
          </a:r>
        </a:p>
      </dgm:t>
    </dgm:pt>
    <dgm:pt modelId="{E5C21041-ED53-448F-93F4-C9047CA4107B}" type="parTrans" cxnId="{45F53A0F-55C5-4485-808B-78BC04531993}">
      <dgm:prSet/>
      <dgm:spPr/>
      <dgm:t>
        <a:bodyPr/>
        <a:lstStyle/>
        <a:p>
          <a:endParaRPr lang="en-GB"/>
        </a:p>
      </dgm:t>
    </dgm:pt>
    <dgm:pt modelId="{65A1F790-856F-4A12-AF5F-65D0072AF5FC}" type="sibTrans" cxnId="{45F53A0F-55C5-4485-808B-78BC04531993}">
      <dgm:prSet/>
      <dgm:spPr/>
      <dgm:t>
        <a:bodyPr/>
        <a:lstStyle/>
        <a:p>
          <a:endParaRPr lang="en-GB"/>
        </a:p>
      </dgm:t>
    </dgm:pt>
    <dgm:pt modelId="{78C2B92F-5E7D-4C6A-9795-7E9CDE051567}">
      <dgm:prSet/>
      <dgm:spPr>
        <a:xfrm>
          <a:off x="3022158" y="1728981"/>
          <a:ext cx="1309325" cy="1309325"/>
        </a:xfrm>
        <a:prstGeom prst="roundRect">
          <a:avLst/>
        </a:prstGeom>
        <a:solidFill>
          <a:srgbClr val="8971E1">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Aptos" panose="02110004020202020204"/>
              <a:ea typeface="+mn-ea"/>
              <a:cs typeface="+mn-cs"/>
            </a:rPr>
            <a:t>Low Power / Low Interest (Minimal Effort)</a:t>
          </a:r>
          <a:endParaRPr lang="en-GB">
            <a:solidFill>
              <a:sysClr val="window" lastClr="FFFFFF"/>
            </a:solidFill>
            <a:latin typeface="Aptos" panose="02110004020202020204"/>
            <a:ea typeface="+mn-ea"/>
            <a:cs typeface="+mn-cs"/>
          </a:endParaRPr>
        </a:p>
      </dgm:t>
    </dgm:pt>
    <dgm:pt modelId="{A2E5060E-A110-449C-B227-C1CC0A9A52F6}" type="parTrans" cxnId="{0D482F31-C69D-42DF-8048-E9B2AAA77C5E}">
      <dgm:prSet/>
      <dgm:spPr/>
      <dgm:t>
        <a:bodyPr/>
        <a:lstStyle/>
        <a:p>
          <a:endParaRPr lang="en-GB"/>
        </a:p>
      </dgm:t>
    </dgm:pt>
    <dgm:pt modelId="{0DBB24A7-A152-4477-A2D9-DC53F73D7AC7}" type="sibTrans" cxnId="{0D482F31-C69D-42DF-8048-E9B2AAA77C5E}">
      <dgm:prSet/>
      <dgm:spPr/>
      <dgm:t>
        <a:bodyPr/>
        <a:lstStyle/>
        <a:p>
          <a:endParaRPr lang="en-GB"/>
        </a:p>
      </dgm:t>
    </dgm:pt>
    <dgm:pt modelId="{DE7993CB-B289-4072-9B8F-C5E1ED05827A}">
      <dgm:prSet/>
      <dgm:spPr>
        <a:xfrm>
          <a:off x="3022158" y="1728981"/>
          <a:ext cx="1309325" cy="1309325"/>
        </a:xfrm>
        <a:prstGeom prst="roundRect">
          <a:avLst/>
        </a:prstGeom>
        <a:solidFill>
          <a:srgbClr val="8971E1">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Aptos" panose="02110004020202020204"/>
              <a:ea typeface="+mn-ea"/>
              <a:cs typeface="+mn-cs"/>
            </a:rPr>
            <a:t>Wider local community</a:t>
          </a:r>
        </a:p>
      </dgm:t>
    </dgm:pt>
    <dgm:pt modelId="{05BC6CD8-6270-48BA-8BB9-361BBFE46DD3}" type="parTrans" cxnId="{1B203BCB-B713-4DFD-885A-E95E1CE04AC4}">
      <dgm:prSet/>
      <dgm:spPr/>
      <dgm:t>
        <a:bodyPr/>
        <a:lstStyle/>
        <a:p>
          <a:endParaRPr lang="en-GB"/>
        </a:p>
      </dgm:t>
    </dgm:pt>
    <dgm:pt modelId="{B3D301B7-C960-459E-B634-54071818F6BA}" type="sibTrans" cxnId="{1B203BCB-B713-4DFD-885A-E95E1CE04AC4}">
      <dgm:prSet/>
      <dgm:spPr/>
      <dgm:t>
        <a:bodyPr/>
        <a:lstStyle/>
        <a:p>
          <a:endParaRPr lang="en-GB"/>
        </a:p>
      </dgm:t>
    </dgm:pt>
    <dgm:pt modelId="{E0478FDC-E7A2-4FF0-BBDF-69F61BDDCFCC}" type="pres">
      <dgm:prSet presAssocID="{E355629D-4EE1-447A-93D0-7FB7BEC84E3E}" presName="matrix" presStyleCnt="0">
        <dgm:presLayoutVars>
          <dgm:chMax val="1"/>
          <dgm:dir/>
          <dgm:resizeHandles val="exact"/>
        </dgm:presLayoutVars>
      </dgm:prSet>
      <dgm:spPr/>
    </dgm:pt>
    <dgm:pt modelId="{775B372C-8BF8-4E89-826E-2841429128F3}" type="pres">
      <dgm:prSet presAssocID="{E355629D-4EE1-447A-93D0-7FB7BEC84E3E}" presName="diamond" presStyleLbl="bgShp" presStyleIdx="0" presStyleCnt="1"/>
      <dgm:spPr>
        <a:xfrm>
          <a:off x="1293177" y="0"/>
          <a:ext cx="3357245" cy="3357245"/>
        </a:xfrm>
        <a:prstGeom prst="diamond">
          <a:avLst/>
        </a:prstGeom>
        <a:solidFill>
          <a:srgbClr val="C830CC">
            <a:tint val="40000"/>
            <a:hueOff val="0"/>
            <a:satOff val="0"/>
            <a:lumOff val="0"/>
            <a:alphaOff val="0"/>
          </a:srgbClr>
        </a:solidFill>
        <a:ln>
          <a:noFill/>
        </a:ln>
        <a:effectLst/>
      </dgm:spPr>
    </dgm:pt>
    <dgm:pt modelId="{87FF2A6A-75F2-40AE-886D-A2BBA102C0CE}" type="pres">
      <dgm:prSet presAssocID="{E355629D-4EE1-447A-93D0-7FB7BEC84E3E}" presName="quad1" presStyleLbl="node1" presStyleIdx="0" presStyleCnt="4">
        <dgm:presLayoutVars>
          <dgm:chMax val="0"/>
          <dgm:chPref val="0"/>
          <dgm:bulletEnabled val="1"/>
        </dgm:presLayoutVars>
      </dgm:prSet>
      <dgm:spPr/>
    </dgm:pt>
    <dgm:pt modelId="{87414E0B-B4D4-4496-8F3F-20523DCF9BE4}" type="pres">
      <dgm:prSet presAssocID="{E355629D-4EE1-447A-93D0-7FB7BEC84E3E}" presName="quad2" presStyleLbl="node1" presStyleIdx="1" presStyleCnt="4">
        <dgm:presLayoutVars>
          <dgm:chMax val="0"/>
          <dgm:chPref val="0"/>
          <dgm:bulletEnabled val="1"/>
        </dgm:presLayoutVars>
      </dgm:prSet>
      <dgm:spPr/>
    </dgm:pt>
    <dgm:pt modelId="{9F7EF494-16AA-41BD-8290-E942EC39F93D}" type="pres">
      <dgm:prSet presAssocID="{E355629D-4EE1-447A-93D0-7FB7BEC84E3E}" presName="quad3" presStyleLbl="node1" presStyleIdx="2" presStyleCnt="4">
        <dgm:presLayoutVars>
          <dgm:chMax val="0"/>
          <dgm:chPref val="0"/>
          <dgm:bulletEnabled val="1"/>
        </dgm:presLayoutVars>
      </dgm:prSet>
      <dgm:spPr/>
    </dgm:pt>
    <dgm:pt modelId="{8FB780E3-9558-4B46-B72A-50F05076964A}" type="pres">
      <dgm:prSet presAssocID="{E355629D-4EE1-447A-93D0-7FB7BEC84E3E}" presName="quad4" presStyleLbl="node1" presStyleIdx="3" presStyleCnt="4">
        <dgm:presLayoutVars>
          <dgm:chMax val="0"/>
          <dgm:chPref val="0"/>
          <dgm:bulletEnabled val="1"/>
        </dgm:presLayoutVars>
      </dgm:prSet>
      <dgm:spPr/>
    </dgm:pt>
  </dgm:ptLst>
  <dgm:cxnLst>
    <dgm:cxn modelId="{038BB702-6C4B-4310-9EB5-9D5DF35EC463}" type="presOf" srcId="{DE7993CB-B289-4072-9B8F-C5E1ED05827A}" destId="{8FB780E3-9558-4B46-B72A-50F05076964A}" srcOrd="0" destOrd="1" presId="urn:microsoft.com/office/officeart/2005/8/layout/matrix3"/>
    <dgm:cxn modelId="{45F53A0F-55C5-4485-808B-78BC04531993}" srcId="{470FA230-7CDF-4800-A448-13ED4327B90F}" destId="{DBFD9F67-547D-4609-AD04-9725EF71DCDC}" srcOrd="1" destOrd="0" parTransId="{E5C21041-ED53-448F-93F4-C9047CA4107B}" sibTransId="{65A1F790-856F-4A12-AF5F-65D0072AF5FC}"/>
    <dgm:cxn modelId="{1843E512-4ABF-447F-B038-A437898FADA6}" srcId="{E355629D-4EE1-447A-93D0-7FB7BEC84E3E}" destId="{E668BB65-3BE3-448C-B580-165BB1675D12}" srcOrd="1" destOrd="0" parTransId="{0DA1A317-B753-4189-BCBD-DDA87B665F28}" sibTransId="{08886981-05B4-4460-B9E5-C66AC65BEE65}"/>
    <dgm:cxn modelId="{D020FF21-9947-4C3D-B2C3-148120028ABC}" type="presOf" srcId="{E355629D-4EE1-447A-93D0-7FB7BEC84E3E}" destId="{E0478FDC-E7A2-4FF0-BBDF-69F61BDDCFCC}" srcOrd="0" destOrd="0" presId="urn:microsoft.com/office/officeart/2005/8/layout/matrix3"/>
    <dgm:cxn modelId="{9DFC7029-B8BB-470B-B5E5-532EB4A5906E}" type="presOf" srcId="{E668BB65-3BE3-448C-B580-165BB1675D12}" destId="{87414E0B-B4D4-4496-8F3F-20523DCF9BE4}" srcOrd="0" destOrd="0" presId="urn:microsoft.com/office/officeart/2005/8/layout/matrix3"/>
    <dgm:cxn modelId="{0D482F31-C69D-42DF-8048-E9B2AAA77C5E}" srcId="{E355629D-4EE1-447A-93D0-7FB7BEC84E3E}" destId="{78C2B92F-5E7D-4C6A-9795-7E9CDE051567}" srcOrd="3" destOrd="0" parTransId="{A2E5060E-A110-449C-B227-C1CC0A9A52F6}" sibTransId="{0DBB24A7-A152-4477-A2D9-DC53F73D7AC7}"/>
    <dgm:cxn modelId="{72A7EB49-60B1-4DC7-99FB-E81906B3ABCC}" srcId="{920A1FAF-1FE6-4A9F-ACB3-ADCDB8E1F82B}" destId="{72BEE914-4D9C-4DD2-B24E-8753D974F9AA}" srcOrd="0" destOrd="0" parTransId="{DDF218EA-DA1E-4F2F-81C3-1473E4E58AB5}" sibTransId="{C4C30890-41C9-453F-9108-34727D24A6AA}"/>
    <dgm:cxn modelId="{98A7EA51-DECB-4428-B1D3-52F5927A4DDF}" srcId="{E355629D-4EE1-447A-93D0-7FB7BEC84E3E}" destId="{920A1FAF-1FE6-4A9F-ACB3-ADCDB8E1F82B}" srcOrd="0" destOrd="0" parTransId="{1F5E0DF8-CB1E-44C7-B03D-6FCC84271836}" sibTransId="{1DBF50E5-F81B-4561-9958-E1562198FA54}"/>
    <dgm:cxn modelId="{67BD3453-7101-4F33-B6CC-49909540EE1D}" srcId="{E668BB65-3BE3-448C-B580-165BB1675D12}" destId="{B4D3A243-7FC5-40DB-8B6F-4697892AAE72}" srcOrd="1" destOrd="0" parTransId="{83097F66-FAA8-4F51-926C-9FF486A1B126}" sibTransId="{F61ED5E0-89CD-42E4-B739-201BCCD40BAA}"/>
    <dgm:cxn modelId="{5A6FD16A-BC91-4B60-B7E3-8C54562CE637}" type="presOf" srcId="{920A1FAF-1FE6-4A9F-ACB3-ADCDB8E1F82B}" destId="{87FF2A6A-75F2-40AE-886D-A2BBA102C0CE}" srcOrd="0" destOrd="0" presId="urn:microsoft.com/office/officeart/2005/8/layout/matrix3"/>
    <dgm:cxn modelId="{D261336B-804E-492C-B040-0C40EBDD1B03}" srcId="{E355629D-4EE1-447A-93D0-7FB7BEC84E3E}" destId="{470FA230-7CDF-4800-A448-13ED4327B90F}" srcOrd="2" destOrd="0" parTransId="{CAE55533-11D0-4952-BA0A-FC7D692A991C}" sibTransId="{B1FE6BAF-5E7E-4182-A0D1-B1D970260FD5}"/>
    <dgm:cxn modelId="{20544D7F-63BB-4AD0-A761-2C2FF8102883}" type="presOf" srcId="{5E82BFD5-7543-431A-9B11-FAF2066C294E}" destId="{87414E0B-B4D4-4496-8F3F-20523DCF9BE4}" srcOrd="0" destOrd="1" presId="urn:microsoft.com/office/officeart/2005/8/layout/matrix3"/>
    <dgm:cxn modelId="{6E0E7781-C3B7-4913-BAFC-49EBE0A0DE7B}" type="presOf" srcId="{6FB6BF27-92EA-43A5-BEEF-5714FB5CF6FE}" destId="{9F7EF494-16AA-41BD-8290-E942EC39F93D}" srcOrd="0" destOrd="1" presId="urn:microsoft.com/office/officeart/2005/8/layout/matrix3"/>
    <dgm:cxn modelId="{9865E282-F8C4-4EF2-9F48-55C57DDF86AF}" srcId="{920A1FAF-1FE6-4A9F-ACB3-ADCDB8E1F82B}" destId="{68F8AD46-B94A-4679-81EB-E60CB9F78115}" srcOrd="1" destOrd="0" parTransId="{96C2CBE5-3CCC-4AC6-8979-F5D89E523098}" sibTransId="{CA158207-52FC-4B69-A791-A0B3ED062DA3}"/>
    <dgm:cxn modelId="{9D6E749A-A536-482D-8029-762DDD587D6D}" type="presOf" srcId="{DBFD9F67-547D-4609-AD04-9725EF71DCDC}" destId="{9F7EF494-16AA-41BD-8290-E942EC39F93D}" srcOrd="0" destOrd="2" presId="urn:microsoft.com/office/officeart/2005/8/layout/matrix3"/>
    <dgm:cxn modelId="{0F31F9AD-568A-4183-B4A8-3241CF461169}" srcId="{470FA230-7CDF-4800-A448-13ED4327B90F}" destId="{6FB6BF27-92EA-43A5-BEEF-5714FB5CF6FE}" srcOrd="0" destOrd="0" parTransId="{152DA075-837A-4989-8FFD-77FC489A161B}" sibTransId="{6B0957D8-41A5-4713-A5BC-EB8C64994661}"/>
    <dgm:cxn modelId="{DEBE8AB4-3993-4F86-80E0-13B7A3581235}" type="presOf" srcId="{B4D3A243-7FC5-40DB-8B6F-4697892AAE72}" destId="{87414E0B-B4D4-4496-8F3F-20523DCF9BE4}" srcOrd="0" destOrd="2" presId="urn:microsoft.com/office/officeart/2005/8/layout/matrix3"/>
    <dgm:cxn modelId="{1B203BCB-B713-4DFD-885A-E95E1CE04AC4}" srcId="{78C2B92F-5E7D-4C6A-9795-7E9CDE051567}" destId="{DE7993CB-B289-4072-9B8F-C5E1ED05827A}" srcOrd="0" destOrd="0" parTransId="{05BC6CD8-6270-48BA-8BB9-361BBFE46DD3}" sibTransId="{B3D301B7-C960-459E-B634-54071818F6BA}"/>
    <dgm:cxn modelId="{6758A4CF-3D7B-442D-910B-F7AD901F1CB9}" srcId="{E668BB65-3BE3-448C-B580-165BB1675D12}" destId="{5E82BFD5-7543-431A-9B11-FAF2066C294E}" srcOrd="0" destOrd="0" parTransId="{D1F70EDA-85F9-4554-B088-C4F3CEA40FC2}" sibTransId="{18F1DE90-6ADC-4F0B-B1BC-CF5B412560C8}"/>
    <dgm:cxn modelId="{52DAE9D7-2480-4DB7-8FA5-D35CE40AAD04}" type="presOf" srcId="{78C2B92F-5E7D-4C6A-9795-7E9CDE051567}" destId="{8FB780E3-9558-4B46-B72A-50F05076964A}" srcOrd="0" destOrd="0" presId="urn:microsoft.com/office/officeart/2005/8/layout/matrix3"/>
    <dgm:cxn modelId="{B58164E4-9BE2-4D35-9546-2BB73B1F7E2E}" type="presOf" srcId="{470FA230-7CDF-4800-A448-13ED4327B90F}" destId="{9F7EF494-16AA-41BD-8290-E942EC39F93D}" srcOrd="0" destOrd="0" presId="urn:microsoft.com/office/officeart/2005/8/layout/matrix3"/>
    <dgm:cxn modelId="{7DCF9FEE-F873-47B8-B834-0A1CF96F9DD7}" type="presOf" srcId="{68F8AD46-B94A-4679-81EB-E60CB9F78115}" destId="{87FF2A6A-75F2-40AE-886D-A2BBA102C0CE}" srcOrd="0" destOrd="2" presId="urn:microsoft.com/office/officeart/2005/8/layout/matrix3"/>
    <dgm:cxn modelId="{BB8480F3-91E4-45AC-A528-517550DE48F8}" type="presOf" srcId="{72BEE914-4D9C-4DD2-B24E-8753D974F9AA}" destId="{87FF2A6A-75F2-40AE-886D-A2BBA102C0CE}" srcOrd="0" destOrd="1" presId="urn:microsoft.com/office/officeart/2005/8/layout/matrix3"/>
    <dgm:cxn modelId="{B74B5462-FDB5-4491-AB96-D126C4B1E9E2}" type="presParOf" srcId="{E0478FDC-E7A2-4FF0-BBDF-69F61BDDCFCC}" destId="{775B372C-8BF8-4E89-826E-2841429128F3}" srcOrd="0" destOrd="0" presId="urn:microsoft.com/office/officeart/2005/8/layout/matrix3"/>
    <dgm:cxn modelId="{FF102B08-5D71-4855-9CD4-345EA6572FF3}" type="presParOf" srcId="{E0478FDC-E7A2-4FF0-BBDF-69F61BDDCFCC}" destId="{87FF2A6A-75F2-40AE-886D-A2BBA102C0CE}" srcOrd="1" destOrd="0" presId="urn:microsoft.com/office/officeart/2005/8/layout/matrix3"/>
    <dgm:cxn modelId="{5A05D3B6-FFCF-48E6-B139-64473F6920BF}" type="presParOf" srcId="{E0478FDC-E7A2-4FF0-BBDF-69F61BDDCFCC}" destId="{87414E0B-B4D4-4496-8F3F-20523DCF9BE4}" srcOrd="2" destOrd="0" presId="urn:microsoft.com/office/officeart/2005/8/layout/matrix3"/>
    <dgm:cxn modelId="{E451C97A-7698-4687-9C3F-F24FF3C4013F}" type="presParOf" srcId="{E0478FDC-E7A2-4FF0-BBDF-69F61BDDCFCC}" destId="{9F7EF494-16AA-41BD-8290-E942EC39F93D}" srcOrd="3" destOrd="0" presId="urn:microsoft.com/office/officeart/2005/8/layout/matrix3"/>
    <dgm:cxn modelId="{4F0CD8B1-B7FD-4188-AFC9-1EE9E152E644}" type="presParOf" srcId="{E0478FDC-E7A2-4FF0-BBDF-69F61BDDCFCC}" destId="{8FB780E3-9558-4B46-B72A-50F05076964A}" srcOrd="4" destOrd="0" presId="urn:microsoft.com/office/officeart/2005/8/layout/matrix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525607-DA91-4326-9B66-918BDDB3BFC3}">
      <dsp:nvSpPr>
        <dsp:cNvPr id="0" name=""/>
        <dsp:cNvSpPr/>
      </dsp:nvSpPr>
      <dsp:spPr>
        <a:xfrm rot="5400000">
          <a:off x="3245279" y="-1569635"/>
          <a:ext cx="529886" cy="3803904"/>
        </a:xfrm>
        <a:prstGeom prst="round2SameRect">
          <a:avLst/>
        </a:prstGeom>
        <a:solidFill>
          <a:srgbClr val="A02B93">
            <a:tint val="40000"/>
            <a:alpha val="90000"/>
            <a:hueOff val="0"/>
            <a:satOff val="0"/>
            <a:lumOff val="0"/>
            <a:alphaOff val="0"/>
          </a:srgbClr>
        </a:solidFill>
        <a:ln w="12700" cap="flat" cmpd="sng" algn="ctr">
          <a:solidFill>
            <a:srgbClr val="A02B93">
              <a:tint val="40000"/>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Post-Brexit import duties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Sustainability and waste regulations</a:t>
          </a:r>
        </a:p>
      </dsp:txBody>
      <dsp:txXfrm rot="-5400000">
        <a:off x="1608271" y="93240"/>
        <a:ext cx="3778037" cy="478152"/>
      </dsp:txXfrm>
    </dsp:sp>
    <dsp:sp modelId="{12901ABD-A9AC-44A7-B92B-A37ACEBFF574}">
      <dsp:nvSpPr>
        <dsp:cNvPr id="0" name=""/>
        <dsp:cNvSpPr/>
      </dsp:nvSpPr>
      <dsp:spPr>
        <a:xfrm>
          <a:off x="531425" y="1137"/>
          <a:ext cx="1076844" cy="662358"/>
        </a:xfrm>
        <a:prstGeom prst="roundRect">
          <a:avLst/>
        </a:prstGeom>
        <a:solidFill>
          <a:srgbClr val="A02B93">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marL="0" lvl="0" indent="0" algn="ctr" defTabSz="1466850">
            <a:lnSpc>
              <a:spcPct val="90000"/>
            </a:lnSpc>
            <a:spcBef>
              <a:spcPct val="0"/>
            </a:spcBef>
            <a:spcAft>
              <a:spcPct val="35000"/>
            </a:spcAft>
            <a:buNone/>
          </a:pPr>
          <a:r>
            <a:rPr lang="en-GB" sz="3300" b="1" kern="1200" dirty="0">
              <a:solidFill>
                <a:sysClr val="window" lastClr="FFFFFF"/>
              </a:solidFill>
              <a:latin typeface="Aptos" panose="02110004020202020204"/>
              <a:ea typeface="+mn-ea"/>
              <a:cs typeface="+mn-cs"/>
            </a:rPr>
            <a:t>P</a:t>
          </a:r>
          <a:endParaRPr lang="en-GB" sz="3300" kern="1200" dirty="0">
            <a:solidFill>
              <a:sysClr val="window" lastClr="FFFFFF"/>
            </a:solidFill>
            <a:latin typeface="Aptos" panose="02110004020202020204"/>
            <a:ea typeface="+mn-ea"/>
            <a:cs typeface="+mn-cs"/>
          </a:endParaRPr>
        </a:p>
      </dsp:txBody>
      <dsp:txXfrm>
        <a:off x="563759" y="33471"/>
        <a:ext cx="1012176" cy="597690"/>
      </dsp:txXfrm>
    </dsp:sp>
    <dsp:sp modelId="{770D037E-83A0-4A1C-8DC0-F041BFA28DE4}">
      <dsp:nvSpPr>
        <dsp:cNvPr id="0" name=""/>
        <dsp:cNvSpPr/>
      </dsp:nvSpPr>
      <dsp:spPr>
        <a:xfrm rot="5400000">
          <a:off x="3245279" y="-874159"/>
          <a:ext cx="529886" cy="3803904"/>
        </a:xfrm>
        <a:prstGeom prst="round2SameRect">
          <a:avLst/>
        </a:prstGeom>
        <a:solidFill>
          <a:srgbClr val="A02B93">
            <a:tint val="40000"/>
            <a:alpha val="90000"/>
            <a:hueOff val="-2388933"/>
            <a:satOff val="533"/>
            <a:lumOff val="80"/>
            <a:alphaOff val="0"/>
          </a:srgbClr>
        </a:solidFill>
        <a:ln w="12700" cap="flat" cmpd="sng" algn="ctr">
          <a:solidFill>
            <a:srgbClr val="A02B93">
              <a:tint val="40000"/>
              <a:alpha val="90000"/>
              <a:hueOff val="-2388933"/>
              <a:satOff val="533"/>
              <a:lumOff val="8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Inflation pressures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Reduced household spending</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Rising supply chain costs</a:t>
          </a:r>
        </a:p>
      </dsp:txBody>
      <dsp:txXfrm rot="-5400000">
        <a:off x="1608271" y="788716"/>
        <a:ext cx="3778037" cy="478152"/>
      </dsp:txXfrm>
    </dsp:sp>
    <dsp:sp modelId="{E07C132A-C6C9-4B09-AEAD-A87C9B391C2D}">
      <dsp:nvSpPr>
        <dsp:cNvPr id="0" name=""/>
        <dsp:cNvSpPr/>
      </dsp:nvSpPr>
      <dsp:spPr>
        <a:xfrm>
          <a:off x="531425" y="696613"/>
          <a:ext cx="1076844" cy="662358"/>
        </a:xfrm>
        <a:prstGeom prst="roundRect">
          <a:avLst/>
        </a:prstGeom>
        <a:solidFill>
          <a:srgbClr val="A02B93">
            <a:hueOff val="-2430430"/>
            <a:satOff val="-165"/>
            <a:lumOff val="39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marL="0" lvl="0" indent="0" algn="ctr" defTabSz="1466850">
            <a:lnSpc>
              <a:spcPct val="90000"/>
            </a:lnSpc>
            <a:spcBef>
              <a:spcPct val="0"/>
            </a:spcBef>
            <a:spcAft>
              <a:spcPct val="35000"/>
            </a:spcAft>
            <a:buNone/>
          </a:pPr>
          <a:r>
            <a:rPr lang="en-GB" sz="3300" b="1" kern="1200" dirty="0">
              <a:solidFill>
                <a:sysClr val="window" lastClr="FFFFFF"/>
              </a:solidFill>
              <a:latin typeface="Aptos" panose="02110004020202020204"/>
              <a:ea typeface="+mn-ea"/>
              <a:cs typeface="+mn-cs"/>
            </a:rPr>
            <a:t>E</a:t>
          </a:r>
          <a:endParaRPr lang="en-GB" sz="3300" kern="1200" dirty="0">
            <a:solidFill>
              <a:sysClr val="window" lastClr="FFFFFF"/>
            </a:solidFill>
            <a:latin typeface="Aptos" panose="02110004020202020204"/>
            <a:ea typeface="+mn-ea"/>
            <a:cs typeface="+mn-cs"/>
          </a:endParaRPr>
        </a:p>
      </dsp:txBody>
      <dsp:txXfrm>
        <a:off x="563759" y="728947"/>
        <a:ext cx="1012176" cy="597690"/>
      </dsp:txXfrm>
    </dsp:sp>
    <dsp:sp modelId="{7D4A73B4-CA17-4049-AFFE-CAA4D924B445}">
      <dsp:nvSpPr>
        <dsp:cNvPr id="0" name=""/>
        <dsp:cNvSpPr/>
      </dsp:nvSpPr>
      <dsp:spPr>
        <a:xfrm rot="5400000">
          <a:off x="3245279" y="-178683"/>
          <a:ext cx="529886" cy="3803904"/>
        </a:xfrm>
        <a:prstGeom prst="round2SameRect">
          <a:avLst/>
        </a:prstGeom>
        <a:solidFill>
          <a:srgbClr val="A02B93">
            <a:tint val="40000"/>
            <a:alpha val="90000"/>
            <a:hueOff val="-4777866"/>
            <a:satOff val="1067"/>
            <a:lumOff val="160"/>
            <a:alphaOff val="0"/>
          </a:srgbClr>
        </a:solidFill>
        <a:ln w="12700" cap="flat" cmpd="sng" algn="ctr">
          <a:solidFill>
            <a:srgbClr val="A02B93">
              <a:tint val="40000"/>
              <a:alpha val="90000"/>
              <a:hueOff val="-4777866"/>
              <a:satOff val="1067"/>
              <a:lumOff val="16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Small-space and urban living trends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Preference for sustainable products</a:t>
          </a:r>
        </a:p>
      </dsp:txBody>
      <dsp:txXfrm rot="-5400000">
        <a:off x="1608271" y="1484192"/>
        <a:ext cx="3778037" cy="478152"/>
      </dsp:txXfrm>
    </dsp:sp>
    <dsp:sp modelId="{4555AEB6-BAC1-48EF-A3E9-A692C5F22559}">
      <dsp:nvSpPr>
        <dsp:cNvPr id="0" name=""/>
        <dsp:cNvSpPr/>
      </dsp:nvSpPr>
      <dsp:spPr>
        <a:xfrm>
          <a:off x="531425" y="1392089"/>
          <a:ext cx="1076844" cy="662358"/>
        </a:xfrm>
        <a:prstGeom prst="roundRect">
          <a:avLst/>
        </a:prstGeom>
        <a:solidFill>
          <a:srgbClr val="A02B93">
            <a:hueOff val="-4860860"/>
            <a:satOff val="-330"/>
            <a:lumOff val="78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marL="0" lvl="0" indent="0" algn="ctr" defTabSz="1466850">
            <a:lnSpc>
              <a:spcPct val="90000"/>
            </a:lnSpc>
            <a:spcBef>
              <a:spcPct val="0"/>
            </a:spcBef>
            <a:spcAft>
              <a:spcPct val="35000"/>
            </a:spcAft>
            <a:buNone/>
          </a:pPr>
          <a:r>
            <a:rPr lang="en-GB" sz="3300" b="1" kern="1200" dirty="0">
              <a:solidFill>
                <a:sysClr val="window" lastClr="FFFFFF"/>
              </a:solidFill>
              <a:latin typeface="Aptos" panose="02110004020202020204"/>
              <a:ea typeface="+mn-ea"/>
              <a:cs typeface="+mn-cs"/>
            </a:rPr>
            <a:t>S</a:t>
          </a:r>
          <a:endParaRPr lang="en-GB" sz="3300" kern="1200" dirty="0">
            <a:solidFill>
              <a:sysClr val="window" lastClr="FFFFFF"/>
            </a:solidFill>
            <a:latin typeface="Aptos" panose="02110004020202020204"/>
            <a:ea typeface="+mn-ea"/>
            <a:cs typeface="+mn-cs"/>
          </a:endParaRPr>
        </a:p>
      </dsp:txBody>
      <dsp:txXfrm>
        <a:off x="563759" y="1424423"/>
        <a:ext cx="1012176" cy="597690"/>
      </dsp:txXfrm>
    </dsp:sp>
    <dsp:sp modelId="{6ABAF0CA-79CB-4EEC-8678-5768B6EFA905}">
      <dsp:nvSpPr>
        <dsp:cNvPr id="0" name=""/>
        <dsp:cNvSpPr/>
      </dsp:nvSpPr>
      <dsp:spPr>
        <a:xfrm rot="5400000">
          <a:off x="3245279" y="516793"/>
          <a:ext cx="529886" cy="3803904"/>
        </a:xfrm>
        <a:prstGeom prst="round2SameRect">
          <a:avLst/>
        </a:prstGeom>
        <a:solidFill>
          <a:srgbClr val="A02B93">
            <a:tint val="40000"/>
            <a:alpha val="90000"/>
            <a:hueOff val="-7166800"/>
            <a:satOff val="1600"/>
            <a:lumOff val="241"/>
            <a:alphaOff val="0"/>
          </a:srgbClr>
        </a:solidFill>
        <a:ln w="12700" cap="flat" cmpd="sng" algn="ctr">
          <a:solidFill>
            <a:srgbClr val="A02B93">
              <a:tint val="40000"/>
              <a:alpha val="90000"/>
              <a:hueOff val="-7166800"/>
              <a:satOff val="1600"/>
              <a:lumOff val="241"/>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Growth of digital retail</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Demand for online planning tools</a:t>
          </a:r>
        </a:p>
      </dsp:txBody>
      <dsp:txXfrm rot="-5400000">
        <a:off x="1608271" y="2179669"/>
        <a:ext cx="3778037" cy="478152"/>
      </dsp:txXfrm>
    </dsp:sp>
    <dsp:sp modelId="{05F25FC0-939D-429E-8878-40A19A44DD6E}">
      <dsp:nvSpPr>
        <dsp:cNvPr id="0" name=""/>
        <dsp:cNvSpPr/>
      </dsp:nvSpPr>
      <dsp:spPr>
        <a:xfrm>
          <a:off x="531425" y="2087565"/>
          <a:ext cx="1076844" cy="662358"/>
        </a:xfrm>
        <a:prstGeom prst="roundRect">
          <a:avLst/>
        </a:prstGeom>
        <a:solidFill>
          <a:srgbClr val="A02B93">
            <a:hueOff val="-7291290"/>
            <a:satOff val="-496"/>
            <a:lumOff val="1177"/>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marL="0" lvl="0" indent="0" algn="ctr" defTabSz="1466850">
            <a:lnSpc>
              <a:spcPct val="90000"/>
            </a:lnSpc>
            <a:spcBef>
              <a:spcPct val="0"/>
            </a:spcBef>
            <a:spcAft>
              <a:spcPct val="35000"/>
            </a:spcAft>
            <a:buNone/>
          </a:pPr>
          <a:r>
            <a:rPr lang="en-GB" sz="3300" b="1" kern="1200" dirty="0">
              <a:solidFill>
                <a:sysClr val="window" lastClr="FFFFFF"/>
              </a:solidFill>
              <a:latin typeface="Aptos" panose="02110004020202020204"/>
              <a:ea typeface="+mn-ea"/>
              <a:cs typeface="+mn-cs"/>
            </a:rPr>
            <a:t>T</a:t>
          </a:r>
          <a:endParaRPr lang="en-GB" sz="3300" kern="1200" dirty="0">
            <a:solidFill>
              <a:sysClr val="window" lastClr="FFFFFF"/>
            </a:solidFill>
            <a:latin typeface="Aptos" panose="02110004020202020204"/>
            <a:ea typeface="+mn-ea"/>
            <a:cs typeface="+mn-cs"/>
          </a:endParaRPr>
        </a:p>
      </dsp:txBody>
      <dsp:txXfrm>
        <a:off x="563759" y="2119899"/>
        <a:ext cx="1012176" cy="597690"/>
      </dsp:txXfrm>
    </dsp:sp>
    <dsp:sp modelId="{5401EC7B-7CBA-48C6-9D29-3C44D47B678B}">
      <dsp:nvSpPr>
        <dsp:cNvPr id="0" name=""/>
        <dsp:cNvSpPr/>
      </dsp:nvSpPr>
      <dsp:spPr>
        <a:xfrm rot="5400000">
          <a:off x="3245279" y="1212269"/>
          <a:ext cx="529886" cy="3803904"/>
        </a:xfrm>
        <a:prstGeom prst="round2SameRect">
          <a:avLst/>
        </a:prstGeom>
        <a:solidFill>
          <a:srgbClr val="A02B93">
            <a:tint val="40000"/>
            <a:alpha val="90000"/>
            <a:hueOff val="-9555732"/>
            <a:satOff val="2134"/>
            <a:lumOff val="321"/>
            <a:alphaOff val="0"/>
          </a:srgbClr>
        </a:solidFill>
        <a:ln w="12700" cap="flat" cmpd="sng" algn="ctr">
          <a:solidFill>
            <a:srgbClr val="A02B93">
              <a:tint val="40000"/>
              <a:alpha val="90000"/>
              <a:hueOff val="-9555732"/>
              <a:satOff val="2134"/>
              <a:lumOff val="321"/>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Circular economy expectations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Carbon reduction requirements</a:t>
          </a:r>
        </a:p>
      </dsp:txBody>
      <dsp:txXfrm rot="-5400000">
        <a:off x="1608271" y="2875145"/>
        <a:ext cx="3778037" cy="478152"/>
      </dsp:txXfrm>
    </dsp:sp>
    <dsp:sp modelId="{446CA3D7-D25F-4E41-B434-2F4033AF0DB2}">
      <dsp:nvSpPr>
        <dsp:cNvPr id="0" name=""/>
        <dsp:cNvSpPr/>
      </dsp:nvSpPr>
      <dsp:spPr>
        <a:xfrm>
          <a:off x="531425" y="2783042"/>
          <a:ext cx="1076844" cy="662358"/>
        </a:xfrm>
        <a:prstGeom prst="roundRect">
          <a:avLst/>
        </a:prstGeom>
        <a:solidFill>
          <a:srgbClr val="A02B93">
            <a:hueOff val="-9721720"/>
            <a:satOff val="-661"/>
            <a:lumOff val="1569"/>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marL="0" lvl="0" indent="0" algn="ctr" defTabSz="1466850">
            <a:lnSpc>
              <a:spcPct val="90000"/>
            </a:lnSpc>
            <a:spcBef>
              <a:spcPct val="0"/>
            </a:spcBef>
            <a:spcAft>
              <a:spcPct val="35000"/>
            </a:spcAft>
            <a:buNone/>
          </a:pPr>
          <a:r>
            <a:rPr lang="en-GB" sz="3300" b="1" kern="1200" dirty="0">
              <a:solidFill>
                <a:sysClr val="window" lastClr="FFFFFF"/>
              </a:solidFill>
              <a:latin typeface="Aptos" panose="02110004020202020204"/>
              <a:ea typeface="+mn-ea"/>
              <a:cs typeface="+mn-cs"/>
            </a:rPr>
            <a:t>E</a:t>
          </a:r>
          <a:endParaRPr lang="en-GB" sz="3300" kern="1200" dirty="0">
            <a:solidFill>
              <a:sysClr val="window" lastClr="FFFFFF"/>
            </a:solidFill>
            <a:latin typeface="Aptos" panose="02110004020202020204"/>
            <a:ea typeface="+mn-ea"/>
            <a:cs typeface="+mn-cs"/>
          </a:endParaRPr>
        </a:p>
      </dsp:txBody>
      <dsp:txXfrm>
        <a:off x="563759" y="2815376"/>
        <a:ext cx="1012176" cy="597690"/>
      </dsp:txXfrm>
    </dsp:sp>
    <dsp:sp modelId="{CBCFFDE8-9485-4F17-83F5-55B3AF118E77}">
      <dsp:nvSpPr>
        <dsp:cNvPr id="0" name=""/>
        <dsp:cNvSpPr/>
      </dsp:nvSpPr>
      <dsp:spPr>
        <a:xfrm rot="5400000">
          <a:off x="3245279" y="1907745"/>
          <a:ext cx="529886" cy="3803904"/>
        </a:xfrm>
        <a:prstGeom prst="round2SameRect">
          <a:avLst/>
        </a:prstGeom>
        <a:solidFill>
          <a:srgbClr val="A02B93">
            <a:tint val="40000"/>
            <a:alpha val="90000"/>
            <a:hueOff val="-11944666"/>
            <a:satOff val="2667"/>
            <a:lumOff val="401"/>
            <a:alphaOff val="0"/>
          </a:srgbClr>
        </a:solidFill>
        <a:ln w="12700" cap="flat" cmpd="sng" algn="ctr">
          <a:solidFill>
            <a:srgbClr val="A02B93">
              <a:tint val="40000"/>
              <a:alpha val="90000"/>
              <a:hueOff val="-11944666"/>
              <a:satOff val="2667"/>
              <a:lumOff val="401"/>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Consumer protection laws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ptos" panose="02110004020202020204"/>
              <a:ea typeface="+mn-ea"/>
              <a:cs typeface="+mn-cs"/>
            </a:rPr>
            <a:t>Franchising and compliance obligations</a:t>
          </a:r>
        </a:p>
      </dsp:txBody>
      <dsp:txXfrm rot="-5400000">
        <a:off x="1608271" y="3570621"/>
        <a:ext cx="3778037" cy="478152"/>
      </dsp:txXfrm>
    </dsp:sp>
    <dsp:sp modelId="{D0BF9E9E-8E94-4A1C-BCFD-2F9CE2D011A4}">
      <dsp:nvSpPr>
        <dsp:cNvPr id="0" name=""/>
        <dsp:cNvSpPr/>
      </dsp:nvSpPr>
      <dsp:spPr>
        <a:xfrm>
          <a:off x="531425" y="3478518"/>
          <a:ext cx="1076844" cy="662358"/>
        </a:xfrm>
        <a:prstGeom prst="roundRect">
          <a:avLst/>
        </a:prstGeom>
        <a:solidFill>
          <a:srgbClr val="A02B93">
            <a:hueOff val="-12152150"/>
            <a:satOff val="-826"/>
            <a:lumOff val="196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marL="0" lvl="0" indent="0" algn="ctr" defTabSz="1466850">
            <a:lnSpc>
              <a:spcPct val="90000"/>
            </a:lnSpc>
            <a:spcBef>
              <a:spcPct val="0"/>
            </a:spcBef>
            <a:spcAft>
              <a:spcPct val="35000"/>
            </a:spcAft>
            <a:buNone/>
          </a:pPr>
          <a:r>
            <a:rPr lang="en-GB" sz="3300" b="1" kern="1200">
              <a:solidFill>
                <a:sysClr val="window" lastClr="FFFFFF"/>
              </a:solidFill>
              <a:latin typeface="Aptos" panose="02110004020202020204"/>
              <a:ea typeface="+mn-ea"/>
              <a:cs typeface="+mn-cs"/>
            </a:rPr>
            <a:t>L</a:t>
          </a:r>
          <a:endParaRPr lang="en-GB" sz="3300" kern="1200" dirty="0">
            <a:solidFill>
              <a:sysClr val="window" lastClr="FFFFFF"/>
            </a:solidFill>
            <a:latin typeface="Aptos" panose="02110004020202020204"/>
            <a:ea typeface="+mn-ea"/>
            <a:cs typeface="+mn-cs"/>
          </a:endParaRPr>
        </a:p>
      </dsp:txBody>
      <dsp:txXfrm>
        <a:off x="563759" y="3510852"/>
        <a:ext cx="1012176" cy="5976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6D713E-CA96-4D35-94FC-95E7ABB9313F}">
      <dsp:nvSpPr>
        <dsp:cNvPr id="0" name=""/>
        <dsp:cNvSpPr/>
      </dsp:nvSpPr>
      <dsp:spPr>
        <a:xfrm>
          <a:off x="709118" y="2571"/>
          <a:ext cx="1874787" cy="749915"/>
        </a:xfrm>
        <a:prstGeom prst="chevron">
          <a:avLst/>
        </a:prstGeom>
        <a:solidFill>
          <a:srgbClr val="0F9E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9525" rIns="0" bIns="9525" numCol="1" spcCol="1270" anchor="ctr" anchorCtr="0">
          <a:noAutofit/>
        </a:bodyPr>
        <a:lstStyle/>
        <a:p>
          <a:pPr marL="0" lvl="0" indent="0" algn="ctr" defTabSz="666750">
            <a:lnSpc>
              <a:spcPct val="90000"/>
            </a:lnSpc>
            <a:spcBef>
              <a:spcPct val="0"/>
            </a:spcBef>
            <a:spcAft>
              <a:spcPct val="35000"/>
            </a:spcAft>
            <a:buNone/>
          </a:pPr>
          <a:r>
            <a:rPr lang="en-GB" sz="1500" b="1" kern="1200">
              <a:solidFill>
                <a:sysClr val="window" lastClr="FFFFFF"/>
              </a:solidFill>
              <a:latin typeface="Aptos" panose="02110004020202020204"/>
              <a:ea typeface="+mn-ea"/>
              <a:cs typeface="+mn-cs"/>
            </a:rPr>
            <a:t>Threat of New Entrants</a:t>
          </a:r>
          <a:endParaRPr lang="en-GB" sz="1500" kern="1200">
            <a:solidFill>
              <a:sysClr val="window" lastClr="FFFFFF"/>
            </a:solidFill>
            <a:latin typeface="Aptos" panose="02110004020202020204"/>
            <a:ea typeface="+mn-ea"/>
            <a:cs typeface="+mn-cs"/>
          </a:endParaRPr>
        </a:p>
      </dsp:txBody>
      <dsp:txXfrm>
        <a:off x="1084076" y="2571"/>
        <a:ext cx="1124872" cy="749915"/>
      </dsp:txXfrm>
    </dsp:sp>
    <dsp:sp modelId="{04D010E0-4D0A-49C5-8B78-5CCA252EF7C0}">
      <dsp:nvSpPr>
        <dsp:cNvPr id="0" name=""/>
        <dsp:cNvSpPr/>
      </dsp:nvSpPr>
      <dsp:spPr>
        <a:xfrm>
          <a:off x="2340183" y="66314"/>
          <a:ext cx="1556073" cy="622429"/>
        </a:xfrm>
        <a:prstGeom prst="chevron">
          <a:avLst/>
        </a:prstGeom>
        <a:solidFill>
          <a:srgbClr val="0F9ED5">
            <a:tint val="40000"/>
            <a:alpha val="90000"/>
            <a:hueOff val="0"/>
            <a:satOff val="0"/>
            <a:lumOff val="0"/>
            <a:alphaOff val="0"/>
          </a:srgbClr>
        </a:solidFill>
        <a:ln w="12700" cap="flat" cmpd="sng" algn="ctr">
          <a:solidFill>
            <a:srgbClr val="0F9ED5">
              <a:tint val="40000"/>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hueOff val="0"/>
                  <a:satOff val="0"/>
                  <a:lumOff val="0"/>
                  <a:alphaOff val="0"/>
                </a:sysClr>
              </a:solidFill>
              <a:latin typeface="Aptos" panose="02110004020202020204"/>
              <a:ea typeface="+mn-ea"/>
              <a:cs typeface="+mn-cs"/>
            </a:rPr>
            <a:t>Easy entry for online-only retailers</a:t>
          </a:r>
        </a:p>
      </dsp:txBody>
      <dsp:txXfrm>
        <a:off x="2651398" y="66314"/>
        <a:ext cx="933644" cy="622429"/>
      </dsp:txXfrm>
    </dsp:sp>
    <dsp:sp modelId="{3FDE30C6-8A26-4C1E-B13E-AC5581BBDCE5}">
      <dsp:nvSpPr>
        <dsp:cNvPr id="0" name=""/>
        <dsp:cNvSpPr/>
      </dsp:nvSpPr>
      <dsp:spPr>
        <a:xfrm>
          <a:off x="3678407" y="66314"/>
          <a:ext cx="1556073" cy="622429"/>
        </a:xfrm>
        <a:prstGeom prst="chevron">
          <a:avLst/>
        </a:prstGeom>
        <a:solidFill>
          <a:srgbClr val="0F9ED5">
            <a:tint val="40000"/>
            <a:alpha val="90000"/>
            <a:hueOff val="684393"/>
            <a:satOff val="-3408"/>
            <a:lumOff val="-323"/>
            <a:alphaOff val="0"/>
          </a:srgbClr>
        </a:solidFill>
        <a:ln w="12700" cap="flat" cmpd="sng" algn="ctr">
          <a:solidFill>
            <a:srgbClr val="0F9ED5">
              <a:tint val="40000"/>
              <a:alpha val="90000"/>
              <a:hueOff val="684393"/>
              <a:satOff val="-3408"/>
              <a:lumOff val="-323"/>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hueOff val="0"/>
                  <a:satOff val="0"/>
                  <a:lumOff val="0"/>
                  <a:alphaOff val="0"/>
                </a:sysClr>
              </a:solidFill>
              <a:latin typeface="Aptos" panose="02110004020202020204"/>
              <a:ea typeface="+mn-ea"/>
              <a:cs typeface="+mn-cs"/>
            </a:rPr>
            <a:t>High cost for physical stores</a:t>
          </a:r>
        </a:p>
      </dsp:txBody>
      <dsp:txXfrm>
        <a:off x="3989622" y="66314"/>
        <a:ext cx="933644" cy="622429"/>
      </dsp:txXfrm>
    </dsp:sp>
    <dsp:sp modelId="{EC4B8964-A65A-46FC-98F9-6CD0319CEAD1}">
      <dsp:nvSpPr>
        <dsp:cNvPr id="0" name=""/>
        <dsp:cNvSpPr/>
      </dsp:nvSpPr>
      <dsp:spPr>
        <a:xfrm>
          <a:off x="709118" y="857474"/>
          <a:ext cx="1874787" cy="749915"/>
        </a:xfrm>
        <a:prstGeom prst="chevron">
          <a:avLst/>
        </a:prstGeom>
        <a:solidFill>
          <a:srgbClr val="0F9ED5">
            <a:hueOff val="1649984"/>
            <a:satOff val="-7300"/>
            <a:lumOff val="-122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9525" rIns="0" bIns="9525" numCol="1" spcCol="1270" anchor="ctr" anchorCtr="0">
          <a:noAutofit/>
        </a:bodyPr>
        <a:lstStyle/>
        <a:p>
          <a:pPr marL="0" lvl="0" indent="0" algn="ctr" defTabSz="666750">
            <a:lnSpc>
              <a:spcPct val="90000"/>
            </a:lnSpc>
            <a:spcBef>
              <a:spcPct val="0"/>
            </a:spcBef>
            <a:spcAft>
              <a:spcPct val="35000"/>
            </a:spcAft>
            <a:buNone/>
          </a:pPr>
          <a:r>
            <a:rPr lang="en-GB" sz="1500" b="1" kern="1200">
              <a:solidFill>
                <a:sysClr val="window" lastClr="FFFFFF"/>
              </a:solidFill>
              <a:latin typeface="Aptos" panose="02110004020202020204"/>
              <a:ea typeface="+mn-ea"/>
              <a:cs typeface="+mn-cs"/>
            </a:rPr>
            <a:t>Threat of Substitutes</a:t>
          </a:r>
          <a:endParaRPr lang="en-GB" sz="1500" kern="1200">
            <a:solidFill>
              <a:sysClr val="window" lastClr="FFFFFF"/>
            </a:solidFill>
            <a:latin typeface="Aptos" panose="02110004020202020204"/>
            <a:ea typeface="+mn-ea"/>
            <a:cs typeface="+mn-cs"/>
          </a:endParaRPr>
        </a:p>
      </dsp:txBody>
      <dsp:txXfrm>
        <a:off x="1084076" y="857474"/>
        <a:ext cx="1124872" cy="749915"/>
      </dsp:txXfrm>
    </dsp:sp>
    <dsp:sp modelId="{98E3085E-D5A8-4CD2-B63B-98BBC9772BC1}">
      <dsp:nvSpPr>
        <dsp:cNvPr id="0" name=""/>
        <dsp:cNvSpPr/>
      </dsp:nvSpPr>
      <dsp:spPr>
        <a:xfrm>
          <a:off x="2340183" y="921217"/>
          <a:ext cx="1556073" cy="622429"/>
        </a:xfrm>
        <a:prstGeom prst="chevron">
          <a:avLst/>
        </a:prstGeom>
        <a:solidFill>
          <a:srgbClr val="0F9ED5">
            <a:tint val="40000"/>
            <a:alpha val="90000"/>
            <a:hueOff val="1368786"/>
            <a:satOff val="-6815"/>
            <a:lumOff val="-647"/>
            <a:alphaOff val="0"/>
          </a:srgbClr>
        </a:solidFill>
        <a:ln w="12700" cap="flat" cmpd="sng" algn="ctr">
          <a:solidFill>
            <a:srgbClr val="0F9ED5">
              <a:tint val="40000"/>
              <a:alpha val="90000"/>
              <a:hueOff val="1368786"/>
              <a:satOff val="-6815"/>
              <a:lumOff val="-647"/>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hueOff val="0"/>
                  <a:satOff val="0"/>
                  <a:lumOff val="0"/>
                  <a:alphaOff val="0"/>
                </a:sysClr>
              </a:solidFill>
              <a:latin typeface="Aptos" panose="02110004020202020204"/>
              <a:ea typeface="+mn-ea"/>
              <a:cs typeface="+mn-cs"/>
            </a:rPr>
            <a:t>Second-hand furniture market</a:t>
          </a:r>
        </a:p>
      </dsp:txBody>
      <dsp:txXfrm>
        <a:off x="2651398" y="921217"/>
        <a:ext cx="933644" cy="622429"/>
      </dsp:txXfrm>
    </dsp:sp>
    <dsp:sp modelId="{948FCFC5-09F1-403A-9F42-2D944D04F28F}">
      <dsp:nvSpPr>
        <dsp:cNvPr id="0" name=""/>
        <dsp:cNvSpPr/>
      </dsp:nvSpPr>
      <dsp:spPr>
        <a:xfrm>
          <a:off x="3678407" y="921217"/>
          <a:ext cx="1556073" cy="622429"/>
        </a:xfrm>
        <a:prstGeom prst="chevron">
          <a:avLst/>
        </a:prstGeom>
        <a:solidFill>
          <a:srgbClr val="0F9ED5">
            <a:tint val="40000"/>
            <a:alpha val="90000"/>
            <a:hueOff val="2053179"/>
            <a:satOff val="-10223"/>
            <a:lumOff val="-970"/>
            <a:alphaOff val="0"/>
          </a:srgbClr>
        </a:solidFill>
        <a:ln w="12700" cap="flat" cmpd="sng" algn="ctr">
          <a:solidFill>
            <a:srgbClr val="0F9ED5">
              <a:tint val="40000"/>
              <a:alpha val="90000"/>
              <a:hueOff val="2053179"/>
              <a:satOff val="-10223"/>
              <a:lumOff val="-97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hueOff val="0"/>
                  <a:satOff val="0"/>
                  <a:lumOff val="0"/>
                  <a:alphaOff val="0"/>
                </a:sysClr>
              </a:solidFill>
              <a:latin typeface="Aptos" panose="02110004020202020204"/>
              <a:ea typeface="+mn-ea"/>
              <a:cs typeface="+mn-cs"/>
            </a:rPr>
            <a:t>Competitor homeware ranges</a:t>
          </a:r>
        </a:p>
      </dsp:txBody>
      <dsp:txXfrm>
        <a:off x="3989622" y="921217"/>
        <a:ext cx="933644" cy="622429"/>
      </dsp:txXfrm>
    </dsp:sp>
    <dsp:sp modelId="{1270114B-C779-4FA6-960F-F854B03817B8}">
      <dsp:nvSpPr>
        <dsp:cNvPr id="0" name=""/>
        <dsp:cNvSpPr/>
      </dsp:nvSpPr>
      <dsp:spPr>
        <a:xfrm>
          <a:off x="709118" y="1712377"/>
          <a:ext cx="1874787" cy="749915"/>
        </a:xfrm>
        <a:prstGeom prst="chevron">
          <a:avLst/>
        </a:prstGeom>
        <a:solidFill>
          <a:srgbClr val="0F9ED5">
            <a:hueOff val="3299968"/>
            <a:satOff val="-14601"/>
            <a:lumOff val="-245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9525" rIns="0" bIns="9525" numCol="1" spcCol="1270" anchor="ctr" anchorCtr="0">
          <a:noAutofit/>
        </a:bodyPr>
        <a:lstStyle/>
        <a:p>
          <a:pPr marL="0" lvl="0" indent="0" algn="ctr" defTabSz="666750">
            <a:lnSpc>
              <a:spcPct val="90000"/>
            </a:lnSpc>
            <a:spcBef>
              <a:spcPct val="0"/>
            </a:spcBef>
            <a:spcAft>
              <a:spcPct val="35000"/>
            </a:spcAft>
            <a:buNone/>
          </a:pPr>
          <a:r>
            <a:rPr lang="en-GB" sz="1500" b="1" kern="1200">
              <a:solidFill>
                <a:sysClr val="window" lastClr="FFFFFF"/>
              </a:solidFill>
              <a:latin typeface="Aptos" panose="02110004020202020204"/>
              <a:ea typeface="+mn-ea"/>
              <a:cs typeface="+mn-cs"/>
            </a:rPr>
            <a:t>Buyer Power</a:t>
          </a:r>
          <a:endParaRPr lang="en-GB" sz="1500" kern="1200">
            <a:solidFill>
              <a:sysClr val="window" lastClr="FFFFFF"/>
            </a:solidFill>
            <a:latin typeface="Aptos" panose="02110004020202020204"/>
            <a:ea typeface="+mn-ea"/>
            <a:cs typeface="+mn-cs"/>
          </a:endParaRPr>
        </a:p>
      </dsp:txBody>
      <dsp:txXfrm>
        <a:off x="1084076" y="1712377"/>
        <a:ext cx="1124872" cy="749915"/>
      </dsp:txXfrm>
    </dsp:sp>
    <dsp:sp modelId="{E107C1C5-3B60-4DA7-8114-887BD0B027B8}">
      <dsp:nvSpPr>
        <dsp:cNvPr id="0" name=""/>
        <dsp:cNvSpPr/>
      </dsp:nvSpPr>
      <dsp:spPr>
        <a:xfrm>
          <a:off x="2340183" y="1776120"/>
          <a:ext cx="1556073" cy="622429"/>
        </a:xfrm>
        <a:prstGeom prst="chevron">
          <a:avLst/>
        </a:prstGeom>
        <a:solidFill>
          <a:srgbClr val="0F9ED5">
            <a:tint val="40000"/>
            <a:alpha val="90000"/>
            <a:hueOff val="2737571"/>
            <a:satOff val="-13631"/>
            <a:lumOff val="-1293"/>
            <a:alphaOff val="0"/>
          </a:srgbClr>
        </a:solidFill>
        <a:ln w="12700" cap="flat" cmpd="sng" algn="ctr">
          <a:solidFill>
            <a:srgbClr val="0F9ED5">
              <a:tint val="40000"/>
              <a:alpha val="90000"/>
              <a:hueOff val="2737571"/>
              <a:satOff val="-13631"/>
              <a:lumOff val="-1293"/>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hueOff val="0"/>
                  <a:satOff val="0"/>
                  <a:lumOff val="0"/>
                  <a:alphaOff val="0"/>
                </a:sysClr>
              </a:solidFill>
              <a:latin typeface="Aptos" panose="02110004020202020204"/>
              <a:ea typeface="+mn-ea"/>
              <a:cs typeface="+mn-cs"/>
            </a:rPr>
            <a:t>High price sensitivity</a:t>
          </a:r>
        </a:p>
      </dsp:txBody>
      <dsp:txXfrm>
        <a:off x="2651398" y="1776120"/>
        <a:ext cx="933644" cy="622429"/>
      </dsp:txXfrm>
    </dsp:sp>
    <dsp:sp modelId="{58212D8E-356A-4638-ADDF-2041D2A2B478}">
      <dsp:nvSpPr>
        <dsp:cNvPr id="0" name=""/>
        <dsp:cNvSpPr/>
      </dsp:nvSpPr>
      <dsp:spPr>
        <a:xfrm>
          <a:off x="3678407" y="1776120"/>
          <a:ext cx="1556073" cy="622429"/>
        </a:xfrm>
        <a:prstGeom prst="chevron">
          <a:avLst/>
        </a:prstGeom>
        <a:solidFill>
          <a:srgbClr val="0F9ED5">
            <a:tint val="40000"/>
            <a:alpha val="90000"/>
            <a:hueOff val="3421964"/>
            <a:satOff val="-17038"/>
            <a:lumOff val="-1617"/>
            <a:alphaOff val="0"/>
          </a:srgbClr>
        </a:solidFill>
        <a:ln w="12700" cap="flat" cmpd="sng" algn="ctr">
          <a:solidFill>
            <a:srgbClr val="0F9ED5">
              <a:tint val="40000"/>
              <a:alpha val="90000"/>
              <a:hueOff val="3421964"/>
              <a:satOff val="-17038"/>
              <a:lumOff val="-1617"/>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hueOff val="0"/>
                  <a:satOff val="0"/>
                  <a:lumOff val="0"/>
                  <a:alphaOff val="0"/>
                </a:sysClr>
              </a:solidFill>
              <a:latin typeface="Aptos" panose="02110004020202020204"/>
              <a:ea typeface="+mn-ea"/>
              <a:cs typeface="+mn-cs"/>
            </a:rPr>
            <a:t>Many alternative retailers</a:t>
          </a:r>
        </a:p>
      </dsp:txBody>
      <dsp:txXfrm>
        <a:off x="3989622" y="1776120"/>
        <a:ext cx="933644" cy="622429"/>
      </dsp:txXfrm>
    </dsp:sp>
    <dsp:sp modelId="{D6871083-5922-4E6B-A7EA-54C5B60BFC4C}">
      <dsp:nvSpPr>
        <dsp:cNvPr id="0" name=""/>
        <dsp:cNvSpPr/>
      </dsp:nvSpPr>
      <dsp:spPr>
        <a:xfrm>
          <a:off x="709118" y="2567281"/>
          <a:ext cx="1874787" cy="749915"/>
        </a:xfrm>
        <a:prstGeom prst="chevron">
          <a:avLst/>
        </a:prstGeom>
        <a:solidFill>
          <a:srgbClr val="0F9ED5">
            <a:hueOff val="4949952"/>
            <a:satOff val="-21901"/>
            <a:lumOff val="-3677"/>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9525" rIns="0" bIns="9525" numCol="1" spcCol="1270" anchor="ctr" anchorCtr="0">
          <a:noAutofit/>
        </a:bodyPr>
        <a:lstStyle/>
        <a:p>
          <a:pPr marL="0" lvl="0" indent="0" algn="ctr" defTabSz="666750">
            <a:lnSpc>
              <a:spcPct val="90000"/>
            </a:lnSpc>
            <a:spcBef>
              <a:spcPct val="0"/>
            </a:spcBef>
            <a:spcAft>
              <a:spcPct val="35000"/>
            </a:spcAft>
            <a:buNone/>
          </a:pPr>
          <a:r>
            <a:rPr lang="en-GB" sz="1500" b="1" kern="1200">
              <a:solidFill>
                <a:sysClr val="window" lastClr="FFFFFF"/>
              </a:solidFill>
              <a:latin typeface="Aptos" panose="02110004020202020204"/>
              <a:ea typeface="+mn-ea"/>
              <a:cs typeface="+mn-cs"/>
            </a:rPr>
            <a:t>Supplier Power</a:t>
          </a:r>
          <a:endParaRPr lang="en-GB" sz="1500" kern="1200">
            <a:solidFill>
              <a:sysClr val="window" lastClr="FFFFFF"/>
            </a:solidFill>
            <a:latin typeface="Aptos" panose="02110004020202020204"/>
            <a:ea typeface="+mn-ea"/>
            <a:cs typeface="+mn-cs"/>
          </a:endParaRPr>
        </a:p>
      </dsp:txBody>
      <dsp:txXfrm>
        <a:off x="1084076" y="2567281"/>
        <a:ext cx="1124872" cy="749915"/>
      </dsp:txXfrm>
    </dsp:sp>
    <dsp:sp modelId="{85A1AF33-FC91-41D9-8673-0C49D54D4699}">
      <dsp:nvSpPr>
        <dsp:cNvPr id="0" name=""/>
        <dsp:cNvSpPr/>
      </dsp:nvSpPr>
      <dsp:spPr>
        <a:xfrm>
          <a:off x="2340183" y="2631023"/>
          <a:ext cx="1556073" cy="622429"/>
        </a:xfrm>
        <a:prstGeom prst="chevron">
          <a:avLst/>
        </a:prstGeom>
        <a:solidFill>
          <a:srgbClr val="0F9ED5">
            <a:tint val="40000"/>
            <a:alpha val="90000"/>
            <a:hueOff val="4106357"/>
            <a:satOff val="-20446"/>
            <a:lumOff val="-1940"/>
            <a:alphaOff val="0"/>
          </a:srgbClr>
        </a:solidFill>
        <a:ln w="12700" cap="flat" cmpd="sng" algn="ctr">
          <a:solidFill>
            <a:srgbClr val="0F9ED5">
              <a:tint val="40000"/>
              <a:alpha val="90000"/>
              <a:hueOff val="4106357"/>
              <a:satOff val="-20446"/>
              <a:lumOff val="-194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hueOff val="0"/>
                  <a:satOff val="0"/>
                  <a:lumOff val="0"/>
                  <a:alphaOff val="0"/>
                </a:sysClr>
              </a:solidFill>
              <a:latin typeface="Aptos" panose="02110004020202020204"/>
              <a:ea typeface="+mn-ea"/>
              <a:cs typeface="+mn-cs"/>
            </a:rPr>
            <a:t>Centralised IKEA sourcing</a:t>
          </a:r>
        </a:p>
      </dsp:txBody>
      <dsp:txXfrm>
        <a:off x="2651398" y="2631023"/>
        <a:ext cx="933644" cy="622429"/>
      </dsp:txXfrm>
    </dsp:sp>
    <dsp:sp modelId="{DB8960A1-8338-4597-A115-32A81F6A66DE}">
      <dsp:nvSpPr>
        <dsp:cNvPr id="0" name=""/>
        <dsp:cNvSpPr/>
      </dsp:nvSpPr>
      <dsp:spPr>
        <a:xfrm>
          <a:off x="3678407" y="2631023"/>
          <a:ext cx="1556073" cy="622429"/>
        </a:xfrm>
        <a:prstGeom prst="chevron">
          <a:avLst/>
        </a:prstGeom>
        <a:solidFill>
          <a:srgbClr val="0F9ED5">
            <a:tint val="40000"/>
            <a:alpha val="90000"/>
            <a:hueOff val="4790750"/>
            <a:satOff val="-23854"/>
            <a:lumOff val="-2263"/>
            <a:alphaOff val="0"/>
          </a:srgbClr>
        </a:solidFill>
        <a:ln w="12700" cap="flat" cmpd="sng" algn="ctr">
          <a:solidFill>
            <a:srgbClr val="0F9ED5">
              <a:tint val="40000"/>
              <a:alpha val="90000"/>
              <a:hueOff val="4790750"/>
              <a:satOff val="-23854"/>
              <a:lumOff val="-2263"/>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hueOff val="0"/>
                  <a:satOff val="0"/>
                  <a:lumOff val="0"/>
                  <a:alphaOff val="0"/>
                </a:sysClr>
              </a:solidFill>
              <a:latin typeface="Aptos" panose="02110004020202020204"/>
              <a:ea typeface="+mn-ea"/>
              <a:cs typeface="+mn-cs"/>
            </a:rPr>
            <a:t>Limited flexibility for franchisees</a:t>
          </a:r>
        </a:p>
      </dsp:txBody>
      <dsp:txXfrm>
        <a:off x="3989622" y="2631023"/>
        <a:ext cx="933644" cy="622429"/>
      </dsp:txXfrm>
    </dsp:sp>
    <dsp:sp modelId="{1417C7F4-8E9D-4F53-A082-4F4E8FDF1511}">
      <dsp:nvSpPr>
        <dsp:cNvPr id="0" name=""/>
        <dsp:cNvSpPr/>
      </dsp:nvSpPr>
      <dsp:spPr>
        <a:xfrm>
          <a:off x="709118" y="3422184"/>
          <a:ext cx="1874787" cy="749915"/>
        </a:xfrm>
        <a:prstGeom prst="chevron">
          <a:avLst/>
        </a:prstGeom>
        <a:solidFill>
          <a:srgbClr val="0F9ED5">
            <a:hueOff val="6599937"/>
            <a:satOff val="-29202"/>
            <a:lumOff val="-490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9525" rIns="0" bIns="9525" numCol="1" spcCol="1270" anchor="ctr" anchorCtr="0">
          <a:noAutofit/>
        </a:bodyPr>
        <a:lstStyle/>
        <a:p>
          <a:pPr marL="0" lvl="0" indent="0" algn="ctr" defTabSz="666750">
            <a:lnSpc>
              <a:spcPct val="90000"/>
            </a:lnSpc>
            <a:spcBef>
              <a:spcPct val="0"/>
            </a:spcBef>
            <a:spcAft>
              <a:spcPct val="35000"/>
            </a:spcAft>
            <a:buNone/>
          </a:pPr>
          <a:r>
            <a:rPr lang="en-GB" sz="1500" b="1" kern="1200">
              <a:solidFill>
                <a:sysClr val="window" lastClr="FFFFFF"/>
              </a:solidFill>
              <a:latin typeface="Aptos" panose="02110004020202020204"/>
              <a:ea typeface="+mn-ea"/>
              <a:cs typeface="+mn-cs"/>
            </a:rPr>
            <a:t>Competitive Rivalry</a:t>
          </a:r>
          <a:endParaRPr lang="en-GB" sz="1500" kern="1200">
            <a:solidFill>
              <a:sysClr val="window" lastClr="FFFFFF"/>
            </a:solidFill>
            <a:latin typeface="Aptos" panose="02110004020202020204"/>
            <a:ea typeface="+mn-ea"/>
            <a:cs typeface="+mn-cs"/>
          </a:endParaRPr>
        </a:p>
      </dsp:txBody>
      <dsp:txXfrm>
        <a:off x="1084076" y="3422184"/>
        <a:ext cx="1124872" cy="749915"/>
      </dsp:txXfrm>
    </dsp:sp>
    <dsp:sp modelId="{CC8CA22A-7D88-4DE9-800F-2B8A31DA8CAC}">
      <dsp:nvSpPr>
        <dsp:cNvPr id="0" name=""/>
        <dsp:cNvSpPr/>
      </dsp:nvSpPr>
      <dsp:spPr>
        <a:xfrm>
          <a:off x="2340183" y="3485927"/>
          <a:ext cx="1556073" cy="622429"/>
        </a:xfrm>
        <a:prstGeom prst="chevron">
          <a:avLst/>
        </a:prstGeom>
        <a:solidFill>
          <a:srgbClr val="0F9ED5">
            <a:tint val="40000"/>
            <a:alpha val="90000"/>
            <a:hueOff val="5475142"/>
            <a:satOff val="-27261"/>
            <a:lumOff val="-2587"/>
            <a:alphaOff val="0"/>
          </a:srgbClr>
        </a:solidFill>
        <a:ln w="12700" cap="flat" cmpd="sng" algn="ctr">
          <a:solidFill>
            <a:srgbClr val="0F9ED5">
              <a:tint val="40000"/>
              <a:alpha val="90000"/>
              <a:hueOff val="5475142"/>
              <a:satOff val="-27261"/>
              <a:lumOff val="-2587"/>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hueOff val="0"/>
                  <a:satOff val="0"/>
                  <a:lumOff val="0"/>
                  <a:alphaOff val="0"/>
                </a:sysClr>
              </a:solidFill>
              <a:latin typeface="Aptos" panose="02110004020202020204"/>
              <a:ea typeface="+mn-ea"/>
              <a:cs typeface="+mn-cs"/>
            </a:rPr>
            <a:t>Highly saturated UK market</a:t>
          </a:r>
        </a:p>
      </dsp:txBody>
      <dsp:txXfrm>
        <a:off x="2651398" y="3485927"/>
        <a:ext cx="933644" cy="622429"/>
      </dsp:txXfrm>
    </dsp:sp>
    <dsp:sp modelId="{7DE5D1A9-1F38-4566-AAF3-A73F385858BC}">
      <dsp:nvSpPr>
        <dsp:cNvPr id="0" name=""/>
        <dsp:cNvSpPr/>
      </dsp:nvSpPr>
      <dsp:spPr>
        <a:xfrm>
          <a:off x="3678407" y="3485927"/>
          <a:ext cx="1556073" cy="622429"/>
        </a:xfrm>
        <a:prstGeom prst="chevron">
          <a:avLst/>
        </a:prstGeom>
        <a:solidFill>
          <a:srgbClr val="0F9ED5">
            <a:tint val="40000"/>
            <a:alpha val="90000"/>
            <a:hueOff val="6159535"/>
            <a:satOff val="-30669"/>
            <a:lumOff val="-2910"/>
            <a:alphaOff val="0"/>
          </a:srgbClr>
        </a:solidFill>
        <a:ln w="12700" cap="flat" cmpd="sng" algn="ctr">
          <a:solidFill>
            <a:srgbClr val="0F9ED5">
              <a:tint val="40000"/>
              <a:alpha val="90000"/>
              <a:hueOff val="6159535"/>
              <a:satOff val="-30669"/>
              <a:lumOff val="-291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hueOff val="0"/>
                  <a:satOff val="0"/>
                  <a:lumOff val="0"/>
                  <a:alphaOff val="0"/>
                </a:sysClr>
              </a:solidFill>
              <a:latin typeface="Aptos" panose="02110004020202020204"/>
              <a:ea typeface="+mn-ea"/>
              <a:cs typeface="+mn-cs"/>
            </a:rPr>
            <a:t>Competition on delivery, price and service</a:t>
          </a:r>
        </a:p>
      </dsp:txBody>
      <dsp:txXfrm>
        <a:off x="3989622" y="3485927"/>
        <a:ext cx="933644" cy="62242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7084B5-146E-4DFD-AA6E-7E54DB95FE29}">
      <dsp:nvSpPr>
        <dsp:cNvPr id="0" name=""/>
        <dsp:cNvSpPr/>
      </dsp:nvSpPr>
      <dsp:spPr>
        <a:xfrm>
          <a:off x="525462" y="0"/>
          <a:ext cx="4892675" cy="4892675"/>
        </a:xfrm>
        <a:prstGeom prst="quadArrow">
          <a:avLst>
            <a:gd name="adj1" fmla="val 2000"/>
            <a:gd name="adj2" fmla="val 4000"/>
            <a:gd name="adj3" fmla="val 5000"/>
          </a:avLst>
        </a:prstGeom>
        <a:solidFill>
          <a:srgbClr val="0F9ED5">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554A8A8A-E329-4B94-9831-ED54E3A2CED5}">
      <dsp:nvSpPr>
        <dsp:cNvPr id="0" name=""/>
        <dsp:cNvSpPr/>
      </dsp:nvSpPr>
      <dsp:spPr>
        <a:xfrm>
          <a:off x="843486" y="318023"/>
          <a:ext cx="1957070" cy="1957070"/>
        </a:xfrm>
        <a:prstGeom prst="roundRect">
          <a:avLst/>
        </a:prstGeom>
        <a:solidFill>
          <a:srgbClr val="0F9E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GB" sz="1600" b="1" kern="1200">
              <a:solidFill>
                <a:sysClr val="window" lastClr="FFFFFF"/>
              </a:solidFill>
              <a:latin typeface="Aptos" panose="02110004020202020204"/>
              <a:ea typeface="+mn-ea"/>
              <a:cs typeface="+mn-cs"/>
            </a:rPr>
            <a:t>Strengths</a:t>
          </a:r>
          <a:endParaRPr lang="en-GB" sz="1600" kern="1200">
            <a:solidFill>
              <a:sysClr val="window" lastClr="FFFFFF"/>
            </a:solidFill>
            <a:latin typeface="Aptos" panose="02110004020202020204"/>
            <a:ea typeface="+mn-ea"/>
            <a:cs typeface="+mn-cs"/>
          </a:endParaRP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Global brand recognition</a:t>
          </a: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Efficient, low-cost supply chain</a:t>
          </a: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Wide and adaptable product range</a:t>
          </a:r>
        </a:p>
      </dsp:txBody>
      <dsp:txXfrm>
        <a:off x="939022" y="413559"/>
        <a:ext cx="1765998" cy="1765998"/>
      </dsp:txXfrm>
    </dsp:sp>
    <dsp:sp modelId="{43AB438B-0904-4278-A82C-8063DF7D83AA}">
      <dsp:nvSpPr>
        <dsp:cNvPr id="0" name=""/>
        <dsp:cNvSpPr/>
      </dsp:nvSpPr>
      <dsp:spPr>
        <a:xfrm>
          <a:off x="3143043" y="318023"/>
          <a:ext cx="1957070" cy="1957070"/>
        </a:xfrm>
        <a:prstGeom prst="roundRect">
          <a:avLst/>
        </a:prstGeom>
        <a:solidFill>
          <a:srgbClr val="0F9ED5">
            <a:hueOff val="2199979"/>
            <a:satOff val="-9734"/>
            <a:lumOff val="-163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GB" sz="1600" b="1" kern="1200">
              <a:solidFill>
                <a:sysClr val="window" lastClr="FFFFFF"/>
              </a:solidFill>
              <a:latin typeface="Aptos" panose="02110004020202020204"/>
              <a:ea typeface="+mn-ea"/>
              <a:cs typeface="+mn-cs"/>
            </a:rPr>
            <a:t>Weaknesses</a:t>
          </a:r>
          <a:endParaRPr lang="en-GB" sz="1600" kern="1200">
            <a:solidFill>
              <a:sysClr val="window" lastClr="FFFFFF"/>
            </a:solidFill>
            <a:latin typeface="Aptos" panose="02110004020202020204"/>
            <a:ea typeface="+mn-ea"/>
            <a:cs typeface="+mn-cs"/>
          </a:endParaRP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Limited local strategic autonomy</a:t>
          </a: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Rising operational and logistics costs</a:t>
          </a: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Delivery and last-mile inefficiencies</a:t>
          </a:r>
        </a:p>
      </dsp:txBody>
      <dsp:txXfrm>
        <a:off x="3238579" y="413559"/>
        <a:ext cx="1765998" cy="1765998"/>
      </dsp:txXfrm>
    </dsp:sp>
    <dsp:sp modelId="{6DC0BE64-2FA1-425C-BB57-64FFC5843EA4}">
      <dsp:nvSpPr>
        <dsp:cNvPr id="0" name=""/>
        <dsp:cNvSpPr/>
      </dsp:nvSpPr>
      <dsp:spPr>
        <a:xfrm>
          <a:off x="843486" y="2617581"/>
          <a:ext cx="1957070" cy="1957070"/>
        </a:xfrm>
        <a:prstGeom prst="roundRect">
          <a:avLst/>
        </a:prstGeom>
        <a:solidFill>
          <a:srgbClr val="0F9ED5">
            <a:hueOff val="4399958"/>
            <a:satOff val="-19468"/>
            <a:lumOff val="-3269"/>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GB" sz="1600" b="1" kern="1200">
              <a:solidFill>
                <a:sysClr val="window" lastClr="FFFFFF"/>
              </a:solidFill>
              <a:latin typeface="Aptos" panose="02110004020202020204"/>
              <a:ea typeface="+mn-ea"/>
              <a:cs typeface="+mn-cs"/>
            </a:rPr>
            <a:t>Opportunities</a:t>
          </a:r>
          <a:endParaRPr lang="en-GB" sz="1600" kern="1200">
            <a:solidFill>
              <a:sysClr val="window" lastClr="FFFFFF"/>
            </a:solidFill>
            <a:latin typeface="Aptos" panose="02110004020202020204"/>
            <a:ea typeface="+mn-ea"/>
            <a:cs typeface="+mn-cs"/>
          </a:endParaRP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E-commerce expansion</a:t>
          </a: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Urban micro-store formats</a:t>
          </a: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Growth in sustainable and circular products</a:t>
          </a:r>
        </a:p>
      </dsp:txBody>
      <dsp:txXfrm>
        <a:off x="939022" y="2713117"/>
        <a:ext cx="1765998" cy="1765998"/>
      </dsp:txXfrm>
    </dsp:sp>
    <dsp:sp modelId="{C355C659-F316-4254-8808-0A9F36153A19}">
      <dsp:nvSpPr>
        <dsp:cNvPr id="0" name=""/>
        <dsp:cNvSpPr/>
      </dsp:nvSpPr>
      <dsp:spPr>
        <a:xfrm>
          <a:off x="3143043" y="2617581"/>
          <a:ext cx="1957070" cy="1957070"/>
        </a:xfrm>
        <a:prstGeom prst="roundRect">
          <a:avLst/>
        </a:prstGeom>
        <a:solidFill>
          <a:srgbClr val="0F9ED5">
            <a:hueOff val="6599937"/>
            <a:satOff val="-29202"/>
            <a:lumOff val="-490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GB" sz="1600" b="1" kern="1200">
              <a:solidFill>
                <a:sysClr val="window" lastClr="FFFFFF"/>
              </a:solidFill>
              <a:latin typeface="Aptos" panose="02110004020202020204"/>
              <a:ea typeface="+mn-ea"/>
              <a:cs typeface="+mn-cs"/>
            </a:rPr>
            <a:t>Threats</a:t>
          </a:r>
          <a:endParaRPr lang="en-GB" sz="1600" kern="1200">
            <a:solidFill>
              <a:sysClr val="window" lastClr="FFFFFF"/>
            </a:solidFill>
            <a:latin typeface="Aptos" panose="02110004020202020204"/>
            <a:ea typeface="+mn-ea"/>
            <a:cs typeface="+mn-cs"/>
          </a:endParaRP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Digital-first competitors</a:t>
          </a: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Regulatory and sustainability pressures</a:t>
          </a:r>
        </a:p>
        <a:p>
          <a:pPr marL="114300" lvl="1" indent="-114300" algn="l" defTabSz="533400">
            <a:lnSpc>
              <a:spcPct val="90000"/>
            </a:lnSpc>
            <a:spcBef>
              <a:spcPct val="0"/>
            </a:spcBef>
            <a:spcAft>
              <a:spcPct val="15000"/>
            </a:spcAft>
            <a:buChar char="•"/>
          </a:pPr>
          <a:r>
            <a:rPr lang="en-GB" sz="1200" kern="1200">
              <a:solidFill>
                <a:sysClr val="window" lastClr="FFFFFF"/>
              </a:solidFill>
              <a:latin typeface="Aptos" panose="02110004020202020204"/>
              <a:ea typeface="+mn-ea"/>
              <a:cs typeface="+mn-cs"/>
            </a:rPr>
            <a:t>Economic instability in UK market</a:t>
          </a:r>
        </a:p>
      </dsp:txBody>
      <dsp:txXfrm>
        <a:off x="3238579" y="2713117"/>
        <a:ext cx="1765998" cy="176599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37C5F8-3CA0-493E-ADE8-06B9DFF8B546}">
      <dsp:nvSpPr>
        <dsp:cNvPr id="0" name=""/>
        <dsp:cNvSpPr/>
      </dsp:nvSpPr>
      <dsp:spPr>
        <a:xfrm>
          <a:off x="1600199" y="0"/>
          <a:ext cx="2743200" cy="2743200"/>
        </a:xfrm>
        <a:prstGeom prst="quadArrow">
          <a:avLst>
            <a:gd name="adj1" fmla="val 2000"/>
            <a:gd name="adj2" fmla="val 4000"/>
            <a:gd name="adj3" fmla="val 5000"/>
          </a:avLst>
        </a:prstGeom>
        <a:solidFill>
          <a:srgbClr val="A02B93">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2A181C7C-8C5F-4D0A-B9CD-AF8819824708}">
      <dsp:nvSpPr>
        <dsp:cNvPr id="0" name=""/>
        <dsp:cNvSpPr/>
      </dsp:nvSpPr>
      <dsp:spPr>
        <a:xfrm>
          <a:off x="1778508" y="178308"/>
          <a:ext cx="1097280" cy="1097280"/>
        </a:xfrm>
        <a:prstGeom prst="roundRect">
          <a:avLst/>
        </a:prstGeom>
        <a:solidFill>
          <a:srgbClr val="A02B93">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kern="1200">
              <a:solidFill>
                <a:sysClr val="window" lastClr="FFFFFF"/>
              </a:solidFill>
              <a:latin typeface="Aptos" panose="02110004020202020204"/>
              <a:ea typeface="+mn-ea"/>
              <a:cs typeface="+mn-cs"/>
            </a:rPr>
            <a:t>Market Penetration</a:t>
          </a:r>
          <a:endParaRPr lang="en-GB" sz="1000" kern="1200">
            <a:solidFill>
              <a:sysClr val="window" lastClr="FFFFFF"/>
            </a:solidFill>
            <a:latin typeface="Aptos" panose="02110004020202020204"/>
            <a:ea typeface="+mn-ea"/>
            <a:cs typeface="+mn-cs"/>
          </a:endParaRPr>
        </a:p>
        <a:p>
          <a:pPr marL="57150" lvl="1" indent="-57150" algn="l" defTabSz="355600">
            <a:lnSpc>
              <a:spcPct val="90000"/>
            </a:lnSpc>
            <a:spcBef>
              <a:spcPct val="0"/>
            </a:spcBef>
            <a:spcAft>
              <a:spcPct val="15000"/>
            </a:spcAft>
            <a:buChar char="•"/>
          </a:pPr>
          <a:r>
            <a:rPr lang="en-GB" sz="800" kern="1200">
              <a:solidFill>
                <a:sysClr val="window" lastClr="FFFFFF"/>
              </a:solidFill>
              <a:latin typeface="Aptos" panose="02110004020202020204"/>
              <a:ea typeface="+mn-ea"/>
              <a:cs typeface="+mn-cs"/>
            </a:rPr>
            <a:t>Enhanced digital marketing</a:t>
          </a:r>
        </a:p>
        <a:p>
          <a:pPr marL="57150" lvl="1" indent="-57150" algn="l" defTabSz="355600">
            <a:lnSpc>
              <a:spcPct val="90000"/>
            </a:lnSpc>
            <a:spcBef>
              <a:spcPct val="0"/>
            </a:spcBef>
            <a:spcAft>
              <a:spcPct val="15000"/>
            </a:spcAft>
            <a:buChar char="•"/>
          </a:pPr>
          <a:r>
            <a:rPr lang="en-GB" sz="800" kern="1200">
              <a:solidFill>
                <a:sysClr val="window" lastClr="FFFFFF"/>
              </a:solidFill>
              <a:latin typeface="Aptos" panose="02110004020202020204"/>
              <a:ea typeface="+mn-ea"/>
              <a:cs typeface="+mn-cs"/>
            </a:rPr>
            <a:t>Improving customer loyalty tools</a:t>
          </a:r>
        </a:p>
      </dsp:txBody>
      <dsp:txXfrm>
        <a:off x="1832073" y="231873"/>
        <a:ext cx="990150" cy="990150"/>
      </dsp:txXfrm>
    </dsp:sp>
    <dsp:sp modelId="{09C5B950-AE9A-4FB9-9804-34EF78A49FD0}">
      <dsp:nvSpPr>
        <dsp:cNvPr id="0" name=""/>
        <dsp:cNvSpPr/>
      </dsp:nvSpPr>
      <dsp:spPr>
        <a:xfrm>
          <a:off x="3067811" y="178308"/>
          <a:ext cx="1097280" cy="1097280"/>
        </a:xfrm>
        <a:prstGeom prst="roundRect">
          <a:avLst/>
        </a:prstGeom>
        <a:solidFill>
          <a:srgbClr val="A02B93">
            <a:hueOff val="-4050717"/>
            <a:satOff val="-275"/>
            <a:lumOff val="65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kern="1200">
              <a:solidFill>
                <a:sysClr val="window" lastClr="FFFFFF"/>
              </a:solidFill>
              <a:latin typeface="Aptos" panose="02110004020202020204"/>
              <a:ea typeface="+mn-ea"/>
              <a:cs typeface="+mn-cs"/>
            </a:rPr>
            <a:t>Market Development</a:t>
          </a:r>
          <a:endParaRPr lang="en-GB" sz="1000" kern="1200">
            <a:solidFill>
              <a:sysClr val="window" lastClr="FFFFFF"/>
            </a:solidFill>
            <a:latin typeface="Aptos" panose="02110004020202020204"/>
            <a:ea typeface="+mn-ea"/>
            <a:cs typeface="+mn-cs"/>
          </a:endParaRPr>
        </a:p>
        <a:p>
          <a:pPr marL="57150" lvl="1" indent="-57150" algn="l" defTabSz="355600">
            <a:lnSpc>
              <a:spcPct val="90000"/>
            </a:lnSpc>
            <a:spcBef>
              <a:spcPct val="0"/>
            </a:spcBef>
            <a:spcAft>
              <a:spcPct val="15000"/>
            </a:spcAft>
            <a:buChar char="•"/>
          </a:pPr>
          <a:r>
            <a:rPr lang="en-GB" sz="800" kern="1200">
              <a:solidFill>
                <a:sysClr val="window" lastClr="FFFFFF"/>
              </a:solidFill>
              <a:latin typeface="Aptos" panose="02110004020202020204"/>
              <a:ea typeface="+mn-ea"/>
              <a:cs typeface="+mn-cs"/>
            </a:rPr>
            <a:t>Launching micro-format city stores</a:t>
          </a:r>
        </a:p>
      </dsp:txBody>
      <dsp:txXfrm>
        <a:off x="3121376" y="231873"/>
        <a:ext cx="990150" cy="990150"/>
      </dsp:txXfrm>
    </dsp:sp>
    <dsp:sp modelId="{F9DBB0A4-DA66-4D88-96A4-D8F68CD4BFB3}">
      <dsp:nvSpPr>
        <dsp:cNvPr id="0" name=""/>
        <dsp:cNvSpPr/>
      </dsp:nvSpPr>
      <dsp:spPr>
        <a:xfrm>
          <a:off x="1778508" y="1467611"/>
          <a:ext cx="1097280" cy="1097280"/>
        </a:xfrm>
        <a:prstGeom prst="roundRect">
          <a:avLst/>
        </a:prstGeom>
        <a:solidFill>
          <a:srgbClr val="A02B93">
            <a:hueOff val="-8101434"/>
            <a:satOff val="-551"/>
            <a:lumOff val="1307"/>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kern="1200">
              <a:solidFill>
                <a:sysClr val="window" lastClr="FFFFFF"/>
              </a:solidFill>
              <a:latin typeface="Aptos" panose="02110004020202020204"/>
              <a:ea typeface="+mn-ea"/>
              <a:cs typeface="+mn-cs"/>
            </a:rPr>
            <a:t>Product Development</a:t>
          </a:r>
          <a:endParaRPr lang="en-GB" sz="1000" kern="1200">
            <a:solidFill>
              <a:sysClr val="window" lastClr="FFFFFF"/>
            </a:solidFill>
            <a:latin typeface="Aptos" panose="02110004020202020204"/>
            <a:ea typeface="+mn-ea"/>
            <a:cs typeface="+mn-cs"/>
          </a:endParaRPr>
        </a:p>
        <a:p>
          <a:pPr marL="57150" lvl="1" indent="-57150" algn="l" defTabSz="355600">
            <a:lnSpc>
              <a:spcPct val="90000"/>
            </a:lnSpc>
            <a:spcBef>
              <a:spcPct val="0"/>
            </a:spcBef>
            <a:spcAft>
              <a:spcPct val="15000"/>
            </a:spcAft>
            <a:buChar char="•"/>
          </a:pPr>
          <a:r>
            <a:rPr lang="en-GB" sz="800" kern="1200">
              <a:solidFill>
                <a:sysClr val="window" lastClr="FFFFFF"/>
              </a:solidFill>
              <a:latin typeface="Aptos" panose="02110004020202020204"/>
              <a:ea typeface="+mn-ea"/>
              <a:cs typeface="+mn-cs"/>
            </a:rPr>
            <a:t>Introducing sustainable or locally sourced products</a:t>
          </a:r>
        </a:p>
      </dsp:txBody>
      <dsp:txXfrm>
        <a:off x="1832073" y="1521176"/>
        <a:ext cx="990150" cy="990150"/>
      </dsp:txXfrm>
    </dsp:sp>
    <dsp:sp modelId="{43CC0DC0-1E4C-4603-A30F-B46A2080708E}">
      <dsp:nvSpPr>
        <dsp:cNvPr id="0" name=""/>
        <dsp:cNvSpPr/>
      </dsp:nvSpPr>
      <dsp:spPr>
        <a:xfrm>
          <a:off x="3067811" y="1467611"/>
          <a:ext cx="1097280" cy="1097280"/>
        </a:xfrm>
        <a:prstGeom prst="roundRect">
          <a:avLst/>
        </a:prstGeom>
        <a:solidFill>
          <a:srgbClr val="A02B93">
            <a:hueOff val="-12152150"/>
            <a:satOff val="-826"/>
            <a:lumOff val="196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kern="1200">
              <a:solidFill>
                <a:sysClr val="window" lastClr="FFFFFF"/>
              </a:solidFill>
              <a:latin typeface="Aptos" panose="02110004020202020204"/>
              <a:ea typeface="+mn-ea"/>
              <a:cs typeface="+mn-cs"/>
            </a:rPr>
            <a:t>Diversification</a:t>
          </a:r>
          <a:endParaRPr lang="en-GB" sz="1000" kern="1200">
            <a:solidFill>
              <a:sysClr val="window" lastClr="FFFFFF"/>
            </a:solidFill>
            <a:latin typeface="Aptos" panose="02110004020202020204"/>
            <a:ea typeface="+mn-ea"/>
            <a:cs typeface="+mn-cs"/>
          </a:endParaRPr>
        </a:p>
        <a:p>
          <a:pPr marL="57150" lvl="1" indent="-57150" algn="l" defTabSz="355600">
            <a:lnSpc>
              <a:spcPct val="90000"/>
            </a:lnSpc>
            <a:spcBef>
              <a:spcPct val="0"/>
            </a:spcBef>
            <a:spcAft>
              <a:spcPct val="15000"/>
            </a:spcAft>
            <a:buChar char="•"/>
          </a:pPr>
          <a:r>
            <a:rPr lang="en-GB" sz="800" kern="1200">
              <a:solidFill>
                <a:sysClr val="window" lastClr="FFFFFF"/>
              </a:solidFill>
              <a:latin typeface="Aptos" panose="02110004020202020204"/>
              <a:ea typeface="+mn-ea"/>
              <a:cs typeface="+mn-cs"/>
            </a:rPr>
            <a:t>New home service packages or bundles</a:t>
          </a:r>
        </a:p>
      </dsp:txBody>
      <dsp:txXfrm>
        <a:off x="3121376" y="1521176"/>
        <a:ext cx="990150" cy="99015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5B372C-8BF8-4E89-826E-2841429128F3}">
      <dsp:nvSpPr>
        <dsp:cNvPr id="0" name=""/>
        <dsp:cNvSpPr/>
      </dsp:nvSpPr>
      <dsp:spPr>
        <a:xfrm>
          <a:off x="1293177" y="0"/>
          <a:ext cx="3357245" cy="3357245"/>
        </a:xfrm>
        <a:prstGeom prst="diamond">
          <a:avLst/>
        </a:prstGeom>
        <a:solidFill>
          <a:srgbClr val="C830CC">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87FF2A6A-75F2-40AE-886D-A2BBA102C0CE}">
      <dsp:nvSpPr>
        <dsp:cNvPr id="0" name=""/>
        <dsp:cNvSpPr/>
      </dsp:nvSpPr>
      <dsp:spPr>
        <a:xfrm>
          <a:off x="1612115" y="318938"/>
          <a:ext cx="1309325" cy="1309325"/>
        </a:xfrm>
        <a:prstGeom prst="roundRect">
          <a:avLst/>
        </a:prstGeom>
        <a:solidFill>
          <a:srgbClr val="C830CC">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ysClr val="window" lastClr="FFFFFF"/>
              </a:solidFill>
              <a:latin typeface="Aptos" panose="02110004020202020204"/>
              <a:ea typeface="+mn-ea"/>
              <a:cs typeface="+mn-cs"/>
            </a:rPr>
            <a:t>High Power / High Interest (Key Players)</a:t>
          </a:r>
          <a:endParaRPr lang="en-GB" sz="1200" kern="1200">
            <a:solidFill>
              <a:sysClr val="window" lastClr="FFFFFF"/>
            </a:solidFill>
            <a:latin typeface="Aptos" panose="02110004020202020204"/>
            <a:ea typeface="+mn-ea"/>
            <a:cs typeface="+mn-cs"/>
          </a:endParaRPr>
        </a:p>
        <a:p>
          <a:pPr marL="57150" lvl="1" indent="-57150" algn="l" defTabSz="400050">
            <a:lnSpc>
              <a:spcPct val="90000"/>
            </a:lnSpc>
            <a:spcBef>
              <a:spcPct val="0"/>
            </a:spcBef>
            <a:spcAft>
              <a:spcPct val="15000"/>
            </a:spcAft>
            <a:buChar char="•"/>
          </a:pPr>
          <a:r>
            <a:rPr lang="en-GB" sz="900" kern="1200">
              <a:solidFill>
                <a:sysClr val="window" lastClr="FFFFFF"/>
              </a:solidFill>
              <a:latin typeface="Aptos" panose="02110004020202020204"/>
              <a:ea typeface="+mn-ea"/>
              <a:cs typeface="+mn-cs"/>
            </a:rPr>
            <a:t>Franchise owner</a:t>
          </a:r>
        </a:p>
        <a:p>
          <a:pPr marL="57150" lvl="1" indent="-57150" algn="l" defTabSz="400050">
            <a:lnSpc>
              <a:spcPct val="90000"/>
            </a:lnSpc>
            <a:spcBef>
              <a:spcPct val="0"/>
            </a:spcBef>
            <a:spcAft>
              <a:spcPct val="15000"/>
            </a:spcAft>
            <a:buChar char="•"/>
          </a:pPr>
          <a:r>
            <a:rPr lang="en-GB" sz="900" kern="1200">
              <a:solidFill>
                <a:sysClr val="window" lastClr="FFFFFF"/>
              </a:solidFill>
              <a:latin typeface="Aptos" panose="02110004020202020204"/>
              <a:ea typeface="+mn-ea"/>
              <a:cs typeface="+mn-cs"/>
            </a:rPr>
            <a:t>Regulatory bodies and authorities</a:t>
          </a:r>
        </a:p>
      </dsp:txBody>
      <dsp:txXfrm>
        <a:off x="1676031" y="382854"/>
        <a:ext cx="1181493" cy="1181493"/>
      </dsp:txXfrm>
    </dsp:sp>
    <dsp:sp modelId="{87414E0B-B4D4-4496-8F3F-20523DCF9BE4}">
      <dsp:nvSpPr>
        <dsp:cNvPr id="0" name=""/>
        <dsp:cNvSpPr/>
      </dsp:nvSpPr>
      <dsp:spPr>
        <a:xfrm>
          <a:off x="3022158" y="318938"/>
          <a:ext cx="1309325" cy="1309325"/>
        </a:xfrm>
        <a:prstGeom prst="roundRect">
          <a:avLst/>
        </a:prstGeom>
        <a:solidFill>
          <a:srgbClr val="4EA6DC">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ysClr val="window" lastClr="FFFFFF"/>
              </a:solidFill>
              <a:latin typeface="Aptos" panose="02110004020202020204"/>
              <a:ea typeface="+mn-ea"/>
              <a:cs typeface="+mn-cs"/>
            </a:rPr>
            <a:t>High Interest / Low Power (Keep Informed)</a:t>
          </a:r>
          <a:endParaRPr lang="en-GB" sz="1200" kern="1200">
            <a:solidFill>
              <a:sysClr val="window" lastClr="FFFFFF"/>
            </a:solidFill>
            <a:latin typeface="Aptos" panose="02110004020202020204"/>
            <a:ea typeface="+mn-ea"/>
            <a:cs typeface="+mn-cs"/>
          </a:endParaRPr>
        </a:p>
        <a:p>
          <a:pPr marL="57150" lvl="1" indent="-57150" algn="l" defTabSz="400050">
            <a:lnSpc>
              <a:spcPct val="90000"/>
            </a:lnSpc>
            <a:spcBef>
              <a:spcPct val="0"/>
            </a:spcBef>
            <a:spcAft>
              <a:spcPct val="15000"/>
            </a:spcAft>
            <a:buChar char="•"/>
          </a:pPr>
          <a:r>
            <a:rPr lang="en-GB" sz="900" kern="1200">
              <a:solidFill>
                <a:sysClr val="window" lastClr="FFFFFF"/>
              </a:solidFill>
              <a:latin typeface="Aptos" panose="02110004020202020204"/>
              <a:ea typeface="+mn-ea"/>
              <a:cs typeface="+mn-cs"/>
            </a:rPr>
            <a:t>Customers</a:t>
          </a:r>
        </a:p>
        <a:p>
          <a:pPr marL="57150" lvl="1" indent="-57150" algn="l" defTabSz="400050">
            <a:lnSpc>
              <a:spcPct val="90000"/>
            </a:lnSpc>
            <a:spcBef>
              <a:spcPct val="0"/>
            </a:spcBef>
            <a:spcAft>
              <a:spcPct val="15000"/>
            </a:spcAft>
            <a:buChar char="•"/>
          </a:pPr>
          <a:r>
            <a:rPr lang="en-GB" sz="900" kern="1200">
              <a:solidFill>
                <a:sysClr val="window" lastClr="FFFFFF"/>
              </a:solidFill>
              <a:latin typeface="Aptos" panose="02110004020202020204"/>
              <a:ea typeface="+mn-ea"/>
              <a:cs typeface="+mn-cs"/>
            </a:rPr>
            <a:t>Employees</a:t>
          </a:r>
        </a:p>
      </dsp:txBody>
      <dsp:txXfrm>
        <a:off x="3086074" y="382854"/>
        <a:ext cx="1181493" cy="1181493"/>
      </dsp:txXfrm>
    </dsp:sp>
    <dsp:sp modelId="{9F7EF494-16AA-41BD-8290-E942EC39F93D}">
      <dsp:nvSpPr>
        <dsp:cNvPr id="0" name=""/>
        <dsp:cNvSpPr/>
      </dsp:nvSpPr>
      <dsp:spPr>
        <a:xfrm>
          <a:off x="1612115" y="1728981"/>
          <a:ext cx="1309325" cy="1309325"/>
        </a:xfrm>
        <a:prstGeom prst="roundRect">
          <a:avLst/>
        </a:prstGeom>
        <a:solidFill>
          <a:srgbClr val="4775E7">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ysClr val="window" lastClr="FFFFFF"/>
              </a:solidFill>
              <a:latin typeface="Aptos" panose="02110004020202020204"/>
              <a:ea typeface="+mn-ea"/>
              <a:cs typeface="+mn-cs"/>
            </a:rPr>
            <a:t>High Power / Low Interest (Keep Satisfied)</a:t>
          </a:r>
          <a:endParaRPr lang="en-GB" sz="1200" kern="1200">
            <a:solidFill>
              <a:sysClr val="window" lastClr="FFFFFF"/>
            </a:solidFill>
            <a:latin typeface="Aptos" panose="02110004020202020204"/>
            <a:ea typeface="+mn-ea"/>
            <a:cs typeface="+mn-cs"/>
          </a:endParaRPr>
        </a:p>
        <a:p>
          <a:pPr marL="57150" lvl="1" indent="-57150" algn="l" defTabSz="400050">
            <a:lnSpc>
              <a:spcPct val="90000"/>
            </a:lnSpc>
            <a:spcBef>
              <a:spcPct val="0"/>
            </a:spcBef>
            <a:spcAft>
              <a:spcPct val="15000"/>
            </a:spcAft>
            <a:buChar char="•"/>
          </a:pPr>
          <a:r>
            <a:rPr lang="en-GB" sz="900" kern="1200">
              <a:solidFill>
                <a:sysClr val="window" lastClr="FFFFFF"/>
              </a:solidFill>
              <a:latin typeface="Aptos" panose="02110004020202020204"/>
              <a:ea typeface="+mn-ea"/>
              <a:cs typeface="+mn-cs"/>
            </a:rPr>
            <a:t>Suppliers</a:t>
          </a:r>
        </a:p>
        <a:p>
          <a:pPr marL="57150" lvl="1" indent="-57150" algn="l" defTabSz="400050">
            <a:lnSpc>
              <a:spcPct val="90000"/>
            </a:lnSpc>
            <a:spcBef>
              <a:spcPct val="0"/>
            </a:spcBef>
            <a:spcAft>
              <a:spcPct val="15000"/>
            </a:spcAft>
            <a:buChar char="•"/>
          </a:pPr>
          <a:r>
            <a:rPr lang="en-GB" sz="900" kern="1200" dirty="0">
              <a:solidFill>
                <a:sysClr val="window" lastClr="FFFFFF"/>
              </a:solidFill>
              <a:latin typeface="Aptos" panose="02110004020202020204"/>
              <a:ea typeface="+mn-ea"/>
              <a:cs typeface="+mn-cs"/>
            </a:rPr>
            <a:t>Local councils</a:t>
          </a:r>
        </a:p>
      </dsp:txBody>
      <dsp:txXfrm>
        <a:off x="1676031" y="1792897"/>
        <a:ext cx="1181493" cy="1181493"/>
      </dsp:txXfrm>
    </dsp:sp>
    <dsp:sp modelId="{8FB780E3-9558-4B46-B72A-50F05076964A}">
      <dsp:nvSpPr>
        <dsp:cNvPr id="0" name=""/>
        <dsp:cNvSpPr/>
      </dsp:nvSpPr>
      <dsp:spPr>
        <a:xfrm>
          <a:off x="3022158" y="1728981"/>
          <a:ext cx="1309325" cy="1309325"/>
        </a:xfrm>
        <a:prstGeom prst="roundRect">
          <a:avLst/>
        </a:prstGeom>
        <a:solidFill>
          <a:srgbClr val="8971E1">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solidFill>
                <a:sysClr val="window" lastClr="FFFFFF"/>
              </a:solidFill>
              <a:latin typeface="Aptos" panose="02110004020202020204"/>
              <a:ea typeface="+mn-ea"/>
              <a:cs typeface="+mn-cs"/>
            </a:rPr>
            <a:t>Low Power / Low Interest (Minimal Effort)</a:t>
          </a:r>
          <a:endParaRPr lang="en-GB" sz="1200" kern="1200">
            <a:solidFill>
              <a:sysClr val="window" lastClr="FFFFFF"/>
            </a:solidFill>
            <a:latin typeface="Aptos" panose="02110004020202020204"/>
            <a:ea typeface="+mn-ea"/>
            <a:cs typeface="+mn-cs"/>
          </a:endParaRPr>
        </a:p>
        <a:p>
          <a:pPr marL="57150" lvl="1" indent="-57150" algn="l" defTabSz="400050">
            <a:lnSpc>
              <a:spcPct val="90000"/>
            </a:lnSpc>
            <a:spcBef>
              <a:spcPct val="0"/>
            </a:spcBef>
            <a:spcAft>
              <a:spcPct val="15000"/>
            </a:spcAft>
            <a:buChar char="•"/>
          </a:pPr>
          <a:r>
            <a:rPr lang="en-GB" sz="900" kern="1200">
              <a:solidFill>
                <a:sysClr val="window" lastClr="FFFFFF"/>
              </a:solidFill>
              <a:latin typeface="Aptos" panose="02110004020202020204"/>
              <a:ea typeface="+mn-ea"/>
              <a:cs typeface="+mn-cs"/>
            </a:rPr>
            <a:t>Wider local community</a:t>
          </a:r>
        </a:p>
      </dsp:txBody>
      <dsp:txXfrm>
        <a:off x="3086074" y="1792897"/>
        <a:ext cx="1181493" cy="1181493"/>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3623</Words>
  <Characters>20656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HUBA TANKO</cp:lastModifiedBy>
  <cp:revision>2</cp:revision>
  <dcterms:created xsi:type="dcterms:W3CDTF">2025-12-17T11:25:00Z</dcterms:created>
  <dcterms:modified xsi:type="dcterms:W3CDTF">2025-12-17T11:25:00Z</dcterms:modified>
</cp:coreProperties>
</file>