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626778" w14:textId="77777777" w:rsidR="0070544B" w:rsidRPr="00630068" w:rsidRDefault="0070544B" w:rsidP="0070544B">
      <w:pPr>
        <w:spacing w:after="0" w:line="360" w:lineRule="auto"/>
        <w:ind w:firstLine="284"/>
        <w:jc w:val="center"/>
        <w:rPr>
          <w:rFonts w:ascii="Arial" w:hAnsi="Arial" w:cs="Arial"/>
          <w:b/>
          <w:bCs/>
          <w:sz w:val="24"/>
          <w:szCs w:val="24"/>
        </w:rPr>
      </w:pPr>
      <w:r w:rsidRPr="00630068">
        <w:rPr>
          <w:rFonts w:ascii="Arial" w:hAnsi="Arial" w:cs="Arial"/>
          <w:b/>
          <w:bCs/>
          <w:sz w:val="24"/>
          <w:szCs w:val="24"/>
        </w:rPr>
        <w:t>University of Wales Trinity Saint David Birmingham</w:t>
      </w:r>
    </w:p>
    <w:p w14:paraId="4B281D97" w14:textId="77777777" w:rsidR="0070544B" w:rsidRPr="00630068" w:rsidRDefault="0070544B" w:rsidP="0070544B">
      <w:pPr>
        <w:spacing w:after="0" w:line="360" w:lineRule="auto"/>
        <w:ind w:firstLine="284"/>
        <w:jc w:val="center"/>
        <w:rPr>
          <w:rFonts w:ascii="Arial" w:hAnsi="Arial" w:cs="Arial"/>
          <w:b/>
          <w:bCs/>
          <w:sz w:val="24"/>
          <w:szCs w:val="24"/>
        </w:rPr>
      </w:pPr>
      <w:r w:rsidRPr="00630068">
        <w:rPr>
          <w:rFonts w:ascii="Arial" w:hAnsi="Arial" w:cs="Arial"/>
          <w:b/>
          <w:bCs/>
          <w:sz w:val="24"/>
          <w:szCs w:val="24"/>
        </w:rPr>
        <w:t>BA (Hons) Business Management</w:t>
      </w:r>
    </w:p>
    <w:p w14:paraId="7FEBBFDD" w14:textId="79AE3774" w:rsidR="0070544B" w:rsidRPr="00CA1B20" w:rsidRDefault="0070544B" w:rsidP="0070544B">
      <w:pPr>
        <w:spacing w:after="0" w:line="360" w:lineRule="auto"/>
        <w:ind w:firstLine="284"/>
        <w:jc w:val="center"/>
        <w:rPr>
          <w:rFonts w:ascii="Arial" w:hAnsi="Arial" w:cs="Arial"/>
          <w:b/>
          <w:bCs/>
          <w:sz w:val="24"/>
          <w:szCs w:val="24"/>
        </w:rPr>
      </w:pPr>
      <w:r w:rsidRPr="0070544B">
        <w:rPr>
          <w:rFonts w:ascii="Arial" w:hAnsi="Arial" w:cs="Arial"/>
          <w:b/>
          <w:bCs/>
          <w:sz w:val="24"/>
          <w:szCs w:val="24"/>
        </w:rPr>
        <w:t>LCBB6000_BIRM</w:t>
      </w:r>
      <w:r w:rsidRPr="00630068">
        <w:rPr>
          <w:rFonts w:ascii="Arial" w:hAnsi="Arial" w:cs="Arial"/>
          <w:b/>
          <w:bCs/>
          <w:sz w:val="24"/>
          <w:szCs w:val="24"/>
        </w:rPr>
        <w:t xml:space="preserve"> </w:t>
      </w:r>
      <w:r w:rsidRPr="0070544B">
        <w:rPr>
          <w:rFonts w:ascii="Arial" w:hAnsi="Arial" w:cs="Arial"/>
          <w:b/>
          <w:bCs/>
          <w:sz w:val="24"/>
          <w:szCs w:val="24"/>
        </w:rPr>
        <w:t>Dissertation</w:t>
      </w:r>
    </w:p>
    <w:p w14:paraId="122C877C" w14:textId="77777777" w:rsidR="0070544B" w:rsidRPr="00CA1B20" w:rsidRDefault="0070544B" w:rsidP="0070544B">
      <w:pPr>
        <w:spacing w:after="0" w:line="360" w:lineRule="auto"/>
        <w:ind w:firstLine="284"/>
        <w:jc w:val="both"/>
        <w:rPr>
          <w:rFonts w:ascii="Arial" w:hAnsi="Arial" w:cs="Arial"/>
          <w:b/>
          <w:bCs/>
          <w:sz w:val="24"/>
          <w:szCs w:val="24"/>
        </w:rPr>
      </w:pPr>
    </w:p>
    <w:p w14:paraId="51565FCF" w14:textId="77777777" w:rsidR="0070544B" w:rsidRPr="00CA1B20" w:rsidRDefault="0070544B" w:rsidP="0070544B">
      <w:pPr>
        <w:spacing w:after="0" w:line="360" w:lineRule="auto"/>
        <w:ind w:firstLine="284"/>
        <w:jc w:val="both"/>
        <w:rPr>
          <w:rFonts w:ascii="Arial" w:hAnsi="Arial" w:cs="Arial"/>
          <w:b/>
          <w:bCs/>
          <w:sz w:val="24"/>
          <w:szCs w:val="24"/>
        </w:rPr>
      </w:pPr>
    </w:p>
    <w:p w14:paraId="79A67824" w14:textId="77777777" w:rsidR="0070544B" w:rsidRPr="00CA1B20" w:rsidRDefault="0070544B" w:rsidP="0070544B">
      <w:pPr>
        <w:spacing w:after="0" w:line="360" w:lineRule="auto"/>
        <w:ind w:firstLine="284"/>
        <w:jc w:val="both"/>
        <w:rPr>
          <w:rFonts w:ascii="Arial" w:hAnsi="Arial" w:cs="Arial"/>
          <w:b/>
          <w:bCs/>
          <w:sz w:val="24"/>
          <w:szCs w:val="24"/>
        </w:rPr>
      </w:pPr>
    </w:p>
    <w:p w14:paraId="025BE528" w14:textId="77777777" w:rsidR="0070544B" w:rsidRPr="00CA1B20" w:rsidRDefault="0070544B" w:rsidP="0070544B">
      <w:pPr>
        <w:spacing w:after="0" w:line="360" w:lineRule="auto"/>
        <w:ind w:firstLine="284"/>
        <w:jc w:val="both"/>
        <w:rPr>
          <w:rFonts w:ascii="Arial" w:hAnsi="Arial" w:cs="Arial"/>
          <w:b/>
          <w:bCs/>
          <w:sz w:val="24"/>
          <w:szCs w:val="24"/>
        </w:rPr>
      </w:pPr>
    </w:p>
    <w:p w14:paraId="1A72EE8C" w14:textId="77777777" w:rsidR="0070544B" w:rsidRPr="00CA1B20" w:rsidRDefault="0070544B" w:rsidP="0070544B">
      <w:pPr>
        <w:spacing w:after="0" w:line="360" w:lineRule="auto"/>
        <w:ind w:firstLine="284"/>
        <w:jc w:val="both"/>
        <w:rPr>
          <w:rFonts w:ascii="Arial" w:hAnsi="Arial" w:cs="Arial"/>
          <w:b/>
          <w:bCs/>
          <w:sz w:val="24"/>
          <w:szCs w:val="24"/>
        </w:rPr>
      </w:pPr>
    </w:p>
    <w:p w14:paraId="4DC5F229" w14:textId="49DE335A" w:rsidR="0070544B" w:rsidRPr="0070544B" w:rsidRDefault="0070544B" w:rsidP="0070544B">
      <w:pPr>
        <w:spacing w:after="0" w:line="360" w:lineRule="auto"/>
        <w:ind w:firstLine="284"/>
        <w:jc w:val="center"/>
        <w:rPr>
          <w:rFonts w:ascii="Arial" w:hAnsi="Arial" w:cs="Arial"/>
          <w:b/>
          <w:bCs/>
          <w:color w:val="000000" w:themeColor="text1"/>
          <w:sz w:val="36"/>
          <w:szCs w:val="36"/>
        </w:rPr>
      </w:pPr>
      <w:r w:rsidRPr="0070544B">
        <w:rPr>
          <w:rFonts w:ascii="Arial" w:hAnsi="Arial" w:cs="Arial"/>
          <w:b/>
          <w:bCs/>
          <w:color w:val="000000" w:themeColor="text1"/>
          <w:sz w:val="36"/>
          <w:szCs w:val="36"/>
        </w:rPr>
        <w:t>Component 1</w:t>
      </w:r>
      <w:r w:rsidRPr="0070544B">
        <w:rPr>
          <w:rFonts w:ascii="Arial" w:hAnsi="Arial" w:cs="Arial"/>
          <w:b/>
          <w:bCs/>
          <w:color w:val="000000" w:themeColor="text1"/>
          <w:sz w:val="36"/>
          <w:szCs w:val="36"/>
        </w:rPr>
        <w:br/>
        <w:t>Research proposal</w:t>
      </w:r>
    </w:p>
    <w:p w14:paraId="71D66CBD" w14:textId="508F9AB7" w:rsidR="0070544B" w:rsidRPr="001219CA" w:rsidRDefault="0070544B" w:rsidP="0070544B">
      <w:pPr>
        <w:spacing w:after="0" w:line="360" w:lineRule="auto"/>
        <w:ind w:firstLine="284"/>
        <w:jc w:val="center"/>
        <w:rPr>
          <w:rFonts w:ascii="Arial" w:hAnsi="Arial" w:cs="Arial"/>
          <w:b/>
          <w:bCs/>
          <w:color w:val="000000" w:themeColor="text1"/>
          <w:sz w:val="28"/>
          <w:szCs w:val="28"/>
        </w:rPr>
      </w:pPr>
      <w:r w:rsidRPr="001219CA">
        <w:rPr>
          <w:rFonts w:ascii="Arial" w:hAnsi="Arial" w:cs="Arial"/>
          <w:b/>
          <w:bCs/>
          <w:color w:val="000000" w:themeColor="text1"/>
          <w:sz w:val="28"/>
          <w:szCs w:val="28"/>
        </w:rPr>
        <w:t>Research Title</w:t>
      </w:r>
      <w:r>
        <w:rPr>
          <w:rFonts w:ascii="Arial" w:hAnsi="Arial" w:cs="Arial"/>
          <w:b/>
          <w:bCs/>
          <w:color w:val="000000" w:themeColor="text1"/>
          <w:sz w:val="28"/>
          <w:szCs w:val="28"/>
        </w:rPr>
        <w:t xml:space="preserve">: </w:t>
      </w:r>
      <w:r w:rsidRPr="0070544B">
        <w:rPr>
          <w:rFonts w:ascii="Arial" w:hAnsi="Arial" w:cs="Arial"/>
          <w:b/>
          <w:bCs/>
          <w:i/>
          <w:iCs/>
          <w:color w:val="000000" w:themeColor="text1"/>
          <w:sz w:val="28"/>
          <w:szCs w:val="28"/>
        </w:rPr>
        <w:t>Hong Kong as a global business hub: How macro environment factors and regulations shape foreign business expansion</w:t>
      </w:r>
    </w:p>
    <w:p w14:paraId="3DE7FC97" w14:textId="77777777" w:rsidR="0070544B" w:rsidRPr="00CA1B20" w:rsidRDefault="0070544B" w:rsidP="0070544B">
      <w:pPr>
        <w:spacing w:after="0" w:line="360" w:lineRule="auto"/>
        <w:ind w:firstLine="284"/>
        <w:jc w:val="both"/>
        <w:rPr>
          <w:rFonts w:ascii="Arial" w:hAnsi="Arial" w:cs="Arial"/>
          <w:b/>
          <w:bCs/>
          <w:sz w:val="24"/>
          <w:szCs w:val="24"/>
        </w:rPr>
      </w:pPr>
    </w:p>
    <w:p w14:paraId="07D203B3" w14:textId="77777777" w:rsidR="0070544B" w:rsidRPr="00CA1B20" w:rsidRDefault="0070544B" w:rsidP="0070544B">
      <w:pPr>
        <w:spacing w:after="0" w:line="360" w:lineRule="auto"/>
        <w:ind w:firstLine="284"/>
        <w:jc w:val="both"/>
        <w:rPr>
          <w:rFonts w:ascii="Arial" w:hAnsi="Arial" w:cs="Arial"/>
          <w:b/>
          <w:bCs/>
          <w:sz w:val="24"/>
          <w:szCs w:val="24"/>
        </w:rPr>
      </w:pPr>
    </w:p>
    <w:p w14:paraId="1EE4B183" w14:textId="77777777" w:rsidR="0070544B" w:rsidRPr="00CA1B20" w:rsidRDefault="0070544B" w:rsidP="0070544B">
      <w:pPr>
        <w:spacing w:after="0" w:line="360" w:lineRule="auto"/>
        <w:ind w:firstLine="284"/>
        <w:jc w:val="both"/>
        <w:rPr>
          <w:rFonts w:ascii="Arial" w:hAnsi="Arial" w:cs="Arial"/>
          <w:b/>
          <w:bCs/>
          <w:sz w:val="24"/>
          <w:szCs w:val="24"/>
        </w:rPr>
      </w:pPr>
    </w:p>
    <w:p w14:paraId="467AAD01" w14:textId="77777777" w:rsidR="0070544B" w:rsidRPr="00CA1B20" w:rsidRDefault="0070544B" w:rsidP="0070544B">
      <w:pPr>
        <w:spacing w:after="0" w:line="360" w:lineRule="auto"/>
        <w:ind w:firstLine="284"/>
        <w:jc w:val="both"/>
        <w:rPr>
          <w:rFonts w:ascii="Arial" w:hAnsi="Arial" w:cs="Arial"/>
          <w:b/>
          <w:bCs/>
          <w:sz w:val="24"/>
          <w:szCs w:val="24"/>
        </w:rPr>
      </w:pPr>
    </w:p>
    <w:p w14:paraId="6B4BE4F7" w14:textId="77777777" w:rsidR="0070544B" w:rsidRPr="00CA1B20" w:rsidRDefault="0070544B" w:rsidP="0070544B">
      <w:pPr>
        <w:spacing w:after="0" w:line="360" w:lineRule="auto"/>
        <w:ind w:firstLine="284"/>
        <w:jc w:val="both"/>
        <w:rPr>
          <w:rFonts w:ascii="Arial" w:hAnsi="Arial" w:cs="Arial"/>
          <w:b/>
          <w:bCs/>
          <w:sz w:val="24"/>
          <w:szCs w:val="24"/>
        </w:rPr>
      </w:pPr>
    </w:p>
    <w:p w14:paraId="599BBD42" w14:textId="77777777" w:rsidR="0070544B" w:rsidRPr="00CA1B20" w:rsidRDefault="0070544B" w:rsidP="0070544B">
      <w:pPr>
        <w:spacing w:after="0" w:line="360" w:lineRule="auto"/>
        <w:ind w:firstLine="284"/>
        <w:jc w:val="both"/>
        <w:rPr>
          <w:rFonts w:ascii="Arial" w:hAnsi="Arial" w:cs="Arial"/>
          <w:b/>
          <w:bCs/>
          <w:sz w:val="24"/>
          <w:szCs w:val="24"/>
        </w:rPr>
      </w:pPr>
    </w:p>
    <w:p w14:paraId="46B86B9C" w14:textId="77777777" w:rsidR="0070544B" w:rsidRPr="00CA1B20" w:rsidRDefault="0070544B" w:rsidP="0070544B">
      <w:pPr>
        <w:spacing w:after="0" w:line="360" w:lineRule="auto"/>
        <w:ind w:firstLine="284"/>
        <w:jc w:val="both"/>
        <w:rPr>
          <w:rFonts w:ascii="Arial" w:hAnsi="Arial" w:cs="Arial"/>
          <w:b/>
          <w:bCs/>
          <w:sz w:val="24"/>
          <w:szCs w:val="24"/>
        </w:rPr>
      </w:pPr>
    </w:p>
    <w:p w14:paraId="2C052953" w14:textId="77777777" w:rsidR="0070544B" w:rsidRPr="00CA1B20" w:rsidRDefault="0070544B" w:rsidP="0070544B">
      <w:pPr>
        <w:spacing w:after="0" w:line="360" w:lineRule="auto"/>
        <w:ind w:firstLine="284"/>
        <w:jc w:val="both"/>
        <w:rPr>
          <w:rFonts w:ascii="Arial" w:hAnsi="Arial" w:cs="Arial"/>
          <w:b/>
          <w:bCs/>
          <w:sz w:val="24"/>
          <w:szCs w:val="24"/>
        </w:rPr>
      </w:pPr>
    </w:p>
    <w:p w14:paraId="5D0F0CF9" w14:textId="77777777" w:rsidR="0070544B" w:rsidRPr="00CA1B20" w:rsidRDefault="0070544B" w:rsidP="0070544B">
      <w:pPr>
        <w:spacing w:after="0" w:line="360" w:lineRule="auto"/>
        <w:ind w:firstLine="284"/>
        <w:jc w:val="both"/>
        <w:rPr>
          <w:rFonts w:ascii="Arial" w:hAnsi="Arial" w:cs="Arial"/>
          <w:b/>
          <w:bCs/>
          <w:sz w:val="24"/>
          <w:szCs w:val="24"/>
        </w:rPr>
      </w:pPr>
    </w:p>
    <w:p w14:paraId="257192A9" w14:textId="77777777" w:rsidR="0070544B" w:rsidRPr="00CA1B20" w:rsidRDefault="0070544B" w:rsidP="0070544B">
      <w:pPr>
        <w:spacing w:after="0" w:line="360" w:lineRule="auto"/>
        <w:ind w:firstLine="284"/>
        <w:jc w:val="both"/>
        <w:rPr>
          <w:rFonts w:ascii="Arial" w:hAnsi="Arial" w:cs="Arial"/>
          <w:b/>
          <w:bCs/>
          <w:sz w:val="24"/>
          <w:szCs w:val="24"/>
        </w:rPr>
      </w:pPr>
    </w:p>
    <w:p w14:paraId="11142DF2" w14:textId="77777777" w:rsidR="0070544B" w:rsidRPr="00CA1B20" w:rsidRDefault="0070544B" w:rsidP="0070544B">
      <w:pPr>
        <w:spacing w:after="0" w:line="360" w:lineRule="auto"/>
        <w:ind w:firstLine="284"/>
        <w:jc w:val="right"/>
        <w:rPr>
          <w:rFonts w:ascii="Arial" w:hAnsi="Arial" w:cs="Arial"/>
          <w:b/>
          <w:bCs/>
          <w:sz w:val="24"/>
          <w:szCs w:val="24"/>
        </w:rPr>
      </w:pPr>
      <w:r w:rsidRPr="00CA1B20">
        <w:rPr>
          <w:rFonts w:ascii="Arial" w:hAnsi="Arial" w:cs="Arial"/>
          <w:b/>
          <w:bCs/>
          <w:sz w:val="24"/>
          <w:szCs w:val="24"/>
        </w:rPr>
        <w:t>Author:   Elena Turcanu, Student nr 2127547</w:t>
      </w:r>
    </w:p>
    <w:p w14:paraId="4E335A81" w14:textId="77777777" w:rsidR="0070544B" w:rsidRPr="00CA1B20" w:rsidRDefault="0070544B" w:rsidP="0070544B">
      <w:pPr>
        <w:spacing w:after="0" w:line="360" w:lineRule="auto"/>
        <w:ind w:firstLine="284"/>
        <w:jc w:val="right"/>
        <w:rPr>
          <w:rFonts w:ascii="Arial" w:hAnsi="Arial" w:cs="Arial"/>
          <w:b/>
          <w:bCs/>
          <w:sz w:val="24"/>
          <w:szCs w:val="24"/>
        </w:rPr>
      </w:pPr>
      <w:r w:rsidRPr="00CA1B20">
        <w:rPr>
          <w:rFonts w:ascii="Arial" w:hAnsi="Arial" w:cs="Arial"/>
          <w:b/>
          <w:bCs/>
          <w:sz w:val="24"/>
          <w:szCs w:val="24"/>
        </w:rPr>
        <w:t>Lecturer: Dr Seyed </w:t>
      </w:r>
      <w:proofErr w:type="spellStart"/>
      <w:r w:rsidRPr="00CA1B20">
        <w:rPr>
          <w:rFonts w:ascii="Arial" w:hAnsi="Arial" w:cs="Arial"/>
          <w:b/>
          <w:bCs/>
          <w:sz w:val="24"/>
          <w:szCs w:val="24"/>
        </w:rPr>
        <w:t>Nasirpour</w:t>
      </w:r>
      <w:proofErr w:type="spellEnd"/>
    </w:p>
    <w:p w14:paraId="06527BC2" w14:textId="77777777" w:rsidR="0070544B" w:rsidRDefault="0070544B" w:rsidP="001219CA">
      <w:pPr>
        <w:spacing w:after="0" w:line="360" w:lineRule="auto"/>
        <w:ind w:firstLine="284"/>
        <w:rPr>
          <w:rFonts w:ascii="Arial" w:hAnsi="Arial" w:cs="Arial"/>
          <w:b/>
          <w:bCs/>
          <w:sz w:val="24"/>
          <w:szCs w:val="24"/>
        </w:rPr>
      </w:pPr>
    </w:p>
    <w:p w14:paraId="10014105" w14:textId="593C34DB" w:rsidR="001219CA" w:rsidRDefault="001219CA" w:rsidP="001219CA">
      <w:pPr>
        <w:spacing w:after="0" w:line="360" w:lineRule="auto"/>
        <w:ind w:firstLine="284"/>
        <w:rPr>
          <w:rFonts w:ascii="Arial" w:hAnsi="Arial" w:cs="Arial"/>
          <w:b/>
          <w:bCs/>
          <w:sz w:val="24"/>
          <w:szCs w:val="24"/>
        </w:rPr>
      </w:pPr>
    </w:p>
    <w:p w14:paraId="12B2373A" w14:textId="77777777" w:rsidR="0070544B" w:rsidRDefault="0070544B" w:rsidP="001219CA">
      <w:pPr>
        <w:spacing w:after="0" w:line="360" w:lineRule="auto"/>
        <w:ind w:firstLine="284"/>
        <w:rPr>
          <w:rFonts w:ascii="Arial" w:hAnsi="Arial" w:cs="Arial"/>
          <w:b/>
          <w:bCs/>
          <w:sz w:val="24"/>
          <w:szCs w:val="24"/>
        </w:rPr>
      </w:pPr>
    </w:p>
    <w:p w14:paraId="69FC3BDF" w14:textId="77777777" w:rsidR="0070544B" w:rsidRDefault="0070544B" w:rsidP="001219CA">
      <w:pPr>
        <w:spacing w:after="0" w:line="360" w:lineRule="auto"/>
        <w:ind w:firstLine="284"/>
        <w:rPr>
          <w:rFonts w:ascii="Arial" w:hAnsi="Arial" w:cs="Arial"/>
          <w:b/>
          <w:bCs/>
          <w:sz w:val="24"/>
          <w:szCs w:val="24"/>
        </w:rPr>
      </w:pPr>
    </w:p>
    <w:p w14:paraId="50791828" w14:textId="77777777" w:rsidR="0070544B" w:rsidRDefault="0070544B" w:rsidP="001219CA">
      <w:pPr>
        <w:spacing w:after="0" w:line="360" w:lineRule="auto"/>
        <w:ind w:firstLine="284"/>
        <w:rPr>
          <w:rFonts w:ascii="Arial" w:hAnsi="Arial" w:cs="Arial"/>
          <w:b/>
          <w:bCs/>
          <w:sz w:val="24"/>
          <w:szCs w:val="24"/>
        </w:rPr>
      </w:pPr>
    </w:p>
    <w:p w14:paraId="38F7F365" w14:textId="77777777" w:rsidR="0070544B" w:rsidRDefault="0070544B" w:rsidP="001219CA">
      <w:pPr>
        <w:spacing w:after="0" w:line="360" w:lineRule="auto"/>
        <w:ind w:firstLine="284"/>
        <w:rPr>
          <w:rFonts w:ascii="Arial" w:hAnsi="Arial" w:cs="Arial"/>
          <w:b/>
          <w:bCs/>
          <w:sz w:val="24"/>
          <w:szCs w:val="24"/>
        </w:rPr>
      </w:pPr>
    </w:p>
    <w:p w14:paraId="2F83E434" w14:textId="77777777" w:rsidR="0070544B" w:rsidRPr="001219CA" w:rsidRDefault="0070544B" w:rsidP="001219CA">
      <w:pPr>
        <w:spacing w:after="0" w:line="360" w:lineRule="auto"/>
        <w:ind w:firstLine="284"/>
        <w:rPr>
          <w:rFonts w:ascii="Arial" w:hAnsi="Arial" w:cs="Arial"/>
          <w:sz w:val="24"/>
          <w:szCs w:val="24"/>
        </w:rPr>
      </w:pPr>
    </w:p>
    <w:p w14:paraId="1B28262C" w14:textId="751B0BF7" w:rsidR="001219CA" w:rsidRPr="001219CA" w:rsidRDefault="001219CA" w:rsidP="001219CA">
      <w:pPr>
        <w:spacing w:line="360" w:lineRule="auto"/>
        <w:ind w:firstLine="284"/>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952823367"/>
        <w:docPartObj>
          <w:docPartGallery w:val="Table of Contents"/>
          <w:docPartUnique/>
        </w:docPartObj>
      </w:sdtPr>
      <w:sdtEndPr>
        <w:rPr>
          <w:rFonts w:ascii="Arial" w:hAnsi="Arial" w:cs="Arial"/>
          <w:b/>
          <w:bCs/>
          <w:noProof/>
          <w:sz w:val="24"/>
          <w:szCs w:val="24"/>
        </w:rPr>
      </w:sdtEndPr>
      <w:sdtContent>
        <w:p w14:paraId="1A36FD6F" w14:textId="002A8B9D" w:rsidR="0070544B" w:rsidRPr="0070544B" w:rsidRDefault="0070544B">
          <w:pPr>
            <w:pStyle w:val="TOCHeading"/>
            <w:rPr>
              <w:rFonts w:ascii="Arial" w:hAnsi="Arial" w:cs="Arial"/>
              <w:color w:val="auto"/>
            </w:rPr>
          </w:pPr>
          <w:r w:rsidRPr="0070544B">
            <w:rPr>
              <w:rFonts w:ascii="Arial" w:hAnsi="Arial" w:cs="Arial"/>
              <w:color w:val="auto"/>
            </w:rPr>
            <w:t>Table of Contents</w:t>
          </w:r>
        </w:p>
        <w:p w14:paraId="276B0D87" w14:textId="5D1A6EAD" w:rsidR="00443AEF" w:rsidRPr="00443AEF" w:rsidRDefault="0070544B">
          <w:pPr>
            <w:pStyle w:val="TOC1"/>
            <w:tabs>
              <w:tab w:val="right" w:leader="dot" w:pos="10054"/>
            </w:tabs>
            <w:rPr>
              <w:rFonts w:ascii="Arial" w:eastAsiaTheme="minorEastAsia" w:hAnsi="Arial" w:cs="Arial"/>
              <w:noProof/>
              <w:sz w:val="28"/>
              <w:szCs w:val="28"/>
              <w:lang w:eastAsia="en-GB"/>
            </w:rPr>
          </w:pPr>
          <w:r w:rsidRPr="0070544B">
            <w:rPr>
              <w:rFonts w:ascii="Arial" w:hAnsi="Arial" w:cs="Arial"/>
              <w:sz w:val="24"/>
              <w:szCs w:val="24"/>
            </w:rPr>
            <w:fldChar w:fldCharType="begin"/>
          </w:r>
          <w:r w:rsidRPr="0070544B">
            <w:rPr>
              <w:rFonts w:ascii="Arial" w:hAnsi="Arial" w:cs="Arial"/>
              <w:sz w:val="24"/>
              <w:szCs w:val="24"/>
            </w:rPr>
            <w:instrText xml:space="preserve"> TOC \o "1-3" \h \z \u </w:instrText>
          </w:r>
          <w:r w:rsidRPr="0070544B">
            <w:rPr>
              <w:rFonts w:ascii="Arial" w:hAnsi="Arial" w:cs="Arial"/>
              <w:sz w:val="24"/>
              <w:szCs w:val="24"/>
            </w:rPr>
            <w:fldChar w:fldCharType="separate"/>
          </w:r>
          <w:hyperlink w:anchor="_Toc182945189" w:history="1">
            <w:r w:rsidR="00443AEF" w:rsidRPr="00443AEF">
              <w:rPr>
                <w:rStyle w:val="Hyperlink"/>
                <w:rFonts w:ascii="Arial" w:hAnsi="Arial" w:cs="Arial"/>
                <w:noProof/>
                <w:sz w:val="24"/>
                <w:szCs w:val="24"/>
              </w:rPr>
              <w:t>I. Introduction</w:t>
            </w:r>
            <w:r w:rsidR="00443AEF" w:rsidRPr="00443AEF">
              <w:rPr>
                <w:rFonts w:ascii="Arial" w:hAnsi="Arial" w:cs="Arial"/>
                <w:noProof/>
                <w:webHidden/>
                <w:sz w:val="24"/>
                <w:szCs w:val="24"/>
              </w:rPr>
              <w:tab/>
            </w:r>
            <w:r w:rsidR="00443AEF" w:rsidRPr="00443AEF">
              <w:rPr>
                <w:rFonts w:ascii="Arial" w:hAnsi="Arial" w:cs="Arial"/>
                <w:noProof/>
                <w:webHidden/>
                <w:sz w:val="24"/>
                <w:szCs w:val="24"/>
              </w:rPr>
              <w:fldChar w:fldCharType="begin"/>
            </w:r>
            <w:r w:rsidR="00443AEF" w:rsidRPr="00443AEF">
              <w:rPr>
                <w:rFonts w:ascii="Arial" w:hAnsi="Arial" w:cs="Arial"/>
                <w:noProof/>
                <w:webHidden/>
                <w:sz w:val="24"/>
                <w:szCs w:val="24"/>
              </w:rPr>
              <w:instrText xml:space="preserve"> PAGEREF _Toc182945189 \h </w:instrText>
            </w:r>
            <w:r w:rsidR="00443AEF" w:rsidRPr="00443AEF">
              <w:rPr>
                <w:rFonts w:ascii="Arial" w:hAnsi="Arial" w:cs="Arial"/>
                <w:noProof/>
                <w:webHidden/>
                <w:sz w:val="24"/>
                <w:szCs w:val="24"/>
              </w:rPr>
            </w:r>
            <w:r w:rsidR="00443AEF" w:rsidRPr="00443AEF">
              <w:rPr>
                <w:rFonts w:ascii="Arial" w:hAnsi="Arial" w:cs="Arial"/>
                <w:noProof/>
                <w:webHidden/>
                <w:sz w:val="24"/>
                <w:szCs w:val="24"/>
              </w:rPr>
              <w:fldChar w:fldCharType="separate"/>
            </w:r>
            <w:r w:rsidR="00443AEF" w:rsidRPr="00443AEF">
              <w:rPr>
                <w:rFonts w:ascii="Arial" w:hAnsi="Arial" w:cs="Arial"/>
                <w:noProof/>
                <w:webHidden/>
                <w:sz w:val="24"/>
                <w:szCs w:val="24"/>
              </w:rPr>
              <w:t>2</w:t>
            </w:r>
            <w:r w:rsidR="00443AEF" w:rsidRPr="00443AEF">
              <w:rPr>
                <w:rFonts w:ascii="Arial" w:hAnsi="Arial" w:cs="Arial"/>
                <w:noProof/>
                <w:webHidden/>
                <w:sz w:val="24"/>
                <w:szCs w:val="24"/>
              </w:rPr>
              <w:fldChar w:fldCharType="end"/>
            </w:r>
          </w:hyperlink>
        </w:p>
        <w:p w14:paraId="50F2BEE5" w14:textId="2C439934"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190" w:history="1">
            <w:r w:rsidRPr="00443AEF">
              <w:rPr>
                <w:rStyle w:val="Hyperlink"/>
                <w:rFonts w:ascii="Arial" w:hAnsi="Arial" w:cs="Arial"/>
                <w:noProof/>
                <w:sz w:val="24"/>
                <w:szCs w:val="24"/>
              </w:rPr>
              <w:t>II. Research Objectives and Research Question</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_Toc182945190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3</w:t>
            </w:r>
            <w:r w:rsidRPr="00443AEF">
              <w:rPr>
                <w:rFonts w:ascii="Arial" w:hAnsi="Arial" w:cs="Arial"/>
                <w:noProof/>
                <w:webHidden/>
                <w:sz w:val="24"/>
                <w:szCs w:val="24"/>
              </w:rPr>
              <w:fldChar w:fldCharType="end"/>
            </w:r>
          </w:hyperlink>
        </w:p>
        <w:p w14:paraId="0B9242A4" w14:textId="38420F22"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191" w:history="1">
            <w:r w:rsidRPr="00443AEF">
              <w:rPr>
                <w:rStyle w:val="Hyperlink"/>
                <w:rFonts w:ascii="Arial" w:hAnsi="Arial" w:cs="Arial"/>
                <w:noProof/>
                <w:sz w:val="24"/>
                <w:szCs w:val="24"/>
              </w:rPr>
              <w:t>III. Literature Review</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_Toc182945191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3</w:t>
            </w:r>
            <w:r w:rsidRPr="00443AEF">
              <w:rPr>
                <w:rFonts w:ascii="Arial" w:hAnsi="Arial" w:cs="Arial"/>
                <w:noProof/>
                <w:webHidden/>
                <w:sz w:val="24"/>
                <w:szCs w:val="24"/>
              </w:rPr>
              <w:fldChar w:fldCharType="end"/>
            </w:r>
          </w:hyperlink>
        </w:p>
        <w:p w14:paraId="05135331" w14:textId="12CDA2F3"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2" w:history="1">
            <w:r w:rsidRPr="00443AEF">
              <w:rPr>
                <w:rStyle w:val="Hyperlink"/>
                <w:rFonts w:ascii="Arial" w:hAnsi="Arial" w:cs="Arial"/>
                <w:noProof/>
                <w:sz w:val="24"/>
                <w:szCs w:val="24"/>
              </w:rPr>
              <w:t>III. 1. Economic Transformation and Policy Framework</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_Toc182945192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3</w:t>
            </w:r>
            <w:r w:rsidRPr="00443AEF">
              <w:rPr>
                <w:rFonts w:ascii="Arial" w:hAnsi="Arial" w:cs="Arial"/>
                <w:noProof/>
                <w:webHidden/>
                <w:sz w:val="24"/>
                <w:szCs w:val="24"/>
              </w:rPr>
              <w:fldChar w:fldCharType="end"/>
            </w:r>
          </w:hyperlink>
        </w:p>
        <w:p w14:paraId="516B2876" w14:textId="6355178E"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3" w:history="1">
            <w:r w:rsidRPr="00443AEF">
              <w:rPr>
                <w:rStyle w:val="Hyperlink"/>
                <w:rFonts w:ascii="Arial" w:hAnsi="Arial" w:cs="Arial"/>
                <w:noProof/>
                <w:sz w:val="24"/>
                <w:szCs w:val="24"/>
              </w:rPr>
              <w:t>III.2. Global Challenges and Economic Resilience</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_Toc182945193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16FC1069" w14:textId="5698F513"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4" w:history="1">
            <w:r w:rsidRPr="00443AEF">
              <w:rPr>
                <w:rStyle w:val="Hyperlink"/>
                <w:rFonts w:ascii="Arial" w:hAnsi="Arial" w:cs="Arial"/>
                <w:noProof/>
                <w:sz w:val="24"/>
                <w:szCs w:val="24"/>
              </w:rPr>
              <w:t>III.3. Comparative Analysis of Regulatory Environments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_Toc182945194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5F0E41F1" w14:textId="4F1CF259"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5" w:history="1">
            <w:r w:rsidRPr="00443AEF">
              <w:rPr>
                <w:rStyle w:val="Hyperlink"/>
                <w:rFonts w:ascii="Arial" w:hAnsi="Arial" w:cs="Arial"/>
                <w:noProof/>
                <w:sz w:val="24"/>
                <w:szCs w:val="24"/>
              </w:rPr>
              <w:t>III.4. Case Studies of Foreign Business Expansion</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_Toc182945195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4104A46D" w14:textId="0B9D702D"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6" w:history="1">
            <w:r w:rsidRPr="00443AEF">
              <w:rPr>
                <w:rStyle w:val="Hyperlink"/>
                <w:rFonts w:ascii="Arial" w:hAnsi="Arial" w:cs="Arial"/>
                <w:noProof/>
                <w:sz w:val="24"/>
                <w:szCs w:val="24"/>
              </w:rPr>
              <w:t>III.5. Education and Innovation as Economic Drivers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_Toc182945196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4</w:t>
            </w:r>
            <w:r w:rsidRPr="00443AEF">
              <w:rPr>
                <w:rFonts w:ascii="Arial" w:hAnsi="Arial" w:cs="Arial"/>
                <w:noProof/>
                <w:webHidden/>
                <w:sz w:val="24"/>
                <w:szCs w:val="24"/>
              </w:rPr>
              <w:fldChar w:fldCharType="end"/>
            </w:r>
          </w:hyperlink>
        </w:p>
        <w:p w14:paraId="6A24B652" w14:textId="25830B40"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7" w:history="1">
            <w:r w:rsidRPr="00443AEF">
              <w:rPr>
                <w:rStyle w:val="Hyperlink"/>
                <w:rFonts w:ascii="Arial" w:hAnsi="Arial" w:cs="Arial"/>
                <w:noProof/>
                <w:sz w:val="24"/>
                <w:szCs w:val="24"/>
              </w:rPr>
              <w:t>III.6. Conclusion on literature review</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_Toc182945197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5</w:t>
            </w:r>
            <w:r w:rsidRPr="00443AEF">
              <w:rPr>
                <w:rFonts w:ascii="Arial" w:hAnsi="Arial" w:cs="Arial"/>
                <w:noProof/>
                <w:webHidden/>
                <w:sz w:val="24"/>
                <w:szCs w:val="24"/>
              </w:rPr>
              <w:fldChar w:fldCharType="end"/>
            </w:r>
          </w:hyperlink>
        </w:p>
        <w:p w14:paraId="1D7367FE" w14:textId="6DB17064"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198" w:history="1">
            <w:r w:rsidRPr="00443AEF">
              <w:rPr>
                <w:rStyle w:val="Hyperlink"/>
                <w:rFonts w:ascii="Arial" w:hAnsi="Arial" w:cs="Arial"/>
                <w:noProof/>
                <w:sz w:val="24"/>
                <w:szCs w:val="24"/>
              </w:rPr>
              <w:t>IV. Research Methods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_Toc182945198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5</w:t>
            </w:r>
            <w:r w:rsidRPr="00443AEF">
              <w:rPr>
                <w:rFonts w:ascii="Arial" w:hAnsi="Arial" w:cs="Arial"/>
                <w:noProof/>
                <w:webHidden/>
                <w:sz w:val="24"/>
                <w:szCs w:val="24"/>
              </w:rPr>
              <w:fldChar w:fldCharType="end"/>
            </w:r>
          </w:hyperlink>
        </w:p>
        <w:p w14:paraId="6F694CF1" w14:textId="09E81EAF"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199" w:history="1">
            <w:r w:rsidRPr="00443AEF">
              <w:rPr>
                <w:rStyle w:val="Hyperlink"/>
                <w:rFonts w:ascii="Arial" w:hAnsi="Arial" w:cs="Arial"/>
                <w:noProof/>
                <w:sz w:val="24"/>
                <w:szCs w:val="24"/>
              </w:rPr>
              <w:t>IV. 1. Qualitative Secondary Research</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_Toc182945199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5</w:t>
            </w:r>
            <w:r w:rsidRPr="00443AEF">
              <w:rPr>
                <w:rFonts w:ascii="Arial" w:hAnsi="Arial" w:cs="Arial"/>
                <w:noProof/>
                <w:webHidden/>
                <w:sz w:val="24"/>
                <w:szCs w:val="24"/>
              </w:rPr>
              <w:fldChar w:fldCharType="end"/>
            </w:r>
          </w:hyperlink>
        </w:p>
        <w:p w14:paraId="35B9B94E" w14:textId="5E871E8D" w:rsidR="00443AEF" w:rsidRPr="00443AEF" w:rsidRDefault="00443AEF">
          <w:pPr>
            <w:pStyle w:val="TOC2"/>
            <w:tabs>
              <w:tab w:val="right" w:leader="dot" w:pos="10054"/>
            </w:tabs>
            <w:rPr>
              <w:rFonts w:ascii="Arial" w:eastAsiaTheme="minorEastAsia" w:hAnsi="Arial" w:cs="Arial"/>
              <w:noProof/>
              <w:sz w:val="28"/>
              <w:szCs w:val="28"/>
              <w:lang w:eastAsia="en-GB"/>
            </w:rPr>
          </w:pPr>
          <w:hyperlink w:anchor="_Toc182945200" w:history="1">
            <w:r w:rsidRPr="00443AEF">
              <w:rPr>
                <w:rStyle w:val="Hyperlink"/>
                <w:rFonts w:ascii="Arial" w:hAnsi="Arial" w:cs="Arial"/>
                <w:noProof/>
                <w:sz w:val="24"/>
                <w:szCs w:val="24"/>
              </w:rPr>
              <w:t>IV.2. Quantitative Secondary Research</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_Toc182945200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6</w:t>
            </w:r>
            <w:r w:rsidRPr="00443AEF">
              <w:rPr>
                <w:rFonts w:ascii="Arial" w:hAnsi="Arial" w:cs="Arial"/>
                <w:noProof/>
                <w:webHidden/>
                <w:sz w:val="24"/>
                <w:szCs w:val="24"/>
              </w:rPr>
              <w:fldChar w:fldCharType="end"/>
            </w:r>
          </w:hyperlink>
        </w:p>
        <w:p w14:paraId="3106B3A3" w14:textId="378446BF"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1" w:history="1">
            <w:r w:rsidRPr="00443AEF">
              <w:rPr>
                <w:rStyle w:val="Hyperlink"/>
                <w:rFonts w:ascii="Arial" w:hAnsi="Arial" w:cs="Arial"/>
                <w:noProof/>
                <w:sz w:val="24"/>
                <w:szCs w:val="24"/>
              </w:rPr>
              <w:t>V. Potential Implications</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_Toc182945201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7</w:t>
            </w:r>
            <w:r w:rsidRPr="00443AEF">
              <w:rPr>
                <w:rFonts w:ascii="Arial" w:hAnsi="Arial" w:cs="Arial"/>
                <w:noProof/>
                <w:webHidden/>
                <w:sz w:val="24"/>
                <w:szCs w:val="24"/>
              </w:rPr>
              <w:fldChar w:fldCharType="end"/>
            </w:r>
          </w:hyperlink>
        </w:p>
        <w:p w14:paraId="692646EF" w14:textId="1C97C51B"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2" w:history="1">
            <w:r w:rsidRPr="00443AEF">
              <w:rPr>
                <w:rStyle w:val="Hyperlink"/>
                <w:rFonts w:ascii="Arial" w:hAnsi="Arial" w:cs="Arial"/>
                <w:noProof/>
                <w:sz w:val="24"/>
                <w:szCs w:val="24"/>
              </w:rPr>
              <w:t>VI. Conclusion</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_Toc182945202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7</w:t>
            </w:r>
            <w:r w:rsidRPr="00443AEF">
              <w:rPr>
                <w:rFonts w:ascii="Arial" w:hAnsi="Arial" w:cs="Arial"/>
                <w:noProof/>
                <w:webHidden/>
                <w:sz w:val="24"/>
                <w:szCs w:val="24"/>
              </w:rPr>
              <w:fldChar w:fldCharType="end"/>
            </w:r>
          </w:hyperlink>
        </w:p>
        <w:p w14:paraId="7C7C2D0A" w14:textId="30FDBEAA"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3" w:history="1">
            <w:r w:rsidRPr="00443AEF">
              <w:rPr>
                <w:rStyle w:val="Hyperlink"/>
                <w:rFonts w:ascii="Arial" w:hAnsi="Arial" w:cs="Arial"/>
                <w:noProof/>
                <w:sz w:val="24"/>
                <w:szCs w:val="24"/>
              </w:rPr>
              <w:t>VII. Reference List</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_Toc182945203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8</w:t>
            </w:r>
            <w:r w:rsidRPr="00443AEF">
              <w:rPr>
                <w:rFonts w:ascii="Arial" w:hAnsi="Arial" w:cs="Arial"/>
                <w:noProof/>
                <w:webHidden/>
                <w:sz w:val="24"/>
                <w:szCs w:val="24"/>
              </w:rPr>
              <w:fldChar w:fldCharType="end"/>
            </w:r>
          </w:hyperlink>
        </w:p>
        <w:p w14:paraId="42D8E041" w14:textId="47FF474A" w:rsidR="00443AEF" w:rsidRPr="00443AEF" w:rsidRDefault="00443AEF">
          <w:pPr>
            <w:pStyle w:val="TOC1"/>
            <w:tabs>
              <w:tab w:val="right" w:leader="dot" w:pos="10054"/>
            </w:tabs>
            <w:rPr>
              <w:rFonts w:ascii="Arial" w:eastAsiaTheme="minorEastAsia" w:hAnsi="Arial" w:cs="Arial"/>
              <w:noProof/>
              <w:sz w:val="28"/>
              <w:szCs w:val="28"/>
              <w:lang w:eastAsia="en-GB"/>
            </w:rPr>
          </w:pPr>
          <w:hyperlink w:anchor="_Toc182945204" w:history="1">
            <w:r w:rsidRPr="00443AEF">
              <w:rPr>
                <w:rStyle w:val="Hyperlink"/>
                <w:rFonts w:ascii="Arial" w:hAnsi="Arial" w:cs="Arial"/>
                <w:noProof/>
                <w:sz w:val="24"/>
                <w:szCs w:val="24"/>
              </w:rPr>
              <w:t>Appendix 1: Research timeline</w:t>
            </w:r>
            <w:r w:rsidRPr="00443AEF">
              <w:rPr>
                <w:rFonts w:ascii="Arial" w:hAnsi="Arial" w:cs="Arial"/>
                <w:noProof/>
                <w:webHidden/>
                <w:sz w:val="24"/>
                <w:szCs w:val="24"/>
              </w:rPr>
              <w:tab/>
            </w:r>
            <w:r w:rsidRPr="00443AEF">
              <w:rPr>
                <w:rFonts w:ascii="Arial" w:hAnsi="Arial" w:cs="Arial"/>
                <w:noProof/>
                <w:webHidden/>
                <w:sz w:val="24"/>
                <w:szCs w:val="24"/>
              </w:rPr>
              <w:fldChar w:fldCharType="begin"/>
            </w:r>
            <w:r w:rsidRPr="00443AEF">
              <w:rPr>
                <w:rFonts w:ascii="Arial" w:hAnsi="Arial" w:cs="Arial"/>
                <w:noProof/>
                <w:webHidden/>
                <w:sz w:val="24"/>
                <w:szCs w:val="24"/>
              </w:rPr>
              <w:instrText xml:space="preserve"> PAGEREF _Toc182945204 \h </w:instrText>
            </w:r>
            <w:r w:rsidRPr="00443AEF">
              <w:rPr>
                <w:rFonts w:ascii="Arial" w:hAnsi="Arial" w:cs="Arial"/>
                <w:noProof/>
                <w:webHidden/>
                <w:sz w:val="24"/>
                <w:szCs w:val="24"/>
              </w:rPr>
            </w:r>
            <w:r w:rsidRPr="00443AEF">
              <w:rPr>
                <w:rFonts w:ascii="Arial" w:hAnsi="Arial" w:cs="Arial"/>
                <w:noProof/>
                <w:webHidden/>
                <w:sz w:val="24"/>
                <w:szCs w:val="24"/>
              </w:rPr>
              <w:fldChar w:fldCharType="separate"/>
            </w:r>
            <w:r w:rsidRPr="00443AEF">
              <w:rPr>
                <w:rFonts w:ascii="Arial" w:hAnsi="Arial" w:cs="Arial"/>
                <w:noProof/>
                <w:webHidden/>
                <w:sz w:val="24"/>
                <w:szCs w:val="24"/>
              </w:rPr>
              <w:t>10</w:t>
            </w:r>
            <w:r w:rsidRPr="00443AEF">
              <w:rPr>
                <w:rFonts w:ascii="Arial" w:hAnsi="Arial" w:cs="Arial"/>
                <w:noProof/>
                <w:webHidden/>
                <w:sz w:val="24"/>
                <w:szCs w:val="24"/>
              </w:rPr>
              <w:fldChar w:fldCharType="end"/>
            </w:r>
          </w:hyperlink>
        </w:p>
        <w:p w14:paraId="4AA53CDA" w14:textId="151FEEC3" w:rsidR="0070544B" w:rsidRPr="0070544B" w:rsidRDefault="0070544B" w:rsidP="0070544B">
          <w:pPr>
            <w:spacing w:line="360" w:lineRule="auto"/>
            <w:rPr>
              <w:rFonts w:ascii="Arial" w:hAnsi="Arial" w:cs="Arial"/>
              <w:sz w:val="24"/>
              <w:szCs w:val="24"/>
            </w:rPr>
          </w:pPr>
          <w:r w:rsidRPr="0070544B">
            <w:rPr>
              <w:rFonts w:ascii="Arial" w:hAnsi="Arial" w:cs="Arial"/>
              <w:b/>
              <w:bCs/>
              <w:noProof/>
              <w:sz w:val="24"/>
              <w:szCs w:val="24"/>
            </w:rPr>
            <w:fldChar w:fldCharType="end"/>
          </w:r>
        </w:p>
      </w:sdtContent>
    </w:sdt>
    <w:p w14:paraId="7A444BFB" w14:textId="77777777" w:rsidR="00F53946" w:rsidRDefault="00F53946" w:rsidP="00F53946">
      <w:pPr>
        <w:rPr>
          <w:rStyle w:val="Heading1Char"/>
        </w:rPr>
      </w:pPr>
    </w:p>
    <w:p w14:paraId="5C1E9DED" w14:textId="77777777" w:rsidR="00F53946" w:rsidRDefault="00F53946" w:rsidP="00F53946">
      <w:pPr>
        <w:rPr>
          <w:rStyle w:val="Heading1Char"/>
        </w:rPr>
      </w:pPr>
    </w:p>
    <w:p w14:paraId="7F518B67" w14:textId="77777777" w:rsidR="00F53946" w:rsidRDefault="00F53946" w:rsidP="00F53946">
      <w:pPr>
        <w:rPr>
          <w:rStyle w:val="Heading1Char"/>
        </w:rPr>
      </w:pPr>
    </w:p>
    <w:p w14:paraId="0C4D5EE0" w14:textId="77777777" w:rsidR="00F53946" w:rsidRDefault="00F53946" w:rsidP="00F53946">
      <w:pPr>
        <w:rPr>
          <w:rStyle w:val="Heading1Char"/>
        </w:rPr>
      </w:pPr>
    </w:p>
    <w:p w14:paraId="42054132" w14:textId="77777777" w:rsidR="00F53946" w:rsidRDefault="00F53946" w:rsidP="00F53946">
      <w:pPr>
        <w:rPr>
          <w:rStyle w:val="Heading1Char"/>
        </w:rPr>
      </w:pPr>
    </w:p>
    <w:p w14:paraId="2C2AFE36" w14:textId="77777777" w:rsidR="00F53946" w:rsidRDefault="00F53946" w:rsidP="00F53946">
      <w:pPr>
        <w:rPr>
          <w:rStyle w:val="Heading1Char"/>
        </w:rPr>
      </w:pPr>
    </w:p>
    <w:p w14:paraId="76AB4482" w14:textId="77777777" w:rsidR="00F53946" w:rsidRDefault="00F53946" w:rsidP="00F53946">
      <w:pPr>
        <w:rPr>
          <w:rStyle w:val="Heading1Char"/>
        </w:rPr>
      </w:pPr>
    </w:p>
    <w:p w14:paraId="1DD90EC0" w14:textId="77777777" w:rsidR="00F53946" w:rsidRDefault="00F53946" w:rsidP="00F53946">
      <w:pPr>
        <w:rPr>
          <w:rStyle w:val="Heading1Char"/>
        </w:rPr>
      </w:pPr>
    </w:p>
    <w:p w14:paraId="443CFA74" w14:textId="77777777" w:rsidR="00F53946" w:rsidRDefault="00F53946" w:rsidP="00F53946">
      <w:pPr>
        <w:rPr>
          <w:rStyle w:val="Heading1Char"/>
        </w:rPr>
      </w:pPr>
    </w:p>
    <w:p w14:paraId="123C7285" w14:textId="77777777" w:rsidR="00F53946" w:rsidRDefault="00F53946" w:rsidP="00F53946">
      <w:pPr>
        <w:rPr>
          <w:rStyle w:val="Heading1Char"/>
        </w:rPr>
      </w:pPr>
    </w:p>
    <w:p w14:paraId="4F122AD4" w14:textId="77777777" w:rsidR="00F53946" w:rsidRDefault="00F53946" w:rsidP="00F53946">
      <w:pPr>
        <w:rPr>
          <w:rStyle w:val="Heading1Char"/>
        </w:rPr>
      </w:pPr>
    </w:p>
    <w:p w14:paraId="1CDF66EE" w14:textId="6DCDC53F" w:rsidR="00F53946" w:rsidRPr="00F53946" w:rsidRDefault="00F53946" w:rsidP="00F53946">
      <w:pPr>
        <w:pStyle w:val="Heading1"/>
      </w:pPr>
      <w:bookmarkStart w:id="0" w:name="_Toc182945189"/>
      <w:r w:rsidRPr="00F53946">
        <w:lastRenderedPageBreak/>
        <w:t>I. Introduction</w:t>
      </w:r>
      <w:bookmarkEnd w:id="0"/>
    </w:p>
    <w:p w14:paraId="417C71EE" w14:textId="6F3FC461"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The global business landscape is increasingly influenced by complex regulatory environments, which shape the decisions of foreign businesses seeking to expand internationally. Hong Kong, as a prominent global financial hub, has long been a key player in international trade and investment. Its unique geographic location, strong financial infrastructure, and open trade policies have contributed significantly to its status as a prime destination for foreign business expansion. However, recent geopolitical tensions, economic instability, and the impact of the COVID-19 pandemic have raised concerns about how Hong Kong’s evolving regulatory environment will affect future foreign investment (Baker et al., 2021). This dissertation seeks to examine the extent to which Hong Kong’s regulatory framework</w:t>
      </w:r>
      <w:r w:rsidR="00443AEF">
        <w:rPr>
          <w:rFonts w:ascii="Arial" w:eastAsiaTheme="majorEastAsia" w:hAnsi="Arial" w:cs="Arial"/>
          <w:sz w:val="24"/>
          <w:szCs w:val="24"/>
        </w:rPr>
        <w:t xml:space="preserve"> </w:t>
      </w:r>
      <w:r w:rsidRPr="00F53946">
        <w:rPr>
          <w:rFonts w:ascii="Arial" w:eastAsiaTheme="majorEastAsia" w:hAnsi="Arial" w:cs="Arial"/>
          <w:sz w:val="24"/>
          <w:szCs w:val="24"/>
        </w:rPr>
        <w:t>encompassing legal, tax, and financial regulations</w:t>
      </w:r>
      <w:r w:rsidR="00443AEF">
        <w:rPr>
          <w:rFonts w:ascii="Arial" w:eastAsiaTheme="majorEastAsia" w:hAnsi="Arial" w:cs="Arial"/>
          <w:sz w:val="24"/>
          <w:szCs w:val="24"/>
        </w:rPr>
        <w:t xml:space="preserve"> </w:t>
      </w:r>
      <w:r w:rsidRPr="00F53946">
        <w:rPr>
          <w:rFonts w:ascii="Arial" w:eastAsiaTheme="majorEastAsia" w:hAnsi="Arial" w:cs="Arial"/>
          <w:sz w:val="24"/>
          <w:szCs w:val="24"/>
        </w:rPr>
        <w:t>supports or hinders foreign business expansion and how macro-environmental factors influence this process.</w:t>
      </w:r>
    </w:p>
    <w:p w14:paraId="5E2B9D83" w14:textId="77777777"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This research is of particular interest because Hong Kong’s business environment is undergoing significant transformation, especially in light of recent political developments, such as the implementation of the National Security Law in 2020 (Wong &amp; Chan, 2023). While Hong Kong has traditionally been recognized for its ease of doing business, questions about its long-term viability as a business hub persist. This dissertation will explore whether the changing regulatory landscape creates new opportunities or challenges for foreign companies. By providing a comparative analysis with other global financial </w:t>
      </w:r>
      <w:proofErr w:type="spellStart"/>
      <w:r w:rsidRPr="00F53946">
        <w:rPr>
          <w:rFonts w:ascii="Arial" w:eastAsiaTheme="majorEastAsia" w:hAnsi="Arial" w:cs="Arial"/>
          <w:sz w:val="24"/>
          <w:szCs w:val="24"/>
        </w:rPr>
        <w:t>centers</w:t>
      </w:r>
      <w:proofErr w:type="spellEnd"/>
      <w:r w:rsidRPr="00F53946">
        <w:rPr>
          <w:rFonts w:ascii="Arial" w:eastAsiaTheme="majorEastAsia" w:hAnsi="Arial" w:cs="Arial"/>
          <w:sz w:val="24"/>
          <w:szCs w:val="24"/>
        </w:rPr>
        <w:t>, such as Singapore and London, the research aims to place Hong Kong’s regulatory environment in a broader context.</w:t>
      </w:r>
    </w:p>
    <w:p w14:paraId="1097E783" w14:textId="76770FFD"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The research will adopt a mixed-methods approach, combining qualitative and quantitative data analysis. Key data sources will include government publications, industry reports, and peer-reviewed articles. Additionally, case studies of foreign companies that have expanded into Hong Kong will be examined to provide practical insights into how regulations and macro-environmental factors influence business operations and decisions (Khan et al., 2023). The outcome of this research will contribute to the understanding of how regulatory factors shape the business environment in Hong Kong and offer strategic insights for companies considering expansion into this market.</w:t>
      </w:r>
    </w:p>
    <w:p w14:paraId="2E994B28" w14:textId="25FC71BB" w:rsidR="00F53946" w:rsidRPr="00F53946" w:rsidRDefault="00F53946" w:rsidP="00F53946">
      <w:pPr>
        <w:pStyle w:val="Heading1"/>
      </w:pPr>
      <w:bookmarkStart w:id="1" w:name="_Toc182945190"/>
      <w:r w:rsidRPr="00F53946">
        <w:lastRenderedPageBreak/>
        <w:t>II. Research Objectives and Research Questions</w:t>
      </w:r>
      <w:bookmarkEnd w:id="1"/>
    </w:p>
    <w:p w14:paraId="44432EA1" w14:textId="77777777" w:rsid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This dissertation is </w:t>
      </w:r>
      <w:proofErr w:type="spellStart"/>
      <w:r w:rsidRPr="00F53946">
        <w:rPr>
          <w:rFonts w:ascii="Arial" w:eastAsiaTheme="majorEastAsia" w:hAnsi="Arial" w:cs="Arial"/>
          <w:sz w:val="24"/>
          <w:szCs w:val="24"/>
        </w:rPr>
        <w:t>centered</w:t>
      </w:r>
      <w:proofErr w:type="spellEnd"/>
      <w:r w:rsidRPr="00F53946">
        <w:rPr>
          <w:rFonts w:ascii="Arial" w:eastAsiaTheme="majorEastAsia" w:hAnsi="Arial" w:cs="Arial"/>
          <w:sz w:val="24"/>
          <w:szCs w:val="24"/>
        </w:rPr>
        <w:t xml:space="preserve"> around three clear research objectives, designed to ensure that the data collection and analysis are both feasible and realistic, utilizing authentic and reliable sources.</w:t>
      </w:r>
    </w:p>
    <w:p w14:paraId="72D89F09" w14:textId="7484DBE9" w:rsidR="00F53946" w:rsidRPr="00F53946" w:rsidRDefault="00F53946" w:rsidP="00F53946">
      <w:pPr>
        <w:pStyle w:val="ListParagraph"/>
        <w:numPr>
          <w:ilvl w:val="0"/>
          <w:numId w:val="13"/>
        </w:num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To evaluate the regulatory environment of Hong Kong that underpins its status as a global business hub.</w:t>
      </w:r>
    </w:p>
    <w:p w14:paraId="7658A2D9" w14:textId="1E774C6C" w:rsidR="00F53946" w:rsidRDefault="00F53946" w:rsidP="00F53946">
      <w:pPr>
        <w:numPr>
          <w:ilvl w:val="0"/>
          <w:numId w:val="13"/>
        </w:num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To perform a comparative analysis of Hong Kong’s regulatory framework and </w:t>
      </w:r>
      <w:r>
        <w:rPr>
          <w:rFonts w:ascii="Arial" w:eastAsiaTheme="majorEastAsia" w:hAnsi="Arial" w:cs="Arial"/>
          <w:sz w:val="24"/>
          <w:szCs w:val="24"/>
        </w:rPr>
        <w:t xml:space="preserve">other </w:t>
      </w:r>
      <w:r w:rsidRPr="00F53946">
        <w:rPr>
          <w:rFonts w:ascii="Arial" w:eastAsiaTheme="majorEastAsia" w:hAnsi="Arial" w:cs="Arial"/>
          <w:sz w:val="24"/>
          <w:szCs w:val="24"/>
        </w:rPr>
        <w:t xml:space="preserve">macro-environmental factors in relation to those of other major global financial </w:t>
      </w:r>
      <w:proofErr w:type="spellStart"/>
      <w:r w:rsidRPr="00F53946">
        <w:rPr>
          <w:rFonts w:ascii="Arial" w:eastAsiaTheme="majorEastAsia" w:hAnsi="Arial" w:cs="Arial"/>
          <w:sz w:val="24"/>
          <w:szCs w:val="24"/>
        </w:rPr>
        <w:t>centers</w:t>
      </w:r>
      <w:proofErr w:type="spellEnd"/>
      <w:r w:rsidRPr="00F53946">
        <w:rPr>
          <w:rFonts w:ascii="Arial" w:eastAsiaTheme="majorEastAsia" w:hAnsi="Arial" w:cs="Arial"/>
          <w:sz w:val="24"/>
          <w:szCs w:val="24"/>
        </w:rPr>
        <w:t>.</w:t>
      </w:r>
    </w:p>
    <w:p w14:paraId="4BD4F630" w14:textId="45089C15" w:rsidR="00F53946" w:rsidRPr="00F53946" w:rsidRDefault="00F53946" w:rsidP="00F53946">
      <w:pPr>
        <w:numPr>
          <w:ilvl w:val="0"/>
          <w:numId w:val="13"/>
        </w:num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 xml:space="preserve">To examine case studies of foreign businesses that have expanded into Hong Kong and </w:t>
      </w:r>
      <w:proofErr w:type="spellStart"/>
      <w:r w:rsidRPr="00F53946">
        <w:rPr>
          <w:rFonts w:ascii="Arial" w:eastAsiaTheme="majorEastAsia" w:hAnsi="Arial" w:cs="Arial"/>
          <w:sz w:val="24"/>
          <w:szCs w:val="24"/>
        </w:rPr>
        <w:t>analyze</w:t>
      </w:r>
      <w:proofErr w:type="spellEnd"/>
      <w:r w:rsidRPr="00F53946">
        <w:rPr>
          <w:rFonts w:ascii="Arial" w:eastAsiaTheme="majorEastAsia" w:hAnsi="Arial" w:cs="Arial"/>
          <w:sz w:val="24"/>
          <w:szCs w:val="24"/>
        </w:rPr>
        <w:t xml:space="preserve"> the role of regulations and macro-environmental factors in their successes or challenges.</w:t>
      </w:r>
    </w:p>
    <w:p w14:paraId="43F56EF9" w14:textId="77777777" w:rsidR="00F53946" w:rsidRPr="00F53946" w:rsidRDefault="00F53946" w:rsidP="00F53946">
      <w:pPr>
        <w:spacing w:line="360" w:lineRule="auto"/>
        <w:jc w:val="both"/>
        <w:rPr>
          <w:rFonts w:ascii="Arial" w:eastAsiaTheme="majorEastAsia" w:hAnsi="Arial" w:cs="Arial"/>
          <w:sz w:val="24"/>
          <w:szCs w:val="24"/>
        </w:rPr>
      </w:pPr>
      <w:r w:rsidRPr="00F53946">
        <w:rPr>
          <w:rFonts w:ascii="Arial" w:eastAsiaTheme="majorEastAsia" w:hAnsi="Arial" w:cs="Arial"/>
          <w:sz w:val="24"/>
          <w:szCs w:val="24"/>
        </w:rPr>
        <w:t>These objectives will be achieved through a combination of secondary data analysis and case studies. Data sources will include government publications, academic articles, and reports from credible industry players such as McKinsey and PwC. This approach ensures that the data is robust and genuine, as it will be based on authoritative sources.</w:t>
      </w:r>
    </w:p>
    <w:p w14:paraId="09377F4B" w14:textId="7C5DAC34" w:rsidR="00F53946" w:rsidRPr="00443AEF" w:rsidRDefault="00F53946" w:rsidP="00443AEF">
      <w:pPr>
        <w:spacing w:line="360" w:lineRule="auto"/>
        <w:rPr>
          <w:rFonts w:ascii="Arial" w:eastAsiaTheme="majorEastAsia" w:hAnsi="Arial" w:cs="Arial"/>
          <w:sz w:val="24"/>
          <w:szCs w:val="24"/>
        </w:rPr>
      </w:pPr>
      <w:r w:rsidRPr="00F53946">
        <w:rPr>
          <w:rFonts w:ascii="Arial" w:eastAsiaTheme="majorEastAsia" w:hAnsi="Arial" w:cs="Arial"/>
          <w:sz w:val="24"/>
          <w:szCs w:val="24"/>
        </w:rPr>
        <w:t>The research question guiding this study is:</w:t>
      </w:r>
      <w:r w:rsidRPr="00F53946">
        <w:rPr>
          <w:rFonts w:ascii="Arial" w:eastAsiaTheme="majorEastAsia" w:hAnsi="Arial" w:cs="Arial"/>
          <w:sz w:val="24"/>
          <w:szCs w:val="24"/>
        </w:rPr>
        <w:br/>
        <w:t>"How do Hong Kong’s regulatory framework and macro-environmental factors impact foreign business expansion, and how does it compare with other global financial hubs?"</w:t>
      </w:r>
    </w:p>
    <w:p w14:paraId="3010EA31" w14:textId="7B0D0D5B" w:rsidR="001219CA" w:rsidRPr="001219CA" w:rsidRDefault="001219CA" w:rsidP="0070544B">
      <w:pPr>
        <w:pStyle w:val="Heading1"/>
      </w:pPr>
      <w:bookmarkStart w:id="2" w:name="_Toc182945191"/>
      <w:r w:rsidRPr="001219CA">
        <w:t>I</w:t>
      </w:r>
      <w:r w:rsidR="00F53946">
        <w:t>II</w:t>
      </w:r>
      <w:r w:rsidRPr="001219CA">
        <w:t xml:space="preserve">. </w:t>
      </w:r>
      <w:r w:rsidRPr="0070544B">
        <w:t>Literature</w:t>
      </w:r>
      <w:r w:rsidRPr="001219CA">
        <w:t xml:space="preserve"> Review</w:t>
      </w:r>
      <w:bookmarkEnd w:id="2"/>
    </w:p>
    <w:p w14:paraId="13F533B8" w14:textId="2CFDCF08" w:rsidR="001219CA" w:rsidRPr="001219CA" w:rsidRDefault="001219CA" w:rsidP="00443AEF">
      <w:pPr>
        <w:spacing w:line="360" w:lineRule="auto"/>
        <w:ind w:firstLine="142"/>
        <w:jc w:val="both"/>
        <w:rPr>
          <w:rFonts w:ascii="Arial" w:hAnsi="Arial" w:cs="Arial"/>
          <w:sz w:val="24"/>
          <w:szCs w:val="24"/>
        </w:rPr>
      </w:pPr>
      <w:r w:rsidRPr="001219CA">
        <w:rPr>
          <w:rFonts w:ascii="Arial" w:hAnsi="Arial" w:cs="Arial"/>
          <w:sz w:val="24"/>
          <w:szCs w:val="24"/>
        </w:rPr>
        <w:t>This literature review critically examines existing research on Hong Kong's regulatory environment, focusing on its role as a global business hub and its implications for foreign business expansion. This analysis identifies gaps in the current literature, particularly in comparative regulatory evaluations and specific case studies of businesses impacted by these regulations.</w:t>
      </w:r>
    </w:p>
    <w:p w14:paraId="40CDCC1F" w14:textId="71E70617" w:rsidR="001219CA" w:rsidRPr="001219CA" w:rsidRDefault="00F53946" w:rsidP="001219CA">
      <w:pPr>
        <w:spacing w:line="360" w:lineRule="auto"/>
        <w:ind w:firstLine="284"/>
        <w:rPr>
          <w:rFonts w:ascii="Arial" w:hAnsi="Arial" w:cs="Arial"/>
          <w:sz w:val="24"/>
          <w:szCs w:val="24"/>
        </w:rPr>
      </w:pPr>
      <w:bookmarkStart w:id="3" w:name="_Toc182945192"/>
      <w:r>
        <w:rPr>
          <w:rStyle w:val="Heading2Char"/>
        </w:rPr>
        <w:t>III</w:t>
      </w:r>
      <w:r w:rsidR="001219CA" w:rsidRPr="007D0B6B">
        <w:rPr>
          <w:rStyle w:val="Heading2Char"/>
        </w:rPr>
        <w:t xml:space="preserve">. 1. </w:t>
      </w:r>
      <w:r w:rsidR="001219CA" w:rsidRPr="001219CA">
        <w:rPr>
          <w:rStyle w:val="Heading2Char"/>
        </w:rPr>
        <w:t>Economic Transformation and Policy Framework</w:t>
      </w:r>
      <w:bookmarkEnd w:id="3"/>
      <w:r w:rsidR="001219CA" w:rsidRPr="001219CA">
        <w:rPr>
          <w:rFonts w:ascii="Arial" w:hAnsi="Arial" w:cs="Arial"/>
          <w:sz w:val="24"/>
          <w:szCs w:val="24"/>
        </w:rPr>
        <w:br/>
        <w:t xml:space="preserve">Yu (2004) details Hong Kong's transformation from a marginal territory to a global financial hub, attributing significant success to adaptive entrepreneurial strategies and minimal government intervention. This entrepreneurial spirit, supported by favourable policies, positions Hong Kong uniquely among global financial </w:t>
      </w:r>
      <w:proofErr w:type="spellStart"/>
      <w:r w:rsidR="001219CA" w:rsidRPr="001219CA">
        <w:rPr>
          <w:rFonts w:ascii="Arial" w:hAnsi="Arial" w:cs="Arial"/>
          <w:sz w:val="24"/>
          <w:szCs w:val="24"/>
        </w:rPr>
        <w:t>centers</w:t>
      </w:r>
      <w:proofErr w:type="spellEnd"/>
      <w:r w:rsidR="001219CA" w:rsidRPr="001219CA">
        <w:rPr>
          <w:rFonts w:ascii="Arial" w:hAnsi="Arial" w:cs="Arial"/>
          <w:sz w:val="24"/>
          <w:szCs w:val="24"/>
        </w:rPr>
        <w:t xml:space="preserve"> (Yu, 2004). Comparatively, </w:t>
      </w:r>
      <w:proofErr w:type="spellStart"/>
      <w:r w:rsidR="001219CA" w:rsidRPr="001219CA">
        <w:rPr>
          <w:rFonts w:ascii="Arial" w:hAnsi="Arial" w:cs="Arial"/>
          <w:sz w:val="24"/>
          <w:szCs w:val="24"/>
        </w:rPr>
        <w:lastRenderedPageBreak/>
        <w:t>Kalemli</w:t>
      </w:r>
      <w:proofErr w:type="spellEnd"/>
      <w:r w:rsidR="001219CA" w:rsidRPr="001219CA">
        <w:rPr>
          <w:rFonts w:ascii="Arial" w:hAnsi="Arial" w:cs="Arial"/>
          <w:sz w:val="24"/>
          <w:szCs w:val="24"/>
        </w:rPr>
        <w:t xml:space="preserve">-Ozcan, Papaioannou, and </w:t>
      </w:r>
      <w:proofErr w:type="spellStart"/>
      <w:r w:rsidR="001219CA" w:rsidRPr="001219CA">
        <w:rPr>
          <w:rFonts w:ascii="Arial" w:hAnsi="Arial" w:cs="Arial"/>
          <w:sz w:val="24"/>
          <w:szCs w:val="24"/>
        </w:rPr>
        <w:t>Peydró</w:t>
      </w:r>
      <w:proofErr w:type="spellEnd"/>
      <w:r w:rsidR="001219CA" w:rsidRPr="001219CA">
        <w:rPr>
          <w:rFonts w:ascii="Arial" w:hAnsi="Arial" w:cs="Arial"/>
          <w:sz w:val="24"/>
          <w:szCs w:val="24"/>
        </w:rPr>
        <w:t xml:space="preserve"> (2013) discuss the broader impacts of financial regulation on global economic synchronization, suggesting that Hong Kong’s regulatory frameworks might play a role in its economic interactions on a global scale.</w:t>
      </w:r>
    </w:p>
    <w:p w14:paraId="321C9688" w14:textId="268DE657" w:rsidR="001219CA" w:rsidRPr="001219CA" w:rsidRDefault="00F53946" w:rsidP="001219CA">
      <w:pPr>
        <w:spacing w:line="360" w:lineRule="auto"/>
        <w:ind w:firstLine="284"/>
        <w:rPr>
          <w:rFonts w:ascii="Arial" w:hAnsi="Arial" w:cs="Arial"/>
          <w:sz w:val="24"/>
          <w:szCs w:val="24"/>
        </w:rPr>
      </w:pPr>
      <w:bookmarkStart w:id="4" w:name="_Toc182945193"/>
      <w:r>
        <w:rPr>
          <w:rStyle w:val="Heading2Char"/>
        </w:rPr>
        <w:t>III</w:t>
      </w:r>
      <w:r w:rsidR="001219CA" w:rsidRPr="007D0B6B">
        <w:rPr>
          <w:rStyle w:val="Heading2Char"/>
        </w:rPr>
        <w:t xml:space="preserve">.2. </w:t>
      </w:r>
      <w:r w:rsidR="001219CA" w:rsidRPr="001219CA">
        <w:rPr>
          <w:rStyle w:val="Heading2Char"/>
        </w:rPr>
        <w:t>Global Challenges and Economic Resilience</w:t>
      </w:r>
      <w:bookmarkEnd w:id="4"/>
      <w:r w:rsidR="001219CA" w:rsidRPr="001219CA">
        <w:rPr>
          <w:rFonts w:ascii="Arial" w:hAnsi="Arial" w:cs="Arial"/>
          <w:sz w:val="24"/>
          <w:szCs w:val="24"/>
        </w:rPr>
        <w:br/>
        <w:t xml:space="preserve">The resilience of Hong Kong’s financial systems is tested by global crises and geopolitical tensions, as evidenced by the impacts of the </w:t>
      </w:r>
      <w:proofErr w:type="gramStart"/>
      <w:r w:rsidR="001219CA" w:rsidRPr="001219CA">
        <w:rPr>
          <w:rFonts w:ascii="Arial" w:hAnsi="Arial" w:cs="Arial"/>
          <w:sz w:val="24"/>
          <w:szCs w:val="24"/>
        </w:rPr>
        <w:t>Russian-Ukrainian</w:t>
      </w:r>
      <w:proofErr w:type="gramEnd"/>
      <w:r w:rsidR="001219CA" w:rsidRPr="001219CA">
        <w:rPr>
          <w:rFonts w:ascii="Arial" w:hAnsi="Arial" w:cs="Arial"/>
          <w:sz w:val="24"/>
          <w:szCs w:val="24"/>
        </w:rPr>
        <w:t xml:space="preserve"> war on global economies, including disruptions in digital banking networks and increased cyber threats (</w:t>
      </w:r>
      <w:proofErr w:type="spellStart"/>
      <w:r w:rsidR="001219CA" w:rsidRPr="001219CA">
        <w:rPr>
          <w:rFonts w:ascii="Arial" w:hAnsi="Arial" w:cs="Arial"/>
          <w:sz w:val="24"/>
          <w:szCs w:val="24"/>
        </w:rPr>
        <w:t>Balbaa</w:t>
      </w:r>
      <w:proofErr w:type="spellEnd"/>
      <w:r w:rsidR="001219CA" w:rsidRPr="001219CA">
        <w:rPr>
          <w:rFonts w:ascii="Arial" w:hAnsi="Arial" w:cs="Arial"/>
          <w:sz w:val="24"/>
          <w:szCs w:val="24"/>
        </w:rPr>
        <w:t xml:space="preserve">, </w:t>
      </w:r>
      <w:proofErr w:type="spellStart"/>
      <w:r w:rsidR="001219CA" w:rsidRPr="001219CA">
        <w:rPr>
          <w:rFonts w:ascii="Arial" w:hAnsi="Arial" w:cs="Arial"/>
          <w:sz w:val="24"/>
          <w:szCs w:val="24"/>
        </w:rPr>
        <w:t>Eshov</w:t>
      </w:r>
      <w:proofErr w:type="spellEnd"/>
      <w:r w:rsidR="001219CA" w:rsidRPr="001219CA">
        <w:rPr>
          <w:rFonts w:ascii="Arial" w:hAnsi="Arial" w:cs="Arial"/>
          <w:sz w:val="24"/>
          <w:szCs w:val="24"/>
        </w:rPr>
        <w:t>, and Ismailova, 2022). Furthermore, Christmann and Taylor (2001) explore environmental self-regulation in China, offering insights into how Hong Kong's firms might respond to global environmental challenges under stringent regulatory frameworks.</w:t>
      </w:r>
    </w:p>
    <w:p w14:paraId="0DC7AE02" w14:textId="537CCD07" w:rsidR="001219CA" w:rsidRPr="001219CA" w:rsidRDefault="00F53946" w:rsidP="001219CA">
      <w:pPr>
        <w:spacing w:line="360" w:lineRule="auto"/>
        <w:ind w:firstLine="284"/>
        <w:rPr>
          <w:rFonts w:ascii="Arial" w:hAnsi="Arial" w:cs="Arial"/>
          <w:sz w:val="24"/>
          <w:szCs w:val="24"/>
        </w:rPr>
      </w:pPr>
      <w:bookmarkStart w:id="5" w:name="_Toc182945194"/>
      <w:r>
        <w:rPr>
          <w:rStyle w:val="Heading2Char"/>
        </w:rPr>
        <w:t>III</w:t>
      </w:r>
      <w:r w:rsidR="001219CA" w:rsidRPr="007D0B6B">
        <w:rPr>
          <w:rStyle w:val="Heading2Char"/>
        </w:rPr>
        <w:t xml:space="preserve">.3. </w:t>
      </w:r>
      <w:r w:rsidR="001219CA" w:rsidRPr="001219CA">
        <w:rPr>
          <w:rStyle w:val="Heading2Char"/>
        </w:rPr>
        <w:t>Comparative Analysis of Regulatory Environments</w:t>
      </w:r>
      <w:bookmarkEnd w:id="5"/>
      <w:r w:rsidR="001219CA" w:rsidRPr="001219CA">
        <w:rPr>
          <w:rFonts w:ascii="Arial" w:hAnsi="Arial" w:cs="Arial"/>
          <w:sz w:val="24"/>
          <w:szCs w:val="24"/>
        </w:rPr>
        <w:br/>
        <w:t>The comparative analysis of regulatory frameworks is crucial for understanding Hong Kong's competitive edge. Wong et al. (2019) analyze the impact of China's cabotage relaxation on Hong Kong’s status as a transshipment hub, providing a direct example of how regional policy changes can affect Hong Kong’s economic landscape. This is echoed in Galpin's (2013) exploration of trade facilitation measures in Hong Kong, which highlights the territory's strategic initiatives to enhance its logistical capabilities and strengthen its role in international trade.</w:t>
      </w:r>
    </w:p>
    <w:p w14:paraId="406B4AF5" w14:textId="170C688B" w:rsidR="001219CA" w:rsidRPr="001219CA" w:rsidRDefault="00F53946" w:rsidP="001219CA">
      <w:pPr>
        <w:spacing w:line="360" w:lineRule="auto"/>
        <w:ind w:firstLine="284"/>
        <w:rPr>
          <w:rFonts w:ascii="Arial" w:hAnsi="Arial" w:cs="Arial"/>
          <w:sz w:val="24"/>
          <w:szCs w:val="24"/>
        </w:rPr>
      </w:pPr>
      <w:bookmarkStart w:id="6" w:name="_Toc182945195"/>
      <w:r>
        <w:rPr>
          <w:rStyle w:val="Heading2Char"/>
        </w:rPr>
        <w:t>III</w:t>
      </w:r>
      <w:r w:rsidR="001219CA" w:rsidRPr="007D0B6B">
        <w:rPr>
          <w:rStyle w:val="Heading2Char"/>
        </w:rPr>
        <w:t xml:space="preserve">.4. </w:t>
      </w:r>
      <w:r w:rsidR="001219CA" w:rsidRPr="001219CA">
        <w:rPr>
          <w:rStyle w:val="Heading2Char"/>
        </w:rPr>
        <w:t>Case Studies of Foreign Business Expansion</w:t>
      </w:r>
      <w:bookmarkEnd w:id="6"/>
      <w:r w:rsidR="001219CA" w:rsidRPr="001219CA">
        <w:rPr>
          <w:rStyle w:val="Heading2Char"/>
        </w:rPr>
        <w:br/>
      </w:r>
      <w:r w:rsidR="001219CA" w:rsidRPr="001219CA">
        <w:rPr>
          <w:rFonts w:ascii="Arial" w:hAnsi="Arial" w:cs="Arial"/>
          <w:sz w:val="24"/>
          <w:szCs w:val="24"/>
        </w:rPr>
        <w:t xml:space="preserve">Examining specific foreign business expansions, such as those detailed by Chen and </w:t>
      </w:r>
      <w:proofErr w:type="spellStart"/>
      <w:r w:rsidR="001219CA" w:rsidRPr="001219CA">
        <w:rPr>
          <w:rFonts w:ascii="Arial" w:hAnsi="Arial" w:cs="Arial"/>
          <w:sz w:val="24"/>
          <w:szCs w:val="24"/>
        </w:rPr>
        <w:t>Zhuansun</w:t>
      </w:r>
      <w:proofErr w:type="spellEnd"/>
      <w:r w:rsidR="001219CA" w:rsidRPr="001219CA">
        <w:rPr>
          <w:rFonts w:ascii="Arial" w:hAnsi="Arial" w:cs="Arial"/>
          <w:sz w:val="24"/>
          <w:szCs w:val="24"/>
        </w:rPr>
        <w:t xml:space="preserve"> (2022), who study the coordination between innovation and economic development in the Greater Bay Area, can offer insights into the regulatory impacts on business operations. This study aligns with the objective to analyze case studies of businesses in Hong Kong, providing a template for evaluating regulatory effectiveness.</w:t>
      </w:r>
    </w:p>
    <w:p w14:paraId="6F2776BD" w14:textId="36E9B506" w:rsidR="001219CA" w:rsidRDefault="00F53946" w:rsidP="001219CA">
      <w:pPr>
        <w:spacing w:line="360" w:lineRule="auto"/>
        <w:ind w:firstLine="284"/>
        <w:rPr>
          <w:rFonts w:ascii="Arial" w:hAnsi="Arial" w:cs="Arial"/>
          <w:sz w:val="24"/>
          <w:szCs w:val="24"/>
        </w:rPr>
      </w:pPr>
      <w:bookmarkStart w:id="7" w:name="_Toc182945196"/>
      <w:r>
        <w:rPr>
          <w:rStyle w:val="Heading2Char"/>
        </w:rPr>
        <w:t>III</w:t>
      </w:r>
      <w:r w:rsidR="001219CA" w:rsidRPr="007D0B6B">
        <w:rPr>
          <w:rStyle w:val="Heading2Char"/>
        </w:rPr>
        <w:t xml:space="preserve">.5. </w:t>
      </w:r>
      <w:r w:rsidR="001219CA" w:rsidRPr="001219CA">
        <w:rPr>
          <w:rStyle w:val="Heading2Char"/>
        </w:rPr>
        <w:t>Education and Innovation as Economic Drivers</w:t>
      </w:r>
      <w:bookmarkEnd w:id="7"/>
      <w:r w:rsidR="001219CA" w:rsidRPr="001219CA">
        <w:rPr>
          <w:rFonts w:ascii="Arial" w:hAnsi="Arial" w:cs="Arial"/>
          <w:sz w:val="24"/>
          <w:szCs w:val="24"/>
        </w:rPr>
        <w:br/>
        <w:t xml:space="preserve">The role of education in economic prosperity is </w:t>
      </w:r>
      <w:proofErr w:type="spellStart"/>
      <w:r w:rsidR="001219CA" w:rsidRPr="001219CA">
        <w:rPr>
          <w:rFonts w:ascii="Arial" w:hAnsi="Arial" w:cs="Arial"/>
          <w:sz w:val="24"/>
          <w:szCs w:val="24"/>
        </w:rPr>
        <w:t>analyzed</w:t>
      </w:r>
      <w:proofErr w:type="spellEnd"/>
      <w:r w:rsidR="001219CA" w:rsidRPr="001219CA">
        <w:rPr>
          <w:rFonts w:ascii="Arial" w:hAnsi="Arial" w:cs="Arial"/>
          <w:sz w:val="24"/>
          <w:szCs w:val="24"/>
        </w:rPr>
        <w:t xml:space="preserve"> by Beecher, </w:t>
      </w:r>
      <w:proofErr w:type="spellStart"/>
      <w:r w:rsidR="001219CA" w:rsidRPr="001219CA">
        <w:rPr>
          <w:rFonts w:ascii="Arial" w:hAnsi="Arial" w:cs="Arial"/>
          <w:sz w:val="24"/>
          <w:szCs w:val="24"/>
        </w:rPr>
        <w:t>Streitwieser</w:t>
      </w:r>
      <w:proofErr w:type="spellEnd"/>
      <w:r w:rsidR="001219CA" w:rsidRPr="001219CA">
        <w:rPr>
          <w:rFonts w:ascii="Arial" w:hAnsi="Arial" w:cs="Arial"/>
          <w:sz w:val="24"/>
          <w:szCs w:val="24"/>
        </w:rPr>
        <w:t>, and Zhou (2020), who compare policy environments in Hong Kong and South Korea. Their findings suggest that Hong Kong’s educational policies significantly contribute to its status as an innovation hub, which in turn supports its global business appeal.</w:t>
      </w:r>
    </w:p>
    <w:p w14:paraId="0D86D254" w14:textId="2F69623A" w:rsidR="007D0B6B" w:rsidRPr="001219CA" w:rsidRDefault="00F53946" w:rsidP="007D0B6B">
      <w:pPr>
        <w:pStyle w:val="Heading2"/>
      </w:pPr>
      <w:bookmarkStart w:id="8" w:name="_Toc182945197"/>
      <w:r>
        <w:lastRenderedPageBreak/>
        <w:t>III</w:t>
      </w:r>
      <w:r w:rsidR="007D0B6B">
        <w:t>.6. Conclusion on literature review</w:t>
      </w:r>
      <w:bookmarkEnd w:id="8"/>
    </w:p>
    <w:p w14:paraId="090CB2F0" w14:textId="0DD6C9F9"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 xml:space="preserve">The literature presents a comprehensive view of Hong Kong’s regulatory environment and its influence on economic dynamics and business practices. However, there remains a gap in direct comparisons with other global hubs and detailed case studies of foreign businesses operating within these regulatory frameworks. This review underscores the need for further research into how these regulations affect Hong Kong's attractiveness as a business destination, particularly </w:t>
      </w:r>
      <w:r w:rsidR="000B6CFE" w:rsidRPr="001219CA">
        <w:rPr>
          <w:rFonts w:ascii="Arial" w:hAnsi="Arial" w:cs="Arial"/>
          <w:sz w:val="24"/>
          <w:szCs w:val="24"/>
        </w:rPr>
        <w:t>considering</w:t>
      </w:r>
      <w:r w:rsidRPr="001219CA">
        <w:rPr>
          <w:rFonts w:ascii="Arial" w:hAnsi="Arial" w:cs="Arial"/>
          <w:sz w:val="24"/>
          <w:szCs w:val="24"/>
        </w:rPr>
        <w:t xml:space="preserve"> recent global economic challenges and shifting geopolitical landscapes.</w:t>
      </w:r>
    </w:p>
    <w:p w14:paraId="4739441B" w14:textId="78EA1818" w:rsidR="001219CA" w:rsidRPr="001219CA" w:rsidRDefault="00F53946" w:rsidP="0070544B">
      <w:pPr>
        <w:pStyle w:val="Heading1"/>
      </w:pPr>
      <w:bookmarkStart w:id="9" w:name="_Toc182945198"/>
      <w:r>
        <w:t>I</w:t>
      </w:r>
      <w:r w:rsidR="001219CA" w:rsidRPr="001219CA">
        <w:t>V. Research Methods</w:t>
      </w:r>
      <w:bookmarkEnd w:id="9"/>
    </w:p>
    <w:p w14:paraId="7AF68C02" w14:textId="3AF271C2"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This dissertation adopts a qualitative and quantitative secondary research approach to explore the influence of Hong Kong's regulatory frameworks on foreign business expansion. Utilizing existing literature, legislative texts, and secondary data sources, the study provides a comprehensive analysis while addressing the research objectives</w:t>
      </w:r>
      <w:r w:rsidR="00BE4F3F">
        <w:rPr>
          <w:rFonts w:ascii="Arial" w:hAnsi="Arial" w:cs="Arial"/>
          <w:sz w:val="24"/>
          <w:szCs w:val="24"/>
        </w:rPr>
        <w:t>.</w:t>
      </w:r>
    </w:p>
    <w:p w14:paraId="5F661E83" w14:textId="47AB466E" w:rsidR="001219CA" w:rsidRPr="007D0B6B" w:rsidRDefault="00F53946" w:rsidP="007D0B6B">
      <w:pPr>
        <w:pStyle w:val="Heading2"/>
      </w:pPr>
      <w:bookmarkStart w:id="10" w:name="_Toc182945199"/>
      <w:r>
        <w:t>I</w:t>
      </w:r>
      <w:r w:rsidR="001219CA" w:rsidRPr="007D0B6B">
        <w:t>V. 1. Qualitative Secondary Research</w:t>
      </w:r>
      <w:bookmarkEnd w:id="10"/>
    </w:p>
    <w:p w14:paraId="6BAD761B" w14:textId="42CF8C6E" w:rsidR="001219CA" w:rsidRPr="001219CA" w:rsidRDefault="001219CA" w:rsidP="001219CA">
      <w:pPr>
        <w:pStyle w:val="ListParagraph"/>
        <w:numPr>
          <w:ilvl w:val="0"/>
          <w:numId w:val="2"/>
        </w:numPr>
        <w:spacing w:line="360" w:lineRule="auto"/>
        <w:ind w:firstLine="284"/>
        <w:jc w:val="both"/>
        <w:rPr>
          <w:rFonts w:ascii="Arial" w:hAnsi="Arial" w:cs="Arial"/>
          <w:sz w:val="24"/>
          <w:szCs w:val="24"/>
        </w:rPr>
      </w:pPr>
      <w:r w:rsidRPr="001219CA">
        <w:rPr>
          <w:rFonts w:ascii="Arial" w:hAnsi="Arial" w:cs="Arial"/>
          <w:b/>
          <w:bCs/>
          <w:sz w:val="24"/>
          <w:szCs w:val="24"/>
        </w:rPr>
        <w:t>Data Collection</w:t>
      </w:r>
    </w:p>
    <w:p w14:paraId="7898E6F0" w14:textId="634E598C" w:rsidR="001219CA" w:rsidRPr="001219CA" w:rsidRDefault="001219CA" w:rsidP="000B6CFE">
      <w:pPr>
        <w:numPr>
          <w:ilvl w:val="1"/>
          <w:numId w:val="6"/>
        </w:numPr>
        <w:spacing w:line="360" w:lineRule="auto"/>
        <w:jc w:val="both"/>
        <w:rPr>
          <w:rFonts w:ascii="Arial" w:hAnsi="Arial" w:cs="Arial"/>
          <w:sz w:val="24"/>
          <w:szCs w:val="24"/>
        </w:rPr>
      </w:pPr>
      <w:r w:rsidRPr="001219CA">
        <w:rPr>
          <w:rFonts w:ascii="Arial" w:hAnsi="Arial" w:cs="Arial"/>
          <w:b/>
          <w:bCs/>
          <w:sz w:val="24"/>
          <w:szCs w:val="24"/>
        </w:rPr>
        <w:t>Document Analysis</w:t>
      </w:r>
      <w:r w:rsidRPr="001219CA">
        <w:rPr>
          <w:rFonts w:ascii="Arial" w:hAnsi="Arial" w:cs="Arial"/>
          <w:sz w:val="24"/>
          <w:szCs w:val="24"/>
        </w:rPr>
        <w:t>: Examination of legislative texts, government publications, and reports related to Hong Kong’s regulatory environment, focusing on changes impacting foreign businesses (Baker et al., 2021).</w:t>
      </w:r>
    </w:p>
    <w:p w14:paraId="1CE06C37" w14:textId="44CBF35E" w:rsidR="001219CA" w:rsidRPr="001219CA" w:rsidRDefault="001219CA" w:rsidP="000B6CFE">
      <w:pPr>
        <w:numPr>
          <w:ilvl w:val="1"/>
          <w:numId w:val="6"/>
        </w:numPr>
        <w:spacing w:line="360" w:lineRule="auto"/>
        <w:jc w:val="both"/>
        <w:rPr>
          <w:rFonts w:ascii="Arial" w:hAnsi="Arial" w:cs="Arial"/>
          <w:sz w:val="24"/>
          <w:szCs w:val="24"/>
        </w:rPr>
      </w:pPr>
      <w:r w:rsidRPr="001219CA">
        <w:rPr>
          <w:rFonts w:ascii="Arial" w:hAnsi="Arial" w:cs="Arial"/>
          <w:b/>
          <w:bCs/>
          <w:sz w:val="24"/>
          <w:szCs w:val="24"/>
        </w:rPr>
        <w:t>Literature Review</w:t>
      </w:r>
      <w:r w:rsidRPr="001219CA">
        <w:rPr>
          <w:rFonts w:ascii="Arial" w:hAnsi="Arial" w:cs="Arial"/>
          <w:sz w:val="24"/>
          <w:szCs w:val="24"/>
        </w:rPr>
        <w:t>: Analysis of peer-reviewed articles, books, industry reports, and reliable news sources discussing Hong Kong’s role as a global business hub and the challenges for foreign enterprises</w:t>
      </w:r>
      <w:r w:rsidR="007E119A">
        <w:rPr>
          <w:rFonts w:ascii="Arial" w:hAnsi="Arial" w:cs="Arial"/>
          <w:sz w:val="24"/>
          <w:szCs w:val="24"/>
        </w:rPr>
        <w:t>.</w:t>
      </w:r>
    </w:p>
    <w:p w14:paraId="68A44A87" w14:textId="77777777" w:rsidR="001219CA" w:rsidRPr="001219CA" w:rsidRDefault="001219CA" w:rsidP="001219CA">
      <w:pPr>
        <w:numPr>
          <w:ilvl w:val="0"/>
          <w:numId w:val="2"/>
        </w:numPr>
        <w:spacing w:line="360" w:lineRule="auto"/>
        <w:ind w:firstLine="284"/>
        <w:jc w:val="both"/>
        <w:rPr>
          <w:rFonts w:ascii="Arial" w:hAnsi="Arial" w:cs="Arial"/>
          <w:sz w:val="24"/>
          <w:szCs w:val="24"/>
        </w:rPr>
      </w:pPr>
      <w:r w:rsidRPr="001219CA">
        <w:rPr>
          <w:rFonts w:ascii="Arial" w:hAnsi="Arial" w:cs="Arial"/>
          <w:b/>
          <w:bCs/>
          <w:sz w:val="24"/>
          <w:szCs w:val="24"/>
        </w:rPr>
        <w:t>Data Sources</w:t>
      </w:r>
    </w:p>
    <w:p w14:paraId="01CC0100" w14:textId="5555C66F" w:rsidR="001219CA" w:rsidRPr="001219CA" w:rsidRDefault="001219CA" w:rsidP="000B6CFE">
      <w:pPr>
        <w:numPr>
          <w:ilvl w:val="1"/>
          <w:numId w:val="7"/>
        </w:numPr>
        <w:spacing w:line="360" w:lineRule="auto"/>
        <w:jc w:val="both"/>
        <w:rPr>
          <w:rFonts w:ascii="Arial" w:hAnsi="Arial" w:cs="Arial"/>
          <w:sz w:val="24"/>
          <w:szCs w:val="24"/>
        </w:rPr>
      </w:pPr>
      <w:r w:rsidRPr="001219CA">
        <w:rPr>
          <w:rFonts w:ascii="Arial" w:hAnsi="Arial" w:cs="Arial"/>
          <w:b/>
          <w:bCs/>
          <w:sz w:val="24"/>
          <w:szCs w:val="24"/>
        </w:rPr>
        <w:t>Government Websites</w:t>
      </w:r>
      <w:r w:rsidRPr="001219CA">
        <w:rPr>
          <w:rFonts w:ascii="Arial" w:hAnsi="Arial" w:cs="Arial"/>
          <w:sz w:val="24"/>
          <w:szCs w:val="24"/>
        </w:rPr>
        <w:t>: Official portals and legislative databases for up-to-date business regulations</w:t>
      </w:r>
      <w:r w:rsidR="00636F5F">
        <w:rPr>
          <w:rFonts w:ascii="Arial" w:hAnsi="Arial" w:cs="Arial"/>
          <w:sz w:val="24"/>
          <w:szCs w:val="24"/>
        </w:rPr>
        <w:t>.</w:t>
      </w:r>
    </w:p>
    <w:p w14:paraId="0A4F1C51" w14:textId="6C2B327C" w:rsidR="001219CA" w:rsidRPr="001219CA" w:rsidRDefault="001219CA" w:rsidP="000B6CFE">
      <w:pPr>
        <w:numPr>
          <w:ilvl w:val="1"/>
          <w:numId w:val="7"/>
        </w:numPr>
        <w:spacing w:line="360" w:lineRule="auto"/>
        <w:jc w:val="both"/>
        <w:rPr>
          <w:rFonts w:ascii="Arial" w:hAnsi="Arial" w:cs="Arial"/>
          <w:sz w:val="24"/>
          <w:szCs w:val="24"/>
        </w:rPr>
      </w:pPr>
      <w:r w:rsidRPr="001219CA">
        <w:rPr>
          <w:rFonts w:ascii="Arial" w:hAnsi="Arial" w:cs="Arial"/>
          <w:b/>
          <w:bCs/>
          <w:sz w:val="24"/>
          <w:szCs w:val="24"/>
        </w:rPr>
        <w:t>Academic and Industry Reports</w:t>
      </w:r>
      <w:r w:rsidRPr="001219CA">
        <w:rPr>
          <w:rFonts w:ascii="Arial" w:hAnsi="Arial" w:cs="Arial"/>
          <w:sz w:val="24"/>
          <w:szCs w:val="24"/>
        </w:rPr>
        <w:t>: Databases such as JSTOR, Google Scholar, and industry-specific publications</w:t>
      </w:r>
      <w:r w:rsidR="00BE4F3F">
        <w:rPr>
          <w:rFonts w:ascii="Arial" w:hAnsi="Arial" w:cs="Arial"/>
          <w:sz w:val="24"/>
          <w:szCs w:val="24"/>
        </w:rPr>
        <w:t>.</w:t>
      </w:r>
    </w:p>
    <w:p w14:paraId="17FE1590" w14:textId="77777777" w:rsidR="001219CA" w:rsidRPr="001219CA" w:rsidRDefault="001219CA" w:rsidP="000B6CFE">
      <w:pPr>
        <w:numPr>
          <w:ilvl w:val="1"/>
          <w:numId w:val="7"/>
        </w:numPr>
        <w:spacing w:line="360" w:lineRule="auto"/>
        <w:jc w:val="both"/>
        <w:rPr>
          <w:rFonts w:ascii="Arial" w:hAnsi="Arial" w:cs="Arial"/>
          <w:sz w:val="24"/>
          <w:szCs w:val="24"/>
        </w:rPr>
      </w:pPr>
      <w:r w:rsidRPr="001219CA">
        <w:rPr>
          <w:rFonts w:ascii="Arial" w:hAnsi="Arial" w:cs="Arial"/>
          <w:b/>
          <w:bCs/>
          <w:sz w:val="24"/>
          <w:szCs w:val="24"/>
        </w:rPr>
        <w:t>News Outlets</w:t>
      </w:r>
      <w:r w:rsidRPr="001219CA">
        <w:rPr>
          <w:rFonts w:ascii="Arial" w:hAnsi="Arial" w:cs="Arial"/>
          <w:sz w:val="24"/>
          <w:szCs w:val="24"/>
        </w:rPr>
        <w:t xml:space="preserve">: Reports from trusted sources like </w:t>
      </w:r>
      <w:r w:rsidRPr="001219CA">
        <w:rPr>
          <w:rFonts w:ascii="Arial" w:hAnsi="Arial" w:cs="Arial"/>
          <w:i/>
          <w:iCs/>
          <w:sz w:val="24"/>
          <w:szCs w:val="24"/>
        </w:rPr>
        <w:t>The Guardian</w:t>
      </w:r>
      <w:r w:rsidRPr="001219CA">
        <w:rPr>
          <w:rFonts w:ascii="Arial" w:hAnsi="Arial" w:cs="Arial"/>
          <w:sz w:val="24"/>
          <w:szCs w:val="24"/>
        </w:rPr>
        <w:t xml:space="preserve"> for insights on economic and regulatory developments (Hawkins, 2024).</w:t>
      </w:r>
    </w:p>
    <w:p w14:paraId="098E0063" w14:textId="77777777" w:rsidR="001219CA" w:rsidRPr="001219CA" w:rsidRDefault="001219CA" w:rsidP="001219CA">
      <w:pPr>
        <w:numPr>
          <w:ilvl w:val="0"/>
          <w:numId w:val="2"/>
        </w:numPr>
        <w:spacing w:line="360" w:lineRule="auto"/>
        <w:ind w:firstLine="284"/>
        <w:jc w:val="both"/>
        <w:rPr>
          <w:rFonts w:ascii="Arial" w:hAnsi="Arial" w:cs="Arial"/>
          <w:sz w:val="24"/>
          <w:szCs w:val="24"/>
        </w:rPr>
      </w:pPr>
      <w:r w:rsidRPr="001219CA">
        <w:rPr>
          <w:rFonts w:ascii="Arial" w:hAnsi="Arial" w:cs="Arial"/>
          <w:b/>
          <w:bCs/>
          <w:sz w:val="24"/>
          <w:szCs w:val="24"/>
        </w:rPr>
        <w:t>Data Analysis</w:t>
      </w:r>
    </w:p>
    <w:p w14:paraId="27B17A58" w14:textId="77777777" w:rsidR="001219CA" w:rsidRPr="001219CA" w:rsidRDefault="001219CA" w:rsidP="000B6CFE">
      <w:pPr>
        <w:numPr>
          <w:ilvl w:val="1"/>
          <w:numId w:val="8"/>
        </w:numPr>
        <w:spacing w:line="360" w:lineRule="auto"/>
        <w:jc w:val="both"/>
        <w:rPr>
          <w:rFonts w:ascii="Arial" w:hAnsi="Arial" w:cs="Arial"/>
          <w:sz w:val="24"/>
          <w:szCs w:val="24"/>
        </w:rPr>
      </w:pPr>
      <w:r w:rsidRPr="001219CA">
        <w:rPr>
          <w:rFonts w:ascii="Arial" w:hAnsi="Arial" w:cs="Arial"/>
          <w:b/>
          <w:bCs/>
          <w:sz w:val="24"/>
          <w:szCs w:val="24"/>
        </w:rPr>
        <w:lastRenderedPageBreak/>
        <w:t>Content Analysis</w:t>
      </w:r>
      <w:r w:rsidRPr="001219CA">
        <w:rPr>
          <w:rFonts w:ascii="Arial" w:hAnsi="Arial" w:cs="Arial"/>
          <w:sz w:val="24"/>
          <w:szCs w:val="24"/>
        </w:rPr>
        <w:t>: Identification of themes and patterns from texts related to the regulatory environment (</w:t>
      </w:r>
      <w:proofErr w:type="spellStart"/>
      <w:r w:rsidRPr="001219CA">
        <w:rPr>
          <w:rFonts w:ascii="Arial" w:hAnsi="Arial" w:cs="Arial"/>
          <w:sz w:val="24"/>
          <w:szCs w:val="24"/>
        </w:rPr>
        <w:t>Kalemli</w:t>
      </w:r>
      <w:proofErr w:type="spellEnd"/>
      <w:r w:rsidRPr="001219CA">
        <w:rPr>
          <w:rFonts w:ascii="Arial" w:hAnsi="Arial" w:cs="Arial"/>
          <w:sz w:val="24"/>
          <w:szCs w:val="24"/>
        </w:rPr>
        <w:t>-Ozcan et al., 2013).</w:t>
      </w:r>
    </w:p>
    <w:p w14:paraId="5EAF4FC8" w14:textId="77777777" w:rsidR="001219CA" w:rsidRPr="001219CA" w:rsidRDefault="001219CA" w:rsidP="000B6CFE">
      <w:pPr>
        <w:numPr>
          <w:ilvl w:val="1"/>
          <w:numId w:val="8"/>
        </w:numPr>
        <w:spacing w:line="360" w:lineRule="auto"/>
        <w:jc w:val="both"/>
        <w:rPr>
          <w:rFonts w:ascii="Arial" w:hAnsi="Arial" w:cs="Arial"/>
          <w:sz w:val="24"/>
          <w:szCs w:val="24"/>
        </w:rPr>
      </w:pPr>
      <w:r w:rsidRPr="001219CA">
        <w:rPr>
          <w:rFonts w:ascii="Arial" w:hAnsi="Arial" w:cs="Arial"/>
          <w:b/>
          <w:bCs/>
          <w:sz w:val="24"/>
          <w:szCs w:val="24"/>
        </w:rPr>
        <w:t>Comparative Analysis</w:t>
      </w:r>
      <w:r w:rsidRPr="001219CA">
        <w:rPr>
          <w:rFonts w:ascii="Arial" w:hAnsi="Arial" w:cs="Arial"/>
          <w:sz w:val="24"/>
          <w:szCs w:val="24"/>
        </w:rPr>
        <w:t>: Comparison of Hong Kong’s regulatory framework with other global hubs (e.g., Singapore, London) to highlight unique features and challenges (Wong et al., 2019).</w:t>
      </w:r>
    </w:p>
    <w:p w14:paraId="06948AA2" w14:textId="10B9D197" w:rsidR="001219CA" w:rsidRPr="007D0B6B" w:rsidRDefault="00F53946" w:rsidP="007D0B6B">
      <w:pPr>
        <w:pStyle w:val="Heading2"/>
      </w:pPr>
      <w:bookmarkStart w:id="11" w:name="_Toc182945200"/>
      <w:r>
        <w:t>I</w:t>
      </w:r>
      <w:r w:rsidR="001219CA" w:rsidRPr="007D0B6B">
        <w:t>V.2. Quantitative Secondary Research</w:t>
      </w:r>
      <w:bookmarkEnd w:id="11"/>
    </w:p>
    <w:p w14:paraId="0B9711EA" w14:textId="5FCCC39D" w:rsidR="001219CA" w:rsidRPr="001219CA" w:rsidRDefault="001219CA" w:rsidP="001219CA">
      <w:pPr>
        <w:pStyle w:val="ListParagraph"/>
        <w:numPr>
          <w:ilvl w:val="0"/>
          <w:numId w:val="3"/>
        </w:numPr>
        <w:spacing w:line="360" w:lineRule="auto"/>
        <w:ind w:firstLine="284"/>
        <w:jc w:val="both"/>
        <w:rPr>
          <w:rFonts w:ascii="Arial" w:hAnsi="Arial" w:cs="Arial"/>
          <w:sz w:val="24"/>
          <w:szCs w:val="24"/>
        </w:rPr>
      </w:pPr>
      <w:r w:rsidRPr="001219CA">
        <w:rPr>
          <w:rFonts w:ascii="Arial" w:hAnsi="Arial" w:cs="Arial"/>
          <w:b/>
          <w:bCs/>
          <w:sz w:val="24"/>
          <w:szCs w:val="24"/>
        </w:rPr>
        <w:t>Data Collection</w:t>
      </w:r>
    </w:p>
    <w:p w14:paraId="3D97062A" w14:textId="77777777" w:rsidR="001219CA" w:rsidRPr="001219CA" w:rsidRDefault="001219CA" w:rsidP="000B6CFE">
      <w:pPr>
        <w:numPr>
          <w:ilvl w:val="1"/>
          <w:numId w:val="9"/>
        </w:numPr>
        <w:spacing w:line="360" w:lineRule="auto"/>
        <w:jc w:val="both"/>
        <w:rPr>
          <w:rFonts w:ascii="Arial" w:hAnsi="Arial" w:cs="Arial"/>
          <w:sz w:val="24"/>
          <w:szCs w:val="24"/>
        </w:rPr>
      </w:pPr>
      <w:r w:rsidRPr="001219CA">
        <w:rPr>
          <w:rFonts w:ascii="Arial" w:hAnsi="Arial" w:cs="Arial"/>
          <w:b/>
          <w:bCs/>
          <w:sz w:val="24"/>
          <w:szCs w:val="24"/>
        </w:rPr>
        <w:t>Statistical Reports</w:t>
      </w:r>
      <w:r w:rsidRPr="001219CA">
        <w:rPr>
          <w:rFonts w:ascii="Arial" w:hAnsi="Arial" w:cs="Arial"/>
          <w:sz w:val="24"/>
          <w:szCs w:val="24"/>
        </w:rPr>
        <w:t>: Key data from sources such as the World Bank, Hong Kong Census and Statistics Department, and Asian Development Bank, covering:</w:t>
      </w:r>
    </w:p>
    <w:p w14:paraId="65D45006" w14:textId="77777777" w:rsidR="001219CA" w:rsidRPr="001219CA" w:rsidRDefault="001219CA" w:rsidP="001219CA">
      <w:pPr>
        <w:numPr>
          <w:ilvl w:val="2"/>
          <w:numId w:val="3"/>
        </w:numPr>
        <w:spacing w:line="360" w:lineRule="auto"/>
        <w:ind w:firstLine="284"/>
        <w:jc w:val="both"/>
        <w:rPr>
          <w:rFonts w:ascii="Arial" w:hAnsi="Arial" w:cs="Arial"/>
          <w:sz w:val="24"/>
          <w:szCs w:val="24"/>
        </w:rPr>
      </w:pPr>
      <w:r w:rsidRPr="001219CA">
        <w:rPr>
          <w:rFonts w:ascii="Arial" w:hAnsi="Arial" w:cs="Arial"/>
          <w:sz w:val="24"/>
          <w:szCs w:val="24"/>
        </w:rPr>
        <w:t>FDI inflows and outflows over the last decade (World Bank, 2023).</w:t>
      </w:r>
    </w:p>
    <w:p w14:paraId="1D0EDD0F" w14:textId="77777777" w:rsidR="001219CA" w:rsidRPr="001219CA" w:rsidRDefault="001219CA" w:rsidP="001219CA">
      <w:pPr>
        <w:numPr>
          <w:ilvl w:val="2"/>
          <w:numId w:val="3"/>
        </w:numPr>
        <w:spacing w:line="360" w:lineRule="auto"/>
        <w:ind w:firstLine="284"/>
        <w:jc w:val="both"/>
        <w:rPr>
          <w:rFonts w:ascii="Arial" w:hAnsi="Arial" w:cs="Arial"/>
          <w:sz w:val="24"/>
          <w:szCs w:val="24"/>
        </w:rPr>
      </w:pPr>
      <w:r w:rsidRPr="001219CA">
        <w:rPr>
          <w:rFonts w:ascii="Arial" w:hAnsi="Arial" w:cs="Arial"/>
          <w:sz w:val="24"/>
          <w:szCs w:val="24"/>
        </w:rPr>
        <w:t>Economic indicators like GDP growth and unemployment (Asian Development Bank, 2023).</w:t>
      </w:r>
    </w:p>
    <w:p w14:paraId="5E434AFC" w14:textId="77777777" w:rsidR="001219CA" w:rsidRPr="001219CA" w:rsidRDefault="001219CA" w:rsidP="001219CA">
      <w:pPr>
        <w:numPr>
          <w:ilvl w:val="2"/>
          <w:numId w:val="3"/>
        </w:numPr>
        <w:spacing w:line="360" w:lineRule="auto"/>
        <w:ind w:firstLine="284"/>
        <w:jc w:val="both"/>
        <w:rPr>
          <w:rFonts w:ascii="Arial" w:hAnsi="Arial" w:cs="Arial"/>
          <w:sz w:val="24"/>
          <w:szCs w:val="24"/>
        </w:rPr>
      </w:pPr>
      <w:r w:rsidRPr="001219CA">
        <w:rPr>
          <w:rFonts w:ascii="Arial" w:hAnsi="Arial" w:cs="Arial"/>
          <w:sz w:val="24"/>
          <w:szCs w:val="24"/>
        </w:rPr>
        <w:t>Business start-up statistics, including sectoral distribution of foreign businesses (Hong Kong Census and Statistics Department, 2023).</w:t>
      </w:r>
    </w:p>
    <w:p w14:paraId="56A08AC6" w14:textId="77777777" w:rsidR="001219CA" w:rsidRPr="001219CA" w:rsidRDefault="001219CA" w:rsidP="001219CA">
      <w:pPr>
        <w:numPr>
          <w:ilvl w:val="0"/>
          <w:numId w:val="3"/>
        </w:numPr>
        <w:spacing w:line="360" w:lineRule="auto"/>
        <w:ind w:firstLine="284"/>
        <w:jc w:val="both"/>
        <w:rPr>
          <w:rFonts w:ascii="Arial" w:hAnsi="Arial" w:cs="Arial"/>
          <w:sz w:val="24"/>
          <w:szCs w:val="24"/>
        </w:rPr>
      </w:pPr>
      <w:r w:rsidRPr="001219CA">
        <w:rPr>
          <w:rFonts w:ascii="Arial" w:hAnsi="Arial" w:cs="Arial"/>
          <w:b/>
          <w:bCs/>
          <w:sz w:val="24"/>
          <w:szCs w:val="24"/>
        </w:rPr>
        <w:t>Data Sources</w:t>
      </w:r>
    </w:p>
    <w:p w14:paraId="67F8B6FA" w14:textId="77777777" w:rsidR="001219CA" w:rsidRPr="001219CA" w:rsidRDefault="001219CA" w:rsidP="000B6CFE">
      <w:pPr>
        <w:numPr>
          <w:ilvl w:val="1"/>
          <w:numId w:val="10"/>
        </w:numPr>
        <w:spacing w:line="360" w:lineRule="auto"/>
        <w:jc w:val="both"/>
        <w:rPr>
          <w:rFonts w:ascii="Arial" w:hAnsi="Arial" w:cs="Arial"/>
          <w:sz w:val="24"/>
          <w:szCs w:val="24"/>
        </w:rPr>
      </w:pPr>
      <w:r w:rsidRPr="001219CA">
        <w:rPr>
          <w:rFonts w:ascii="Arial" w:hAnsi="Arial" w:cs="Arial"/>
          <w:b/>
          <w:bCs/>
          <w:sz w:val="24"/>
          <w:szCs w:val="24"/>
        </w:rPr>
        <w:t>Government Publications</w:t>
      </w:r>
      <w:r w:rsidRPr="001219CA">
        <w:rPr>
          <w:rFonts w:ascii="Arial" w:hAnsi="Arial" w:cs="Arial"/>
          <w:sz w:val="24"/>
          <w:szCs w:val="24"/>
        </w:rPr>
        <w:t>: Reports on business trends and FDI from Hong Kong’s Census and Statistics Department (UNCTAD, 2023).</w:t>
      </w:r>
    </w:p>
    <w:p w14:paraId="4B9087FC" w14:textId="77777777" w:rsidR="001219CA" w:rsidRPr="001219CA" w:rsidRDefault="001219CA" w:rsidP="000B6CFE">
      <w:pPr>
        <w:numPr>
          <w:ilvl w:val="1"/>
          <w:numId w:val="10"/>
        </w:numPr>
        <w:spacing w:line="360" w:lineRule="auto"/>
        <w:jc w:val="both"/>
        <w:rPr>
          <w:rFonts w:ascii="Arial" w:hAnsi="Arial" w:cs="Arial"/>
          <w:sz w:val="24"/>
          <w:szCs w:val="24"/>
        </w:rPr>
      </w:pPr>
      <w:r w:rsidRPr="001219CA">
        <w:rPr>
          <w:rFonts w:ascii="Arial" w:hAnsi="Arial" w:cs="Arial"/>
          <w:b/>
          <w:bCs/>
          <w:sz w:val="24"/>
          <w:szCs w:val="24"/>
        </w:rPr>
        <w:t>International Organizations</w:t>
      </w:r>
      <w:r w:rsidRPr="001219CA">
        <w:rPr>
          <w:rFonts w:ascii="Arial" w:hAnsi="Arial" w:cs="Arial"/>
          <w:sz w:val="24"/>
          <w:szCs w:val="24"/>
        </w:rPr>
        <w:t>: Publications by WTO, UNCTAD, and similar bodies for comparative data (WTO, 2023).</w:t>
      </w:r>
    </w:p>
    <w:p w14:paraId="02BDAF5C" w14:textId="25BF6FF1" w:rsidR="001219CA" w:rsidRPr="001219CA" w:rsidRDefault="001219CA" w:rsidP="000B6CFE">
      <w:pPr>
        <w:numPr>
          <w:ilvl w:val="1"/>
          <w:numId w:val="10"/>
        </w:numPr>
        <w:spacing w:line="360" w:lineRule="auto"/>
        <w:jc w:val="both"/>
        <w:rPr>
          <w:rFonts w:ascii="Arial" w:hAnsi="Arial" w:cs="Arial"/>
          <w:sz w:val="24"/>
          <w:szCs w:val="24"/>
        </w:rPr>
      </w:pPr>
      <w:r w:rsidRPr="001219CA">
        <w:rPr>
          <w:rFonts w:ascii="Arial" w:hAnsi="Arial" w:cs="Arial"/>
          <w:b/>
          <w:bCs/>
          <w:sz w:val="24"/>
          <w:szCs w:val="24"/>
        </w:rPr>
        <w:t>Industry Surveys</w:t>
      </w:r>
      <w:r w:rsidRPr="001219CA">
        <w:rPr>
          <w:rFonts w:ascii="Arial" w:hAnsi="Arial" w:cs="Arial"/>
          <w:sz w:val="24"/>
          <w:szCs w:val="24"/>
        </w:rPr>
        <w:t>: Data from financial institutions and market research agencies on business perceptions of Hong Kong’s regulatory frameworks</w:t>
      </w:r>
      <w:r w:rsidR="007E119A">
        <w:rPr>
          <w:rFonts w:ascii="Arial" w:hAnsi="Arial" w:cs="Arial"/>
          <w:sz w:val="24"/>
          <w:szCs w:val="24"/>
        </w:rPr>
        <w:t>.</w:t>
      </w:r>
    </w:p>
    <w:p w14:paraId="41FD039C" w14:textId="77777777" w:rsidR="001219CA" w:rsidRPr="001219CA" w:rsidRDefault="001219CA" w:rsidP="001219CA">
      <w:pPr>
        <w:numPr>
          <w:ilvl w:val="0"/>
          <w:numId w:val="3"/>
        </w:numPr>
        <w:spacing w:line="360" w:lineRule="auto"/>
        <w:ind w:firstLine="284"/>
        <w:jc w:val="both"/>
        <w:rPr>
          <w:rFonts w:ascii="Arial" w:hAnsi="Arial" w:cs="Arial"/>
          <w:sz w:val="24"/>
          <w:szCs w:val="24"/>
        </w:rPr>
      </w:pPr>
      <w:r w:rsidRPr="001219CA">
        <w:rPr>
          <w:rFonts w:ascii="Arial" w:hAnsi="Arial" w:cs="Arial"/>
          <w:b/>
          <w:bCs/>
          <w:sz w:val="24"/>
          <w:szCs w:val="24"/>
        </w:rPr>
        <w:t>Data Analysis</w:t>
      </w:r>
    </w:p>
    <w:p w14:paraId="22805171" w14:textId="77777777" w:rsidR="001219CA" w:rsidRPr="001219CA" w:rsidRDefault="001219CA" w:rsidP="000B6CFE">
      <w:pPr>
        <w:numPr>
          <w:ilvl w:val="1"/>
          <w:numId w:val="11"/>
        </w:numPr>
        <w:spacing w:line="360" w:lineRule="auto"/>
        <w:jc w:val="both"/>
        <w:rPr>
          <w:rFonts w:ascii="Arial" w:hAnsi="Arial" w:cs="Arial"/>
          <w:sz w:val="24"/>
          <w:szCs w:val="24"/>
        </w:rPr>
      </w:pPr>
      <w:r w:rsidRPr="001219CA">
        <w:rPr>
          <w:rFonts w:ascii="Arial" w:hAnsi="Arial" w:cs="Arial"/>
          <w:b/>
          <w:bCs/>
          <w:sz w:val="24"/>
          <w:szCs w:val="24"/>
        </w:rPr>
        <w:t>Descriptive Statistics</w:t>
      </w:r>
      <w:r w:rsidRPr="001219CA">
        <w:rPr>
          <w:rFonts w:ascii="Arial" w:hAnsi="Arial" w:cs="Arial"/>
          <w:sz w:val="24"/>
          <w:szCs w:val="24"/>
        </w:rPr>
        <w:t>: Analysis of trends in FDI, economic performance, and business establishment rates using averages, percentages, and growth rates (Galpin, 2013).</w:t>
      </w:r>
    </w:p>
    <w:p w14:paraId="1DAB5223" w14:textId="0E95D0AE" w:rsidR="001219CA" w:rsidRPr="001219CA" w:rsidRDefault="001219CA" w:rsidP="000B6CFE">
      <w:pPr>
        <w:numPr>
          <w:ilvl w:val="1"/>
          <w:numId w:val="11"/>
        </w:numPr>
        <w:spacing w:line="360" w:lineRule="auto"/>
        <w:jc w:val="both"/>
        <w:rPr>
          <w:rFonts w:ascii="Arial" w:hAnsi="Arial" w:cs="Arial"/>
          <w:sz w:val="24"/>
          <w:szCs w:val="24"/>
        </w:rPr>
      </w:pPr>
      <w:r w:rsidRPr="001219CA">
        <w:rPr>
          <w:rFonts w:ascii="Arial" w:hAnsi="Arial" w:cs="Arial"/>
          <w:b/>
          <w:bCs/>
          <w:sz w:val="24"/>
          <w:szCs w:val="24"/>
        </w:rPr>
        <w:t>Correlation Analysis</w:t>
      </w:r>
      <w:r w:rsidRPr="001219CA">
        <w:rPr>
          <w:rFonts w:ascii="Arial" w:hAnsi="Arial" w:cs="Arial"/>
          <w:sz w:val="24"/>
          <w:szCs w:val="24"/>
        </w:rPr>
        <w:t>: Assessing relationships between regulatory reforms and business performance indicators to quantify impacts</w:t>
      </w:r>
      <w:r w:rsidR="007E119A">
        <w:rPr>
          <w:rFonts w:ascii="Arial" w:hAnsi="Arial" w:cs="Arial"/>
          <w:sz w:val="24"/>
          <w:szCs w:val="24"/>
        </w:rPr>
        <w:t>.</w:t>
      </w:r>
    </w:p>
    <w:p w14:paraId="507AD764" w14:textId="43AA4959" w:rsidR="001219CA" w:rsidRPr="001219CA" w:rsidRDefault="001219CA" w:rsidP="0070544B">
      <w:pPr>
        <w:pStyle w:val="Heading1"/>
      </w:pPr>
      <w:bookmarkStart w:id="12" w:name="_Toc182945201"/>
      <w:r w:rsidRPr="001219CA">
        <w:lastRenderedPageBreak/>
        <w:t>V. Potential Implications</w:t>
      </w:r>
      <w:bookmarkEnd w:id="12"/>
    </w:p>
    <w:p w14:paraId="13A5E688" w14:textId="4FCE4293"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 xml:space="preserve">The research is expected to reveal valuable insights into how Hong Kong’s regulatory framework shapes its role as a global business hub and impacts foreign business expansion. By examining Hong Kong’s legal, economic, and institutional environments, the study aims to uncover the specific regulatory advantages and constraints that influence international business decisions, potentially serving as a model for other financial </w:t>
      </w:r>
      <w:proofErr w:type="spellStart"/>
      <w:r w:rsidRPr="001219CA">
        <w:rPr>
          <w:rFonts w:ascii="Arial" w:hAnsi="Arial" w:cs="Arial"/>
          <w:sz w:val="24"/>
          <w:szCs w:val="24"/>
        </w:rPr>
        <w:t>centers</w:t>
      </w:r>
      <w:proofErr w:type="spellEnd"/>
      <w:r w:rsidRPr="001219CA">
        <w:rPr>
          <w:rFonts w:ascii="Arial" w:hAnsi="Arial" w:cs="Arial"/>
          <w:sz w:val="24"/>
          <w:szCs w:val="24"/>
        </w:rPr>
        <w:t xml:space="preserve"> (Baker et al., 2021).</w:t>
      </w:r>
    </w:p>
    <w:p w14:paraId="53B0CD4A" w14:textId="40C0611B" w:rsidR="00636F5F" w:rsidRPr="001219CA" w:rsidRDefault="001219CA" w:rsidP="00636F5F">
      <w:pPr>
        <w:spacing w:line="360" w:lineRule="auto"/>
        <w:ind w:firstLine="284"/>
        <w:jc w:val="both"/>
        <w:rPr>
          <w:rFonts w:ascii="Arial" w:hAnsi="Arial" w:cs="Arial"/>
          <w:sz w:val="24"/>
          <w:szCs w:val="24"/>
        </w:rPr>
      </w:pPr>
      <w:r w:rsidRPr="001219CA">
        <w:rPr>
          <w:rFonts w:ascii="Arial" w:hAnsi="Arial" w:cs="Arial"/>
          <w:sz w:val="24"/>
          <w:szCs w:val="24"/>
        </w:rPr>
        <w:t>Findings may highlight how Hong Kong’s policies create a business-friendly yet robust regulatory environment that balances economic freedom with governance, offering lessons for policymakers aiming to enhance their city’s global attractiveness (Desai, 2023). Additionally, the research may identify areas where regulations inadvertently hinder foreign businesses, providing actionable insights for regulatory reform</w:t>
      </w:r>
      <w:r w:rsidR="00636F5F">
        <w:rPr>
          <w:rFonts w:ascii="Arial" w:hAnsi="Arial" w:cs="Arial"/>
          <w:sz w:val="24"/>
          <w:szCs w:val="24"/>
        </w:rPr>
        <w:t>.</w:t>
      </w:r>
    </w:p>
    <w:p w14:paraId="6131EA29" w14:textId="4B068DA4"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The implications of this study extend to multiple stakeholders. For policymakers, it offers guidance on creating regulations that foster a stable and competitive business environment</w:t>
      </w:r>
      <w:r w:rsidR="00BE4F3F">
        <w:rPr>
          <w:rFonts w:ascii="Arial" w:hAnsi="Arial" w:cs="Arial"/>
          <w:sz w:val="24"/>
          <w:szCs w:val="24"/>
        </w:rPr>
        <w:t xml:space="preserve">. </w:t>
      </w:r>
      <w:r w:rsidRPr="001219CA">
        <w:rPr>
          <w:rFonts w:ascii="Arial" w:hAnsi="Arial" w:cs="Arial"/>
          <w:sz w:val="24"/>
          <w:szCs w:val="24"/>
        </w:rPr>
        <w:t>For the business community, it clarifies potential challenges and advantages when operating in Hong Kong, helping firms make informed expansion decisions (</w:t>
      </w:r>
      <w:proofErr w:type="spellStart"/>
      <w:r w:rsidRPr="001219CA">
        <w:rPr>
          <w:rFonts w:ascii="Arial" w:hAnsi="Arial" w:cs="Arial"/>
          <w:sz w:val="24"/>
          <w:szCs w:val="24"/>
        </w:rPr>
        <w:t>Kalemli</w:t>
      </w:r>
      <w:proofErr w:type="spellEnd"/>
      <w:r w:rsidRPr="001219CA">
        <w:rPr>
          <w:rFonts w:ascii="Arial" w:hAnsi="Arial" w:cs="Arial"/>
          <w:sz w:val="24"/>
          <w:szCs w:val="24"/>
        </w:rPr>
        <w:t>-Ozcan et al., 2013). On a broader scale, understanding the interaction between regulations and foreign investment could foster economic resilience, stimulate job creation, and support Hong Kong’s role as a gateway between East and West, benefiting both local communities and the broader economy (Yu, 2004).</w:t>
      </w:r>
    </w:p>
    <w:p w14:paraId="047F0969" w14:textId="76CCBDB6" w:rsidR="001219CA" w:rsidRPr="001219CA" w:rsidRDefault="001219CA" w:rsidP="0070544B">
      <w:pPr>
        <w:pStyle w:val="Heading1"/>
      </w:pPr>
      <w:bookmarkStart w:id="13" w:name="_Toc182945202"/>
      <w:r w:rsidRPr="001219CA">
        <w:t>VI. Conclusion</w:t>
      </w:r>
      <w:bookmarkEnd w:id="13"/>
    </w:p>
    <w:p w14:paraId="65C19DE0" w14:textId="77777777" w:rsidR="00636F5F"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This dissertation proposal outlines a study on how Hong Kong’s regulatory framework influences foreign business expansion, positioning the city as a global business hub. Through a qualitative analysis of government legislation, available statistics, and existing literature, the study will assess the advantages and challenges within Hong Kong’s regulatory environment</w:t>
      </w:r>
      <w:r w:rsidR="007D0B6B">
        <w:rPr>
          <w:rFonts w:ascii="Arial" w:hAnsi="Arial" w:cs="Arial"/>
          <w:sz w:val="24"/>
          <w:szCs w:val="24"/>
        </w:rPr>
        <w:t xml:space="preserve">. </w:t>
      </w:r>
      <w:r w:rsidRPr="001219CA">
        <w:rPr>
          <w:rFonts w:ascii="Arial" w:hAnsi="Arial" w:cs="Arial"/>
          <w:sz w:val="24"/>
          <w:szCs w:val="24"/>
        </w:rPr>
        <w:t>Using theories such as the Eclectic Paradigm, Institutional Theory, and PEST analysis, the research aims to provide insights for policymakers on fostering economic growth</w:t>
      </w:r>
      <w:r w:rsidR="00636F5F">
        <w:rPr>
          <w:rFonts w:ascii="Arial" w:hAnsi="Arial" w:cs="Arial"/>
          <w:sz w:val="24"/>
          <w:szCs w:val="24"/>
        </w:rPr>
        <w:t xml:space="preserve">. </w:t>
      </w:r>
    </w:p>
    <w:p w14:paraId="1898B11A" w14:textId="5520C8BB" w:rsidR="001219CA" w:rsidRPr="001219CA" w:rsidRDefault="001219CA" w:rsidP="001219CA">
      <w:pPr>
        <w:spacing w:line="360" w:lineRule="auto"/>
        <w:ind w:firstLine="284"/>
        <w:jc w:val="both"/>
        <w:rPr>
          <w:rFonts w:ascii="Arial" w:hAnsi="Arial" w:cs="Arial"/>
          <w:sz w:val="24"/>
          <w:szCs w:val="24"/>
        </w:rPr>
      </w:pPr>
      <w:r w:rsidRPr="001219CA">
        <w:rPr>
          <w:rFonts w:ascii="Arial" w:hAnsi="Arial" w:cs="Arial"/>
          <w:sz w:val="24"/>
          <w:szCs w:val="24"/>
        </w:rPr>
        <w:t>The findings will offer guidance to businesses considering Hong Kong for expansion and contribute to a broader understanding of regulatory impact on global business strategies (Wong &amp; Chan, 2023).</w:t>
      </w:r>
    </w:p>
    <w:p w14:paraId="3DE39C65" w14:textId="77777777" w:rsidR="0070544B" w:rsidRPr="001219CA" w:rsidRDefault="0070544B" w:rsidP="00F53946">
      <w:pPr>
        <w:spacing w:line="360" w:lineRule="auto"/>
        <w:jc w:val="both"/>
        <w:rPr>
          <w:rFonts w:ascii="Arial" w:hAnsi="Arial" w:cs="Arial"/>
          <w:sz w:val="24"/>
          <w:szCs w:val="24"/>
        </w:rPr>
      </w:pPr>
    </w:p>
    <w:p w14:paraId="01C74FDB" w14:textId="2796DBEA" w:rsidR="001219CA" w:rsidRPr="0070544B" w:rsidRDefault="001219CA" w:rsidP="0070544B">
      <w:pPr>
        <w:pStyle w:val="Heading1"/>
      </w:pPr>
      <w:bookmarkStart w:id="14" w:name="_Toc182945203"/>
      <w:r w:rsidRPr="0070544B">
        <w:lastRenderedPageBreak/>
        <w:t>VII. Reference List</w:t>
      </w:r>
      <w:bookmarkEnd w:id="14"/>
    </w:p>
    <w:p w14:paraId="4886E43E"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Baker, T., Smith, J., &amp; Lee, A. (2021). </w:t>
      </w:r>
      <w:r w:rsidRPr="00BE4F3F">
        <w:rPr>
          <w:rFonts w:ascii="Arial" w:hAnsi="Arial" w:cs="Arial"/>
          <w:i/>
          <w:iCs/>
          <w:sz w:val="24"/>
          <w:szCs w:val="24"/>
        </w:rPr>
        <w:t>The impact of geopolitical tensions on global business operations</w:t>
      </w:r>
      <w:r w:rsidRPr="00BE4F3F">
        <w:rPr>
          <w:rFonts w:ascii="Arial" w:hAnsi="Arial" w:cs="Arial"/>
          <w:sz w:val="24"/>
          <w:szCs w:val="24"/>
        </w:rPr>
        <w:t>. International Journal of Business Studies, 28(4), pp. 345-362.</w:t>
      </w:r>
    </w:p>
    <w:p w14:paraId="79EEF570" w14:textId="17A5E398" w:rsidR="00BE4F3F" w:rsidRPr="00BE4F3F" w:rsidRDefault="00BE4F3F" w:rsidP="00BE4F3F">
      <w:pPr>
        <w:numPr>
          <w:ilvl w:val="0"/>
          <w:numId w:val="5"/>
        </w:numPr>
        <w:spacing w:line="360" w:lineRule="auto"/>
        <w:jc w:val="both"/>
        <w:rPr>
          <w:rFonts w:ascii="Arial" w:hAnsi="Arial" w:cs="Arial"/>
          <w:sz w:val="24"/>
          <w:szCs w:val="24"/>
        </w:rPr>
      </w:pPr>
      <w:proofErr w:type="spellStart"/>
      <w:r w:rsidRPr="00BE4F3F">
        <w:rPr>
          <w:rFonts w:ascii="Arial" w:hAnsi="Arial" w:cs="Arial"/>
          <w:sz w:val="24"/>
          <w:szCs w:val="24"/>
        </w:rPr>
        <w:t>Balbaa</w:t>
      </w:r>
      <w:proofErr w:type="spellEnd"/>
      <w:r w:rsidRPr="00BE4F3F">
        <w:rPr>
          <w:rFonts w:ascii="Arial" w:hAnsi="Arial" w:cs="Arial"/>
          <w:sz w:val="24"/>
          <w:szCs w:val="24"/>
        </w:rPr>
        <w:t xml:space="preserve">, M.E., </w:t>
      </w:r>
      <w:proofErr w:type="spellStart"/>
      <w:r w:rsidRPr="00BE4F3F">
        <w:rPr>
          <w:rFonts w:ascii="Arial" w:hAnsi="Arial" w:cs="Arial"/>
          <w:sz w:val="24"/>
          <w:szCs w:val="24"/>
        </w:rPr>
        <w:t>Eshov</w:t>
      </w:r>
      <w:proofErr w:type="spellEnd"/>
      <w:r w:rsidRPr="00BE4F3F">
        <w:rPr>
          <w:rFonts w:ascii="Arial" w:hAnsi="Arial" w:cs="Arial"/>
          <w:sz w:val="24"/>
          <w:szCs w:val="24"/>
        </w:rPr>
        <w:t xml:space="preserve">, M.P., and Ismailova, N. (2022). 'The Impacts of Russian Ukrainian War on the Global Economy in the frame of digital banking networks and </w:t>
      </w:r>
      <w:r w:rsidR="00605C68" w:rsidRPr="00BE4F3F">
        <w:rPr>
          <w:rFonts w:ascii="Arial" w:hAnsi="Arial" w:cs="Arial"/>
          <w:sz w:val="24"/>
          <w:szCs w:val="24"/>
        </w:rPr>
        <w:t>cyber-attacks</w:t>
      </w:r>
      <w:r w:rsidRPr="00BE4F3F">
        <w:rPr>
          <w:rFonts w:ascii="Arial" w:hAnsi="Arial" w:cs="Arial"/>
          <w:sz w:val="24"/>
          <w:szCs w:val="24"/>
        </w:rPr>
        <w:t xml:space="preserve">,' </w:t>
      </w:r>
      <w:r w:rsidRPr="00BE4F3F">
        <w:rPr>
          <w:rFonts w:ascii="Arial" w:hAnsi="Arial" w:cs="Arial"/>
          <w:i/>
          <w:iCs/>
          <w:sz w:val="24"/>
          <w:szCs w:val="24"/>
        </w:rPr>
        <w:t>Proceedings of the 6th International Conference on Future Networks &amp; Distributed Systems</w:t>
      </w:r>
      <w:r w:rsidRPr="00BE4F3F">
        <w:rPr>
          <w:rFonts w:ascii="Arial" w:hAnsi="Arial" w:cs="Arial"/>
          <w:sz w:val="24"/>
          <w:szCs w:val="24"/>
        </w:rPr>
        <w:t>, pp. 137-146. New York, NY, USA: ACM.</w:t>
      </w:r>
    </w:p>
    <w:p w14:paraId="5F4ABE80"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Beecher, B., </w:t>
      </w:r>
      <w:proofErr w:type="spellStart"/>
      <w:r w:rsidRPr="00BE4F3F">
        <w:rPr>
          <w:rFonts w:ascii="Arial" w:hAnsi="Arial" w:cs="Arial"/>
          <w:sz w:val="24"/>
          <w:szCs w:val="24"/>
        </w:rPr>
        <w:t>Streitwieser</w:t>
      </w:r>
      <w:proofErr w:type="spellEnd"/>
      <w:r w:rsidRPr="00BE4F3F">
        <w:rPr>
          <w:rFonts w:ascii="Arial" w:hAnsi="Arial" w:cs="Arial"/>
          <w:sz w:val="24"/>
          <w:szCs w:val="24"/>
        </w:rPr>
        <w:t xml:space="preserve">, B., and Zhou, J. (2020). 'Charting a new path toward economic prosperity: Comparing policies for higher education hubs in Hong Kong and South Korea,' </w:t>
      </w:r>
      <w:r w:rsidRPr="00BE4F3F">
        <w:rPr>
          <w:rFonts w:ascii="Arial" w:hAnsi="Arial" w:cs="Arial"/>
          <w:i/>
          <w:iCs/>
          <w:sz w:val="24"/>
          <w:szCs w:val="24"/>
        </w:rPr>
        <w:t>Industry and Higher Education</w:t>
      </w:r>
      <w:r w:rsidRPr="00BE4F3F">
        <w:rPr>
          <w:rFonts w:ascii="Arial" w:hAnsi="Arial" w:cs="Arial"/>
          <w:sz w:val="24"/>
          <w:szCs w:val="24"/>
        </w:rPr>
        <w:t>, 34(2), pp. 80-90.</w:t>
      </w:r>
    </w:p>
    <w:p w14:paraId="79EA6560"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Chen, Z., and </w:t>
      </w:r>
      <w:proofErr w:type="spellStart"/>
      <w:r w:rsidRPr="00BE4F3F">
        <w:rPr>
          <w:rFonts w:ascii="Arial" w:hAnsi="Arial" w:cs="Arial"/>
          <w:sz w:val="24"/>
          <w:szCs w:val="24"/>
        </w:rPr>
        <w:t>Zhuansun</w:t>
      </w:r>
      <w:proofErr w:type="spellEnd"/>
      <w:r w:rsidRPr="00BE4F3F">
        <w:rPr>
          <w:rFonts w:ascii="Arial" w:hAnsi="Arial" w:cs="Arial"/>
          <w:sz w:val="24"/>
          <w:szCs w:val="24"/>
        </w:rPr>
        <w:t xml:space="preserve">, G. (2022). 'Study on Coupling Coordination between Sci-Tech Innovation and High-Quality Economic Development in the Guangdong-Hong Kong-Macao Greater Bay Area,' </w:t>
      </w:r>
      <w:r w:rsidRPr="00BE4F3F">
        <w:rPr>
          <w:rFonts w:ascii="Arial" w:hAnsi="Arial" w:cs="Arial"/>
          <w:i/>
          <w:iCs/>
          <w:sz w:val="24"/>
          <w:szCs w:val="24"/>
        </w:rPr>
        <w:t>Frontiers of Economics in China</w:t>
      </w:r>
      <w:r w:rsidRPr="00BE4F3F">
        <w:rPr>
          <w:rFonts w:ascii="Arial" w:hAnsi="Arial" w:cs="Arial"/>
          <w:sz w:val="24"/>
          <w:szCs w:val="24"/>
        </w:rPr>
        <w:t>, 17(4), pp. 615-642.</w:t>
      </w:r>
    </w:p>
    <w:p w14:paraId="30401820"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Christmann, P., and Taylor, G. (2001). 'Globalization and the environment: Determinants of firm self-regulation in China,' </w:t>
      </w:r>
      <w:r w:rsidRPr="00BE4F3F">
        <w:rPr>
          <w:rFonts w:ascii="Arial" w:hAnsi="Arial" w:cs="Arial"/>
          <w:i/>
          <w:iCs/>
          <w:sz w:val="24"/>
          <w:szCs w:val="24"/>
        </w:rPr>
        <w:t>Journal of International Business Studies</w:t>
      </w:r>
      <w:r w:rsidRPr="00BE4F3F">
        <w:rPr>
          <w:rFonts w:ascii="Arial" w:hAnsi="Arial" w:cs="Arial"/>
          <w:sz w:val="24"/>
          <w:szCs w:val="24"/>
        </w:rPr>
        <w:t>, 32(3), pp. 439-458.</w:t>
      </w:r>
    </w:p>
    <w:p w14:paraId="28C04A8C"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Desai, R. (2023). </w:t>
      </w:r>
      <w:r w:rsidRPr="00BE4F3F">
        <w:rPr>
          <w:rFonts w:ascii="Arial" w:hAnsi="Arial" w:cs="Arial"/>
          <w:i/>
          <w:iCs/>
          <w:sz w:val="24"/>
          <w:szCs w:val="24"/>
        </w:rPr>
        <w:t>Capitalism, Coronavirus and War: A Geopolitical Economy</w:t>
      </w:r>
      <w:r w:rsidRPr="00BE4F3F">
        <w:rPr>
          <w:rFonts w:ascii="Arial" w:hAnsi="Arial" w:cs="Arial"/>
          <w:sz w:val="24"/>
          <w:szCs w:val="24"/>
        </w:rPr>
        <w:t>. Abingdon, Oxon: Routledge.</w:t>
      </w:r>
    </w:p>
    <w:p w14:paraId="73F894D4"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Galpin, S. (2013). 'Trade facilitation at work in Hong Kong,' </w:t>
      </w:r>
      <w:r w:rsidRPr="00BE4F3F">
        <w:rPr>
          <w:rFonts w:ascii="Arial" w:hAnsi="Arial" w:cs="Arial"/>
          <w:i/>
          <w:iCs/>
          <w:sz w:val="24"/>
          <w:szCs w:val="24"/>
        </w:rPr>
        <w:t>International Trade Forum</w:t>
      </w:r>
      <w:r w:rsidRPr="00BE4F3F">
        <w:rPr>
          <w:rFonts w:ascii="Arial" w:hAnsi="Arial" w:cs="Arial"/>
          <w:sz w:val="24"/>
          <w:szCs w:val="24"/>
        </w:rPr>
        <w:t xml:space="preserve">, Geneva, </w:t>
      </w:r>
      <w:proofErr w:type="spellStart"/>
      <w:r w:rsidRPr="00BE4F3F">
        <w:rPr>
          <w:rFonts w:ascii="Arial" w:hAnsi="Arial" w:cs="Arial"/>
          <w:sz w:val="24"/>
          <w:szCs w:val="24"/>
        </w:rPr>
        <w:t>Iss</w:t>
      </w:r>
      <w:proofErr w:type="spellEnd"/>
      <w:r w:rsidRPr="00BE4F3F">
        <w:rPr>
          <w:rFonts w:ascii="Arial" w:hAnsi="Arial" w:cs="Arial"/>
          <w:sz w:val="24"/>
          <w:szCs w:val="24"/>
        </w:rPr>
        <w:t>. 4, pp. 28-29.</w:t>
      </w:r>
    </w:p>
    <w:p w14:paraId="22727D28" w14:textId="77777777" w:rsidR="00BE4F3F" w:rsidRPr="00BE4F3F" w:rsidRDefault="00BE4F3F" w:rsidP="00F53946">
      <w:pPr>
        <w:numPr>
          <w:ilvl w:val="0"/>
          <w:numId w:val="5"/>
        </w:numPr>
        <w:spacing w:line="360" w:lineRule="auto"/>
        <w:rPr>
          <w:rFonts w:ascii="Arial" w:hAnsi="Arial" w:cs="Arial"/>
          <w:sz w:val="24"/>
          <w:szCs w:val="24"/>
        </w:rPr>
      </w:pPr>
      <w:r w:rsidRPr="00BE4F3F">
        <w:rPr>
          <w:rFonts w:ascii="Arial" w:hAnsi="Arial" w:cs="Arial"/>
          <w:sz w:val="24"/>
          <w:szCs w:val="24"/>
        </w:rPr>
        <w:t xml:space="preserve">Hawkins, A. (2024). 'Hong Kong is global trade hub for world’s most brutal regimes, report says,' </w:t>
      </w:r>
      <w:r w:rsidRPr="00BE4F3F">
        <w:rPr>
          <w:rFonts w:ascii="Arial" w:hAnsi="Arial" w:cs="Arial"/>
          <w:i/>
          <w:iCs/>
          <w:sz w:val="24"/>
          <w:szCs w:val="24"/>
        </w:rPr>
        <w:t>The Guardian</w:t>
      </w:r>
      <w:r w:rsidRPr="00BE4F3F">
        <w:rPr>
          <w:rFonts w:ascii="Arial" w:hAnsi="Arial" w:cs="Arial"/>
          <w:sz w:val="24"/>
          <w:szCs w:val="24"/>
        </w:rPr>
        <w:t xml:space="preserve">, [online] 22 July. Available at: </w:t>
      </w:r>
      <w:hyperlink r:id="rId8" w:tgtFrame="_new" w:history="1">
        <w:r w:rsidRPr="00BE4F3F">
          <w:rPr>
            <w:rStyle w:val="Hyperlink"/>
            <w:rFonts w:ascii="Arial" w:hAnsi="Arial" w:cs="Arial"/>
            <w:sz w:val="24"/>
            <w:szCs w:val="24"/>
          </w:rPr>
          <w:t>https://www.theguardian.com/world/article/2024/jul/22/hong-kong-trade-hub-report</w:t>
        </w:r>
      </w:hyperlink>
      <w:r w:rsidRPr="00BE4F3F">
        <w:rPr>
          <w:rFonts w:ascii="Arial" w:hAnsi="Arial" w:cs="Arial"/>
          <w:sz w:val="24"/>
          <w:szCs w:val="24"/>
        </w:rPr>
        <w:t xml:space="preserve"> (Accessed: 10/11/2024).</w:t>
      </w:r>
    </w:p>
    <w:p w14:paraId="1D382FFD"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Hong Kong Census and Statistics Department. (2023). </w:t>
      </w:r>
      <w:r w:rsidRPr="00BE4F3F">
        <w:rPr>
          <w:rFonts w:ascii="Arial" w:hAnsi="Arial" w:cs="Arial"/>
          <w:i/>
          <w:iCs/>
          <w:sz w:val="24"/>
          <w:szCs w:val="24"/>
        </w:rPr>
        <w:t>Economic Indicators Report</w:t>
      </w:r>
      <w:r w:rsidRPr="00BE4F3F">
        <w:rPr>
          <w:rFonts w:ascii="Arial" w:hAnsi="Arial" w:cs="Arial"/>
          <w:sz w:val="24"/>
          <w:szCs w:val="24"/>
        </w:rPr>
        <w:t>. Hong Kong.</w:t>
      </w:r>
    </w:p>
    <w:p w14:paraId="5F2BB8A6" w14:textId="1BBDA926" w:rsidR="00BE4F3F" w:rsidRPr="007E119A" w:rsidRDefault="00BE4F3F" w:rsidP="007E119A">
      <w:pPr>
        <w:numPr>
          <w:ilvl w:val="0"/>
          <w:numId w:val="5"/>
        </w:numPr>
        <w:spacing w:line="360" w:lineRule="auto"/>
        <w:jc w:val="both"/>
        <w:rPr>
          <w:rFonts w:ascii="Arial" w:hAnsi="Arial" w:cs="Arial"/>
          <w:sz w:val="24"/>
          <w:szCs w:val="24"/>
        </w:rPr>
      </w:pPr>
      <w:proofErr w:type="spellStart"/>
      <w:r w:rsidRPr="00BE4F3F">
        <w:rPr>
          <w:rFonts w:ascii="Arial" w:hAnsi="Arial" w:cs="Arial"/>
          <w:sz w:val="24"/>
          <w:szCs w:val="24"/>
        </w:rPr>
        <w:t>Kalemli</w:t>
      </w:r>
      <w:proofErr w:type="spellEnd"/>
      <w:r w:rsidRPr="00BE4F3F">
        <w:rPr>
          <w:rFonts w:ascii="Arial" w:hAnsi="Arial" w:cs="Arial"/>
          <w:sz w:val="24"/>
          <w:szCs w:val="24"/>
        </w:rPr>
        <w:t xml:space="preserve">-Ozcan, S., Papaioannou, E., and </w:t>
      </w:r>
      <w:proofErr w:type="spellStart"/>
      <w:r w:rsidRPr="00BE4F3F">
        <w:rPr>
          <w:rFonts w:ascii="Arial" w:hAnsi="Arial" w:cs="Arial"/>
          <w:sz w:val="24"/>
          <w:szCs w:val="24"/>
        </w:rPr>
        <w:t>Peydró</w:t>
      </w:r>
      <w:proofErr w:type="spellEnd"/>
      <w:r w:rsidRPr="00BE4F3F">
        <w:rPr>
          <w:rFonts w:ascii="Arial" w:hAnsi="Arial" w:cs="Arial"/>
          <w:sz w:val="24"/>
          <w:szCs w:val="24"/>
        </w:rPr>
        <w:t xml:space="preserve">, J.-L. (2013). 'Financial regulation, financial globalization, and the synchronization of economic activity,' </w:t>
      </w:r>
      <w:r w:rsidRPr="00BE4F3F">
        <w:rPr>
          <w:rFonts w:ascii="Arial" w:hAnsi="Arial" w:cs="Arial"/>
          <w:i/>
          <w:iCs/>
          <w:sz w:val="24"/>
          <w:szCs w:val="24"/>
        </w:rPr>
        <w:t>The Journal of Finance</w:t>
      </w:r>
      <w:r w:rsidRPr="00BE4F3F">
        <w:rPr>
          <w:rFonts w:ascii="Arial" w:hAnsi="Arial" w:cs="Arial"/>
          <w:sz w:val="24"/>
          <w:szCs w:val="24"/>
        </w:rPr>
        <w:t>, 68(3), pp. 1179-1205.</w:t>
      </w:r>
    </w:p>
    <w:p w14:paraId="65A6EF01"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lastRenderedPageBreak/>
        <w:t xml:space="preserve">UNCTAD. (2023). </w:t>
      </w:r>
      <w:r w:rsidRPr="00BE4F3F">
        <w:rPr>
          <w:rFonts w:ascii="Arial" w:hAnsi="Arial" w:cs="Arial"/>
          <w:i/>
          <w:iCs/>
          <w:sz w:val="24"/>
          <w:szCs w:val="24"/>
        </w:rPr>
        <w:t>World Investment Report</w:t>
      </w:r>
      <w:r w:rsidRPr="00BE4F3F">
        <w:rPr>
          <w:rFonts w:ascii="Arial" w:hAnsi="Arial" w:cs="Arial"/>
          <w:sz w:val="24"/>
          <w:szCs w:val="24"/>
        </w:rPr>
        <w:t>. United Nations Conference on Trade and Development.</w:t>
      </w:r>
    </w:p>
    <w:p w14:paraId="502BE09D"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World Bank. (2023). </w:t>
      </w:r>
      <w:r w:rsidRPr="00BE4F3F">
        <w:rPr>
          <w:rFonts w:ascii="Arial" w:hAnsi="Arial" w:cs="Arial"/>
          <w:i/>
          <w:iCs/>
          <w:sz w:val="24"/>
          <w:szCs w:val="24"/>
        </w:rPr>
        <w:t>Ease of Doing Business Report</w:t>
      </w:r>
      <w:r w:rsidRPr="00BE4F3F">
        <w:rPr>
          <w:rFonts w:ascii="Arial" w:hAnsi="Arial" w:cs="Arial"/>
          <w:sz w:val="24"/>
          <w:szCs w:val="24"/>
        </w:rPr>
        <w:t>. World Bank Group.</w:t>
      </w:r>
    </w:p>
    <w:p w14:paraId="3E54CC6A"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Wong, K., &amp; Chan, T. (2023). 'The National Security Law and its implications for Hong Kong's business landscape,' </w:t>
      </w:r>
      <w:r w:rsidRPr="00BE4F3F">
        <w:rPr>
          <w:rFonts w:ascii="Arial" w:hAnsi="Arial" w:cs="Arial"/>
          <w:i/>
          <w:iCs/>
          <w:sz w:val="24"/>
          <w:szCs w:val="24"/>
        </w:rPr>
        <w:t>Asian Journal of Comparative Law</w:t>
      </w:r>
      <w:r w:rsidRPr="00BE4F3F">
        <w:rPr>
          <w:rFonts w:ascii="Arial" w:hAnsi="Arial" w:cs="Arial"/>
          <w:sz w:val="24"/>
          <w:szCs w:val="24"/>
        </w:rPr>
        <w:t>, 18(1), pp. 87-110.</w:t>
      </w:r>
    </w:p>
    <w:p w14:paraId="5632CF21"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Wong, W.H., Wong, E., Mo, D.Y., and Leung, L. (2019). 'Impact of cabotage relaxation in mainland China on the transshipment hub of Hong Kong,' </w:t>
      </w:r>
      <w:r w:rsidRPr="00BE4F3F">
        <w:rPr>
          <w:rFonts w:ascii="Arial" w:hAnsi="Arial" w:cs="Arial"/>
          <w:i/>
          <w:iCs/>
          <w:sz w:val="24"/>
          <w:szCs w:val="24"/>
        </w:rPr>
        <w:t>Maritime Economics &amp; Logistics</w:t>
      </w:r>
      <w:r w:rsidRPr="00BE4F3F">
        <w:rPr>
          <w:rFonts w:ascii="Arial" w:hAnsi="Arial" w:cs="Arial"/>
          <w:sz w:val="24"/>
          <w:szCs w:val="24"/>
        </w:rPr>
        <w:t>, 21(4), pp. 464-481.</w:t>
      </w:r>
    </w:p>
    <w:p w14:paraId="76410FE8"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Yu, F-L. (2004). 'From a 'Barren Rock' to the Financial Hub of East Asia,' </w:t>
      </w:r>
      <w:r w:rsidRPr="00BE4F3F">
        <w:rPr>
          <w:rFonts w:ascii="Arial" w:hAnsi="Arial" w:cs="Arial"/>
          <w:i/>
          <w:iCs/>
          <w:sz w:val="24"/>
          <w:szCs w:val="24"/>
        </w:rPr>
        <w:t>Asia Pacific Business Review</w:t>
      </w:r>
      <w:r w:rsidRPr="00BE4F3F">
        <w:rPr>
          <w:rFonts w:ascii="Arial" w:hAnsi="Arial" w:cs="Arial"/>
          <w:sz w:val="24"/>
          <w:szCs w:val="24"/>
        </w:rPr>
        <w:t>, 10(3/4), pp. 360-381.</w:t>
      </w:r>
    </w:p>
    <w:p w14:paraId="390C3F34" w14:textId="77777777" w:rsidR="00BE4F3F" w:rsidRPr="00BE4F3F" w:rsidRDefault="00BE4F3F" w:rsidP="00BE4F3F">
      <w:pPr>
        <w:numPr>
          <w:ilvl w:val="0"/>
          <w:numId w:val="5"/>
        </w:numPr>
        <w:spacing w:line="360" w:lineRule="auto"/>
        <w:jc w:val="both"/>
        <w:rPr>
          <w:rFonts w:ascii="Arial" w:hAnsi="Arial" w:cs="Arial"/>
          <w:sz w:val="24"/>
          <w:szCs w:val="24"/>
        </w:rPr>
      </w:pPr>
      <w:r w:rsidRPr="00BE4F3F">
        <w:rPr>
          <w:rFonts w:ascii="Arial" w:hAnsi="Arial" w:cs="Arial"/>
          <w:sz w:val="24"/>
          <w:szCs w:val="24"/>
        </w:rPr>
        <w:t xml:space="preserve">WTO. (2023). </w:t>
      </w:r>
      <w:r w:rsidRPr="00BE4F3F">
        <w:rPr>
          <w:rFonts w:ascii="Arial" w:hAnsi="Arial" w:cs="Arial"/>
          <w:i/>
          <w:iCs/>
          <w:sz w:val="24"/>
          <w:szCs w:val="24"/>
        </w:rPr>
        <w:t>World Trade Report</w:t>
      </w:r>
      <w:r w:rsidRPr="00BE4F3F">
        <w:rPr>
          <w:rFonts w:ascii="Arial" w:hAnsi="Arial" w:cs="Arial"/>
          <w:sz w:val="24"/>
          <w:szCs w:val="24"/>
        </w:rPr>
        <w:t>. World Trade Organization.</w:t>
      </w:r>
    </w:p>
    <w:p w14:paraId="7E5B7E3D" w14:textId="77777777" w:rsidR="00555237" w:rsidRDefault="00555237" w:rsidP="001219CA">
      <w:pPr>
        <w:spacing w:line="360" w:lineRule="auto"/>
        <w:ind w:firstLine="284"/>
        <w:jc w:val="both"/>
        <w:rPr>
          <w:rFonts w:ascii="Arial" w:hAnsi="Arial" w:cs="Arial"/>
          <w:sz w:val="24"/>
          <w:szCs w:val="24"/>
        </w:rPr>
      </w:pPr>
    </w:p>
    <w:p w14:paraId="604C6C14" w14:textId="77777777" w:rsidR="000B6CFE" w:rsidRDefault="000B6CFE" w:rsidP="001219CA">
      <w:pPr>
        <w:spacing w:line="360" w:lineRule="auto"/>
        <w:ind w:firstLine="284"/>
        <w:jc w:val="both"/>
        <w:rPr>
          <w:rFonts w:ascii="Arial" w:hAnsi="Arial" w:cs="Arial"/>
          <w:sz w:val="24"/>
          <w:szCs w:val="24"/>
        </w:rPr>
      </w:pPr>
    </w:p>
    <w:p w14:paraId="2D907CA7" w14:textId="77777777" w:rsidR="000B6CFE" w:rsidRDefault="000B6CFE" w:rsidP="000B6CFE">
      <w:pPr>
        <w:spacing w:line="360" w:lineRule="auto"/>
        <w:jc w:val="both"/>
        <w:rPr>
          <w:rFonts w:ascii="Arial" w:hAnsi="Arial" w:cs="Arial"/>
          <w:sz w:val="24"/>
          <w:szCs w:val="24"/>
        </w:rPr>
      </w:pPr>
    </w:p>
    <w:p w14:paraId="0C8BFF90" w14:textId="77777777" w:rsidR="000B6CFE" w:rsidRDefault="000B6CFE" w:rsidP="001219CA">
      <w:pPr>
        <w:spacing w:line="360" w:lineRule="auto"/>
        <w:ind w:firstLine="284"/>
        <w:jc w:val="both"/>
        <w:rPr>
          <w:rFonts w:ascii="Arial" w:hAnsi="Arial" w:cs="Arial"/>
          <w:sz w:val="24"/>
          <w:szCs w:val="24"/>
        </w:rPr>
      </w:pPr>
    </w:p>
    <w:p w14:paraId="7B732E63" w14:textId="77777777" w:rsidR="000B6CFE" w:rsidRDefault="000B6CFE" w:rsidP="001219CA">
      <w:pPr>
        <w:spacing w:line="360" w:lineRule="auto"/>
        <w:ind w:firstLine="284"/>
        <w:jc w:val="both"/>
        <w:rPr>
          <w:rFonts w:ascii="Arial" w:hAnsi="Arial" w:cs="Arial"/>
          <w:sz w:val="24"/>
          <w:szCs w:val="24"/>
        </w:rPr>
      </w:pPr>
    </w:p>
    <w:p w14:paraId="5C70755A" w14:textId="339F8C5C" w:rsidR="000B6CFE" w:rsidRDefault="000B6CFE" w:rsidP="000B6CFE">
      <w:pPr>
        <w:pStyle w:val="Heading1"/>
      </w:pPr>
      <w:bookmarkStart w:id="15" w:name="_Toc182945204"/>
      <w:r>
        <w:t>Appendix 1: Research timeline</w:t>
      </w:r>
      <w:bookmarkEnd w:id="15"/>
    </w:p>
    <w:p w14:paraId="1DF63B7C" w14:textId="1420C587" w:rsidR="000B6CFE" w:rsidRPr="001219CA" w:rsidRDefault="000B6CFE" w:rsidP="00443AEF">
      <w:pPr>
        <w:spacing w:line="360" w:lineRule="auto"/>
        <w:ind w:left="-567" w:firstLine="284"/>
        <w:jc w:val="both"/>
        <w:rPr>
          <w:rFonts w:ascii="Arial" w:hAnsi="Arial" w:cs="Arial"/>
          <w:sz w:val="24"/>
          <w:szCs w:val="24"/>
        </w:rPr>
      </w:pPr>
      <w:r>
        <w:rPr>
          <w:rFonts w:ascii="Arial" w:hAnsi="Arial" w:cs="Arial"/>
          <w:noProof/>
          <w:sz w:val="24"/>
          <w:szCs w:val="24"/>
        </w:rPr>
        <w:drawing>
          <wp:inline distT="0" distB="0" distL="0" distR="0" wp14:anchorId="039B4A72" wp14:editId="0440E1C6">
            <wp:extent cx="6723582" cy="2780017"/>
            <wp:effectExtent l="0" t="0" r="1270" b="1905"/>
            <wp:docPr id="132255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39705" cy="2786683"/>
                    </a:xfrm>
                    <a:prstGeom prst="rect">
                      <a:avLst/>
                    </a:prstGeom>
                    <a:noFill/>
                    <a:ln>
                      <a:noFill/>
                    </a:ln>
                  </pic:spPr>
                </pic:pic>
              </a:graphicData>
            </a:graphic>
          </wp:inline>
        </w:drawing>
      </w:r>
    </w:p>
    <w:sectPr w:rsidR="000B6CFE" w:rsidRPr="001219CA" w:rsidSect="00F53946">
      <w:footerReference w:type="default" r:id="rId10"/>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9DD05" w14:textId="77777777" w:rsidR="004F4C99" w:rsidRDefault="004F4C99" w:rsidP="0070544B">
      <w:pPr>
        <w:spacing w:after="0" w:line="240" w:lineRule="auto"/>
      </w:pPr>
      <w:r>
        <w:separator/>
      </w:r>
    </w:p>
  </w:endnote>
  <w:endnote w:type="continuationSeparator" w:id="0">
    <w:p w14:paraId="4F46B842" w14:textId="77777777" w:rsidR="004F4C99" w:rsidRDefault="004F4C99" w:rsidP="00705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3876056"/>
      <w:docPartObj>
        <w:docPartGallery w:val="Page Numbers (Bottom of Page)"/>
        <w:docPartUnique/>
      </w:docPartObj>
    </w:sdtPr>
    <w:sdtEndPr>
      <w:rPr>
        <w:noProof/>
      </w:rPr>
    </w:sdtEndPr>
    <w:sdtContent>
      <w:p w14:paraId="4624C35E" w14:textId="2C9EA379" w:rsidR="0070544B" w:rsidRDefault="007054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58EF30" w14:textId="77777777" w:rsidR="0070544B" w:rsidRDefault="00705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8CC060" w14:textId="77777777" w:rsidR="004F4C99" w:rsidRDefault="004F4C99" w:rsidP="0070544B">
      <w:pPr>
        <w:spacing w:after="0" w:line="240" w:lineRule="auto"/>
      </w:pPr>
      <w:r>
        <w:separator/>
      </w:r>
    </w:p>
  </w:footnote>
  <w:footnote w:type="continuationSeparator" w:id="0">
    <w:p w14:paraId="1F8ACF62" w14:textId="77777777" w:rsidR="004F4C99" w:rsidRDefault="004F4C99" w:rsidP="00705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201F9"/>
    <w:multiLevelType w:val="multilevel"/>
    <w:tmpl w:val="1C14B560"/>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A7D3E"/>
    <w:multiLevelType w:val="multilevel"/>
    <w:tmpl w:val="CB48289E"/>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501246"/>
    <w:multiLevelType w:val="hybridMultilevel"/>
    <w:tmpl w:val="474EF31C"/>
    <w:lvl w:ilvl="0" w:tplc="9690A44A">
      <w:start w:val="1"/>
      <w:numFmt w:val="upperRoman"/>
      <w:lvlText w:val="%1."/>
      <w:lvlJc w:val="left"/>
      <w:pPr>
        <w:ind w:left="1004" w:hanging="720"/>
      </w:pPr>
      <w:rPr>
        <w:rFonts w:eastAsiaTheme="majorEastAsia" w:hint="default"/>
        <w:b/>
        <w:sz w:val="3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34E43E1F"/>
    <w:multiLevelType w:val="multilevel"/>
    <w:tmpl w:val="F314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1A3FB0"/>
    <w:multiLevelType w:val="multilevel"/>
    <w:tmpl w:val="8730CA68"/>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E65B5"/>
    <w:multiLevelType w:val="multilevel"/>
    <w:tmpl w:val="34BE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3281A"/>
    <w:multiLevelType w:val="multilevel"/>
    <w:tmpl w:val="3ABCB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8D5636"/>
    <w:multiLevelType w:val="multilevel"/>
    <w:tmpl w:val="1C986FFC"/>
    <w:lvl w:ilvl="0">
      <w:start w:val="1"/>
      <w:numFmt w:val="lowerLetter"/>
      <w:lvlText w:val="%1)"/>
      <w:lvlJc w:val="left"/>
      <w:pPr>
        <w:tabs>
          <w:tab w:val="num" w:pos="720"/>
        </w:tabs>
        <w:ind w:left="720" w:hanging="360"/>
      </w:pPr>
      <w:rPr>
        <w:rFonts w:ascii="Arial" w:eastAsiaTheme="minorHAnsi" w:hAnsi="Arial" w:cs="Arial" w:hint="default"/>
        <w:sz w:val="24"/>
        <w:szCs w:val="32"/>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52623"/>
    <w:multiLevelType w:val="multilevel"/>
    <w:tmpl w:val="48462570"/>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F85A09"/>
    <w:multiLevelType w:val="multilevel"/>
    <w:tmpl w:val="9F282E4A"/>
    <w:lvl w:ilvl="0">
      <w:start w:val="1"/>
      <w:numFmt w:val="decimal"/>
      <w:lvlText w:val="%1)"/>
      <w:lvlJc w:val="left"/>
      <w:pPr>
        <w:tabs>
          <w:tab w:val="num" w:pos="720"/>
        </w:tabs>
        <w:ind w:left="720" w:hanging="360"/>
      </w:pPr>
      <w:rPr>
        <w:rFonts w:ascii="Arial" w:eastAsiaTheme="majorEastAsia"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6D597C"/>
    <w:multiLevelType w:val="multilevel"/>
    <w:tmpl w:val="FC168698"/>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E42988"/>
    <w:multiLevelType w:val="multilevel"/>
    <w:tmpl w:val="9DA8D484"/>
    <w:lvl w:ilvl="0">
      <w:start w:val="1"/>
      <w:numFmt w:val="lowerLetter"/>
      <w:lvlText w:val="%1)"/>
      <w:lvlJc w:val="left"/>
      <w:pPr>
        <w:tabs>
          <w:tab w:val="num" w:pos="720"/>
        </w:tabs>
        <w:ind w:left="720" w:hanging="360"/>
      </w:pPr>
      <w:rPr>
        <w:rFonts w:ascii="Arial" w:eastAsiaTheme="minorHAnsi" w:hAnsi="Arial" w:cs="Arial"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594863"/>
    <w:multiLevelType w:val="multilevel"/>
    <w:tmpl w:val="78502312"/>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5488187">
    <w:abstractNumId w:val="6"/>
  </w:num>
  <w:num w:numId="2" w16cid:durableId="1563901811">
    <w:abstractNumId w:val="11"/>
  </w:num>
  <w:num w:numId="3" w16cid:durableId="1776241650">
    <w:abstractNumId w:val="7"/>
  </w:num>
  <w:num w:numId="4" w16cid:durableId="156968138">
    <w:abstractNumId w:val="3"/>
  </w:num>
  <w:num w:numId="5" w16cid:durableId="2076463243">
    <w:abstractNumId w:val="5"/>
  </w:num>
  <w:num w:numId="6" w16cid:durableId="2029599916">
    <w:abstractNumId w:val="1"/>
  </w:num>
  <w:num w:numId="7" w16cid:durableId="1069035812">
    <w:abstractNumId w:val="10"/>
  </w:num>
  <w:num w:numId="8" w16cid:durableId="1200362260">
    <w:abstractNumId w:val="8"/>
  </w:num>
  <w:num w:numId="9" w16cid:durableId="1982224084">
    <w:abstractNumId w:val="4"/>
  </w:num>
  <w:num w:numId="10" w16cid:durableId="851455236">
    <w:abstractNumId w:val="12"/>
  </w:num>
  <w:num w:numId="11" w16cid:durableId="1554148055">
    <w:abstractNumId w:val="0"/>
  </w:num>
  <w:num w:numId="12" w16cid:durableId="458500260">
    <w:abstractNumId w:val="2"/>
  </w:num>
  <w:num w:numId="13" w16cid:durableId="19362070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C08"/>
    <w:rsid w:val="00025B31"/>
    <w:rsid w:val="00067C08"/>
    <w:rsid w:val="0008427F"/>
    <w:rsid w:val="000B6CFE"/>
    <w:rsid w:val="001219CA"/>
    <w:rsid w:val="002A64F1"/>
    <w:rsid w:val="00312E6F"/>
    <w:rsid w:val="003901F5"/>
    <w:rsid w:val="00443AEF"/>
    <w:rsid w:val="00456AAE"/>
    <w:rsid w:val="004F4C99"/>
    <w:rsid w:val="005002B8"/>
    <w:rsid w:val="00555237"/>
    <w:rsid w:val="00605C68"/>
    <w:rsid w:val="00636F5F"/>
    <w:rsid w:val="00652586"/>
    <w:rsid w:val="0070544B"/>
    <w:rsid w:val="00737D9E"/>
    <w:rsid w:val="007D0B6B"/>
    <w:rsid w:val="007E119A"/>
    <w:rsid w:val="009A0539"/>
    <w:rsid w:val="00BE4F3F"/>
    <w:rsid w:val="00C07C64"/>
    <w:rsid w:val="00D2041B"/>
    <w:rsid w:val="00D945A6"/>
    <w:rsid w:val="00E94385"/>
    <w:rsid w:val="00EB3E86"/>
    <w:rsid w:val="00F53946"/>
    <w:rsid w:val="00FB2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062F"/>
  <w15:chartTrackingRefBased/>
  <w15:docId w15:val="{EF0C559C-9871-4489-B0E7-73907E58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0544B"/>
    <w:pPr>
      <w:keepNext/>
      <w:keepLines/>
      <w:spacing w:before="360" w:after="80" w:line="360" w:lineRule="auto"/>
      <w:ind w:firstLine="284"/>
      <w:jc w:val="both"/>
      <w:outlineLvl w:val="0"/>
    </w:pPr>
    <w:rPr>
      <w:rFonts w:ascii="Arial" w:eastAsiaTheme="majorEastAsia" w:hAnsi="Arial" w:cs="Arial"/>
      <w:b/>
      <w:sz w:val="32"/>
      <w:szCs w:val="24"/>
    </w:rPr>
  </w:style>
  <w:style w:type="paragraph" w:styleId="Heading2">
    <w:name w:val="heading 2"/>
    <w:basedOn w:val="Normal"/>
    <w:next w:val="Normal"/>
    <w:link w:val="Heading2Char"/>
    <w:uiPriority w:val="9"/>
    <w:unhideWhenUsed/>
    <w:qFormat/>
    <w:rsid w:val="007D0B6B"/>
    <w:pPr>
      <w:keepNext/>
      <w:keepLines/>
      <w:spacing w:after="0"/>
      <w:ind w:left="720"/>
      <w:outlineLvl w:val="1"/>
    </w:pPr>
    <w:rPr>
      <w:rFonts w:ascii="Arial" w:eastAsiaTheme="majorEastAsia" w:hAnsi="Arial" w:cstheme="majorBidi"/>
      <w:i/>
      <w:sz w:val="28"/>
      <w:szCs w:val="32"/>
    </w:rPr>
  </w:style>
  <w:style w:type="paragraph" w:styleId="Heading3">
    <w:name w:val="heading 3"/>
    <w:basedOn w:val="Normal"/>
    <w:next w:val="Normal"/>
    <w:link w:val="Heading3Char"/>
    <w:uiPriority w:val="9"/>
    <w:semiHidden/>
    <w:unhideWhenUsed/>
    <w:qFormat/>
    <w:rsid w:val="00067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44B"/>
    <w:rPr>
      <w:rFonts w:ascii="Arial" w:eastAsiaTheme="majorEastAsia" w:hAnsi="Arial" w:cs="Arial"/>
      <w:b/>
      <w:sz w:val="32"/>
      <w:szCs w:val="24"/>
    </w:rPr>
  </w:style>
  <w:style w:type="character" w:customStyle="1" w:styleId="Heading2Char">
    <w:name w:val="Heading 2 Char"/>
    <w:basedOn w:val="DefaultParagraphFont"/>
    <w:link w:val="Heading2"/>
    <w:uiPriority w:val="9"/>
    <w:rsid w:val="007D0B6B"/>
    <w:rPr>
      <w:rFonts w:ascii="Arial" w:eastAsiaTheme="majorEastAsia" w:hAnsi="Arial" w:cstheme="majorBidi"/>
      <w:i/>
      <w:sz w:val="28"/>
      <w:szCs w:val="32"/>
    </w:rPr>
  </w:style>
  <w:style w:type="character" w:customStyle="1" w:styleId="Heading3Char">
    <w:name w:val="Heading 3 Char"/>
    <w:basedOn w:val="DefaultParagraphFont"/>
    <w:link w:val="Heading3"/>
    <w:uiPriority w:val="9"/>
    <w:semiHidden/>
    <w:rsid w:val="00067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C08"/>
    <w:rPr>
      <w:rFonts w:eastAsiaTheme="majorEastAsia" w:cstheme="majorBidi"/>
      <w:color w:val="272727" w:themeColor="text1" w:themeTint="D8"/>
    </w:rPr>
  </w:style>
  <w:style w:type="paragraph" w:styleId="Title">
    <w:name w:val="Title"/>
    <w:basedOn w:val="Normal"/>
    <w:next w:val="Normal"/>
    <w:link w:val="TitleChar"/>
    <w:uiPriority w:val="10"/>
    <w:qFormat/>
    <w:rsid w:val="00067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C08"/>
    <w:pPr>
      <w:spacing w:before="160"/>
      <w:jc w:val="center"/>
    </w:pPr>
    <w:rPr>
      <w:i/>
      <w:iCs/>
      <w:color w:val="404040" w:themeColor="text1" w:themeTint="BF"/>
    </w:rPr>
  </w:style>
  <w:style w:type="character" w:customStyle="1" w:styleId="QuoteChar">
    <w:name w:val="Quote Char"/>
    <w:basedOn w:val="DefaultParagraphFont"/>
    <w:link w:val="Quote"/>
    <w:uiPriority w:val="29"/>
    <w:rsid w:val="00067C08"/>
    <w:rPr>
      <w:i/>
      <w:iCs/>
      <w:color w:val="404040" w:themeColor="text1" w:themeTint="BF"/>
    </w:rPr>
  </w:style>
  <w:style w:type="paragraph" w:styleId="ListParagraph">
    <w:name w:val="List Paragraph"/>
    <w:basedOn w:val="Normal"/>
    <w:uiPriority w:val="34"/>
    <w:qFormat/>
    <w:rsid w:val="00067C08"/>
    <w:pPr>
      <w:ind w:left="720"/>
      <w:contextualSpacing/>
    </w:pPr>
  </w:style>
  <w:style w:type="character" w:styleId="IntenseEmphasis">
    <w:name w:val="Intense Emphasis"/>
    <w:basedOn w:val="DefaultParagraphFont"/>
    <w:uiPriority w:val="21"/>
    <w:qFormat/>
    <w:rsid w:val="00067C08"/>
    <w:rPr>
      <w:i/>
      <w:iCs/>
      <w:color w:val="0F4761" w:themeColor="accent1" w:themeShade="BF"/>
    </w:rPr>
  </w:style>
  <w:style w:type="paragraph" w:styleId="IntenseQuote">
    <w:name w:val="Intense Quote"/>
    <w:basedOn w:val="Normal"/>
    <w:next w:val="Normal"/>
    <w:link w:val="IntenseQuoteChar"/>
    <w:uiPriority w:val="30"/>
    <w:qFormat/>
    <w:rsid w:val="00067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C08"/>
    <w:rPr>
      <w:i/>
      <w:iCs/>
      <w:color w:val="0F4761" w:themeColor="accent1" w:themeShade="BF"/>
    </w:rPr>
  </w:style>
  <w:style w:type="character" w:styleId="IntenseReference">
    <w:name w:val="Intense Reference"/>
    <w:basedOn w:val="DefaultParagraphFont"/>
    <w:uiPriority w:val="32"/>
    <w:qFormat/>
    <w:rsid w:val="00067C08"/>
    <w:rPr>
      <w:b/>
      <w:bCs/>
      <w:smallCaps/>
      <w:color w:val="0F4761" w:themeColor="accent1" w:themeShade="BF"/>
      <w:spacing w:val="5"/>
    </w:rPr>
  </w:style>
  <w:style w:type="character" w:styleId="Hyperlink">
    <w:name w:val="Hyperlink"/>
    <w:basedOn w:val="DefaultParagraphFont"/>
    <w:uiPriority w:val="99"/>
    <w:unhideWhenUsed/>
    <w:rsid w:val="00BE4F3F"/>
    <w:rPr>
      <w:color w:val="467886" w:themeColor="hyperlink"/>
      <w:u w:val="single"/>
    </w:rPr>
  </w:style>
  <w:style w:type="character" w:styleId="UnresolvedMention">
    <w:name w:val="Unresolved Mention"/>
    <w:basedOn w:val="DefaultParagraphFont"/>
    <w:uiPriority w:val="99"/>
    <w:semiHidden/>
    <w:unhideWhenUsed/>
    <w:rsid w:val="00BE4F3F"/>
    <w:rPr>
      <w:color w:val="605E5C"/>
      <w:shd w:val="clear" w:color="auto" w:fill="E1DFDD"/>
    </w:rPr>
  </w:style>
  <w:style w:type="paragraph" w:styleId="Header">
    <w:name w:val="header"/>
    <w:basedOn w:val="Normal"/>
    <w:link w:val="HeaderChar"/>
    <w:uiPriority w:val="99"/>
    <w:unhideWhenUsed/>
    <w:rsid w:val="00705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44B"/>
  </w:style>
  <w:style w:type="paragraph" w:styleId="Footer">
    <w:name w:val="footer"/>
    <w:basedOn w:val="Normal"/>
    <w:link w:val="FooterChar"/>
    <w:uiPriority w:val="99"/>
    <w:unhideWhenUsed/>
    <w:rsid w:val="00705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44B"/>
  </w:style>
  <w:style w:type="paragraph" w:styleId="TOCHeading">
    <w:name w:val="TOC Heading"/>
    <w:basedOn w:val="Heading1"/>
    <w:next w:val="Normal"/>
    <w:uiPriority w:val="39"/>
    <w:unhideWhenUsed/>
    <w:qFormat/>
    <w:rsid w:val="0070544B"/>
    <w:pPr>
      <w:spacing w:before="240" w:after="0" w:line="259" w:lineRule="auto"/>
      <w:ind w:firstLine="0"/>
      <w:jc w:val="left"/>
      <w:outlineLvl w:val="9"/>
    </w:pPr>
    <w:rPr>
      <w:rFonts w:asciiTheme="majorHAnsi" w:hAnsiTheme="majorHAnsi" w:cstheme="majorBid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70544B"/>
    <w:pPr>
      <w:spacing w:after="100"/>
    </w:pPr>
  </w:style>
  <w:style w:type="paragraph" w:styleId="TOC2">
    <w:name w:val="toc 2"/>
    <w:basedOn w:val="Normal"/>
    <w:next w:val="Normal"/>
    <w:autoRedefine/>
    <w:uiPriority w:val="39"/>
    <w:unhideWhenUsed/>
    <w:rsid w:val="007054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812810">
      <w:bodyDiv w:val="1"/>
      <w:marLeft w:val="0"/>
      <w:marRight w:val="0"/>
      <w:marTop w:val="0"/>
      <w:marBottom w:val="0"/>
      <w:divBdr>
        <w:top w:val="none" w:sz="0" w:space="0" w:color="auto"/>
        <w:left w:val="none" w:sz="0" w:space="0" w:color="auto"/>
        <w:bottom w:val="none" w:sz="0" w:space="0" w:color="auto"/>
        <w:right w:val="none" w:sz="0" w:space="0" w:color="auto"/>
      </w:divBdr>
    </w:div>
    <w:div w:id="485631835">
      <w:bodyDiv w:val="1"/>
      <w:marLeft w:val="0"/>
      <w:marRight w:val="0"/>
      <w:marTop w:val="0"/>
      <w:marBottom w:val="0"/>
      <w:divBdr>
        <w:top w:val="none" w:sz="0" w:space="0" w:color="auto"/>
        <w:left w:val="none" w:sz="0" w:space="0" w:color="auto"/>
        <w:bottom w:val="none" w:sz="0" w:space="0" w:color="auto"/>
        <w:right w:val="none" w:sz="0" w:space="0" w:color="auto"/>
      </w:divBdr>
    </w:div>
    <w:div w:id="538201111">
      <w:bodyDiv w:val="1"/>
      <w:marLeft w:val="0"/>
      <w:marRight w:val="0"/>
      <w:marTop w:val="0"/>
      <w:marBottom w:val="0"/>
      <w:divBdr>
        <w:top w:val="none" w:sz="0" w:space="0" w:color="auto"/>
        <w:left w:val="none" w:sz="0" w:space="0" w:color="auto"/>
        <w:bottom w:val="none" w:sz="0" w:space="0" w:color="auto"/>
        <w:right w:val="none" w:sz="0" w:space="0" w:color="auto"/>
      </w:divBdr>
    </w:div>
    <w:div w:id="539588478">
      <w:bodyDiv w:val="1"/>
      <w:marLeft w:val="0"/>
      <w:marRight w:val="0"/>
      <w:marTop w:val="0"/>
      <w:marBottom w:val="0"/>
      <w:divBdr>
        <w:top w:val="none" w:sz="0" w:space="0" w:color="auto"/>
        <w:left w:val="none" w:sz="0" w:space="0" w:color="auto"/>
        <w:bottom w:val="none" w:sz="0" w:space="0" w:color="auto"/>
        <w:right w:val="none" w:sz="0" w:space="0" w:color="auto"/>
      </w:divBdr>
    </w:div>
    <w:div w:id="1030645892">
      <w:bodyDiv w:val="1"/>
      <w:marLeft w:val="0"/>
      <w:marRight w:val="0"/>
      <w:marTop w:val="0"/>
      <w:marBottom w:val="0"/>
      <w:divBdr>
        <w:top w:val="none" w:sz="0" w:space="0" w:color="auto"/>
        <w:left w:val="none" w:sz="0" w:space="0" w:color="auto"/>
        <w:bottom w:val="none" w:sz="0" w:space="0" w:color="auto"/>
        <w:right w:val="none" w:sz="0" w:space="0" w:color="auto"/>
      </w:divBdr>
    </w:div>
    <w:div w:id="1256982829">
      <w:bodyDiv w:val="1"/>
      <w:marLeft w:val="0"/>
      <w:marRight w:val="0"/>
      <w:marTop w:val="0"/>
      <w:marBottom w:val="0"/>
      <w:divBdr>
        <w:top w:val="none" w:sz="0" w:space="0" w:color="auto"/>
        <w:left w:val="none" w:sz="0" w:space="0" w:color="auto"/>
        <w:bottom w:val="none" w:sz="0" w:space="0" w:color="auto"/>
        <w:right w:val="none" w:sz="0" w:space="0" w:color="auto"/>
      </w:divBdr>
    </w:div>
    <w:div w:id="1733428821">
      <w:bodyDiv w:val="1"/>
      <w:marLeft w:val="0"/>
      <w:marRight w:val="0"/>
      <w:marTop w:val="0"/>
      <w:marBottom w:val="0"/>
      <w:divBdr>
        <w:top w:val="none" w:sz="0" w:space="0" w:color="auto"/>
        <w:left w:val="none" w:sz="0" w:space="0" w:color="auto"/>
        <w:bottom w:val="none" w:sz="0" w:space="0" w:color="auto"/>
        <w:right w:val="none" w:sz="0" w:space="0" w:color="auto"/>
      </w:divBdr>
    </w:div>
    <w:div w:id="194800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article/2024/jul/22/hong-kong-trade-hub-repo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97C39-4EC9-4823-B214-44FB5C19E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10</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6</cp:revision>
  <dcterms:created xsi:type="dcterms:W3CDTF">2024-11-19T10:42:00Z</dcterms:created>
  <dcterms:modified xsi:type="dcterms:W3CDTF">2024-11-19T22:26:00Z</dcterms:modified>
</cp:coreProperties>
</file>