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71587" w14:textId="77777777" w:rsidR="00271C26" w:rsidRPr="00271C26" w:rsidRDefault="00271C26" w:rsidP="00271C26">
      <w:pPr>
        <w:spacing w:line="480" w:lineRule="auto"/>
        <w:jc w:val="center"/>
        <w:rPr>
          <w:rFonts w:ascii="Arial" w:eastAsia="Times New Roman" w:hAnsi="Arial" w:cs="Arial"/>
          <w:kern w:val="0"/>
          <w:sz w:val="32"/>
          <w:szCs w:val="32"/>
          <w14:ligatures w14:val="none"/>
        </w:rPr>
      </w:pPr>
      <w:r w:rsidRPr="00271C26">
        <w:rPr>
          <w:rFonts w:ascii="Arial" w:eastAsia="Times New Roman" w:hAnsi="Arial" w:cs="Arial"/>
          <w:b/>
          <w:bCs/>
          <w:kern w:val="0"/>
          <w:sz w:val="32"/>
          <w:szCs w:val="32"/>
          <w14:ligatures w14:val="none"/>
        </w:rPr>
        <w:t>Programme:</w:t>
      </w:r>
      <w:r w:rsidRPr="00271C26">
        <w:rPr>
          <w:rFonts w:ascii="Arial" w:eastAsia="Times New Roman" w:hAnsi="Arial" w:cs="Arial"/>
          <w:kern w:val="0"/>
          <w:sz w:val="32"/>
          <w:szCs w:val="32"/>
          <w14:ligatures w14:val="none"/>
        </w:rPr>
        <w:t xml:space="preserve"> BA International Hotel Management</w:t>
      </w:r>
    </w:p>
    <w:p w14:paraId="6A51AE50" w14:textId="77777777" w:rsidR="00271C26" w:rsidRPr="00271C26" w:rsidRDefault="00271C26" w:rsidP="00271C26">
      <w:pPr>
        <w:spacing w:line="480" w:lineRule="auto"/>
        <w:jc w:val="center"/>
        <w:rPr>
          <w:rFonts w:ascii="Arial" w:eastAsia="Times New Roman" w:hAnsi="Arial" w:cs="Arial"/>
          <w:kern w:val="0"/>
          <w:sz w:val="32"/>
          <w:szCs w:val="32"/>
          <w14:ligatures w14:val="none"/>
        </w:rPr>
      </w:pPr>
      <w:r w:rsidRPr="00271C26">
        <w:rPr>
          <w:rFonts w:ascii="Arial" w:eastAsia="Times New Roman" w:hAnsi="Arial" w:cs="Arial"/>
          <w:b/>
          <w:bCs/>
          <w:kern w:val="0"/>
          <w:sz w:val="32"/>
          <w:szCs w:val="32"/>
          <w14:ligatures w14:val="none"/>
        </w:rPr>
        <w:t>Module code:</w:t>
      </w:r>
      <w:r w:rsidRPr="00271C26">
        <w:rPr>
          <w:rFonts w:ascii="Arial" w:eastAsia="Times New Roman" w:hAnsi="Arial" w:cs="Arial"/>
          <w:kern w:val="0"/>
          <w:sz w:val="32"/>
          <w:szCs w:val="32"/>
          <w14:ligatures w14:val="none"/>
        </w:rPr>
        <w:t xml:space="preserve"> BMIH5004</w:t>
      </w:r>
    </w:p>
    <w:p w14:paraId="5A991DD6" w14:textId="77777777" w:rsidR="00271C26" w:rsidRPr="00271C26" w:rsidRDefault="00271C26" w:rsidP="00271C26">
      <w:pPr>
        <w:spacing w:line="480" w:lineRule="auto"/>
        <w:jc w:val="center"/>
        <w:rPr>
          <w:rFonts w:ascii="Arial" w:eastAsia="Times New Roman" w:hAnsi="Arial" w:cs="Arial"/>
          <w:kern w:val="0"/>
          <w:sz w:val="32"/>
          <w:szCs w:val="32"/>
          <w14:ligatures w14:val="none"/>
        </w:rPr>
      </w:pPr>
      <w:r w:rsidRPr="00271C26">
        <w:rPr>
          <w:rFonts w:ascii="Arial" w:eastAsia="Times New Roman" w:hAnsi="Arial" w:cs="Arial"/>
          <w:b/>
          <w:bCs/>
          <w:kern w:val="0"/>
          <w:sz w:val="32"/>
          <w:szCs w:val="32"/>
          <w14:ligatures w14:val="none"/>
        </w:rPr>
        <w:t>Module:</w:t>
      </w:r>
      <w:r w:rsidRPr="00271C26">
        <w:rPr>
          <w:rFonts w:ascii="Arial" w:eastAsia="Times New Roman" w:hAnsi="Arial" w:cs="Arial"/>
          <w:kern w:val="0"/>
          <w:sz w:val="32"/>
          <w:szCs w:val="32"/>
          <w14:ligatures w14:val="none"/>
        </w:rPr>
        <w:t xml:space="preserve"> Management &amp; Organisational Behaviour</w:t>
      </w:r>
    </w:p>
    <w:p w14:paraId="3F1A6E5D" w14:textId="77777777" w:rsidR="00271C26" w:rsidRPr="00271C26" w:rsidRDefault="00271C26" w:rsidP="00271C26">
      <w:pPr>
        <w:spacing w:line="480" w:lineRule="auto"/>
        <w:jc w:val="center"/>
        <w:rPr>
          <w:rFonts w:ascii="Arial" w:eastAsia="Times New Roman" w:hAnsi="Arial" w:cs="Arial"/>
          <w:kern w:val="0"/>
          <w:sz w:val="32"/>
          <w:szCs w:val="32"/>
          <w14:ligatures w14:val="none"/>
        </w:rPr>
      </w:pPr>
      <w:r w:rsidRPr="00271C26">
        <w:rPr>
          <w:rFonts w:ascii="Arial" w:eastAsia="Times New Roman" w:hAnsi="Arial" w:cs="Arial"/>
          <w:b/>
          <w:bCs/>
          <w:kern w:val="0"/>
          <w:sz w:val="32"/>
          <w:szCs w:val="32"/>
          <w14:ligatures w14:val="none"/>
        </w:rPr>
        <w:t>Assignment Title:</w:t>
      </w:r>
      <w:r w:rsidRPr="00271C26">
        <w:rPr>
          <w:rFonts w:ascii="Arial" w:eastAsia="Times New Roman" w:hAnsi="Arial" w:cs="Arial"/>
          <w:kern w:val="0"/>
          <w:sz w:val="32"/>
          <w:szCs w:val="32"/>
          <w14:ligatures w14:val="none"/>
        </w:rPr>
        <w:t xml:space="preserve"> Written Report</w:t>
      </w:r>
    </w:p>
    <w:p w14:paraId="7408B488" w14:textId="0F419AD2"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Student name:</w:t>
      </w:r>
      <w:r w:rsidR="00A968DA">
        <w:rPr>
          <w:rFonts w:ascii="Arial" w:eastAsia="Calibri" w:hAnsi="Arial" w:cs="Arial"/>
          <w:kern w:val="0"/>
          <w:sz w:val="24"/>
          <w:szCs w:val="24"/>
          <w14:ligatures w14:val="none"/>
        </w:rPr>
        <w:t xml:space="preserve"> Rukshana Begum</w:t>
      </w:r>
    </w:p>
    <w:p w14:paraId="0D02C1F1" w14:textId="58C0F6B8" w:rsid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Student ID:</w:t>
      </w:r>
      <w:r w:rsidR="00A968DA">
        <w:rPr>
          <w:rFonts w:ascii="Arial" w:eastAsia="Calibri" w:hAnsi="Arial" w:cs="Arial"/>
          <w:kern w:val="0"/>
          <w:sz w:val="24"/>
          <w:szCs w:val="24"/>
          <w14:ligatures w14:val="none"/>
        </w:rPr>
        <w:t>2120527</w:t>
      </w:r>
    </w:p>
    <w:p w14:paraId="283CAA67" w14:textId="00BD9962" w:rsidR="00A968DA" w:rsidRPr="00271C26" w:rsidRDefault="00A968DA" w:rsidP="00271C26">
      <w:pPr>
        <w:spacing w:line="480" w:lineRule="auto"/>
        <w:jc w:val="center"/>
        <w:rPr>
          <w:rFonts w:ascii="Arial" w:eastAsia="Calibri" w:hAnsi="Arial" w:cs="Arial"/>
          <w:kern w:val="0"/>
          <w:sz w:val="24"/>
          <w:szCs w:val="24"/>
          <w14:ligatures w14:val="none"/>
        </w:rPr>
      </w:pPr>
      <w:r>
        <w:rPr>
          <w:rFonts w:ascii="Arial" w:eastAsia="Calibri" w:hAnsi="Arial" w:cs="Arial"/>
          <w:kern w:val="0"/>
          <w:sz w:val="24"/>
          <w:szCs w:val="24"/>
          <w14:ligatures w14:val="none"/>
        </w:rPr>
        <w:t>Lecturer Name: Giulia Chifari</w:t>
      </w:r>
    </w:p>
    <w:p w14:paraId="3DD6E9D5" w14:textId="77777777" w:rsidR="00271C26" w:rsidRPr="00271C26" w:rsidRDefault="00271C26" w:rsidP="00271C26">
      <w:pPr>
        <w:tabs>
          <w:tab w:val="left" w:pos="1114"/>
        </w:tabs>
        <w:spacing w:line="480" w:lineRule="auto"/>
        <w:rPr>
          <w:rFonts w:ascii="Arial" w:eastAsia="Calibri" w:hAnsi="Arial" w:cs="Arial"/>
          <w:kern w:val="0"/>
          <w:sz w:val="24"/>
          <w:szCs w:val="24"/>
          <w14:ligatures w14:val="none"/>
        </w:rPr>
        <w:sectPr w:rsidR="00271C26" w:rsidRPr="00271C26" w:rsidSect="00D57CB5">
          <w:footerReference w:type="default" r:id="rId5"/>
          <w:pgSz w:w="12240" w:h="15840"/>
          <w:pgMar w:top="1440" w:right="1440" w:bottom="1440" w:left="1440" w:header="720" w:footer="720" w:gutter="0"/>
          <w:cols w:space="720"/>
          <w:docGrid w:linePitch="360"/>
        </w:sectPr>
      </w:pPr>
      <w:r w:rsidRPr="00271C26">
        <w:rPr>
          <w:rFonts w:ascii="Arial" w:eastAsia="Calibri" w:hAnsi="Arial" w:cs="Arial"/>
          <w:kern w:val="0"/>
          <w:sz w:val="24"/>
          <w:szCs w:val="24"/>
          <w14:ligatures w14:val="none"/>
        </w:rPr>
        <w:tab/>
      </w:r>
    </w:p>
    <w:p w14:paraId="78D55B74" w14:textId="77777777" w:rsidR="00271C26" w:rsidRPr="00271C26" w:rsidRDefault="00271C26" w:rsidP="00271C26">
      <w:pPr>
        <w:tabs>
          <w:tab w:val="left" w:pos="1114"/>
        </w:tabs>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lastRenderedPageBreak/>
        <w:t>Executive summary</w:t>
      </w:r>
    </w:p>
    <w:p w14:paraId="2C22717F" w14:textId="77777777" w:rsidR="00271C26" w:rsidRPr="00271C26" w:rsidRDefault="00271C26" w:rsidP="00271C26">
      <w:pPr>
        <w:tabs>
          <w:tab w:val="left" w:pos="1114"/>
        </w:tabs>
        <w:spacing w:line="480" w:lineRule="auto"/>
        <w:jc w:val="both"/>
        <w:rPr>
          <w:rFonts w:ascii="Arial" w:eastAsia="Calibri" w:hAnsi="Arial" w:cs="Arial"/>
          <w:kern w:val="0"/>
          <w:sz w:val="24"/>
          <w:szCs w:val="24"/>
          <w14:ligatures w14:val="none"/>
        </w:rPr>
        <w:sectPr w:rsidR="00271C26" w:rsidRPr="00271C26" w:rsidSect="00D57CB5">
          <w:pgSz w:w="12240" w:h="15840"/>
          <w:pgMar w:top="1440" w:right="1440" w:bottom="1440" w:left="1440" w:header="720" w:footer="720" w:gutter="0"/>
          <w:cols w:space="720"/>
          <w:docGrid w:linePitch="360"/>
        </w:sectPr>
      </w:pPr>
      <w:r w:rsidRPr="00271C26">
        <w:rPr>
          <w:rFonts w:ascii="Arial" w:eastAsia="Calibri" w:hAnsi="Arial" w:cs="Arial"/>
          <w:kern w:val="0"/>
          <w:sz w:val="24"/>
          <w:szCs w:val="24"/>
          <w14:ligatures w14:val="none"/>
        </w:rPr>
        <w:t>Hyatt Hotels is an American multinational company managing hotels, resorts, residential properties, and franchises. It has established a hybrid organizational structure using a functional structure at the corporate level and a divisional structure in different geographical regions. Its clan organizational culture enriches interpersonal relationships while downward communication and information flow provide control. Its clarity and coherence of corporate and individual unit goals are helping the company to achieve the goal of providing unparalleled services, authentic hospitality, and inviting surroundings to all the hosted events. It has made changes in the loyalty program, investment, and sustainability measures, which have been managed well. Hyatt Hotels has identified its focus area to be its investment and care system. These have helped the company to take the necessary initiatives to increase income and growth—the alignment with diversity trends. Globalization trends and people-centricity trends have helped to gain a better competitive position in the international market. It should use a good tracking system in the loyalty programs to manage the change. It also should configure its training programs for employees to align with technological advancement and sustainability measures.</w:t>
      </w:r>
    </w:p>
    <w:sdt>
      <w:sdtPr>
        <w:rPr>
          <w:rFonts w:ascii="Calibri" w:eastAsia="Calibri" w:hAnsi="Calibri" w:cs="Times New Roman"/>
          <w:kern w:val="0"/>
          <w14:ligatures w14:val="none"/>
        </w:rPr>
        <w:id w:val="-1184436157"/>
        <w:docPartObj>
          <w:docPartGallery w:val="Table of Contents"/>
          <w:docPartUnique/>
        </w:docPartObj>
      </w:sdtPr>
      <w:sdtEndPr>
        <w:rPr>
          <w:b/>
          <w:bCs/>
        </w:rPr>
      </w:sdtEndPr>
      <w:sdtContent>
        <w:p w14:paraId="4068CE75" w14:textId="77777777" w:rsidR="00271C26" w:rsidRPr="00271C26" w:rsidRDefault="00271C26" w:rsidP="00271C26">
          <w:pPr>
            <w:keepNext/>
            <w:keepLines/>
            <w:spacing w:before="240" w:after="0" w:line="480" w:lineRule="auto"/>
            <w:rPr>
              <w:rFonts w:ascii="Arial" w:eastAsia="Times New Roman" w:hAnsi="Arial" w:cs="Arial"/>
              <w:color w:val="2F5496"/>
              <w:kern w:val="0"/>
              <w:sz w:val="32"/>
              <w:szCs w:val="32"/>
              <w14:ligatures w14:val="none"/>
            </w:rPr>
          </w:pPr>
          <w:r w:rsidRPr="00271C26">
            <w:rPr>
              <w:rFonts w:ascii="Arial" w:eastAsia="Times New Roman" w:hAnsi="Arial" w:cs="Arial"/>
              <w:color w:val="2F5496"/>
              <w:kern w:val="0"/>
              <w:sz w:val="32"/>
              <w:szCs w:val="32"/>
              <w14:ligatures w14:val="none"/>
            </w:rPr>
            <w:t>Table of Contents</w:t>
          </w:r>
        </w:p>
        <w:p w14:paraId="0FC5369F" w14:textId="77777777" w:rsidR="00271C26" w:rsidRPr="00271C26" w:rsidRDefault="00271C26" w:rsidP="00271C26">
          <w:pPr>
            <w:tabs>
              <w:tab w:val="right" w:leader="dot" w:pos="9350"/>
            </w:tabs>
            <w:spacing w:after="100"/>
            <w:rPr>
              <w:rFonts w:ascii="Calibri" w:eastAsia="Times New Roman" w:hAnsi="Calibri" w:cs="Times New Roman"/>
              <w:lang w:eastAsia="en-GB"/>
            </w:rPr>
          </w:pPr>
          <w:r w:rsidRPr="00271C26">
            <w:rPr>
              <w:rFonts w:ascii="Calibri" w:eastAsia="Calibri" w:hAnsi="Calibri" w:cs="Times New Roman"/>
              <w:kern w:val="0"/>
              <w14:ligatures w14:val="none"/>
            </w:rPr>
            <w:fldChar w:fldCharType="begin"/>
          </w:r>
          <w:r w:rsidRPr="00271C26">
            <w:rPr>
              <w:rFonts w:ascii="Calibri" w:eastAsia="Calibri" w:hAnsi="Calibri" w:cs="Times New Roman"/>
              <w:kern w:val="0"/>
              <w14:ligatures w14:val="none"/>
            </w:rPr>
            <w:instrText xml:space="preserve"> TOC \o "1-3" \h \z \u </w:instrText>
          </w:r>
          <w:r w:rsidRPr="00271C26">
            <w:rPr>
              <w:rFonts w:ascii="Calibri" w:eastAsia="Calibri" w:hAnsi="Calibri" w:cs="Times New Roman"/>
              <w:kern w:val="0"/>
              <w14:ligatures w14:val="none"/>
            </w:rPr>
            <w:fldChar w:fldCharType="separate"/>
          </w:r>
          <w:hyperlink w:anchor="_Toc160107345" w:history="1">
            <w:r w:rsidRPr="00271C26">
              <w:rPr>
                <w:rFonts w:ascii="Arial" w:eastAsia="Calibri" w:hAnsi="Arial" w:cs="Arial"/>
                <w:color w:val="0563C1"/>
                <w:kern w:val="0"/>
                <w:u w:val="single"/>
                <w14:ligatures w14:val="none"/>
              </w:rPr>
              <w:t>Introduction</w:t>
            </w:r>
            <w:r w:rsidRPr="00271C26">
              <w:rPr>
                <w:rFonts w:ascii="Calibri" w:eastAsia="Calibri" w:hAnsi="Calibri" w:cs="Times New Roman"/>
                <w:webHidden/>
                <w:kern w:val="0"/>
                <w14:ligatures w14:val="none"/>
              </w:rPr>
              <w:tab/>
            </w:r>
            <w:r w:rsidRPr="00271C26">
              <w:rPr>
                <w:rFonts w:ascii="Calibri" w:eastAsia="Calibri" w:hAnsi="Calibri" w:cs="Times New Roman"/>
                <w:webHidden/>
                <w:kern w:val="0"/>
                <w14:ligatures w14:val="none"/>
              </w:rPr>
              <w:fldChar w:fldCharType="begin"/>
            </w:r>
            <w:r w:rsidRPr="00271C26">
              <w:rPr>
                <w:rFonts w:ascii="Calibri" w:eastAsia="Calibri" w:hAnsi="Calibri" w:cs="Times New Roman"/>
                <w:webHidden/>
                <w:kern w:val="0"/>
                <w14:ligatures w14:val="none"/>
              </w:rPr>
              <w:instrText xml:space="preserve"> PAGEREF _Toc160107345 \h </w:instrText>
            </w:r>
            <w:r w:rsidRPr="00271C26">
              <w:rPr>
                <w:rFonts w:ascii="Calibri" w:eastAsia="Calibri" w:hAnsi="Calibri" w:cs="Times New Roman"/>
                <w:webHidden/>
                <w:kern w:val="0"/>
                <w14:ligatures w14:val="none"/>
              </w:rPr>
            </w:r>
            <w:r w:rsidRPr="00271C26">
              <w:rPr>
                <w:rFonts w:ascii="Calibri" w:eastAsia="Calibri" w:hAnsi="Calibri" w:cs="Times New Roman"/>
                <w:webHidden/>
                <w:kern w:val="0"/>
                <w14:ligatures w14:val="none"/>
              </w:rPr>
              <w:fldChar w:fldCharType="separate"/>
            </w:r>
            <w:r w:rsidRPr="00271C26">
              <w:rPr>
                <w:rFonts w:ascii="Calibri" w:eastAsia="Calibri" w:hAnsi="Calibri" w:cs="Times New Roman"/>
                <w:webHidden/>
                <w:kern w:val="0"/>
                <w14:ligatures w14:val="none"/>
              </w:rPr>
              <w:t>1</w:t>
            </w:r>
            <w:r w:rsidRPr="00271C26">
              <w:rPr>
                <w:rFonts w:ascii="Calibri" w:eastAsia="Calibri" w:hAnsi="Calibri" w:cs="Times New Roman"/>
                <w:webHidden/>
                <w:kern w:val="0"/>
                <w14:ligatures w14:val="none"/>
              </w:rPr>
              <w:fldChar w:fldCharType="end"/>
            </w:r>
          </w:hyperlink>
        </w:p>
        <w:p w14:paraId="1BCD3C9E" w14:textId="77777777" w:rsidR="00271C26" w:rsidRPr="00271C26" w:rsidRDefault="00271C26" w:rsidP="00271C26">
          <w:pPr>
            <w:tabs>
              <w:tab w:val="right" w:leader="dot" w:pos="9350"/>
            </w:tabs>
            <w:spacing w:after="100"/>
            <w:rPr>
              <w:rFonts w:ascii="Calibri" w:eastAsia="Times New Roman" w:hAnsi="Calibri" w:cs="Times New Roman"/>
              <w:lang w:eastAsia="en-GB"/>
            </w:rPr>
          </w:pPr>
          <w:hyperlink w:anchor="_Toc160107346" w:history="1">
            <w:r w:rsidRPr="00271C26">
              <w:rPr>
                <w:rFonts w:ascii="Arial" w:eastAsia="Calibri" w:hAnsi="Arial" w:cs="Arial"/>
                <w:color w:val="0563C1"/>
                <w:kern w:val="0"/>
                <w:u w:val="single"/>
                <w14:ligatures w14:val="none"/>
              </w:rPr>
              <w:t>Main body</w:t>
            </w:r>
            <w:r w:rsidRPr="00271C26">
              <w:rPr>
                <w:rFonts w:ascii="Calibri" w:eastAsia="Calibri" w:hAnsi="Calibri" w:cs="Times New Roman"/>
                <w:webHidden/>
                <w:kern w:val="0"/>
                <w14:ligatures w14:val="none"/>
              </w:rPr>
              <w:tab/>
            </w:r>
            <w:r w:rsidRPr="00271C26">
              <w:rPr>
                <w:rFonts w:ascii="Calibri" w:eastAsia="Calibri" w:hAnsi="Calibri" w:cs="Times New Roman"/>
                <w:webHidden/>
                <w:kern w:val="0"/>
                <w14:ligatures w14:val="none"/>
              </w:rPr>
              <w:fldChar w:fldCharType="begin"/>
            </w:r>
            <w:r w:rsidRPr="00271C26">
              <w:rPr>
                <w:rFonts w:ascii="Calibri" w:eastAsia="Calibri" w:hAnsi="Calibri" w:cs="Times New Roman"/>
                <w:webHidden/>
                <w:kern w:val="0"/>
                <w14:ligatures w14:val="none"/>
              </w:rPr>
              <w:instrText xml:space="preserve"> PAGEREF _Toc160107346 \h </w:instrText>
            </w:r>
            <w:r w:rsidRPr="00271C26">
              <w:rPr>
                <w:rFonts w:ascii="Calibri" w:eastAsia="Calibri" w:hAnsi="Calibri" w:cs="Times New Roman"/>
                <w:webHidden/>
                <w:kern w:val="0"/>
                <w14:ligatures w14:val="none"/>
              </w:rPr>
            </w:r>
            <w:r w:rsidRPr="00271C26">
              <w:rPr>
                <w:rFonts w:ascii="Calibri" w:eastAsia="Calibri" w:hAnsi="Calibri" w:cs="Times New Roman"/>
                <w:webHidden/>
                <w:kern w:val="0"/>
                <w14:ligatures w14:val="none"/>
              </w:rPr>
              <w:fldChar w:fldCharType="separate"/>
            </w:r>
            <w:r w:rsidRPr="00271C26">
              <w:rPr>
                <w:rFonts w:ascii="Calibri" w:eastAsia="Calibri" w:hAnsi="Calibri" w:cs="Times New Roman"/>
                <w:webHidden/>
                <w:kern w:val="0"/>
                <w14:ligatures w14:val="none"/>
              </w:rPr>
              <w:t>2</w:t>
            </w:r>
            <w:r w:rsidRPr="00271C26">
              <w:rPr>
                <w:rFonts w:ascii="Calibri" w:eastAsia="Calibri" w:hAnsi="Calibri" w:cs="Times New Roman"/>
                <w:webHidden/>
                <w:kern w:val="0"/>
                <w14:ligatures w14:val="none"/>
              </w:rPr>
              <w:fldChar w:fldCharType="end"/>
            </w:r>
          </w:hyperlink>
        </w:p>
        <w:p w14:paraId="2B9B3E7C" w14:textId="77777777" w:rsidR="00271C26" w:rsidRPr="00271C26" w:rsidRDefault="00271C26" w:rsidP="00271C26">
          <w:pPr>
            <w:tabs>
              <w:tab w:val="right" w:leader="dot" w:pos="9350"/>
            </w:tabs>
            <w:spacing w:after="100"/>
            <w:ind w:left="220"/>
            <w:rPr>
              <w:rFonts w:ascii="Arial" w:eastAsia="Times New Roman" w:hAnsi="Arial" w:cs="Arial"/>
              <w:lang w:eastAsia="en-GB"/>
            </w:rPr>
          </w:pPr>
          <w:hyperlink w:anchor="_Toc160107347" w:history="1">
            <w:r w:rsidRPr="00271C26">
              <w:rPr>
                <w:rFonts w:ascii="Arial" w:eastAsia="Calibri" w:hAnsi="Arial" w:cs="Arial"/>
                <w:color w:val="0563C1"/>
                <w:kern w:val="0"/>
                <w:u w:val="single"/>
                <w14:ligatures w14:val="none"/>
              </w:rPr>
              <w:t>Organization Structure, Culture, and Goals</w:t>
            </w:r>
            <w:r w:rsidRPr="00271C26">
              <w:rPr>
                <w:rFonts w:ascii="Arial" w:eastAsia="Calibri" w:hAnsi="Arial" w:cs="Arial"/>
                <w:webHidden/>
                <w:kern w:val="0"/>
                <w14:ligatures w14:val="none"/>
              </w:rPr>
              <w:tab/>
            </w:r>
            <w:r w:rsidRPr="00271C26">
              <w:rPr>
                <w:rFonts w:ascii="Arial" w:eastAsia="Calibri" w:hAnsi="Arial" w:cs="Arial"/>
                <w:webHidden/>
                <w:kern w:val="0"/>
                <w14:ligatures w14:val="none"/>
              </w:rPr>
              <w:fldChar w:fldCharType="begin"/>
            </w:r>
            <w:r w:rsidRPr="00271C26">
              <w:rPr>
                <w:rFonts w:ascii="Arial" w:eastAsia="Calibri" w:hAnsi="Arial" w:cs="Arial"/>
                <w:webHidden/>
                <w:kern w:val="0"/>
                <w14:ligatures w14:val="none"/>
              </w:rPr>
              <w:instrText xml:space="preserve"> PAGEREF _Toc160107347 \h </w:instrText>
            </w:r>
            <w:r w:rsidRPr="00271C26">
              <w:rPr>
                <w:rFonts w:ascii="Arial" w:eastAsia="Calibri" w:hAnsi="Arial" w:cs="Arial"/>
                <w:webHidden/>
                <w:kern w:val="0"/>
                <w14:ligatures w14:val="none"/>
              </w:rPr>
            </w:r>
            <w:r w:rsidRPr="00271C26">
              <w:rPr>
                <w:rFonts w:ascii="Arial" w:eastAsia="Calibri" w:hAnsi="Arial" w:cs="Arial"/>
                <w:webHidden/>
                <w:kern w:val="0"/>
                <w14:ligatures w14:val="none"/>
              </w:rPr>
              <w:fldChar w:fldCharType="separate"/>
            </w:r>
            <w:r w:rsidRPr="00271C26">
              <w:rPr>
                <w:rFonts w:ascii="Arial" w:eastAsia="Calibri" w:hAnsi="Arial" w:cs="Arial"/>
                <w:webHidden/>
                <w:kern w:val="0"/>
                <w14:ligatures w14:val="none"/>
              </w:rPr>
              <w:t>2</w:t>
            </w:r>
            <w:r w:rsidRPr="00271C26">
              <w:rPr>
                <w:rFonts w:ascii="Arial" w:eastAsia="Calibri" w:hAnsi="Arial" w:cs="Arial"/>
                <w:webHidden/>
                <w:kern w:val="0"/>
                <w14:ligatures w14:val="none"/>
              </w:rPr>
              <w:fldChar w:fldCharType="end"/>
            </w:r>
          </w:hyperlink>
        </w:p>
        <w:p w14:paraId="7DB8E0A7" w14:textId="77777777" w:rsidR="00271C26" w:rsidRPr="00271C26" w:rsidRDefault="00271C26" w:rsidP="00271C26">
          <w:pPr>
            <w:tabs>
              <w:tab w:val="right" w:leader="dot" w:pos="9350"/>
            </w:tabs>
            <w:spacing w:after="100"/>
            <w:ind w:left="220"/>
            <w:rPr>
              <w:rFonts w:ascii="Arial" w:eastAsia="Times New Roman" w:hAnsi="Arial" w:cs="Arial"/>
              <w:lang w:eastAsia="en-GB"/>
            </w:rPr>
          </w:pPr>
          <w:hyperlink w:anchor="_Toc160107348" w:history="1">
            <w:r w:rsidRPr="00271C26">
              <w:rPr>
                <w:rFonts w:ascii="Arial" w:eastAsia="Calibri" w:hAnsi="Arial" w:cs="Arial"/>
                <w:color w:val="0563C1"/>
                <w:kern w:val="0"/>
                <w:u w:val="single"/>
                <w14:ligatures w14:val="none"/>
              </w:rPr>
              <w:t>Recent Change Initiatives</w:t>
            </w:r>
            <w:r w:rsidRPr="00271C26">
              <w:rPr>
                <w:rFonts w:ascii="Arial" w:eastAsia="Calibri" w:hAnsi="Arial" w:cs="Arial"/>
                <w:webHidden/>
                <w:kern w:val="0"/>
                <w14:ligatures w14:val="none"/>
              </w:rPr>
              <w:tab/>
            </w:r>
            <w:r w:rsidRPr="00271C26">
              <w:rPr>
                <w:rFonts w:ascii="Arial" w:eastAsia="Calibri" w:hAnsi="Arial" w:cs="Arial"/>
                <w:webHidden/>
                <w:kern w:val="0"/>
                <w14:ligatures w14:val="none"/>
              </w:rPr>
              <w:fldChar w:fldCharType="begin"/>
            </w:r>
            <w:r w:rsidRPr="00271C26">
              <w:rPr>
                <w:rFonts w:ascii="Arial" w:eastAsia="Calibri" w:hAnsi="Arial" w:cs="Arial"/>
                <w:webHidden/>
                <w:kern w:val="0"/>
                <w14:ligatures w14:val="none"/>
              </w:rPr>
              <w:instrText xml:space="preserve"> PAGEREF _Toc160107348 \h </w:instrText>
            </w:r>
            <w:r w:rsidRPr="00271C26">
              <w:rPr>
                <w:rFonts w:ascii="Arial" w:eastAsia="Calibri" w:hAnsi="Arial" w:cs="Arial"/>
                <w:webHidden/>
                <w:kern w:val="0"/>
                <w14:ligatures w14:val="none"/>
              </w:rPr>
            </w:r>
            <w:r w:rsidRPr="00271C26">
              <w:rPr>
                <w:rFonts w:ascii="Arial" w:eastAsia="Calibri" w:hAnsi="Arial" w:cs="Arial"/>
                <w:webHidden/>
                <w:kern w:val="0"/>
                <w14:ligatures w14:val="none"/>
              </w:rPr>
              <w:fldChar w:fldCharType="separate"/>
            </w:r>
            <w:r w:rsidRPr="00271C26">
              <w:rPr>
                <w:rFonts w:ascii="Arial" w:eastAsia="Calibri" w:hAnsi="Arial" w:cs="Arial"/>
                <w:webHidden/>
                <w:kern w:val="0"/>
                <w14:ligatures w14:val="none"/>
              </w:rPr>
              <w:t>4</w:t>
            </w:r>
            <w:r w:rsidRPr="00271C26">
              <w:rPr>
                <w:rFonts w:ascii="Arial" w:eastAsia="Calibri" w:hAnsi="Arial" w:cs="Arial"/>
                <w:webHidden/>
                <w:kern w:val="0"/>
                <w14:ligatures w14:val="none"/>
              </w:rPr>
              <w:fldChar w:fldCharType="end"/>
            </w:r>
          </w:hyperlink>
        </w:p>
        <w:p w14:paraId="388F5D0E" w14:textId="77777777" w:rsidR="00271C26" w:rsidRPr="00271C26" w:rsidRDefault="00271C26" w:rsidP="00271C26">
          <w:pPr>
            <w:tabs>
              <w:tab w:val="right" w:leader="dot" w:pos="9350"/>
            </w:tabs>
            <w:spacing w:after="100"/>
            <w:ind w:left="220"/>
            <w:rPr>
              <w:rFonts w:ascii="Arial" w:eastAsia="Times New Roman" w:hAnsi="Arial" w:cs="Arial"/>
              <w:lang w:eastAsia="en-GB"/>
            </w:rPr>
          </w:pPr>
          <w:hyperlink w:anchor="_Toc160107349" w:history="1">
            <w:r w:rsidRPr="00271C26">
              <w:rPr>
                <w:rFonts w:ascii="Arial" w:eastAsia="Calibri" w:hAnsi="Arial" w:cs="Arial"/>
                <w:color w:val="0563C1"/>
                <w:kern w:val="0"/>
                <w:u w:val="single"/>
                <w14:ligatures w14:val="none"/>
              </w:rPr>
              <w:t>Strategic Direction and Current Business Performance</w:t>
            </w:r>
            <w:r w:rsidRPr="00271C26">
              <w:rPr>
                <w:rFonts w:ascii="Arial" w:eastAsia="Calibri" w:hAnsi="Arial" w:cs="Arial"/>
                <w:webHidden/>
                <w:kern w:val="0"/>
                <w14:ligatures w14:val="none"/>
              </w:rPr>
              <w:tab/>
            </w:r>
            <w:r w:rsidRPr="00271C26">
              <w:rPr>
                <w:rFonts w:ascii="Arial" w:eastAsia="Calibri" w:hAnsi="Arial" w:cs="Arial"/>
                <w:webHidden/>
                <w:kern w:val="0"/>
                <w14:ligatures w14:val="none"/>
              </w:rPr>
              <w:fldChar w:fldCharType="begin"/>
            </w:r>
            <w:r w:rsidRPr="00271C26">
              <w:rPr>
                <w:rFonts w:ascii="Arial" w:eastAsia="Calibri" w:hAnsi="Arial" w:cs="Arial"/>
                <w:webHidden/>
                <w:kern w:val="0"/>
                <w14:ligatures w14:val="none"/>
              </w:rPr>
              <w:instrText xml:space="preserve"> PAGEREF _Toc160107349 \h </w:instrText>
            </w:r>
            <w:r w:rsidRPr="00271C26">
              <w:rPr>
                <w:rFonts w:ascii="Arial" w:eastAsia="Calibri" w:hAnsi="Arial" w:cs="Arial"/>
                <w:webHidden/>
                <w:kern w:val="0"/>
                <w14:ligatures w14:val="none"/>
              </w:rPr>
            </w:r>
            <w:r w:rsidRPr="00271C26">
              <w:rPr>
                <w:rFonts w:ascii="Arial" w:eastAsia="Calibri" w:hAnsi="Arial" w:cs="Arial"/>
                <w:webHidden/>
                <w:kern w:val="0"/>
                <w14:ligatures w14:val="none"/>
              </w:rPr>
              <w:fldChar w:fldCharType="separate"/>
            </w:r>
            <w:r w:rsidRPr="00271C26">
              <w:rPr>
                <w:rFonts w:ascii="Arial" w:eastAsia="Calibri" w:hAnsi="Arial" w:cs="Arial"/>
                <w:webHidden/>
                <w:kern w:val="0"/>
                <w14:ligatures w14:val="none"/>
              </w:rPr>
              <w:t>6</w:t>
            </w:r>
            <w:r w:rsidRPr="00271C26">
              <w:rPr>
                <w:rFonts w:ascii="Arial" w:eastAsia="Calibri" w:hAnsi="Arial" w:cs="Arial"/>
                <w:webHidden/>
                <w:kern w:val="0"/>
                <w14:ligatures w14:val="none"/>
              </w:rPr>
              <w:fldChar w:fldCharType="end"/>
            </w:r>
          </w:hyperlink>
        </w:p>
        <w:p w14:paraId="6EF1BB9F" w14:textId="77777777" w:rsidR="00271C26" w:rsidRPr="00271C26" w:rsidRDefault="00271C26" w:rsidP="00271C26">
          <w:pPr>
            <w:tabs>
              <w:tab w:val="right" w:leader="dot" w:pos="9350"/>
            </w:tabs>
            <w:spacing w:after="100"/>
            <w:rPr>
              <w:rFonts w:ascii="Calibri" w:eastAsia="Times New Roman" w:hAnsi="Calibri" w:cs="Times New Roman"/>
              <w:lang w:eastAsia="en-GB"/>
            </w:rPr>
          </w:pPr>
          <w:hyperlink w:anchor="_Toc160107350" w:history="1">
            <w:r w:rsidRPr="00271C26">
              <w:rPr>
                <w:rFonts w:ascii="Arial" w:eastAsia="Calibri" w:hAnsi="Arial" w:cs="Arial"/>
                <w:color w:val="0563C1"/>
                <w:kern w:val="0"/>
                <w:u w:val="single"/>
                <w14:ligatures w14:val="none"/>
              </w:rPr>
              <w:t>Conclusion</w:t>
            </w:r>
            <w:r w:rsidRPr="00271C26">
              <w:rPr>
                <w:rFonts w:ascii="Calibri" w:eastAsia="Calibri" w:hAnsi="Calibri" w:cs="Times New Roman"/>
                <w:webHidden/>
                <w:kern w:val="0"/>
                <w14:ligatures w14:val="none"/>
              </w:rPr>
              <w:tab/>
            </w:r>
            <w:r w:rsidRPr="00271C26">
              <w:rPr>
                <w:rFonts w:ascii="Calibri" w:eastAsia="Calibri" w:hAnsi="Calibri" w:cs="Times New Roman"/>
                <w:webHidden/>
                <w:kern w:val="0"/>
                <w14:ligatures w14:val="none"/>
              </w:rPr>
              <w:fldChar w:fldCharType="begin"/>
            </w:r>
            <w:r w:rsidRPr="00271C26">
              <w:rPr>
                <w:rFonts w:ascii="Calibri" w:eastAsia="Calibri" w:hAnsi="Calibri" w:cs="Times New Roman"/>
                <w:webHidden/>
                <w:kern w:val="0"/>
                <w14:ligatures w14:val="none"/>
              </w:rPr>
              <w:instrText xml:space="preserve"> PAGEREF _Toc160107350 \h </w:instrText>
            </w:r>
            <w:r w:rsidRPr="00271C26">
              <w:rPr>
                <w:rFonts w:ascii="Calibri" w:eastAsia="Calibri" w:hAnsi="Calibri" w:cs="Times New Roman"/>
                <w:webHidden/>
                <w:kern w:val="0"/>
                <w14:ligatures w14:val="none"/>
              </w:rPr>
            </w:r>
            <w:r w:rsidRPr="00271C26">
              <w:rPr>
                <w:rFonts w:ascii="Calibri" w:eastAsia="Calibri" w:hAnsi="Calibri" w:cs="Times New Roman"/>
                <w:webHidden/>
                <w:kern w:val="0"/>
                <w14:ligatures w14:val="none"/>
              </w:rPr>
              <w:fldChar w:fldCharType="separate"/>
            </w:r>
            <w:r w:rsidRPr="00271C26">
              <w:rPr>
                <w:rFonts w:ascii="Calibri" w:eastAsia="Calibri" w:hAnsi="Calibri" w:cs="Times New Roman"/>
                <w:webHidden/>
                <w:kern w:val="0"/>
                <w14:ligatures w14:val="none"/>
              </w:rPr>
              <w:t>8</w:t>
            </w:r>
            <w:r w:rsidRPr="00271C26">
              <w:rPr>
                <w:rFonts w:ascii="Calibri" w:eastAsia="Calibri" w:hAnsi="Calibri" w:cs="Times New Roman"/>
                <w:webHidden/>
                <w:kern w:val="0"/>
                <w14:ligatures w14:val="none"/>
              </w:rPr>
              <w:fldChar w:fldCharType="end"/>
            </w:r>
          </w:hyperlink>
        </w:p>
        <w:p w14:paraId="4AB7C549" w14:textId="77777777" w:rsidR="00271C26" w:rsidRPr="00271C26" w:rsidRDefault="00271C26" w:rsidP="00271C26">
          <w:pPr>
            <w:tabs>
              <w:tab w:val="right" w:leader="dot" w:pos="9350"/>
            </w:tabs>
            <w:spacing w:after="100"/>
            <w:rPr>
              <w:rFonts w:ascii="Calibri" w:eastAsia="Times New Roman" w:hAnsi="Calibri" w:cs="Times New Roman"/>
              <w:lang w:eastAsia="en-GB"/>
            </w:rPr>
          </w:pPr>
          <w:hyperlink w:anchor="_Toc160107351" w:history="1">
            <w:r w:rsidRPr="00271C26">
              <w:rPr>
                <w:rFonts w:ascii="Arial" w:eastAsia="Calibri" w:hAnsi="Arial" w:cs="Arial"/>
                <w:color w:val="0563C1"/>
                <w:kern w:val="0"/>
                <w:u w:val="single"/>
                <w14:ligatures w14:val="none"/>
              </w:rPr>
              <w:t>Reference list</w:t>
            </w:r>
            <w:r w:rsidRPr="00271C26">
              <w:rPr>
                <w:rFonts w:ascii="Calibri" w:eastAsia="Calibri" w:hAnsi="Calibri" w:cs="Times New Roman"/>
                <w:webHidden/>
                <w:kern w:val="0"/>
                <w14:ligatures w14:val="none"/>
              </w:rPr>
              <w:tab/>
            </w:r>
            <w:r w:rsidRPr="00271C26">
              <w:rPr>
                <w:rFonts w:ascii="Calibri" w:eastAsia="Calibri" w:hAnsi="Calibri" w:cs="Times New Roman"/>
                <w:webHidden/>
                <w:kern w:val="0"/>
                <w14:ligatures w14:val="none"/>
              </w:rPr>
              <w:fldChar w:fldCharType="begin"/>
            </w:r>
            <w:r w:rsidRPr="00271C26">
              <w:rPr>
                <w:rFonts w:ascii="Calibri" w:eastAsia="Calibri" w:hAnsi="Calibri" w:cs="Times New Roman"/>
                <w:webHidden/>
                <w:kern w:val="0"/>
                <w14:ligatures w14:val="none"/>
              </w:rPr>
              <w:instrText xml:space="preserve"> PAGEREF _Toc160107351 \h </w:instrText>
            </w:r>
            <w:r w:rsidRPr="00271C26">
              <w:rPr>
                <w:rFonts w:ascii="Calibri" w:eastAsia="Calibri" w:hAnsi="Calibri" w:cs="Times New Roman"/>
                <w:webHidden/>
                <w:kern w:val="0"/>
                <w14:ligatures w14:val="none"/>
              </w:rPr>
            </w:r>
            <w:r w:rsidRPr="00271C26">
              <w:rPr>
                <w:rFonts w:ascii="Calibri" w:eastAsia="Calibri" w:hAnsi="Calibri" w:cs="Times New Roman"/>
                <w:webHidden/>
                <w:kern w:val="0"/>
                <w14:ligatures w14:val="none"/>
              </w:rPr>
              <w:fldChar w:fldCharType="separate"/>
            </w:r>
            <w:r w:rsidRPr="00271C26">
              <w:rPr>
                <w:rFonts w:ascii="Calibri" w:eastAsia="Calibri" w:hAnsi="Calibri" w:cs="Times New Roman"/>
                <w:webHidden/>
                <w:kern w:val="0"/>
                <w14:ligatures w14:val="none"/>
              </w:rPr>
              <w:t>10</w:t>
            </w:r>
            <w:r w:rsidRPr="00271C26">
              <w:rPr>
                <w:rFonts w:ascii="Calibri" w:eastAsia="Calibri" w:hAnsi="Calibri" w:cs="Times New Roman"/>
                <w:webHidden/>
                <w:kern w:val="0"/>
                <w14:ligatures w14:val="none"/>
              </w:rPr>
              <w:fldChar w:fldCharType="end"/>
            </w:r>
          </w:hyperlink>
        </w:p>
        <w:p w14:paraId="07186B8C" w14:textId="77777777" w:rsidR="00271C26" w:rsidRPr="00271C26" w:rsidRDefault="00271C26" w:rsidP="00271C26">
          <w:pPr>
            <w:tabs>
              <w:tab w:val="right" w:leader="dot" w:pos="9350"/>
            </w:tabs>
            <w:spacing w:after="100"/>
            <w:rPr>
              <w:rFonts w:ascii="Calibri" w:eastAsia="Times New Roman" w:hAnsi="Calibri" w:cs="Times New Roman"/>
              <w:lang w:eastAsia="en-GB"/>
            </w:rPr>
          </w:pPr>
          <w:hyperlink w:anchor="_Toc160107352" w:history="1">
            <w:r w:rsidRPr="00271C26">
              <w:rPr>
                <w:rFonts w:ascii="Arial" w:eastAsia="Calibri" w:hAnsi="Arial" w:cs="Arial"/>
                <w:color w:val="0563C1"/>
                <w:kern w:val="0"/>
                <w:u w:val="single"/>
                <w14:ligatures w14:val="none"/>
              </w:rPr>
              <w:t>Appendices</w:t>
            </w:r>
            <w:r w:rsidRPr="00271C26">
              <w:rPr>
                <w:rFonts w:ascii="Calibri" w:eastAsia="Calibri" w:hAnsi="Calibri" w:cs="Times New Roman"/>
                <w:webHidden/>
                <w:kern w:val="0"/>
                <w14:ligatures w14:val="none"/>
              </w:rPr>
              <w:tab/>
            </w:r>
            <w:r w:rsidRPr="00271C26">
              <w:rPr>
                <w:rFonts w:ascii="Calibri" w:eastAsia="Calibri" w:hAnsi="Calibri" w:cs="Times New Roman"/>
                <w:webHidden/>
                <w:kern w:val="0"/>
                <w14:ligatures w14:val="none"/>
              </w:rPr>
              <w:fldChar w:fldCharType="begin"/>
            </w:r>
            <w:r w:rsidRPr="00271C26">
              <w:rPr>
                <w:rFonts w:ascii="Calibri" w:eastAsia="Calibri" w:hAnsi="Calibri" w:cs="Times New Roman"/>
                <w:webHidden/>
                <w:kern w:val="0"/>
                <w14:ligatures w14:val="none"/>
              </w:rPr>
              <w:instrText xml:space="preserve"> PAGEREF _Toc160107352 \h </w:instrText>
            </w:r>
            <w:r w:rsidRPr="00271C26">
              <w:rPr>
                <w:rFonts w:ascii="Calibri" w:eastAsia="Calibri" w:hAnsi="Calibri" w:cs="Times New Roman"/>
                <w:webHidden/>
                <w:kern w:val="0"/>
                <w14:ligatures w14:val="none"/>
              </w:rPr>
            </w:r>
            <w:r w:rsidRPr="00271C26">
              <w:rPr>
                <w:rFonts w:ascii="Calibri" w:eastAsia="Calibri" w:hAnsi="Calibri" w:cs="Times New Roman"/>
                <w:webHidden/>
                <w:kern w:val="0"/>
                <w14:ligatures w14:val="none"/>
              </w:rPr>
              <w:fldChar w:fldCharType="separate"/>
            </w:r>
            <w:r w:rsidRPr="00271C26">
              <w:rPr>
                <w:rFonts w:ascii="Calibri" w:eastAsia="Calibri" w:hAnsi="Calibri" w:cs="Times New Roman"/>
                <w:webHidden/>
                <w:kern w:val="0"/>
                <w14:ligatures w14:val="none"/>
              </w:rPr>
              <w:t>14</w:t>
            </w:r>
            <w:r w:rsidRPr="00271C26">
              <w:rPr>
                <w:rFonts w:ascii="Calibri" w:eastAsia="Calibri" w:hAnsi="Calibri" w:cs="Times New Roman"/>
                <w:webHidden/>
                <w:kern w:val="0"/>
                <w14:ligatures w14:val="none"/>
              </w:rPr>
              <w:fldChar w:fldCharType="end"/>
            </w:r>
          </w:hyperlink>
        </w:p>
        <w:p w14:paraId="4EE28E29" w14:textId="77777777" w:rsidR="00271C26" w:rsidRPr="00271C26" w:rsidRDefault="00271C26" w:rsidP="00271C26">
          <w:pPr>
            <w:spacing w:line="480" w:lineRule="auto"/>
            <w:rPr>
              <w:rFonts w:ascii="Calibri" w:eastAsia="Calibri" w:hAnsi="Calibri" w:cs="Times New Roman"/>
              <w:kern w:val="0"/>
              <w14:ligatures w14:val="none"/>
            </w:rPr>
          </w:pPr>
          <w:r w:rsidRPr="00271C26">
            <w:rPr>
              <w:rFonts w:ascii="Calibri" w:eastAsia="Calibri" w:hAnsi="Calibri" w:cs="Times New Roman"/>
              <w:b/>
              <w:bCs/>
              <w:kern w:val="0"/>
              <w14:ligatures w14:val="none"/>
            </w:rPr>
            <w:fldChar w:fldCharType="end"/>
          </w:r>
        </w:p>
      </w:sdtContent>
    </w:sdt>
    <w:p w14:paraId="64748C7D" w14:textId="77777777" w:rsidR="00271C26" w:rsidRPr="00271C26" w:rsidRDefault="00271C26" w:rsidP="00271C26">
      <w:pPr>
        <w:tabs>
          <w:tab w:val="left" w:pos="2592"/>
        </w:tabs>
        <w:spacing w:line="480" w:lineRule="auto"/>
        <w:rPr>
          <w:rFonts w:ascii="Arial" w:eastAsia="Calibri" w:hAnsi="Arial" w:cs="Arial"/>
          <w:kern w:val="0"/>
          <w:sz w:val="24"/>
          <w:szCs w:val="24"/>
          <w14:ligatures w14:val="none"/>
        </w:rPr>
      </w:pPr>
    </w:p>
    <w:p w14:paraId="663E9031" w14:textId="77777777" w:rsidR="00271C26" w:rsidRPr="00271C26" w:rsidRDefault="00271C26" w:rsidP="00271C26">
      <w:pPr>
        <w:spacing w:line="480" w:lineRule="auto"/>
        <w:rPr>
          <w:rFonts w:ascii="Arial" w:eastAsia="Calibri" w:hAnsi="Arial" w:cs="Arial"/>
          <w:kern w:val="0"/>
          <w:sz w:val="24"/>
          <w:szCs w:val="24"/>
          <w14:ligatures w14:val="none"/>
        </w:rPr>
      </w:pPr>
    </w:p>
    <w:p w14:paraId="092EA084" w14:textId="77777777" w:rsidR="00271C26" w:rsidRPr="00271C26" w:rsidRDefault="00271C26" w:rsidP="00271C26">
      <w:pPr>
        <w:spacing w:line="480" w:lineRule="auto"/>
        <w:rPr>
          <w:rFonts w:ascii="Arial" w:eastAsia="Calibri" w:hAnsi="Arial" w:cs="Arial"/>
          <w:kern w:val="0"/>
          <w:sz w:val="24"/>
          <w:szCs w:val="24"/>
          <w14:ligatures w14:val="none"/>
        </w:rPr>
        <w:sectPr w:rsidR="00271C26" w:rsidRPr="00271C26" w:rsidSect="00D57CB5">
          <w:pgSz w:w="12240" w:h="15840"/>
          <w:pgMar w:top="1440" w:right="1440" w:bottom="1440" w:left="1440" w:header="720" w:footer="720" w:gutter="0"/>
          <w:cols w:space="720"/>
          <w:docGrid w:linePitch="360"/>
        </w:sectPr>
      </w:pPr>
    </w:p>
    <w:p w14:paraId="5CD08CF7" w14:textId="77777777" w:rsidR="00271C26" w:rsidRPr="00271C26" w:rsidRDefault="00271C26" w:rsidP="00271C26">
      <w:pPr>
        <w:keepNext/>
        <w:keepLines/>
        <w:spacing w:before="240" w:after="0" w:line="480" w:lineRule="auto"/>
        <w:outlineLvl w:val="0"/>
        <w:rPr>
          <w:rFonts w:ascii="Arial" w:eastAsia="Times New Roman" w:hAnsi="Arial" w:cs="Arial"/>
          <w:color w:val="2F5496"/>
          <w:kern w:val="0"/>
          <w:sz w:val="32"/>
          <w:szCs w:val="32"/>
          <w14:ligatures w14:val="none"/>
        </w:rPr>
      </w:pPr>
      <w:bookmarkStart w:id="0" w:name="_Toc160107345"/>
      <w:r w:rsidRPr="00271C26">
        <w:rPr>
          <w:rFonts w:ascii="Arial" w:eastAsia="Times New Roman" w:hAnsi="Arial" w:cs="Arial"/>
          <w:color w:val="2F5496"/>
          <w:kern w:val="0"/>
          <w:sz w:val="32"/>
          <w:szCs w:val="32"/>
          <w14:ligatures w14:val="none"/>
        </w:rPr>
        <w:lastRenderedPageBreak/>
        <w:t>Introduction</w:t>
      </w:r>
      <w:bookmarkEnd w:id="0"/>
    </w:p>
    <w:p w14:paraId="47BCD598"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 xml:space="preserve">An organization dedicated to providing meals, overnight accommodation, and other services is known as a hospitality organization (Demsetz, 2020). The hospitality industry is one of the fastest-growing industries in the UK. </w:t>
      </w:r>
      <w:bookmarkStart w:id="1" w:name="_Hlk156731472"/>
      <w:r w:rsidRPr="00271C26">
        <w:rPr>
          <w:rFonts w:ascii="Arial" w:eastAsia="Calibri" w:hAnsi="Arial" w:cs="Arial"/>
          <w:kern w:val="0"/>
          <w:sz w:val="24"/>
          <w:szCs w:val="24"/>
          <w14:ligatures w14:val="none"/>
        </w:rPr>
        <w:t xml:space="preserve">Hyatt Hotels </w:t>
      </w:r>
      <w:bookmarkEnd w:id="1"/>
      <w:r w:rsidRPr="00271C26">
        <w:rPr>
          <w:rFonts w:ascii="Arial" w:eastAsia="Calibri" w:hAnsi="Arial" w:cs="Arial"/>
          <w:kern w:val="0"/>
          <w:sz w:val="24"/>
          <w:szCs w:val="24"/>
          <w14:ligatures w14:val="none"/>
        </w:rPr>
        <w:t xml:space="preserve">has been selected to conduct the audit. </w:t>
      </w:r>
      <w:bookmarkStart w:id="2" w:name="_Hlk156731461"/>
      <w:r w:rsidRPr="00271C26">
        <w:rPr>
          <w:rFonts w:ascii="Arial" w:eastAsia="Calibri" w:hAnsi="Arial" w:cs="Arial"/>
          <w:kern w:val="0"/>
          <w:sz w:val="24"/>
          <w:szCs w:val="24"/>
          <w14:ligatures w14:val="none"/>
        </w:rPr>
        <w:t>Conducting an audit of hospitality organizations is important at both individual unit and corporate levels.</w:t>
      </w:r>
      <w:bookmarkEnd w:id="2"/>
      <w:r w:rsidRPr="00271C26">
        <w:rPr>
          <w:rFonts w:ascii="Arial" w:eastAsia="Calibri" w:hAnsi="Arial" w:cs="Arial"/>
          <w:kern w:val="0"/>
          <w:sz w:val="24"/>
          <w:szCs w:val="24"/>
          <w14:ligatures w14:val="none"/>
        </w:rPr>
        <w:t xml:space="preserve"> This helps to enrich the system of human resources management to improve performance and customer satisfaction (Holyoak, 2022). This also helps to identify opportunities and threats for taking necessary initiatives. The report will analyse organizational structure, culture, and goals. Then, it will analyse the change initiatives with their impacts and management system. Further, it will interpret strategic direction and current business performance to improve risk management and customer satisfaction.</w:t>
      </w:r>
    </w:p>
    <w:p w14:paraId="325AF758"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t>Organizational Overview</w:t>
      </w:r>
    </w:p>
    <w:p w14:paraId="66CFBD9D"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noProof/>
          <w:kern w:val="0"/>
          <w:sz w:val="24"/>
          <w:szCs w:val="24"/>
          <w14:ligatures w14:val="none"/>
        </w:rPr>
        <w:drawing>
          <wp:inline distT="0" distB="0" distL="0" distR="0" wp14:anchorId="61973543" wp14:editId="00E32854">
            <wp:extent cx="4151630" cy="2334895"/>
            <wp:effectExtent l="0" t="0" r="127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51630" cy="2334895"/>
                    </a:xfrm>
                    <a:prstGeom prst="rect">
                      <a:avLst/>
                    </a:prstGeom>
                    <a:noFill/>
                  </pic:spPr>
                </pic:pic>
              </a:graphicData>
            </a:graphic>
          </wp:inline>
        </w:drawing>
      </w:r>
    </w:p>
    <w:p w14:paraId="4AAA1749"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Figure: Hyatt Hotels.</w:t>
      </w:r>
    </w:p>
    <w:p w14:paraId="7A4C30E5"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Source:</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(Hyatt Hotels, 2023).</w:t>
      </w:r>
    </w:p>
    <w:p w14:paraId="57FCB82D" w14:textId="77777777" w:rsidR="00271C26" w:rsidRPr="00271C26" w:rsidRDefault="00271C26" w:rsidP="00271C26">
      <w:pPr>
        <w:spacing w:line="480" w:lineRule="auto"/>
        <w:jc w:val="both"/>
        <w:rPr>
          <w:rFonts w:ascii="Arial" w:eastAsia="Calibri" w:hAnsi="Arial" w:cs="Arial"/>
          <w:kern w:val="0"/>
          <w:sz w:val="24"/>
          <w:szCs w:val="24"/>
          <w14:ligatures w14:val="none"/>
        </w:rPr>
      </w:pPr>
      <w:bookmarkStart w:id="3" w:name="_Hlk156731484"/>
      <w:r w:rsidRPr="00271C26">
        <w:rPr>
          <w:rFonts w:ascii="Arial" w:eastAsia="Calibri" w:hAnsi="Arial" w:cs="Arial"/>
          <w:kern w:val="0"/>
          <w:sz w:val="24"/>
          <w:szCs w:val="24"/>
          <w14:ligatures w14:val="none"/>
        </w:rPr>
        <w:lastRenderedPageBreak/>
        <w:t xml:space="preserve">Hyatt Hotels is an American multinational company managing hotels, resorts, residential properties, and franchises. </w:t>
      </w:r>
      <w:bookmarkEnd w:id="3"/>
      <w:r w:rsidRPr="00271C26">
        <w:rPr>
          <w:rFonts w:ascii="Arial" w:eastAsia="Calibri" w:hAnsi="Arial" w:cs="Arial"/>
          <w:kern w:val="0"/>
          <w:sz w:val="24"/>
          <w:szCs w:val="24"/>
          <w14:ligatures w14:val="none"/>
        </w:rPr>
        <w:t xml:space="preserve">It has a yearly revenue of £6.595 billion, operating in 76 countries on six different continents. It has employed 189,000 people to execute organizational operations and deliver excellent performance to customers (Hyatt Hotels, 2023). Its market cap of £13.36 billion highlights its positioning in the highly competitive market of the hospitality industry (Holyoak, 2022). </w:t>
      </w:r>
    </w:p>
    <w:p w14:paraId="15328146" w14:textId="77777777" w:rsidR="00271C26" w:rsidRPr="00271C26" w:rsidRDefault="00271C26" w:rsidP="00271C26">
      <w:pPr>
        <w:keepNext/>
        <w:keepLines/>
        <w:spacing w:before="240" w:after="0" w:line="480" w:lineRule="auto"/>
        <w:outlineLvl w:val="0"/>
        <w:rPr>
          <w:rFonts w:ascii="Arial" w:eastAsia="Times New Roman" w:hAnsi="Arial" w:cs="Arial"/>
          <w:color w:val="2F5496"/>
          <w:kern w:val="0"/>
          <w:sz w:val="32"/>
          <w:szCs w:val="32"/>
          <w14:ligatures w14:val="none"/>
        </w:rPr>
      </w:pPr>
      <w:bookmarkStart w:id="4" w:name="_Toc160107346"/>
      <w:r w:rsidRPr="00271C26">
        <w:rPr>
          <w:rFonts w:ascii="Arial" w:eastAsia="Times New Roman" w:hAnsi="Arial" w:cs="Arial"/>
          <w:color w:val="2F5496"/>
          <w:kern w:val="0"/>
          <w:sz w:val="32"/>
          <w:szCs w:val="32"/>
          <w14:ligatures w14:val="none"/>
        </w:rPr>
        <w:t>Main body</w:t>
      </w:r>
      <w:bookmarkEnd w:id="4"/>
    </w:p>
    <w:p w14:paraId="4D96159F" w14:textId="77777777" w:rsidR="00271C26" w:rsidRPr="00271C26" w:rsidRDefault="00271C26" w:rsidP="00271C26">
      <w:pPr>
        <w:keepNext/>
        <w:keepLines/>
        <w:spacing w:before="40" w:after="0" w:line="480" w:lineRule="auto"/>
        <w:outlineLvl w:val="1"/>
        <w:rPr>
          <w:rFonts w:ascii="Arial" w:eastAsia="Times New Roman" w:hAnsi="Arial" w:cs="Times New Roman"/>
          <w:color w:val="2F5496"/>
          <w:kern w:val="0"/>
          <w:sz w:val="26"/>
          <w:szCs w:val="26"/>
          <w14:ligatures w14:val="none"/>
        </w:rPr>
      </w:pPr>
      <w:bookmarkStart w:id="5" w:name="_Toc160107347"/>
      <w:r w:rsidRPr="00271C26">
        <w:rPr>
          <w:rFonts w:ascii="Arial" w:eastAsia="Times New Roman" w:hAnsi="Arial" w:cs="Times New Roman"/>
          <w:color w:val="2F5496"/>
          <w:kern w:val="0"/>
          <w:sz w:val="26"/>
          <w:szCs w:val="26"/>
          <w14:ligatures w14:val="none"/>
        </w:rPr>
        <w:t>Organization Structure, Culture, and Goals</w:t>
      </w:r>
      <w:bookmarkEnd w:id="5"/>
    </w:p>
    <w:p w14:paraId="11C861A3"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t>Organisational structure of Hyatt Hotels</w:t>
      </w:r>
    </w:p>
    <w:p w14:paraId="4F565AC5"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Hybrid organizational structure refers to the employment of multiple organizational structures concurrently.</w:t>
      </w:r>
      <w:r w:rsidRPr="00271C26">
        <w:rPr>
          <w:rFonts w:ascii="Calibri" w:eastAsia="Calibri" w:hAnsi="Calibri" w:cs="Times New Roman"/>
          <w:kern w:val="0"/>
          <w14:ligatures w14:val="none"/>
        </w:rPr>
        <w:t xml:space="preserve"> </w:t>
      </w:r>
      <w:bookmarkStart w:id="6" w:name="_Hlk156731494"/>
      <w:r w:rsidRPr="00271C26">
        <w:rPr>
          <w:rFonts w:ascii="Arial" w:eastAsia="Calibri" w:hAnsi="Arial" w:cs="Arial"/>
          <w:kern w:val="0"/>
          <w:sz w:val="24"/>
          <w:szCs w:val="24"/>
          <w14:ligatures w14:val="none"/>
        </w:rPr>
        <w:t xml:space="preserve">Hyatt Hotels </w:t>
      </w:r>
      <w:bookmarkStart w:id="7" w:name="_Hlk160107473"/>
      <w:r w:rsidRPr="00271C26">
        <w:rPr>
          <w:rFonts w:ascii="Arial" w:eastAsia="Calibri" w:hAnsi="Arial" w:cs="Arial"/>
          <w:kern w:val="0"/>
          <w:sz w:val="24"/>
          <w:szCs w:val="24"/>
          <w14:ligatures w14:val="none"/>
        </w:rPr>
        <w:t xml:space="preserve">has successfully established a hybrid organizational structure </w:t>
      </w:r>
      <w:bookmarkEnd w:id="7"/>
      <w:r w:rsidRPr="00271C26">
        <w:rPr>
          <w:rFonts w:ascii="Arial" w:eastAsia="Calibri" w:hAnsi="Arial" w:cs="Arial"/>
          <w:kern w:val="0"/>
          <w:sz w:val="24"/>
          <w:szCs w:val="24"/>
          <w14:ligatures w14:val="none"/>
        </w:rPr>
        <w:t xml:space="preserve">with a combination of divisional and functional structure (Research, 2023). </w:t>
      </w:r>
      <w:bookmarkEnd w:id="6"/>
      <w:r w:rsidRPr="00271C26">
        <w:rPr>
          <w:rFonts w:ascii="Arial" w:eastAsia="Calibri" w:hAnsi="Arial" w:cs="Arial"/>
          <w:kern w:val="0"/>
          <w:sz w:val="24"/>
          <w:szCs w:val="24"/>
          <w14:ligatures w14:val="none"/>
        </w:rPr>
        <w:t xml:space="preserve">It has incorporated a functional organizational structure at the corporate level to execute functions like marketing, finance, legal, operation, and human resources. Every department is accountable for its expertise. Again, the hospitality organization has implemented a divisional structure in resorts and hotels of different geographical regions (Sigala and Baum, 2022). Every brand operates in a semi-autonomous way in meeting daily operations, leadership, and addressing customers' demands, but they remain accountable to the head office, representing annual business reports. Focusing on the corporate governance of Hyatt Hotels highlighted that its board of directors was established with 5 to 15 members with adequate qualifications (Slattery and Olsen, 2022). The directors have independence in regulating and decision-making, while the functional </w:t>
      </w:r>
      <w:r w:rsidRPr="00271C26">
        <w:rPr>
          <w:rFonts w:ascii="Arial" w:eastAsia="Calibri" w:hAnsi="Arial" w:cs="Arial"/>
          <w:kern w:val="0"/>
          <w:sz w:val="24"/>
          <w:szCs w:val="24"/>
          <w14:ligatures w14:val="none"/>
        </w:rPr>
        <w:lastRenderedPageBreak/>
        <w:t>board is responsible for execution. The major decisions are made at the corporate level while the employees are empowered in making decisions in their operational areas.</w:t>
      </w:r>
    </w:p>
    <w:p w14:paraId="3EE50604"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t>The organisational culture of Hyatt Hotels</w:t>
      </w:r>
    </w:p>
    <w:p w14:paraId="7324A81C"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 xml:space="preserve">Analysing the values and principles of Hyatt Hotels has highlighted that it has implemented clan organizational culture. The employees and the organisation focus on communal growth (Rollinson, 2008). It enhances its relationship with the guests and local community, showing values like integrity, respect, creativity, and empathy. The company believes it cannot grow, leaving behind its guests and employees, so it focuses on collaboration (Robbins et al., 2008). Nevertheless, it aligns its culture with corporate goals because this clan culture is helping the company to build a grand community of customers and employees for gaining growth. </w:t>
      </w:r>
    </w:p>
    <w:p w14:paraId="60522026"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t xml:space="preserve">The effectiveness of communication and </w:t>
      </w:r>
      <w:bookmarkStart w:id="8" w:name="_Hlk160107717"/>
      <w:r w:rsidRPr="00271C26">
        <w:rPr>
          <w:rFonts w:ascii="Arial" w:eastAsia="Calibri" w:hAnsi="Arial" w:cs="Arial"/>
          <w:b/>
          <w:bCs/>
          <w:kern w:val="0"/>
          <w:sz w:val="24"/>
          <w:szCs w:val="24"/>
          <w14:ligatures w14:val="none"/>
        </w:rPr>
        <w:t>information flow</w:t>
      </w:r>
      <w:bookmarkEnd w:id="8"/>
    </w:p>
    <w:p w14:paraId="49A833E3"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Hyatt Hotels has ensured its information flows from be highest levels to the lowest levels for smoothness in effective communication. This helps the hotel employees to exchange ideas, perceptions, knowledge and information. This enables the organization to effectively problem-solving (Huczynski and Buchanan, 2013). Effective communication also makes a clear understanding of the organizational roles and responsibilities among the employees for aligning the organizational activities with goals (Bloisi et al., 2007). This effective information flow ensures increased productivity with enhanced outcomes of motivation and interpersonal relationships.</w:t>
      </w:r>
    </w:p>
    <w:p w14:paraId="54DB5C63"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br w:type="column"/>
      </w:r>
      <w:r w:rsidRPr="00271C26">
        <w:rPr>
          <w:rFonts w:ascii="Arial" w:eastAsia="Calibri" w:hAnsi="Arial" w:cs="Arial"/>
          <w:b/>
          <w:bCs/>
          <w:kern w:val="0"/>
          <w:sz w:val="24"/>
          <w:szCs w:val="24"/>
          <w14:ligatures w14:val="none"/>
        </w:rPr>
        <w:lastRenderedPageBreak/>
        <w:t xml:space="preserve">The clarity and coherence of </w:t>
      </w:r>
      <w:bookmarkStart w:id="9" w:name="_Hlk156731593"/>
      <w:r w:rsidRPr="00271C26">
        <w:rPr>
          <w:rFonts w:ascii="Arial" w:eastAsia="Calibri" w:hAnsi="Arial" w:cs="Arial"/>
          <w:b/>
          <w:bCs/>
          <w:kern w:val="0"/>
          <w:sz w:val="24"/>
          <w:szCs w:val="24"/>
          <w14:ligatures w14:val="none"/>
        </w:rPr>
        <w:t>corporate and individual unit goals</w:t>
      </w:r>
      <w:bookmarkEnd w:id="9"/>
    </w:p>
    <w:p w14:paraId="7E742265" w14:textId="77777777" w:rsidR="00271C26" w:rsidRPr="00271C26" w:rsidRDefault="00271C26" w:rsidP="00271C26">
      <w:pPr>
        <w:spacing w:line="480" w:lineRule="auto"/>
        <w:jc w:val="both"/>
        <w:rPr>
          <w:rFonts w:ascii="Arial" w:eastAsia="Calibri" w:hAnsi="Arial" w:cs="Arial"/>
          <w:kern w:val="0"/>
          <w:sz w:val="24"/>
          <w:szCs w:val="24"/>
          <w14:ligatures w14:val="none"/>
        </w:rPr>
      </w:pPr>
      <w:bookmarkStart w:id="10" w:name="_Hlk156731582"/>
      <w:r w:rsidRPr="00271C26">
        <w:rPr>
          <w:rFonts w:ascii="Arial" w:eastAsia="Calibri" w:hAnsi="Arial" w:cs="Arial"/>
          <w:kern w:val="0"/>
          <w:sz w:val="24"/>
          <w:szCs w:val="24"/>
          <w14:ligatures w14:val="none"/>
        </w:rPr>
        <w:t xml:space="preserve">The corporate goal of Hyatt Hotels is to provide unparalleled services, authentic hospitality and inviting surroundings to all the hosted events. </w:t>
      </w:r>
      <w:bookmarkEnd w:id="10"/>
      <w:r w:rsidRPr="00271C26">
        <w:rPr>
          <w:rFonts w:ascii="Arial" w:eastAsia="Calibri" w:hAnsi="Arial" w:cs="Arial"/>
          <w:kern w:val="0"/>
          <w:sz w:val="24"/>
          <w:szCs w:val="24"/>
          <w14:ligatures w14:val="none"/>
        </w:rPr>
        <w:t xml:space="preserve">This is why the company has set individual unit goals based on this. This has created corporate governance and organizational principles supportive of these corporate goals (Arnold, 2005). Whenever it makes changes, it executes in every organizational unit to bring coherence to corporate and individual unit goals. The organization also believes that every working employee represents the entire organisation while demonstrating unparalleled services and authentic hospitality (Armstrong, 2012). As a result of this, the hotels have set individualized employee goals aligning with the corporate goals. It has also established a clear understanding of its vision so the employees are also dedicated to their coherence of unitary goals with corporate goals (Adair, 2009). </w:t>
      </w:r>
    </w:p>
    <w:p w14:paraId="48587420" w14:textId="77777777" w:rsidR="00271C26" w:rsidRPr="00271C26" w:rsidRDefault="00271C26" w:rsidP="00271C26">
      <w:pPr>
        <w:keepNext/>
        <w:keepLines/>
        <w:spacing w:before="40" w:after="0" w:line="480" w:lineRule="auto"/>
        <w:outlineLvl w:val="1"/>
        <w:rPr>
          <w:rFonts w:ascii="Arial" w:eastAsia="Times New Roman" w:hAnsi="Arial" w:cs="Times New Roman"/>
          <w:color w:val="2F5496"/>
          <w:kern w:val="0"/>
          <w:sz w:val="26"/>
          <w:szCs w:val="26"/>
          <w14:ligatures w14:val="none"/>
        </w:rPr>
      </w:pPr>
      <w:bookmarkStart w:id="11" w:name="_Toc160107348"/>
      <w:r w:rsidRPr="00271C26">
        <w:rPr>
          <w:rFonts w:ascii="Arial" w:eastAsia="Times New Roman" w:hAnsi="Arial" w:cs="Times New Roman"/>
          <w:color w:val="2F5496"/>
          <w:kern w:val="0"/>
          <w:sz w:val="26"/>
          <w:szCs w:val="26"/>
          <w14:ligatures w14:val="none"/>
        </w:rPr>
        <w:t>Recent Change Initiatives</w:t>
      </w:r>
      <w:bookmarkEnd w:id="11"/>
    </w:p>
    <w:p w14:paraId="046BDE26"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 xml:space="preserve">To handle the challenges due to global changes and gain growth, Hyatt Hotels has recently implemented some major change initiatives. </w:t>
      </w:r>
    </w:p>
    <w:p w14:paraId="39360836"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 xml:space="preserve">The World of Hyatt is a </w:t>
      </w:r>
      <w:bookmarkStart w:id="12" w:name="_Hlk156731650"/>
      <w:r w:rsidRPr="00271C26">
        <w:rPr>
          <w:rFonts w:ascii="Arial" w:eastAsia="Calibri" w:hAnsi="Arial" w:cs="Arial"/>
          <w:kern w:val="0"/>
          <w:sz w:val="24"/>
          <w:szCs w:val="24"/>
          <w14:ligatures w14:val="none"/>
        </w:rPr>
        <w:t xml:space="preserve">loyalty program </w:t>
      </w:r>
      <w:bookmarkEnd w:id="12"/>
      <w:r w:rsidRPr="00271C26">
        <w:rPr>
          <w:rFonts w:ascii="Arial" w:eastAsia="Calibri" w:hAnsi="Arial" w:cs="Arial"/>
          <w:kern w:val="0"/>
          <w:sz w:val="24"/>
          <w:szCs w:val="24"/>
          <w14:ligatures w14:val="none"/>
        </w:rPr>
        <w:t>that has successfully established a customer community of 16 million people. The hospitality organization has started Milestone Rewards for staying every 10 qualifying nights and up to 150 nights with 10,000 Bonus Points and $300 Find Credit (Stredwick, 2020). The company has ensured gift status to provide better staycation for family and friends in terms of Guest of Honor benefits. It has terminated the booking limit from the same account.</w:t>
      </w:r>
    </w:p>
    <w:p w14:paraId="68E5C021"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lastRenderedPageBreak/>
        <w:t>The company has widened its operational areas, doubling the number of luxury rooms and tripling resort rooms in the last five years. It has also implemented</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 xml:space="preserve">Sabre's SynXis Central Reservation System for providing equal and standard quality services. It has upgraded the hotel category of 214 Hyatt hotels and moved 158 to downgrade quality. </w:t>
      </w:r>
    </w:p>
    <w:p w14:paraId="51089AE3"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Hyatt Hotels has implemented renewable energy sources in 28 hotels with</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photovoltaic and solar thermal technologies to save 40% on energy costs (Slattery and Olsen, 2022). It has started using EcoTrack to calculate its sustainability measures with greenhouse gas emissions, energy, waste management, recycling, and so on. The hospitality organization has also started contributing to local resources, cultural heritages, and protection of biodiversity and animals (Boddy, 2014).</w:t>
      </w:r>
    </w:p>
    <w:p w14:paraId="522ADBB1"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t xml:space="preserve">The impact of these change initiatives on stakeholders </w:t>
      </w:r>
    </w:p>
    <w:p w14:paraId="513AFE59"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The Milestone Rewards has made the employees alert to the website. The employees are joining the technology-based training program to increase their technology skills and adapt to this change as stakeholders (Weigelt and Miller, 2023). Again, this has increased the satisfaction of both guests and investors for the financial and non-financial benefits of long-term connectivity to the organization. However, the foreign customers are not that satisfied because this change has terminated their global privilege. Secondly, the company has widened its operational areas, doubling the number of luxury rooms and tripling resort rooms in the last five years (Mullins, 2016). It has also implemented</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 xml:space="preserve">Sabre's SynXis Central Reservation System for providing equal and standard quality services, along with changing the category of 372 hotels (Bloisi, Cook, and Hunsaker, 2007). Thirdly, the sustainability measures in the hotel have changed the operational system and working process for the employees. They are facing difficulties in managing the change </w:t>
      </w:r>
      <w:r w:rsidRPr="00271C26">
        <w:rPr>
          <w:rFonts w:ascii="Arial" w:eastAsia="Calibri" w:hAnsi="Arial" w:cs="Arial"/>
          <w:kern w:val="0"/>
          <w:sz w:val="24"/>
          <w:szCs w:val="24"/>
          <w14:ligatures w14:val="none"/>
        </w:rPr>
        <w:lastRenderedPageBreak/>
        <w:t>temporarily. The investors are expecting to have a better rate of return on their large business expansion investment. The customers are also satisfied with setting price rates based on their buying capacity.</w:t>
      </w:r>
    </w:p>
    <w:p w14:paraId="5F3C8F7F"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t>How the changes are managed</w:t>
      </w:r>
    </w:p>
    <w:p w14:paraId="3159DBF2"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Though the company has made beneficiary changes in the global loyalty program, the company is facing discrepancies in gaining coherence with a plan. However, it has managed the installation and digitalization of technology-based operations along with gaining an enhanced reservation system (Mullins, 2020). Nevertheless, the employees are facing challenges in managing the changes. However, the company has successfully implemented and managed its sustainable measures with the collaboration of its stakeholders.</w:t>
      </w:r>
    </w:p>
    <w:p w14:paraId="5F57A077"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t xml:space="preserve">The effectiveness of changes </w:t>
      </w:r>
    </w:p>
    <w:p w14:paraId="3FB3CEFF"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 xml:space="preserve">The undertaken changes and initiatives in Hyatt’s Hotel, including franchise and business trajectory, have helped to gain 3% of CAGR (Demsetz, 2020). Categorizing the room facilities in the hotel has been proven to be a lucrative strategy for pursuing traditional business operations and de-risking the business concurrently with a 30% sales increment with active members (Kandampully, 2023). This has also reduced the CAPEX requirement and started generating 75% of its yearly revenue from the asset lights segment. Focusing on the reservation and luxury system has increased by 10% pre-booking (Lawlor and Jayawardena, 2023). </w:t>
      </w:r>
    </w:p>
    <w:p w14:paraId="7018D756" w14:textId="77777777" w:rsidR="00271C26" w:rsidRPr="00271C26" w:rsidRDefault="00271C26" w:rsidP="00271C26">
      <w:pPr>
        <w:keepNext/>
        <w:keepLines/>
        <w:spacing w:before="40" w:after="0" w:line="480" w:lineRule="auto"/>
        <w:outlineLvl w:val="1"/>
        <w:rPr>
          <w:rFonts w:ascii="Arial" w:eastAsia="Times New Roman" w:hAnsi="Arial" w:cs="Times New Roman"/>
          <w:color w:val="2F5496"/>
          <w:kern w:val="0"/>
          <w:sz w:val="26"/>
          <w:szCs w:val="26"/>
          <w14:ligatures w14:val="none"/>
        </w:rPr>
      </w:pPr>
      <w:bookmarkStart w:id="13" w:name="_Toc160107349"/>
      <w:r w:rsidRPr="00271C26">
        <w:rPr>
          <w:rFonts w:ascii="Arial" w:eastAsia="Times New Roman" w:hAnsi="Arial" w:cs="Times New Roman"/>
          <w:color w:val="2F5496"/>
          <w:kern w:val="0"/>
          <w:sz w:val="26"/>
          <w:szCs w:val="26"/>
          <w14:ligatures w14:val="none"/>
        </w:rPr>
        <w:br w:type="column"/>
      </w:r>
      <w:r w:rsidRPr="00271C26">
        <w:rPr>
          <w:rFonts w:ascii="Arial" w:eastAsia="Times New Roman" w:hAnsi="Arial" w:cs="Times New Roman"/>
          <w:color w:val="2F5496"/>
          <w:kern w:val="0"/>
          <w:sz w:val="26"/>
          <w:szCs w:val="26"/>
          <w14:ligatures w14:val="none"/>
        </w:rPr>
        <w:lastRenderedPageBreak/>
        <w:t>Strategic Direction and Current Business Performance</w:t>
      </w:r>
      <w:bookmarkEnd w:id="13"/>
    </w:p>
    <w:p w14:paraId="040A021F"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t>Current strategic direction and focus areas</w:t>
      </w:r>
    </w:p>
    <w:p w14:paraId="0F0006C1"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Hyatt Hotels aims to provide authentic hospitality, so it has identified its focus area to be safety and well-being (Morken, 2021). Due to this, the organization has fostered cleanliness and coaching on the accreditation process, empowering GBAC STAR. Then, the hotel has configured training for employees on hygiene in every sector, establishing new operational protocols. It has implant experts from Cleveland Clinic to have</w:t>
      </w:r>
      <w:r w:rsidRPr="00271C26">
        <w:rPr>
          <w:rFonts w:ascii="Calibri" w:eastAsia="Calibri" w:hAnsi="Calibri" w:cs="Times New Roman"/>
          <w:kern w:val="0"/>
          <w14:ligatures w14:val="none"/>
        </w:rPr>
        <w:t xml:space="preserve"> a </w:t>
      </w:r>
      <w:r w:rsidRPr="00271C26">
        <w:rPr>
          <w:rFonts w:ascii="Arial" w:eastAsia="Calibri" w:hAnsi="Arial" w:cs="Arial"/>
          <w:kern w:val="0"/>
          <w:sz w:val="24"/>
          <w:szCs w:val="24"/>
          <w14:ligatures w14:val="none"/>
        </w:rPr>
        <w:t>Cross-functional board of trusted medical advisors and industry advisors (Raineri, 2022).</w:t>
      </w:r>
    </w:p>
    <w:p w14:paraId="0F0FC307"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 xml:space="preserve">Apart from this, </w:t>
      </w:r>
      <w:bookmarkStart w:id="14" w:name="_Hlk156731695"/>
      <w:r w:rsidRPr="00271C26">
        <w:rPr>
          <w:rFonts w:ascii="Arial" w:eastAsia="Calibri" w:hAnsi="Arial" w:cs="Arial"/>
          <w:kern w:val="0"/>
          <w:sz w:val="24"/>
          <w:szCs w:val="24"/>
          <w14:ligatures w14:val="none"/>
        </w:rPr>
        <w:t>Hyatt Hotels has identified its focus area to be its investment</w:t>
      </w:r>
      <w:bookmarkEnd w:id="14"/>
      <w:r w:rsidRPr="00271C26">
        <w:rPr>
          <w:rFonts w:ascii="Arial" w:eastAsia="Calibri" w:hAnsi="Arial" w:cs="Arial"/>
          <w:kern w:val="0"/>
          <w:sz w:val="24"/>
          <w:szCs w:val="24"/>
          <w14:ligatures w14:val="none"/>
        </w:rPr>
        <w:t>. It has transited to the business model of</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asset-light,” focusing luxury segment to gain an improved profit margin. The hotel is going to foster compelling investment in upcoming years with declining capex commitments and an increment in shareholder distribution. As a result of this, the company has increased its share price rates (Research, 2023).</w:t>
      </w:r>
    </w:p>
    <w:p w14:paraId="6AB99DC3"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t xml:space="preserve">Compare performance with competitors and industry trends. </w:t>
      </w:r>
    </w:p>
    <w:p w14:paraId="6DE620D9"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The asset-light earnings have increased 80% of its revenue in FY25. It has rationalized real estate and the acquisition of the additional platform of asset-light. This has also provided higher earnings and paid matching with proper transactions (Mullins and Dosser, 2013). This has also increased its real estate value from $2.6 billion to $3.2 billion. The Strategic direction of the hotel is to provide a great competitive position aligning with industry change.</w:t>
      </w:r>
    </w:p>
    <w:p w14:paraId="30870AF6"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 xml:space="preserve">The current performance and strategic direction have helped Hyatt Hotels to have a strong brand portfolio. </w:t>
      </w:r>
      <w:bookmarkStart w:id="15" w:name="_Hlk156731761"/>
      <w:r w:rsidRPr="00271C26">
        <w:rPr>
          <w:rFonts w:ascii="Arial" w:eastAsia="Calibri" w:hAnsi="Arial" w:cs="Arial"/>
          <w:kern w:val="0"/>
          <w:sz w:val="24"/>
          <w:szCs w:val="24"/>
          <w14:ligatures w14:val="none"/>
        </w:rPr>
        <w:t xml:space="preserve">The alignment with diversity trends </w:t>
      </w:r>
      <w:bookmarkEnd w:id="15"/>
      <w:r w:rsidRPr="00271C26">
        <w:rPr>
          <w:rFonts w:ascii="Arial" w:eastAsia="Calibri" w:hAnsi="Arial" w:cs="Arial"/>
          <w:kern w:val="0"/>
          <w:sz w:val="24"/>
          <w:szCs w:val="24"/>
          <w14:ligatures w14:val="none"/>
        </w:rPr>
        <w:t xml:space="preserve">in the hospitality industry has </w:t>
      </w:r>
      <w:r w:rsidRPr="00271C26">
        <w:rPr>
          <w:rFonts w:ascii="Arial" w:eastAsia="Calibri" w:hAnsi="Arial" w:cs="Arial"/>
          <w:kern w:val="0"/>
          <w:sz w:val="24"/>
          <w:szCs w:val="24"/>
          <w14:ligatures w14:val="none"/>
        </w:rPr>
        <w:lastRenderedPageBreak/>
        <w:t>empowered diversified people to represent the hotel and gain growth, especially from the luxury section, meeting distinct needs compared to Marriott International (Sigala and Baum, 2022).</w:t>
      </w:r>
    </w:p>
    <w:p w14:paraId="47BC4906"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Again, the long business journey and persistence to continuous growth have helped to develop the ability to provide exceptional experiences to guests. The people-centricity trend has helped the company to have a better growth rate than Hilton and Accor.</w:t>
      </w:r>
    </w:p>
    <w:p w14:paraId="1D4A33DD"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Hence, the alignment of the company with the trends of globalization has helped to have a global footprint (Slattery and Olsen, 2022). This has unleashed a grand opportunity to lead the international market. This has helped to gain a loyal customer base with consistent and reliable services compared to InterContinental.</w:t>
      </w:r>
    </w:p>
    <w:p w14:paraId="42B4601B" w14:textId="77777777" w:rsidR="00271C26" w:rsidRPr="00271C26" w:rsidRDefault="00271C26" w:rsidP="00271C26">
      <w:pPr>
        <w:keepNext/>
        <w:keepLines/>
        <w:spacing w:before="240" w:after="0" w:line="480" w:lineRule="auto"/>
        <w:jc w:val="both"/>
        <w:outlineLvl w:val="0"/>
        <w:rPr>
          <w:rFonts w:ascii="Arial" w:eastAsia="Times New Roman" w:hAnsi="Arial" w:cs="Arial"/>
          <w:color w:val="2F5496"/>
          <w:kern w:val="0"/>
          <w:sz w:val="32"/>
          <w:szCs w:val="32"/>
          <w14:ligatures w14:val="none"/>
        </w:rPr>
      </w:pPr>
      <w:bookmarkStart w:id="16" w:name="_Toc160107350"/>
      <w:r w:rsidRPr="00271C26">
        <w:rPr>
          <w:rFonts w:ascii="Arial" w:eastAsia="Times New Roman" w:hAnsi="Arial" w:cs="Arial"/>
          <w:color w:val="2F5496"/>
          <w:kern w:val="0"/>
          <w:sz w:val="32"/>
          <w:szCs w:val="32"/>
          <w14:ligatures w14:val="none"/>
        </w:rPr>
        <w:t>Conclusion</w:t>
      </w:r>
      <w:bookmarkEnd w:id="16"/>
      <w:r w:rsidRPr="00271C26">
        <w:rPr>
          <w:rFonts w:ascii="Arial" w:eastAsia="Times New Roman" w:hAnsi="Arial" w:cs="Arial"/>
          <w:color w:val="2F5496"/>
          <w:kern w:val="0"/>
          <w:sz w:val="32"/>
          <w:szCs w:val="32"/>
          <w14:ligatures w14:val="none"/>
        </w:rPr>
        <w:t xml:space="preserve"> </w:t>
      </w:r>
    </w:p>
    <w:p w14:paraId="1CD7B5D7" w14:textId="77777777" w:rsidR="00271C26" w:rsidRPr="00271C26" w:rsidRDefault="00271C26" w:rsidP="00271C26">
      <w:pPr>
        <w:spacing w:line="480" w:lineRule="auto"/>
        <w:jc w:val="both"/>
        <w:rPr>
          <w:rFonts w:ascii="Calibri" w:eastAsia="Calibri" w:hAnsi="Calibri" w:cs="Times New Roman"/>
          <w:kern w:val="0"/>
          <w14:ligatures w14:val="none"/>
        </w:rPr>
      </w:pPr>
      <w:r w:rsidRPr="00271C26">
        <w:rPr>
          <w:rFonts w:ascii="Arial" w:eastAsia="Calibri" w:hAnsi="Arial" w:cs="Arial"/>
          <w:kern w:val="0"/>
          <w:sz w:val="24"/>
          <w:szCs w:val="24"/>
          <w14:ligatures w14:val="none"/>
        </w:rPr>
        <w:t>Conducting an audit of Hyatt Hotels is important at both individual unit and corporate levels.</w:t>
      </w:r>
      <w:r w:rsidRPr="00271C26">
        <w:rPr>
          <w:rFonts w:ascii="Arial" w:eastAsia="Calibri" w:hAnsi="Arial" w:cs="Arial"/>
          <w:kern w:val="0"/>
          <w:szCs w:val="24"/>
          <w14:ligatures w14:val="none"/>
        </w:rPr>
        <w:t xml:space="preserve"> </w:t>
      </w:r>
      <w:r w:rsidRPr="00271C26">
        <w:rPr>
          <w:rFonts w:ascii="Arial" w:eastAsia="Calibri" w:hAnsi="Arial" w:cs="Arial"/>
          <w:kern w:val="0"/>
          <w:sz w:val="24"/>
          <w:szCs w:val="24"/>
          <w14:ligatures w14:val="none"/>
        </w:rPr>
        <w:t>Hyatt Hotels is an American multinational company managing hotels, resorts, residential properties, and franchises.</w:t>
      </w:r>
      <w:r w:rsidRPr="00271C26">
        <w:rPr>
          <w:rFonts w:ascii="Arial" w:eastAsia="Calibri" w:hAnsi="Arial" w:cs="Arial"/>
          <w:kern w:val="0"/>
          <w:szCs w:val="24"/>
          <w14:ligatures w14:val="none"/>
        </w:rPr>
        <w:t xml:space="preserve"> </w:t>
      </w:r>
      <w:r w:rsidRPr="00271C26">
        <w:rPr>
          <w:rFonts w:ascii="Arial" w:eastAsia="Calibri" w:hAnsi="Arial" w:cs="Arial"/>
          <w:kern w:val="0"/>
          <w:sz w:val="24"/>
          <w:szCs w:val="24"/>
          <w14:ligatures w14:val="none"/>
        </w:rPr>
        <w:t>Hyatt Hotels has successfully established a hybrid organizational structure with a combination of divisional and functional structure.</w:t>
      </w:r>
      <w:r w:rsidRPr="00271C26">
        <w:rPr>
          <w:rFonts w:ascii="Arial" w:eastAsia="Calibri" w:hAnsi="Arial" w:cs="Arial"/>
          <w:kern w:val="0"/>
          <w:szCs w:val="24"/>
          <w14:ligatures w14:val="none"/>
        </w:rPr>
        <w:t xml:space="preserve"> Its </w:t>
      </w:r>
      <w:r w:rsidRPr="00271C26">
        <w:rPr>
          <w:rFonts w:ascii="Arial" w:eastAsia="Calibri" w:hAnsi="Arial" w:cs="Arial"/>
          <w:kern w:val="0"/>
          <w:sz w:val="24"/>
          <w:szCs w:val="24"/>
          <w14:ligatures w14:val="none"/>
        </w:rPr>
        <w:t>clan organizational culture</w:t>
      </w:r>
      <w:r w:rsidRPr="00271C26">
        <w:rPr>
          <w:rFonts w:ascii="Arial" w:eastAsia="Calibri" w:hAnsi="Arial" w:cs="Arial"/>
          <w:kern w:val="0"/>
          <w:szCs w:val="24"/>
          <w14:ligatures w14:val="none"/>
        </w:rPr>
        <w:t xml:space="preserve"> </w:t>
      </w:r>
      <w:r w:rsidRPr="00271C26">
        <w:rPr>
          <w:rFonts w:ascii="Arial" w:eastAsia="Calibri" w:hAnsi="Arial" w:cs="Arial"/>
          <w:kern w:val="0"/>
          <w:sz w:val="24"/>
          <w:szCs w:val="24"/>
          <w14:ligatures w14:val="none"/>
        </w:rPr>
        <w:t xml:space="preserve">enhances its relationship with the guests and local community, showing values like integrity, respect, creativity, and empathy. </w:t>
      </w:r>
      <w:bookmarkStart w:id="17" w:name="_Hlk160107780"/>
      <w:r w:rsidRPr="00271C26">
        <w:rPr>
          <w:rFonts w:ascii="Arial" w:eastAsia="Calibri" w:hAnsi="Arial" w:cs="Arial"/>
          <w:kern w:val="0"/>
          <w:szCs w:val="24"/>
          <w14:ligatures w14:val="none"/>
        </w:rPr>
        <w:t>It clarity and coherence of</w:t>
      </w:r>
      <w:r w:rsidRPr="00271C26">
        <w:rPr>
          <w:rFonts w:ascii="Calibri" w:eastAsia="Calibri" w:hAnsi="Calibri" w:cs="Times New Roman"/>
          <w:kern w:val="0"/>
          <w14:ligatures w14:val="none"/>
        </w:rPr>
        <w:t xml:space="preserve"> </w:t>
      </w:r>
      <w:r w:rsidRPr="00271C26">
        <w:rPr>
          <w:rFonts w:ascii="Arial" w:eastAsia="Calibri" w:hAnsi="Arial" w:cs="Arial"/>
          <w:kern w:val="0"/>
          <w:szCs w:val="24"/>
          <w14:ligatures w14:val="none"/>
        </w:rPr>
        <w:t>corporate and individual unit goals are helping the company to achieve</w:t>
      </w:r>
      <w:r w:rsidRPr="00271C26">
        <w:rPr>
          <w:rFonts w:ascii="Arial" w:eastAsia="Calibri" w:hAnsi="Arial" w:cs="Arial"/>
          <w:kern w:val="0"/>
          <w:sz w:val="24"/>
          <w:szCs w:val="24"/>
          <w14:ligatures w14:val="none"/>
        </w:rPr>
        <w:t xml:space="preserve"> </w:t>
      </w:r>
      <w:r w:rsidRPr="00271C26">
        <w:rPr>
          <w:rFonts w:ascii="Arial" w:eastAsia="Calibri" w:hAnsi="Arial" w:cs="Arial"/>
          <w:kern w:val="0"/>
          <w:szCs w:val="24"/>
          <w14:ligatures w14:val="none"/>
        </w:rPr>
        <w:t xml:space="preserve">the </w:t>
      </w:r>
      <w:r w:rsidRPr="00271C26">
        <w:rPr>
          <w:rFonts w:ascii="Arial" w:eastAsia="Calibri" w:hAnsi="Arial" w:cs="Arial"/>
          <w:kern w:val="0"/>
          <w:sz w:val="24"/>
          <w:szCs w:val="24"/>
          <w14:ligatures w14:val="none"/>
        </w:rPr>
        <w:t xml:space="preserve">goal of </w:t>
      </w:r>
      <w:r w:rsidRPr="00271C26">
        <w:rPr>
          <w:rFonts w:ascii="Arial" w:eastAsia="Calibri" w:hAnsi="Arial" w:cs="Arial"/>
          <w:kern w:val="0"/>
          <w:szCs w:val="24"/>
          <w14:ligatures w14:val="none"/>
        </w:rPr>
        <w:t>providing</w:t>
      </w:r>
      <w:r w:rsidRPr="00271C26">
        <w:rPr>
          <w:rFonts w:ascii="Arial" w:eastAsia="Calibri" w:hAnsi="Arial" w:cs="Arial"/>
          <w:kern w:val="0"/>
          <w:sz w:val="24"/>
          <w:szCs w:val="24"/>
          <w14:ligatures w14:val="none"/>
        </w:rPr>
        <w:t xml:space="preserve"> unparalleled services, authentic hospitality, and inviting surroundings to all the hosted events.</w:t>
      </w:r>
      <w:r w:rsidRPr="00271C26">
        <w:rPr>
          <w:rFonts w:ascii="Arial" w:eastAsia="Calibri" w:hAnsi="Arial" w:cs="Arial"/>
          <w:kern w:val="0"/>
          <w:szCs w:val="24"/>
          <w14:ligatures w14:val="none"/>
        </w:rPr>
        <w:t xml:space="preserve"> It has made changes in the </w:t>
      </w:r>
      <w:r w:rsidRPr="00271C26">
        <w:rPr>
          <w:rFonts w:ascii="Arial" w:eastAsia="Calibri" w:hAnsi="Arial" w:cs="Arial"/>
          <w:kern w:val="0"/>
          <w:sz w:val="24"/>
          <w:szCs w:val="24"/>
          <w14:ligatures w14:val="none"/>
        </w:rPr>
        <w:t>loyalty program</w:t>
      </w:r>
      <w:r w:rsidRPr="00271C26">
        <w:rPr>
          <w:rFonts w:ascii="Arial" w:eastAsia="Calibri" w:hAnsi="Arial" w:cs="Arial"/>
          <w:kern w:val="0"/>
          <w:szCs w:val="24"/>
          <w14:ligatures w14:val="none"/>
        </w:rPr>
        <w:t xml:space="preserve">, investment, and sustainability measures, which have been managed well. </w:t>
      </w:r>
      <w:r w:rsidRPr="00271C26">
        <w:rPr>
          <w:rFonts w:ascii="Arial" w:eastAsia="Calibri" w:hAnsi="Arial" w:cs="Arial"/>
          <w:kern w:val="0"/>
          <w:sz w:val="24"/>
          <w:szCs w:val="24"/>
          <w14:ligatures w14:val="none"/>
        </w:rPr>
        <w:t>Hyatt Hotels has identified its focus area to be its investment</w:t>
      </w:r>
      <w:r w:rsidRPr="00271C26">
        <w:rPr>
          <w:rFonts w:ascii="Arial" w:eastAsia="Calibri" w:hAnsi="Arial" w:cs="Arial"/>
          <w:kern w:val="0"/>
          <w:szCs w:val="24"/>
          <w14:ligatures w14:val="none"/>
        </w:rPr>
        <w:t xml:space="preserve"> and care system. These have helped the company to take the necessary initiatives </w:t>
      </w:r>
      <w:r w:rsidRPr="00271C26">
        <w:rPr>
          <w:rFonts w:ascii="Arial" w:eastAsia="Calibri" w:hAnsi="Arial" w:cs="Arial"/>
          <w:kern w:val="0"/>
          <w:szCs w:val="24"/>
          <w14:ligatures w14:val="none"/>
        </w:rPr>
        <w:lastRenderedPageBreak/>
        <w:t>to increase income and growth—the</w:t>
      </w:r>
      <w:r w:rsidRPr="00271C26">
        <w:rPr>
          <w:rFonts w:ascii="Arial" w:eastAsia="Calibri" w:hAnsi="Arial" w:cs="Arial"/>
          <w:kern w:val="0"/>
          <w:sz w:val="24"/>
          <w:szCs w:val="24"/>
          <w14:ligatures w14:val="none"/>
        </w:rPr>
        <w:t xml:space="preserve"> alignment with diversity trends</w:t>
      </w:r>
      <w:r w:rsidRPr="00271C26">
        <w:rPr>
          <w:rFonts w:ascii="Arial" w:eastAsia="Calibri" w:hAnsi="Arial" w:cs="Arial"/>
          <w:kern w:val="0"/>
          <w:szCs w:val="24"/>
          <w14:ligatures w14:val="none"/>
        </w:rPr>
        <w:t xml:space="preserve">. Globalization trends and people-centricity trends have helped to gain a better competitive position in the international market. </w:t>
      </w:r>
    </w:p>
    <w:bookmarkEnd w:id="17"/>
    <w:p w14:paraId="1A67BE44" w14:textId="77777777" w:rsidR="00271C26" w:rsidRPr="00271C26" w:rsidRDefault="00271C26" w:rsidP="00271C26">
      <w:pPr>
        <w:spacing w:line="480" w:lineRule="auto"/>
        <w:jc w:val="both"/>
        <w:rPr>
          <w:rFonts w:ascii="Arial" w:eastAsia="Calibri" w:hAnsi="Arial" w:cs="Arial"/>
          <w:b/>
          <w:bCs/>
          <w:kern w:val="0"/>
          <w:sz w:val="24"/>
          <w:szCs w:val="24"/>
          <w14:ligatures w14:val="none"/>
        </w:rPr>
      </w:pPr>
      <w:r w:rsidRPr="00271C26">
        <w:rPr>
          <w:rFonts w:ascii="Arial" w:eastAsia="Calibri" w:hAnsi="Arial" w:cs="Arial"/>
          <w:b/>
          <w:bCs/>
          <w:kern w:val="0"/>
          <w:sz w:val="24"/>
          <w:szCs w:val="24"/>
          <w14:ligatures w14:val="none"/>
        </w:rPr>
        <w:t>Recommendations</w:t>
      </w:r>
    </w:p>
    <w:p w14:paraId="18FB0348" w14:textId="77777777" w:rsidR="00271C26" w:rsidRPr="00271C26" w:rsidRDefault="00271C26" w:rsidP="00271C26">
      <w:pPr>
        <w:numPr>
          <w:ilvl w:val="0"/>
          <w:numId w:val="1"/>
        </w:numPr>
        <w:spacing w:line="480" w:lineRule="auto"/>
        <w:contextualSpacing/>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 xml:space="preserve">Despite making beneficiary changes in the global loyalty program, the company is facing discrepancies in gaining coherence with a plan. Hyatt Hotels should enforce a </w:t>
      </w:r>
      <w:bookmarkStart w:id="18" w:name="_Hlk160107837"/>
      <w:r w:rsidRPr="00271C26">
        <w:rPr>
          <w:rFonts w:ascii="Arial" w:eastAsia="Calibri" w:hAnsi="Arial" w:cs="Arial"/>
          <w:kern w:val="0"/>
          <w:sz w:val="24"/>
          <w:szCs w:val="24"/>
          <w14:ligatures w14:val="none"/>
        </w:rPr>
        <w:t xml:space="preserve">good tracking system in the loyalty programs to manage the change </w:t>
      </w:r>
      <w:bookmarkEnd w:id="18"/>
      <w:r w:rsidRPr="00271C26">
        <w:rPr>
          <w:rFonts w:ascii="Arial" w:eastAsia="Calibri" w:hAnsi="Arial" w:cs="Arial"/>
          <w:kern w:val="0"/>
          <w:sz w:val="24"/>
          <w:szCs w:val="24"/>
          <w14:ligatures w14:val="none"/>
        </w:rPr>
        <w:t>in World of Hyatt well and be in coherence with the plan.</w:t>
      </w:r>
    </w:p>
    <w:p w14:paraId="70B9AD0E" w14:textId="77777777" w:rsidR="00271C26" w:rsidRPr="00271C26" w:rsidRDefault="00271C26" w:rsidP="00271C26">
      <w:pPr>
        <w:numPr>
          <w:ilvl w:val="0"/>
          <w:numId w:val="1"/>
        </w:numPr>
        <w:spacing w:line="480" w:lineRule="auto"/>
        <w:contextualSpacing/>
        <w:jc w:val="both"/>
        <w:rPr>
          <w:rFonts w:ascii="Calibri" w:eastAsia="Calibri" w:hAnsi="Calibri" w:cs="Times New Roman"/>
          <w:kern w:val="0"/>
          <w14:ligatures w14:val="none"/>
        </w:rPr>
      </w:pPr>
      <w:r w:rsidRPr="00271C26">
        <w:rPr>
          <w:rFonts w:ascii="Arial" w:eastAsia="Calibri" w:hAnsi="Arial" w:cs="Arial"/>
          <w:kern w:val="0"/>
          <w:sz w:val="24"/>
          <w:szCs w:val="24"/>
          <w14:ligatures w14:val="none"/>
        </w:rPr>
        <w:t>It should configure expertise training programs on technology for the employees so that they can manage the changes in the installation and digitalization of technology-based operations and reservation systems (Weigelt and Miller, 2023).</w:t>
      </w:r>
    </w:p>
    <w:p w14:paraId="1E30F25E" w14:textId="77777777" w:rsidR="00271C26" w:rsidRPr="00271C26" w:rsidRDefault="00271C26" w:rsidP="00271C26">
      <w:pPr>
        <w:numPr>
          <w:ilvl w:val="0"/>
          <w:numId w:val="1"/>
        </w:numPr>
        <w:spacing w:line="480" w:lineRule="auto"/>
        <w:contextualSpacing/>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 xml:space="preserve">The hospitality organization has successfully implemented environmentally sustainable measures in 28 hotels with renewable energy, but it should work to widen the scope of gaining sustainability holistically (Stredwick, 2020). </w:t>
      </w:r>
    </w:p>
    <w:p w14:paraId="56CEB26D" w14:textId="77777777" w:rsidR="00271C26" w:rsidRPr="00271C26" w:rsidRDefault="00271C26" w:rsidP="00271C26">
      <w:pPr>
        <w:spacing w:line="480" w:lineRule="auto"/>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br w:type="page"/>
      </w:r>
    </w:p>
    <w:p w14:paraId="529FD4DE" w14:textId="77777777" w:rsidR="00271C26" w:rsidRPr="00271C26" w:rsidRDefault="00271C26" w:rsidP="00271C26">
      <w:pPr>
        <w:keepNext/>
        <w:keepLines/>
        <w:spacing w:after="240" w:line="480" w:lineRule="auto"/>
        <w:outlineLvl w:val="0"/>
        <w:rPr>
          <w:rFonts w:ascii="Arial" w:eastAsia="Times New Roman" w:hAnsi="Arial" w:cs="Arial"/>
          <w:color w:val="2F5496"/>
          <w:kern w:val="0"/>
          <w:sz w:val="36"/>
          <w:szCs w:val="36"/>
          <w14:ligatures w14:val="none"/>
        </w:rPr>
      </w:pPr>
      <w:bookmarkStart w:id="19" w:name="_Toc160107351"/>
      <w:r w:rsidRPr="00271C26">
        <w:rPr>
          <w:rFonts w:ascii="Arial" w:eastAsia="Times New Roman" w:hAnsi="Arial" w:cs="Arial"/>
          <w:color w:val="2F5496"/>
          <w:kern w:val="0"/>
          <w:sz w:val="36"/>
          <w:szCs w:val="36"/>
          <w14:ligatures w14:val="none"/>
        </w:rPr>
        <w:lastRenderedPageBreak/>
        <w:t>Reference list</w:t>
      </w:r>
      <w:bookmarkEnd w:id="19"/>
    </w:p>
    <w:p w14:paraId="58B6173F"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Adair, J. (2009) The Inspirational Leader (2nd Ed), London: Kogan Page</w:t>
      </w:r>
    </w:p>
    <w:p w14:paraId="5CA6BA7B"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Armstrong, M. (2012) Armstrong’s Handbook of Management and Leadership (3rd Ed), London: Kogan Page.</w:t>
      </w:r>
    </w:p>
    <w:p w14:paraId="034CDE6C"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Arnold, J. (2005) Work Psychology (4th edition) Harlow: Prentice Hall.</w:t>
      </w:r>
    </w:p>
    <w:p w14:paraId="36FD91A1"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Bloisi, W. et al (2007) Management and Organisational Behaviour, (2nd edition) Maidenhead: McGraw-Hill.</w:t>
      </w:r>
    </w:p>
    <w:p w14:paraId="38C89067"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Bloisi, W., Cook, C. and Hunsaker, P.L. (2007). </w:t>
      </w:r>
      <w:r w:rsidRPr="00271C26">
        <w:rPr>
          <w:rFonts w:ascii="Arial" w:eastAsia="Times New Roman" w:hAnsi="Arial" w:cs="Arial"/>
          <w:i/>
          <w:iCs/>
          <w:kern w:val="0"/>
          <w:sz w:val="24"/>
          <w:szCs w:val="24"/>
          <w14:ligatures w14:val="none"/>
        </w:rPr>
        <w:t>Management and organisational behaviour: second edition</w:t>
      </w:r>
      <w:r w:rsidRPr="00271C26">
        <w:rPr>
          <w:rFonts w:ascii="Arial" w:eastAsia="Times New Roman" w:hAnsi="Arial" w:cs="Arial"/>
          <w:kern w:val="0"/>
          <w:sz w:val="24"/>
          <w:szCs w:val="24"/>
          <w14:ligatures w14:val="none"/>
        </w:rPr>
        <w:t>. New York: McGraw-Hill, Cop.</w:t>
      </w:r>
    </w:p>
    <w:p w14:paraId="015891C5"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Boddy, D. (2014) Management: An Introduction (6th Ed), Harlow, Pearson</w:t>
      </w:r>
    </w:p>
    <w:p w14:paraId="3DDCD795"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Buchanan, D. and Huczynski, A. (2007) Organisational Behaviour: An Introductory Text (6th edition), Harlow: Prentice Hall.</w:t>
      </w:r>
    </w:p>
    <w:p w14:paraId="5C473EA1"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Demsetz, H. (2020). Industry Structure, Market Rivalry, and Public Policy. </w:t>
      </w:r>
      <w:r w:rsidRPr="00271C26">
        <w:rPr>
          <w:rFonts w:ascii="Arial" w:eastAsia="Times New Roman" w:hAnsi="Arial" w:cs="Arial"/>
          <w:i/>
          <w:iCs/>
          <w:kern w:val="0"/>
          <w:sz w:val="24"/>
          <w:szCs w:val="24"/>
          <w14:ligatures w14:val="none"/>
        </w:rPr>
        <w:t>The Journal of Law and Economics</w:t>
      </w:r>
      <w:r w:rsidRPr="00271C26">
        <w:rPr>
          <w:rFonts w:ascii="Arial" w:eastAsia="Times New Roman" w:hAnsi="Arial" w:cs="Arial"/>
          <w:kern w:val="0"/>
          <w:sz w:val="24"/>
          <w:szCs w:val="24"/>
          <w14:ligatures w14:val="none"/>
        </w:rPr>
        <w:t xml:space="preserve">, 16(1), pp.1–9. </w:t>
      </w:r>
    </w:p>
    <w:p w14:paraId="343A8114"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Holyoak, L. (2022). Organisational Culture: Organisational Change? </w:t>
      </w:r>
      <w:r w:rsidRPr="00271C26">
        <w:rPr>
          <w:rFonts w:ascii="Arial" w:eastAsia="Times New Roman" w:hAnsi="Arial" w:cs="Arial"/>
          <w:i/>
          <w:iCs/>
          <w:kern w:val="0"/>
          <w:sz w:val="24"/>
          <w:szCs w:val="24"/>
          <w14:ligatures w14:val="none"/>
        </w:rPr>
        <w:t>Leadership &amp; Organization Development Journal</w:t>
      </w:r>
      <w:r w:rsidRPr="00271C26">
        <w:rPr>
          <w:rFonts w:ascii="Arial" w:eastAsia="Times New Roman" w:hAnsi="Arial" w:cs="Arial"/>
          <w:kern w:val="0"/>
          <w:sz w:val="24"/>
          <w:szCs w:val="24"/>
          <w14:ligatures w14:val="none"/>
        </w:rPr>
        <w:t>, 23(6), pp.354–355.</w:t>
      </w:r>
    </w:p>
    <w:p w14:paraId="4376A6E5"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Huczynski, A. and Buchanan, D. (2013) Organisational Behaviour (8th Ed), Harlow: Pearson</w:t>
      </w:r>
    </w:p>
    <w:p w14:paraId="39ED75BC"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lastRenderedPageBreak/>
        <w:t xml:space="preserve">Hyatt Hotels (2023). </w:t>
      </w:r>
      <w:r w:rsidRPr="00271C26">
        <w:rPr>
          <w:rFonts w:ascii="Arial" w:eastAsia="Times New Roman" w:hAnsi="Arial" w:cs="Arial"/>
          <w:i/>
          <w:iCs/>
          <w:kern w:val="0"/>
          <w:sz w:val="24"/>
          <w:szCs w:val="24"/>
          <w14:ligatures w14:val="none"/>
        </w:rPr>
        <w:t>About us</w:t>
      </w:r>
      <w:r w:rsidRPr="00271C26">
        <w:rPr>
          <w:rFonts w:ascii="Arial" w:eastAsia="Times New Roman" w:hAnsi="Arial" w:cs="Arial"/>
          <w:kern w:val="0"/>
          <w:sz w:val="24"/>
          <w:szCs w:val="24"/>
          <w14:ligatures w14:val="none"/>
        </w:rPr>
        <w:t>. [online] World of Hyatt. Available at: https://www.hyatt.com/?src=adm_sem_crp_chico_crp_ppc_Hyatt-Brand-General-All-Hyatt-All_google_Evergreen2022_e_hyatt&amp;gad_source=1&amp;gclid=Cj0KCQiA-62tBhDSARIsAO7twbb1nMKRztNMaxdffRprE8TzZqq0i1_EtjS6ARx5O5LNAXjuxs6xvW0aAuSXEALw_wcB [Accessed 21 Jan. 2024].</w:t>
      </w:r>
    </w:p>
    <w:p w14:paraId="65CA7F44"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Kandampully, J. (2023). The new customer-centered business model for the hospitality industry. </w:t>
      </w:r>
      <w:r w:rsidRPr="00271C26">
        <w:rPr>
          <w:rFonts w:ascii="Arial" w:eastAsia="Times New Roman" w:hAnsi="Arial" w:cs="Arial"/>
          <w:i/>
          <w:iCs/>
          <w:kern w:val="0"/>
          <w:sz w:val="24"/>
          <w:szCs w:val="24"/>
          <w14:ligatures w14:val="none"/>
        </w:rPr>
        <w:t>International Journal of Contemporary Hospitality Management</w:t>
      </w:r>
      <w:r w:rsidRPr="00271C26">
        <w:rPr>
          <w:rFonts w:ascii="Arial" w:eastAsia="Times New Roman" w:hAnsi="Arial" w:cs="Arial"/>
          <w:kern w:val="0"/>
          <w:sz w:val="24"/>
          <w:szCs w:val="24"/>
          <w14:ligatures w14:val="none"/>
        </w:rPr>
        <w:t xml:space="preserve">, 18(3), pp.173–187. </w:t>
      </w:r>
    </w:p>
    <w:p w14:paraId="248148F8"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Lawlor, F. and Jayawardena, C. (2023). Purchasing for 4,000 hotels: the case of Avendra. </w:t>
      </w:r>
      <w:r w:rsidRPr="00271C26">
        <w:rPr>
          <w:rFonts w:ascii="Arial" w:eastAsia="Times New Roman" w:hAnsi="Arial" w:cs="Arial"/>
          <w:i/>
          <w:iCs/>
          <w:kern w:val="0"/>
          <w:sz w:val="24"/>
          <w:szCs w:val="24"/>
          <w14:ligatures w14:val="none"/>
        </w:rPr>
        <w:t>International Journal of Contemporary Hospitality Management</w:t>
      </w:r>
      <w:r w:rsidRPr="00271C26">
        <w:rPr>
          <w:rFonts w:ascii="Arial" w:eastAsia="Times New Roman" w:hAnsi="Arial" w:cs="Arial"/>
          <w:kern w:val="0"/>
          <w:sz w:val="24"/>
          <w:szCs w:val="24"/>
          <w14:ligatures w14:val="none"/>
        </w:rPr>
        <w:t xml:space="preserve">, 15(6), pp.346–348. </w:t>
      </w:r>
    </w:p>
    <w:p w14:paraId="0ED90FD7"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Morken, C. (2021). Leadership success factors: The old and the new: Interview with Darryl Hartley-Leonard, President, Hyatt Hotels Corporation. </w:t>
      </w:r>
      <w:r w:rsidRPr="00271C26">
        <w:rPr>
          <w:rFonts w:ascii="Arial" w:eastAsia="Times New Roman" w:hAnsi="Arial" w:cs="Arial"/>
          <w:i/>
          <w:iCs/>
          <w:kern w:val="0"/>
          <w:sz w:val="24"/>
          <w:szCs w:val="24"/>
          <w14:ligatures w14:val="none"/>
        </w:rPr>
        <w:t>Consulting Psychology Journal: Practice and Research</w:t>
      </w:r>
      <w:r w:rsidRPr="00271C26">
        <w:rPr>
          <w:rFonts w:ascii="Arial" w:eastAsia="Times New Roman" w:hAnsi="Arial" w:cs="Arial"/>
          <w:kern w:val="0"/>
          <w:sz w:val="24"/>
          <w:szCs w:val="24"/>
          <w14:ligatures w14:val="none"/>
        </w:rPr>
        <w:t xml:space="preserve">, 46(1), pp.78–88. </w:t>
      </w:r>
    </w:p>
    <w:p w14:paraId="384151FE"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Mullins, L. and Dosser, P. (2013) Hospitality Management and Organisational Behaviour (5th Ed) Harlow, Pearson.</w:t>
      </w:r>
    </w:p>
    <w:p w14:paraId="3CF36187"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Mullins, L. (2016) Management and Organisational Behaviour (11th edition) Harlow: Pearson</w:t>
      </w:r>
    </w:p>
    <w:p w14:paraId="5FF1533B"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Mullins, L. (2020) Organisational Behaviour in the Workplace (12th edition) Harlow:  Pearson</w:t>
      </w:r>
    </w:p>
    <w:p w14:paraId="4812DA72"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lastRenderedPageBreak/>
        <w:t xml:space="preserve">Raineri, A.B. (2022). Change management practices: Impact on perceived change results. </w:t>
      </w:r>
      <w:r w:rsidRPr="00271C26">
        <w:rPr>
          <w:rFonts w:ascii="Arial" w:eastAsia="Times New Roman" w:hAnsi="Arial" w:cs="Arial"/>
          <w:i/>
          <w:iCs/>
          <w:kern w:val="0"/>
          <w:sz w:val="24"/>
          <w:szCs w:val="24"/>
          <w14:ligatures w14:val="none"/>
        </w:rPr>
        <w:t>Journal of Business Research</w:t>
      </w:r>
      <w:r w:rsidRPr="00271C26">
        <w:rPr>
          <w:rFonts w:ascii="Arial" w:eastAsia="Times New Roman" w:hAnsi="Arial" w:cs="Arial"/>
          <w:kern w:val="0"/>
          <w:sz w:val="24"/>
          <w:szCs w:val="24"/>
          <w14:ligatures w14:val="none"/>
        </w:rPr>
        <w:t xml:space="preserve">, 64(3), pp.266–272. </w:t>
      </w:r>
    </w:p>
    <w:p w14:paraId="1653235B"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Research, W.A. (2023). </w:t>
      </w:r>
      <w:r w:rsidRPr="00271C26">
        <w:rPr>
          <w:rFonts w:ascii="Arial" w:eastAsia="Times New Roman" w:hAnsi="Arial" w:cs="Arial"/>
          <w:i/>
          <w:iCs/>
          <w:kern w:val="0"/>
          <w:sz w:val="24"/>
          <w:szCs w:val="24"/>
          <w14:ligatures w14:val="none"/>
        </w:rPr>
        <w:t>Hyatt Hotels’ Strategy In A Resilient And Evolving Industry (NYSE: H) | Seeking Alpha</w:t>
      </w:r>
      <w:r w:rsidRPr="00271C26">
        <w:rPr>
          <w:rFonts w:ascii="Arial" w:eastAsia="Times New Roman" w:hAnsi="Arial" w:cs="Arial"/>
          <w:kern w:val="0"/>
          <w:sz w:val="24"/>
          <w:szCs w:val="24"/>
          <w14:ligatures w14:val="none"/>
        </w:rPr>
        <w:t>. [online] seekingalpha.com. Available at: https://seekingalpha.com/article/4627888-hyatt-hotels-strategy-in-a-resilient-and-evolving-industry.</w:t>
      </w:r>
    </w:p>
    <w:p w14:paraId="0E8008AB"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Robbins, S. et al. (2008) Organizational Behaviour (5th edition) Harlow: Pearson Education Limited.</w:t>
      </w:r>
    </w:p>
    <w:p w14:paraId="60D93AD9" w14:textId="77777777" w:rsidR="00271C26" w:rsidRPr="00271C26" w:rsidRDefault="00271C26" w:rsidP="00271C26">
      <w:pPr>
        <w:spacing w:line="480" w:lineRule="auto"/>
        <w:ind w:left="720" w:hanging="720"/>
        <w:jc w:val="both"/>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Rollinson, D. et al. (2008) Organisational Behaviour and Analysis (4th edition) Harlow: Addison-Wesley Longman.</w:t>
      </w:r>
    </w:p>
    <w:p w14:paraId="08B36F8D"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Sigala, M. and Baum, T. (2022). Trends and Issues in Tourism and Hospitality Higher Education: Visioning the Future. </w:t>
      </w:r>
      <w:r w:rsidRPr="00271C26">
        <w:rPr>
          <w:rFonts w:ascii="Arial" w:eastAsia="Times New Roman" w:hAnsi="Arial" w:cs="Arial"/>
          <w:i/>
          <w:iCs/>
          <w:kern w:val="0"/>
          <w:sz w:val="24"/>
          <w:szCs w:val="24"/>
          <w14:ligatures w14:val="none"/>
        </w:rPr>
        <w:t>Tourism and Hospitality Research</w:t>
      </w:r>
      <w:r w:rsidRPr="00271C26">
        <w:rPr>
          <w:rFonts w:ascii="Arial" w:eastAsia="Times New Roman" w:hAnsi="Arial" w:cs="Arial"/>
          <w:kern w:val="0"/>
          <w:sz w:val="24"/>
          <w:szCs w:val="24"/>
          <w14:ligatures w14:val="none"/>
        </w:rPr>
        <w:t xml:space="preserve">, 4(4), pp.367–376. </w:t>
      </w:r>
    </w:p>
    <w:p w14:paraId="66CB2A18"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Slattery, P. and Olsen, M. (2022). Hospitality organizations and their environment. </w:t>
      </w:r>
      <w:r w:rsidRPr="00271C26">
        <w:rPr>
          <w:rFonts w:ascii="Arial" w:eastAsia="Times New Roman" w:hAnsi="Arial" w:cs="Arial"/>
          <w:i/>
          <w:iCs/>
          <w:kern w:val="0"/>
          <w:sz w:val="24"/>
          <w:szCs w:val="24"/>
          <w14:ligatures w14:val="none"/>
        </w:rPr>
        <w:t>International Journal of Hospitality Management</w:t>
      </w:r>
      <w:r w:rsidRPr="00271C26">
        <w:rPr>
          <w:rFonts w:ascii="Arial" w:eastAsia="Times New Roman" w:hAnsi="Arial" w:cs="Arial"/>
          <w:kern w:val="0"/>
          <w:sz w:val="24"/>
          <w:szCs w:val="24"/>
          <w14:ligatures w14:val="none"/>
        </w:rPr>
        <w:t>, 3(2), pp.55–61</w:t>
      </w:r>
    </w:p>
    <w:p w14:paraId="1B1ACB90"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Stredwick, J. (2020). Aligning rewards to organisational goals – a multinational’s experience. </w:t>
      </w:r>
      <w:r w:rsidRPr="00271C26">
        <w:rPr>
          <w:rFonts w:ascii="Arial" w:eastAsia="Times New Roman" w:hAnsi="Arial" w:cs="Arial"/>
          <w:i/>
          <w:iCs/>
          <w:kern w:val="0"/>
          <w:sz w:val="24"/>
          <w:szCs w:val="24"/>
          <w14:ligatures w14:val="none"/>
        </w:rPr>
        <w:t>European Business Review</w:t>
      </w:r>
      <w:r w:rsidRPr="00271C26">
        <w:rPr>
          <w:rFonts w:ascii="Arial" w:eastAsia="Times New Roman" w:hAnsi="Arial" w:cs="Arial"/>
          <w:kern w:val="0"/>
          <w:sz w:val="24"/>
          <w:szCs w:val="24"/>
          <w14:ligatures w14:val="none"/>
        </w:rPr>
        <w:t xml:space="preserve">, 12(1), pp.9–19. </w:t>
      </w:r>
    </w:p>
    <w:p w14:paraId="6E001BEA" w14:textId="77777777" w:rsidR="00271C26" w:rsidRPr="00271C26" w:rsidRDefault="00271C26" w:rsidP="00271C26">
      <w:pPr>
        <w:spacing w:after="240" w:line="480" w:lineRule="auto"/>
        <w:ind w:left="720" w:hanging="720"/>
        <w:jc w:val="both"/>
        <w:rPr>
          <w:rFonts w:ascii="Arial" w:eastAsia="Times New Roman" w:hAnsi="Arial" w:cs="Arial"/>
          <w:kern w:val="0"/>
          <w:sz w:val="24"/>
          <w:szCs w:val="24"/>
          <w14:ligatures w14:val="none"/>
        </w:rPr>
      </w:pPr>
      <w:r w:rsidRPr="00271C26">
        <w:rPr>
          <w:rFonts w:ascii="Arial" w:eastAsia="Times New Roman" w:hAnsi="Arial" w:cs="Arial"/>
          <w:kern w:val="0"/>
          <w:sz w:val="24"/>
          <w:szCs w:val="24"/>
          <w14:ligatures w14:val="none"/>
        </w:rPr>
        <w:t xml:space="preserve">Weigelt, C. and Miller, D.J. (2023). Implications of internal organization structure for firm boundaries. </w:t>
      </w:r>
      <w:r w:rsidRPr="00271C26">
        <w:rPr>
          <w:rFonts w:ascii="Arial" w:eastAsia="Times New Roman" w:hAnsi="Arial" w:cs="Arial"/>
          <w:i/>
          <w:iCs/>
          <w:kern w:val="0"/>
          <w:sz w:val="24"/>
          <w:szCs w:val="24"/>
          <w14:ligatures w14:val="none"/>
        </w:rPr>
        <w:t>Strategic Management Journal</w:t>
      </w:r>
      <w:r w:rsidRPr="00271C26">
        <w:rPr>
          <w:rFonts w:ascii="Arial" w:eastAsia="Times New Roman" w:hAnsi="Arial" w:cs="Arial"/>
          <w:kern w:val="0"/>
          <w:sz w:val="24"/>
          <w:szCs w:val="24"/>
          <w14:ligatures w14:val="none"/>
        </w:rPr>
        <w:t xml:space="preserve">, 34(12), pp.1411–1434. </w:t>
      </w:r>
    </w:p>
    <w:p w14:paraId="153BE096" w14:textId="77777777" w:rsidR="00271C26" w:rsidRPr="00271C26" w:rsidRDefault="00271C26" w:rsidP="00271C26">
      <w:pPr>
        <w:spacing w:line="480" w:lineRule="auto"/>
        <w:jc w:val="both"/>
        <w:rPr>
          <w:rFonts w:ascii="Arial" w:eastAsia="Calibri" w:hAnsi="Arial" w:cs="Arial"/>
          <w:kern w:val="0"/>
          <w:sz w:val="24"/>
          <w:szCs w:val="24"/>
          <w14:ligatures w14:val="none"/>
        </w:rPr>
      </w:pPr>
    </w:p>
    <w:p w14:paraId="3523A8A5" w14:textId="77777777" w:rsidR="00271C26" w:rsidRPr="00271C26" w:rsidRDefault="00271C26" w:rsidP="00271C26">
      <w:pPr>
        <w:spacing w:line="480" w:lineRule="auto"/>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lastRenderedPageBreak/>
        <w:br w:type="page"/>
      </w:r>
    </w:p>
    <w:p w14:paraId="340986BA" w14:textId="77777777" w:rsidR="00271C26" w:rsidRPr="00271C26" w:rsidRDefault="00271C26" w:rsidP="00271C26">
      <w:pPr>
        <w:keepNext/>
        <w:keepLines/>
        <w:spacing w:before="240" w:after="0" w:line="480" w:lineRule="auto"/>
        <w:outlineLvl w:val="0"/>
        <w:rPr>
          <w:rFonts w:ascii="Arial" w:eastAsia="Times New Roman" w:hAnsi="Arial" w:cs="Arial"/>
          <w:color w:val="2F5496"/>
          <w:kern w:val="0"/>
          <w:sz w:val="32"/>
          <w:szCs w:val="32"/>
          <w14:ligatures w14:val="none"/>
        </w:rPr>
      </w:pPr>
      <w:bookmarkStart w:id="20" w:name="_Toc160107352"/>
      <w:r w:rsidRPr="00271C26">
        <w:rPr>
          <w:rFonts w:ascii="Arial" w:eastAsia="Times New Roman" w:hAnsi="Arial" w:cs="Arial"/>
          <w:color w:val="2F5496"/>
          <w:kern w:val="0"/>
          <w:sz w:val="32"/>
          <w:szCs w:val="32"/>
          <w14:ligatures w14:val="none"/>
        </w:rPr>
        <w:lastRenderedPageBreak/>
        <w:t>Appendices</w:t>
      </w:r>
      <w:bookmarkEnd w:id="20"/>
    </w:p>
    <w:p w14:paraId="6C825DAB"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b/>
          <w:bCs/>
          <w:kern w:val="0"/>
          <w:sz w:val="24"/>
          <w:szCs w:val="24"/>
          <w14:ligatures w14:val="none"/>
        </w:rPr>
        <w:t>Appendix 1:</w:t>
      </w:r>
      <w:r w:rsidRPr="00271C26">
        <w:rPr>
          <w:rFonts w:ascii="Arial" w:eastAsia="Calibri" w:hAnsi="Arial" w:cs="Arial"/>
          <w:kern w:val="0"/>
          <w:sz w:val="24"/>
          <w:szCs w:val="24"/>
          <w14:ligatures w14:val="none"/>
        </w:rPr>
        <w:t xml:space="preserve"> Revenue growth of Hyatt Hotels.</w:t>
      </w:r>
    </w:p>
    <w:p w14:paraId="605049A1"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noProof/>
          <w:kern w:val="0"/>
          <w:sz w:val="24"/>
          <w:szCs w:val="24"/>
          <w14:ligatures w14:val="none"/>
        </w:rPr>
        <w:drawing>
          <wp:inline distT="0" distB="0" distL="0" distR="0" wp14:anchorId="258EE1F4" wp14:editId="757F1366">
            <wp:extent cx="4342655" cy="2080512"/>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50394" cy="2084219"/>
                    </a:xfrm>
                    <a:prstGeom prst="rect">
                      <a:avLst/>
                    </a:prstGeom>
                    <a:noFill/>
                  </pic:spPr>
                </pic:pic>
              </a:graphicData>
            </a:graphic>
          </wp:inline>
        </w:drawing>
      </w:r>
    </w:p>
    <w:p w14:paraId="03257D88"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Source:</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(Demsetz, 2020).</w:t>
      </w:r>
    </w:p>
    <w:p w14:paraId="504D8E4A"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b/>
          <w:bCs/>
          <w:kern w:val="0"/>
          <w:sz w:val="24"/>
          <w:szCs w:val="24"/>
          <w14:ligatures w14:val="none"/>
        </w:rPr>
        <w:t>Appendix 2:</w:t>
      </w:r>
      <w:r w:rsidRPr="00271C26">
        <w:rPr>
          <w:rFonts w:ascii="Arial" w:eastAsia="Calibri" w:hAnsi="Arial" w:cs="Arial"/>
          <w:kern w:val="0"/>
          <w:sz w:val="24"/>
          <w:szCs w:val="24"/>
          <w14:ligatures w14:val="none"/>
        </w:rPr>
        <w:t xml:space="preserve"> Categorising Accommodation Facilities</w:t>
      </w:r>
    </w:p>
    <w:p w14:paraId="4A589C74"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noProof/>
          <w:kern w:val="0"/>
          <w:sz w:val="24"/>
          <w:szCs w:val="24"/>
          <w14:ligatures w14:val="none"/>
        </w:rPr>
        <w:drawing>
          <wp:inline distT="0" distB="0" distL="0" distR="0" wp14:anchorId="27181985" wp14:editId="6297BCEF">
            <wp:extent cx="4905139" cy="285046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1550" cy="2854186"/>
                    </a:xfrm>
                    <a:prstGeom prst="rect">
                      <a:avLst/>
                    </a:prstGeom>
                    <a:noFill/>
                  </pic:spPr>
                </pic:pic>
              </a:graphicData>
            </a:graphic>
          </wp:inline>
        </w:drawing>
      </w:r>
    </w:p>
    <w:p w14:paraId="4476EA61"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Source:</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(Holyoak, 2022).</w:t>
      </w:r>
    </w:p>
    <w:p w14:paraId="210A55B8"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b/>
          <w:bCs/>
          <w:kern w:val="0"/>
          <w:sz w:val="24"/>
          <w:szCs w:val="24"/>
          <w14:ligatures w14:val="none"/>
        </w:rPr>
        <w:t>Appendix 3:</w:t>
      </w:r>
      <w:r w:rsidRPr="00271C26">
        <w:rPr>
          <w:rFonts w:ascii="Arial" w:eastAsia="Calibri" w:hAnsi="Arial" w:cs="Arial"/>
          <w:kern w:val="0"/>
          <w:sz w:val="24"/>
          <w:szCs w:val="24"/>
          <w14:ligatures w14:val="none"/>
        </w:rPr>
        <w:t xml:space="preserve"> Asset light business model.</w:t>
      </w:r>
    </w:p>
    <w:p w14:paraId="24873C74"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noProof/>
          <w:kern w:val="0"/>
          <w:sz w:val="24"/>
          <w:szCs w:val="24"/>
          <w14:ligatures w14:val="none"/>
        </w:rPr>
        <w:lastRenderedPageBreak/>
        <w:drawing>
          <wp:inline distT="0" distB="0" distL="0" distR="0" wp14:anchorId="723810CF" wp14:editId="6BE9DC4B">
            <wp:extent cx="5404957" cy="3401336"/>
            <wp:effectExtent l="0" t="0" r="571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9980" cy="3404497"/>
                    </a:xfrm>
                    <a:prstGeom prst="rect">
                      <a:avLst/>
                    </a:prstGeom>
                    <a:noFill/>
                  </pic:spPr>
                </pic:pic>
              </a:graphicData>
            </a:graphic>
          </wp:inline>
        </w:drawing>
      </w:r>
    </w:p>
    <w:p w14:paraId="7326E1FD"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Source:</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(Hyatt Hotels, 2023).</w:t>
      </w:r>
    </w:p>
    <w:p w14:paraId="35B89B6D"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b/>
          <w:bCs/>
          <w:kern w:val="0"/>
          <w:sz w:val="24"/>
          <w:szCs w:val="24"/>
          <w14:ligatures w14:val="none"/>
        </w:rPr>
        <w:t>Appendix 4:</w:t>
      </w:r>
      <w:r w:rsidRPr="00271C26">
        <w:rPr>
          <w:rFonts w:ascii="Arial" w:eastAsia="Calibri" w:hAnsi="Arial" w:cs="Arial"/>
          <w:kern w:val="0"/>
          <w:sz w:val="24"/>
          <w:szCs w:val="24"/>
          <w14:ligatures w14:val="none"/>
        </w:rPr>
        <w:t xml:space="preserve"> Transition to asset-light platform</w:t>
      </w:r>
    </w:p>
    <w:p w14:paraId="062F6976"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noProof/>
          <w:kern w:val="0"/>
          <w:sz w:val="24"/>
          <w:szCs w:val="24"/>
          <w14:ligatures w14:val="none"/>
        </w:rPr>
        <w:drawing>
          <wp:inline distT="0" distB="0" distL="0" distR="0" wp14:anchorId="05B51645" wp14:editId="0F2413A3">
            <wp:extent cx="5610639" cy="2760791"/>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16318" cy="2763585"/>
                    </a:xfrm>
                    <a:prstGeom prst="rect">
                      <a:avLst/>
                    </a:prstGeom>
                    <a:noFill/>
                  </pic:spPr>
                </pic:pic>
              </a:graphicData>
            </a:graphic>
          </wp:inline>
        </w:drawing>
      </w:r>
    </w:p>
    <w:p w14:paraId="63ED8492"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Source:</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(Kandampully, 2023).</w:t>
      </w:r>
    </w:p>
    <w:p w14:paraId="2A03B16D"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b/>
          <w:bCs/>
          <w:kern w:val="0"/>
          <w:sz w:val="24"/>
          <w:szCs w:val="24"/>
          <w14:ligatures w14:val="none"/>
        </w:rPr>
        <w:lastRenderedPageBreak/>
        <w:t>Appendix 5:</w:t>
      </w:r>
      <w:r w:rsidRPr="00271C26">
        <w:rPr>
          <w:rFonts w:ascii="Arial" w:eastAsia="Calibri" w:hAnsi="Arial" w:cs="Arial"/>
          <w:kern w:val="0"/>
          <w:sz w:val="24"/>
          <w:szCs w:val="24"/>
          <w14:ligatures w14:val="none"/>
        </w:rPr>
        <w:t xml:space="preserve"> Increment in real estate values</w:t>
      </w:r>
    </w:p>
    <w:p w14:paraId="6ABA7B03"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noProof/>
          <w:kern w:val="0"/>
          <w:sz w:val="24"/>
          <w:szCs w:val="24"/>
          <w14:ligatures w14:val="none"/>
        </w:rPr>
        <w:drawing>
          <wp:inline distT="0" distB="0" distL="0" distR="0" wp14:anchorId="7611FB06" wp14:editId="2AD818D5">
            <wp:extent cx="5668203" cy="1896774"/>
            <wp:effectExtent l="0" t="0" r="889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3847" cy="1902009"/>
                    </a:xfrm>
                    <a:prstGeom prst="rect">
                      <a:avLst/>
                    </a:prstGeom>
                    <a:noFill/>
                  </pic:spPr>
                </pic:pic>
              </a:graphicData>
            </a:graphic>
          </wp:inline>
        </w:drawing>
      </w:r>
    </w:p>
    <w:p w14:paraId="0F0E08D2"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Source:</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(Lawlor and Jayawardena, 2023).</w:t>
      </w:r>
    </w:p>
    <w:p w14:paraId="287514E4"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b/>
          <w:bCs/>
          <w:kern w:val="0"/>
          <w:sz w:val="24"/>
          <w:szCs w:val="24"/>
          <w14:ligatures w14:val="none"/>
        </w:rPr>
        <w:t>Appendix 6:</w:t>
      </w:r>
      <w:r w:rsidRPr="00271C26">
        <w:rPr>
          <w:rFonts w:ascii="Arial" w:eastAsia="Calibri" w:hAnsi="Arial" w:cs="Arial"/>
          <w:kern w:val="0"/>
          <w:sz w:val="24"/>
          <w:szCs w:val="24"/>
          <w14:ligatures w14:val="none"/>
        </w:rPr>
        <w:t xml:space="preserve"> Active Member Growth</w:t>
      </w:r>
    </w:p>
    <w:p w14:paraId="2EAF35F0"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noProof/>
          <w:kern w:val="0"/>
          <w:sz w:val="24"/>
          <w:szCs w:val="24"/>
          <w14:ligatures w14:val="none"/>
        </w:rPr>
        <w:drawing>
          <wp:inline distT="0" distB="0" distL="0" distR="0" wp14:anchorId="3F3D5C66" wp14:editId="300E97A9">
            <wp:extent cx="4583016" cy="2974525"/>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8540" cy="2978110"/>
                    </a:xfrm>
                    <a:prstGeom prst="rect">
                      <a:avLst/>
                    </a:prstGeom>
                    <a:noFill/>
                  </pic:spPr>
                </pic:pic>
              </a:graphicData>
            </a:graphic>
          </wp:inline>
        </w:drawing>
      </w:r>
    </w:p>
    <w:p w14:paraId="12B4FA21"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Source:</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(Morken, 2021).</w:t>
      </w:r>
    </w:p>
    <w:p w14:paraId="43EC7178"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b/>
          <w:bCs/>
          <w:kern w:val="0"/>
          <w:sz w:val="24"/>
          <w:szCs w:val="24"/>
          <w14:ligatures w14:val="none"/>
        </w:rPr>
        <w:t>Appendix 7:</w:t>
      </w:r>
      <w:r w:rsidRPr="00271C26">
        <w:rPr>
          <w:rFonts w:ascii="Arial" w:eastAsia="Calibri" w:hAnsi="Arial" w:cs="Arial"/>
          <w:kern w:val="0"/>
          <w:sz w:val="24"/>
          <w:szCs w:val="24"/>
          <w14:ligatures w14:val="none"/>
        </w:rPr>
        <w:t xml:space="preserve"> Global luxury chain and inclusive market share</w:t>
      </w:r>
    </w:p>
    <w:p w14:paraId="60C9EC3F"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noProof/>
          <w:kern w:val="0"/>
          <w:sz w:val="24"/>
          <w:szCs w:val="24"/>
          <w14:ligatures w14:val="none"/>
        </w:rPr>
        <w:lastRenderedPageBreak/>
        <w:drawing>
          <wp:inline distT="0" distB="0" distL="0" distR="0" wp14:anchorId="3ADD09BC" wp14:editId="4CCB34E2">
            <wp:extent cx="5678659" cy="2512612"/>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89058" cy="2517213"/>
                    </a:xfrm>
                    <a:prstGeom prst="rect">
                      <a:avLst/>
                    </a:prstGeom>
                    <a:noFill/>
                  </pic:spPr>
                </pic:pic>
              </a:graphicData>
            </a:graphic>
          </wp:inline>
        </w:drawing>
      </w:r>
    </w:p>
    <w:p w14:paraId="3D791D0E"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Source:</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(Research, 2023).</w:t>
      </w:r>
    </w:p>
    <w:p w14:paraId="6A5C78B3"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b/>
          <w:bCs/>
          <w:kern w:val="0"/>
          <w:sz w:val="24"/>
          <w:szCs w:val="24"/>
          <w14:ligatures w14:val="none"/>
        </w:rPr>
        <w:t>Appendix 8:</w:t>
      </w:r>
      <w:r w:rsidRPr="00271C26">
        <w:rPr>
          <w:rFonts w:ascii="Arial" w:eastAsia="Calibri" w:hAnsi="Arial" w:cs="Arial"/>
          <w:kern w:val="0"/>
          <w:sz w:val="24"/>
          <w:szCs w:val="24"/>
          <w14:ligatures w14:val="none"/>
        </w:rPr>
        <w:t xml:space="preserve"> Market segmentation with pipeline rooms </w:t>
      </w:r>
    </w:p>
    <w:p w14:paraId="788F6A54"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noProof/>
          <w:kern w:val="0"/>
          <w:sz w:val="24"/>
          <w:szCs w:val="24"/>
          <w14:ligatures w14:val="none"/>
        </w:rPr>
        <w:drawing>
          <wp:inline distT="0" distB="0" distL="0" distR="0" wp14:anchorId="2AB895CC" wp14:editId="065788D5">
            <wp:extent cx="5746805" cy="1925375"/>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76719" cy="1935397"/>
                    </a:xfrm>
                    <a:prstGeom prst="rect">
                      <a:avLst/>
                    </a:prstGeom>
                    <a:noFill/>
                  </pic:spPr>
                </pic:pic>
              </a:graphicData>
            </a:graphic>
          </wp:inline>
        </w:drawing>
      </w:r>
    </w:p>
    <w:p w14:paraId="30EF09A9"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Source:</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(Slattery and Olsen, 2022).</w:t>
      </w:r>
    </w:p>
    <w:p w14:paraId="5D5256A9" w14:textId="77777777" w:rsidR="00271C26" w:rsidRPr="00271C26" w:rsidRDefault="00271C26" w:rsidP="00271C26">
      <w:pPr>
        <w:spacing w:line="480" w:lineRule="auto"/>
        <w:jc w:val="both"/>
        <w:rPr>
          <w:rFonts w:ascii="Arial" w:eastAsia="Calibri" w:hAnsi="Arial" w:cs="Arial"/>
          <w:kern w:val="0"/>
          <w:sz w:val="24"/>
          <w:szCs w:val="24"/>
          <w14:ligatures w14:val="none"/>
        </w:rPr>
      </w:pPr>
      <w:r w:rsidRPr="00271C26">
        <w:rPr>
          <w:rFonts w:ascii="Arial" w:eastAsia="Calibri" w:hAnsi="Arial" w:cs="Arial"/>
          <w:b/>
          <w:bCs/>
          <w:kern w:val="0"/>
          <w:sz w:val="24"/>
          <w:szCs w:val="24"/>
          <w14:ligatures w14:val="none"/>
        </w:rPr>
        <w:t>Appendix 9:</w:t>
      </w:r>
      <w:r w:rsidRPr="00271C26">
        <w:rPr>
          <w:rFonts w:ascii="Arial" w:eastAsia="Calibri" w:hAnsi="Arial" w:cs="Arial"/>
          <w:kern w:val="0"/>
          <w:sz w:val="24"/>
          <w:szCs w:val="24"/>
          <w14:ligatures w14:val="none"/>
        </w:rPr>
        <w:t xml:space="preserve"> The Changes in The World of Hyatt</w:t>
      </w:r>
    </w:p>
    <w:p w14:paraId="3AD36910"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noProof/>
          <w:kern w:val="0"/>
          <w:sz w:val="24"/>
          <w:szCs w:val="24"/>
          <w14:ligatures w14:val="none"/>
        </w:rPr>
        <w:lastRenderedPageBreak/>
        <w:drawing>
          <wp:inline distT="0" distB="0" distL="0" distR="0" wp14:anchorId="6728FF0F" wp14:editId="2ACDDEAF">
            <wp:extent cx="4645660" cy="261556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45660" cy="2615565"/>
                    </a:xfrm>
                    <a:prstGeom prst="rect">
                      <a:avLst/>
                    </a:prstGeom>
                    <a:noFill/>
                  </pic:spPr>
                </pic:pic>
              </a:graphicData>
            </a:graphic>
          </wp:inline>
        </w:drawing>
      </w:r>
    </w:p>
    <w:p w14:paraId="5B725238" w14:textId="77777777" w:rsidR="00271C26" w:rsidRPr="00271C26" w:rsidRDefault="00271C26" w:rsidP="00271C26">
      <w:pPr>
        <w:spacing w:line="480" w:lineRule="auto"/>
        <w:jc w:val="center"/>
        <w:rPr>
          <w:rFonts w:ascii="Arial" w:eastAsia="Calibri" w:hAnsi="Arial" w:cs="Arial"/>
          <w:kern w:val="0"/>
          <w:sz w:val="24"/>
          <w:szCs w:val="24"/>
          <w14:ligatures w14:val="none"/>
        </w:rPr>
      </w:pPr>
      <w:r w:rsidRPr="00271C26">
        <w:rPr>
          <w:rFonts w:ascii="Arial" w:eastAsia="Calibri" w:hAnsi="Arial" w:cs="Arial"/>
          <w:kern w:val="0"/>
          <w:sz w:val="24"/>
          <w:szCs w:val="24"/>
          <w14:ligatures w14:val="none"/>
        </w:rPr>
        <w:t>Source:</w:t>
      </w:r>
      <w:r w:rsidRPr="00271C26">
        <w:rPr>
          <w:rFonts w:ascii="Calibri" w:eastAsia="Calibri" w:hAnsi="Calibri" w:cs="Times New Roman"/>
          <w:kern w:val="0"/>
          <w14:ligatures w14:val="none"/>
        </w:rPr>
        <w:t xml:space="preserve"> </w:t>
      </w:r>
      <w:r w:rsidRPr="00271C26">
        <w:rPr>
          <w:rFonts w:ascii="Arial" w:eastAsia="Calibri" w:hAnsi="Arial" w:cs="Arial"/>
          <w:kern w:val="0"/>
          <w:sz w:val="24"/>
          <w:szCs w:val="24"/>
          <w14:ligatures w14:val="none"/>
        </w:rPr>
        <w:t>(Raineri, 2022).</w:t>
      </w:r>
    </w:p>
    <w:p w14:paraId="4BC90C27" w14:textId="77777777" w:rsidR="00145FDA" w:rsidRDefault="00145FDA"/>
    <w:sectPr w:rsidR="00145FDA" w:rsidSect="00D57CB5">
      <w:footerReference w:type="default" r:id="rId16"/>
      <w:pgSz w:w="12240" w:h="15840"/>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5E0C9" w14:textId="77777777" w:rsidR="00000000" w:rsidRPr="00D055E0" w:rsidRDefault="00000000">
    <w:pPr>
      <w:pStyle w:val="Footer"/>
      <w:jc w:val="right"/>
    </w:pPr>
  </w:p>
  <w:p w14:paraId="7A1D861D" w14:textId="77777777" w:rsidR="00000000" w:rsidRPr="00D055E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299965"/>
      <w:docPartObj>
        <w:docPartGallery w:val="Page Numbers (Bottom of Page)"/>
        <w:docPartUnique/>
      </w:docPartObj>
    </w:sdtPr>
    <w:sdtContent>
      <w:p w14:paraId="27C27384" w14:textId="77777777" w:rsidR="00000000" w:rsidRPr="00D055E0" w:rsidRDefault="00000000">
        <w:pPr>
          <w:pStyle w:val="Footer"/>
          <w:jc w:val="right"/>
        </w:pPr>
        <w:r w:rsidRPr="00D055E0">
          <w:fldChar w:fldCharType="begin"/>
        </w:r>
        <w:r w:rsidRPr="00D055E0">
          <w:instrText xml:space="preserve"> PAGE   \* MERGEFORMAT </w:instrText>
        </w:r>
        <w:r w:rsidRPr="00D055E0">
          <w:fldChar w:fldCharType="separate"/>
        </w:r>
        <w:r w:rsidRPr="00D055E0">
          <w:t>2</w:t>
        </w:r>
        <w:r w:rsidRPr="00D055E0">
          <w:fldChar w:fldCharType="end"/>
        </w:r>
      </w:p>
    </w:sdtContent>
  </w:sdt>
  <w:p w14:paraId="69D65C21" w14:textId="77777777" w:rsidR="00000000" w:rsidRPr="00D055E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62F43"/>
    <w:multiLevelType w:val="hybridMultilevel"/>
    <w:tmpl w:val="BEE63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36036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C26"/>
    <w:rsid w:val="00145FDA"/>
    <w:rsid w:val="00271C26"/>
    <w:rsid w:val="0086266C"/>
    <w:rsid w:val="00A968DA"/>
    <w:rsid w:val="00D57CB5"/>
    <w:rsid w:val="00E27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35BA8"/>
  <w15:chartTrackingRefBased/>
  <w15:docId w15:val="{16B2E6AF-1D49-4A61-8C32-9EEC08438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C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1C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1C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1C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1C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1C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1C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1C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1C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C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1C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1C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1C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1C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1C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1C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1C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1C26"/>
    <w:rPr>
      <w:rFonts w:eastAsiaTheme="majorEastAsia" w:cstheme="majorBidi"/>
      <w:color w:val="272727" w:themeColor="text1" w:themeTint="D8"/>
    </w:rPr>
  </w:style>
  <w:style w:type="paragraph" w:styleId="Title">
    <w:name w:val="Title"/>
    <w:basedOn w:val="Normal"/>
    <w:next w:val="Normal"/>
    <w:link w:val="TitleChar"/>
    <w:uiPriority w:val="10"/>
    <w:qFormat/>
    <w:rsid w:val="00271C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C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C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1C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1C26"/>
    <w:pPr>
      <w:spacing w:before="160"/>
      <w:jc w:val="center"/>
    </w:pPr>
    <w:rPr>
      <w:i/>
      <w:iCs/>
      <w:color w:val="404040" w:themeColor="text1" w:themeTint="BF"/>
    </w:rPr>
  </w:style>
  <w:style w:type="character" w:customStyle="1" w:styleId="QuoteChar">
    <w:name w:val="Quote Char"/>
    <w:basedOn w:val="DefaultParagraphFont"/>
    <w:link w:val="Quote"/>
    <w:uiPriority w:val="29"/>
    <w:rsid w:val="00271C26"/>
    <w:rPr>
      <w:i/>
      <w:iCs/>
      <w:color w:val="404040" w:themeColor="text1" w:themeTint="BF"/>
    </w:rPr>
  </w:style>
  <w:style w:type="paragraph" w:styleId="ListParagraph">
    <w:name w:val="List Paragraph"/>
    <w:basedOn w:val="Normal"/>
    <w:uiPriority w:val="34"/>
    <w:qFormat/>
    <w:rsid w:val="00271C26"/>
    <w:pPr>
      <w:ind w:left="720"/>
      <w:contextualSpacing/>
    </w:pPr>
  </w:style>
  <w:style w:type="character" w:styleId="IntenseEmphasis">
    <w:name w:val="Intense Emphasis"/>
    <w:basedOn w:val="DefaultParagraphFont"/>
    <w:uiPriority w:val="21"/>
    <w:qFormat/>
    <w:rsid w:val="00271C26"/>
    <w:rPr>
      <w:i/>
      <w:iCs/>
      <w:color w:val="0F4761" w:themeColor="accent1" w:themeShade="BF"/>
    </w:rPr>
  </w:style>
  <w:style w:type="paragraph" w:styleId="IntenseQuote">
    <w:name w:val="Intense Quote"/>
    <w:basedOn w:val="Normal"/>
    <w:next w:val="Normal"/>
    <w:link w:val="IntenseQuoteChar"/>
    <w:uiPriority w:val="30"/>
    <w:qFormat/>
    <w:rsid w:val="00271C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1C26"/>
    <w:rPr>
      <w:i/>
      <w:iCs/>
      <w:color w:val="0F4761" w:themeColor="accent1" w:themeShade="BF"/>
    </w:rPr>
  </w:style>
  <w:style w:type="character" w:styleId="IntenseReference">
    <w:name w:val="Intense Reference"/>
    <w:basedOn w:val="DefaultParagraphFont"/>
    <w:uiPriority w:val="32"/>
    <w:qFormat/>
    <w:rsid w:val="00271C26"/>
    <w:rPr>
      <w:b/>
      <w:bCs/>
      <w:smallCaps/>
      <w:color w:val="0F4761" w:themeColor="accent1" w:themeShade="BF"/>
      <w:spacing w:val="5"/>
    </w:rPr>
  </w:style>
  <w:style w:type="paragraph" w:styleId="Footer">
    <w:name w:val="footer"/>
    <w:basedOn w:val="Normal"/>
    <w:link w:val="FooterChar"/>
    <w:uiPriority w:val="99"/>
    <w:semiHidden/>
    <w:unhideWhenUsed/>
    <w:rsid w:val="00271C2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71C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footer" Target="footer1.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21</Pages>
  <Words>3005</Words>
  <Characters>17131</Characters>
  <Application>Microsoft Office Word</Application>
  <DocSecurity>0</DocSecurity>
  <Lines>142</Lines>
  <Paragraphs>40</Paragraphs>
  <ScaleCrop>false</ScaleCrop>
  <Company/>
  <LinksUpToDate>false</LinksUpToDate>
  <CharactersWithSpaces>20096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sunghooooooon ♥</dc:creator>
  <cp:keywords/>
  <dc:description/>
  <cp:lastModifiedBy>♥ sunghooooooon ♥</cp:lastModifiedBy>
  <cp:revision>2</cp:revision>
  <dcterms:created xsi:type="dcterms:W3CDTF">2024-02-29T16:10:00Z</dcterms:created>
  <dcterms:modified xsi:type="dcterms:W3CDTF">2024-02-29T16:13:00Z</dcterms:modified>
</cp:coreProperties>
</file>