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5E3C6" w14:textId="77777777" w:rsidR="00BA2765" w:rsidRDefault="00BA2765" w:rsidP="00BA2765">
      <w:pPr>
        <w:jc w:val="center"/>
        <w:rPr>
          <w:b/>
          <w:bCs/>
          <w:sz w:val="36"/>
          <w:szCs w:val="36"/>
        </w:rPr>
      </w:pPr>
    </w:p>
    <w:p w14:paraId="27700DB4" w14:textId="77777777" w:rsidR="00BA2765" w:rsidRDefault="00BA2765" w:rsidP="00BA2765">
      <w:pPr>
        <w:jc w:val="center"/>
        <w:rPr>
          <w:b/>
          <w:bCs/>
          <w:sz w:val="36"/>
          <w:szCs w:val="36"/>
        </w:rPr>
      </w:pPr>
    </w:p>
    <w:p w14:paraId="10CA8604" w14:textId="77777777" w:rsidR="00BA2765" w:rsidRDefault="00BA2765" w:rsidP="00BA2765">
      <w:pPr>
        <w:jc w:val="center"/>
        <w:rPr>
          <w:b/>
          <w:bCs/>
          <w:sz w:val="36"/>
          <w:szCs w:val="36"/>
        </w:rPr>
      </w:pPr>
    </w:p>
    <w:p w14:paraId="4483EFD7" w14:textId="77777777" w:rsidR="00BA2765" w:rsidRDefault="00BA2765" w:rsidP="00BA2765">
      <w:pPr>
        <w:jc w:val="center"/>
        <w:rPr>
          <w:b/>
          <w:bCs/>
          <w:sz w:val="36"/>
          <w:szCs w:val="36"/>
        </w:rPr>
      </w:pPr>
    </w:p>
    <w:p w14:paraId="1494E147" w14:textId="77777777" w:rsidR="00BA2765" w:rsidRDefault="00BA2765" w:rsidP="00BA2765">
      <w:pPr>
        <w:jc w:val="center"/>
        <w:rPr>
          <w:b/>
          <w:bCs/>
          <w:sz w:val="36"/>
          <w:szCs w:val="36"/>
        </w:rPr>
      </w:pPr>
    </w:p>
    <w:p w14:paraId="2E930FED" w14:textId="77777777" w:rsidR="00BA2765" w:rsidRPr="00BA2765" w:rsidRDefault="00BA2765" w:rsidP="00BA2765">
      <w:pPr>
        <w:pStyle w:val="TableParagraph"/>
        <w:spacing w:before="120"/>
        <w:ind w:left="107" w:right="632"/>
        <w:jc w:val="center"/>
        <w:rPr>
          <w:rFonts w:ascii="Times New Roman" w:hAnsi="Times New Roman" w:cs="Times New Roman"/>
          <w:b/>
          <w:bCs/>
          <w:spacing w:val="-2"/>
          <w:sz w:val="36"/>
          <w:szCs w:val="36"/>
        </w:rPr>
      </w:pPr>
      <w:r w:rsidRPr="00BA2765">
        <w:rPr>
          <w:rFonts w:ascii="Times New Roman" w:hAnsi="Times New Roman" w:cs="Times New Roman"/>
          <w:b/>
          <w:bCs/>
          <w:sz w:val="36"/>
          <w:szCs w:val="36"/>
        </w:rPr>
        <w:t>Assessment component: Financial</w:t>
      </w:r>
      <w:r w:rsidRPr="00BA2765">
        <w:rPr>
          <w:rFonts w:ascii="Times New Roman" w:hAnsi="Times New Roman" w:cs="Times New Roman"/>
          <w:b/>
          <w:bCs/>
          <w:spacing w:val="-16"/>
          <w:sz w:val="36"/>
          <w:szCs w:val="36"/>
        </w:rPr>
        <w:t xml:space="preserve"> </w:t>
      </w:r>
      <w:r w:rsidRPr="00BA2765">
        <w:rPr>
          <w:rFonts w:ascii="Times New Roman" w:hAnsi="Times New Roman" w:cs="Times New Roman"/>
          <w:b/>
          <w:bCs/>
          <w:sz w:val="36"/>
          <w:szCs w:val="36"/>
        </w:rPr>
        <w:t>performance</w:t>
      </w:r>
      <w:r w:rsidRPr="00BA2765">
        <w:rPr>
          <w:rFonts w:ascii="Times New Roman" w:hAnsi="Times New Roman" w:cs="Times New Roman"/>
          <w:b/>
          <w:bCs/>
          <w:spacing w:val="-15"/>
          <w:sz w:val="36"/>
          <w:szCs w:val="36"/>
        </w:rPr>
        <w:t xml:space="preserve"> </w:t>
      </w:r>
      <w:r w:rsidRPr="00BA2765">
        <w:rPr>
          <w:rFonts w:ascii="Times New Roman" w:hAnsi="Times New Roman" w:cs="Times New Roman"/>
          <w:b/>
          <w:bCs/>
          <w:sz w:val="36"/>
          <w:szCs w:val="36"/>
        </w:rPr>
        <w:t xml:space="preserve">and </w:t>
      </w:r>
      <w:r w:rsidRPr="00BA2765">
        <w:rPr>
          <w:rFonts w:ascii="Times New Roman" w:hAnsi="Times New Roman" w:cs="Times New Roman"/>
          <w:b/>
          <w:bCs/>
          <w:spacing w:val="-2"/>
          <w:sz w:val="36"/>
          <w:szCs w:val="36"/>
        </w:rPr>
        <w:t>management</w:t>
      </w:r>
    </w:p>
    <w:p w14:paraId="5AD6B43D" w14:textId="77777777" w:rsidR="00BA2765" w:rsidRPr="00BA2765" w:rsidRDefault="00BA2765" w:rsidP="00BA2765">
      <w:pPr>
        <w:pStyle w:val="TableParagraph"/>
        <w:spacing w:before="120"/>
        <w:ind w:left="107" w:right="632"/>
        <w:jc w:val="center"/>
        <w:rPr>
          <w:rFonts w:ascii="Times New Roman" w:hAnsi="Times New Roman" w:cs="Times New Roman"/>
          <w:b/>
          <w:bCs/>
          <w:spacing w:val="-2"/>
          <w:sz w:val="32"/>
          <w:szCs w:val="32"/>
        </w:rPr>
      </w:pPr>
    </w:p>
    <w:p w14:paraId="79CD6A63" w14:textId="77777777" w:rsidR="00BA2765" w:rsidRPr="00BA2765" w:rsidRDefault="00BA2765" w:rsidP="00BA2765">
      <w:pPr>
        <w:pStyle w:val="TableParagraph"/>
        <w:spacing w:before="120"/>
        <w:ind w:left="107" w:right="632"/>
        <w:jc w:val="center"/>
        <w:rPr>
          <w:rFonts w:ascii="Times New Roman" w:hAnsi="Times New Roman" w:cs="Times New Roman"/>
          <w:b/>
          <w:bCs/>
          <w:sz w:val="32"/>
          <w:szCs w:val="32"/>
        </w:rPr>
      </w:pPr>
    </w:p>
    <w:p w14:paraId="58775D30" w14:textId="77777777" w:rsidR="00BA2765" w:rsidRPr="00BA2765" w:rsidRDefault="00BA2765" w:rsidP="00BA2765">
      <w:pPr>
        <w:rPr>
          <w:b/>
          <w:bCs/>
          <w:sz w:val="28"/>
          <w:szCs w:val="28"/>
        </w:rPr>
      </w:pPr>
    </w:p>
    <w:p w14:paraId="763ED2A0" w14:textId="77777777" w:rsidR="00BA2765" w:rsidRPr="00BA2765" w:rsidRDefault="00BA2765" w:rsidP="00BA2765">
      <w:pPr>
        <w:rPr>
          <w:b/>
          <w:bCs/>
          <w:sz w:val="28"/>
          <w:szCs w:val="28"/>
        </w:rPr>
      </w:pPr>
      <w:r w:rsidRPr="00BA2765">
        <w:br w:type="page"/>
      </w:r>
    </w:p>
    <w:sdt>
      <w:sdtPr>
        <w:rPr>
          <w:rFonts w:ascii="Times New Roman" w:eastAsia="Times New Roman" w:hAnsi="Times New Roman" w:cs="Times New Roman"/>
          <w:color w:val="auto"/>
          <w:sz w:val="24"/>
          <w:szCs w:val="24"/>
        </w:rPr>
        <w:id w:val="-435134363"/>
        <w:docPartObj>
          <w:docPartGallery w:val="Table of Contents"/>
          <w:docPartUnique/>
        </w:docPartObj>
      </w:sdtPr>
      <w:sdtEndPr>
        <w:rPr>
          <w:b/>
          <w:bCs/>
          <w:noProof/>
        </w:rPr>
      </w:sdtEndPr>
      <w:sdtContent>
        <w:p w14:paraId="63233C4F" w14:textId="77777777" w:rsidR="00BA2765" w:rsidRPr="00BA2765" w:rsidRDefault="00BA2765" w:rsidP="00BA2765">
          <w:pPr>
            <w:pStyle w:val="TOCHeading"/>
            <w:spacing w:line="360" w:lineRule="auto"/>
            <w:jc w:val="both"/>
            <w:rPr>
              <w:rFonts w:ascii="Times New Roman" w:hAnsi="Times New Roman" w:cs="Times New Roman"/>
              <w:b/>
              <w:bCs/>
              <w:color w:val="auto"/>
              <w:sz w:val="28"/>
              <w:szCs w:val="28"/>
            </w:rPr>
          </w:pPr>
          <w:r w:rsidRPr="00BA2765">
            <w:rPr>
              <w:rFonts w:ascii="Times New Roman" w:hAnsi="Times New Roman" w:cs="Times New Roman"/>
              <w:b/>
              <w:bCs/>
              <w:color w:val="auto"/>
              <w:sz w:val="28"/>
              <w:szCs w:val="28"/>
            </w:rPr>
            <w:t>Table of Contents</w:t>
          </w:r>
        </w:p>
        <w:p w14:paraId="59CD8A06" w14:textId="77777777" w:rsidR="00BA2765" w:rsidRPr="00BA2765" w:rsidRDefault="00BA2765" w:rsidP="00BA2765">
          <w:pPr>
            <w:pStyle w:val="TOC1"/>
            <w:tabs>
              <w:tab w:val="right" w:leader="dot" w:pos="9350"/>
            </w:tabs>
            <w:spacing w:line="360" w:lineRule="auto"/>
            <w:jc w:val="both"/>
            <w:rPr>
              <w:noProof/>
            </w:rPr>
          </w:pPr>
          <w:r w:rsidRPr="00BA2765">
            <w:fldChar w:fldCharType="begin"/>
          </w:r>
          <w:r w:rsidRPr="00BA2765">
            <w:instrText xml:space="preserve"> TOC \o "1-3" \h \z \u </w:instrText>
          </w:r>
          <w:r w:rsidRPr="00BA2765">
            <w:fldChar w:fldCharType="separate"/>
          </w:r>
          <w:hyperlink w:anchor="_Toc216518024" w:history="1">
            <w:r w:rsidRPr="00BA2765">
              <w:rPr>
                <w:rStyle w:val="Hyperlink"/>
                <w:noProof/>
                <w:color w:val="auto"/>
              </w:rPr>
              <w:t>1. Introduction</w:t>
            </w:r>
            <w:r w:rsidRPr="00BA2765">
              <w:rPr>
                <w:noProof/>
                <w:webHidden/>
              </w:rPr>
              <w:tab/>
            </w:r>
            <w:r w:rsidRPr="00BA2765">
              <w:rPr>
                <w:noProof/>
                <w:webHidden/>
              </w:rPr>
              <w:fldChar w:fldCharType="begin"/>
            </w:r>
            <w:r w:rsidRPr="00BA2765">
              <w:rPr>
                <w:noProof/>
                <w:webHidden/>
              </w:rPr>
              <w:instrText xml:space="preserve"> PAGEREF _Toc216518024 \h </w:instrText>
            </w:r>
            <w:r w:rsidRPr="00BA2765">
              <w:rPr>
                <w:noProof/>
                <w:webHidden/>
              </w:rPr>
            </w:r>
            <w:r w:rsidRPr="00BA2765">
              <w:rPr>
                <w:noProof/>
                <w:webHidden/>
              </w:rPr>
              <w:fldChar w:fldCharType="separate"/>
            </w:r>
            <w:r w:rsidRPr="00BA2765">
              <w:rPr>
                <w:noProof/>
                <w:webHidden/>
              </w:rPr>
              <w:t>4</w:t>
            </w:r>
            <w:r w:rsidRPr="00BA2765">
              <w:rPr>
                <w:noProof/>
                <w:webHidden/>
              </w:rPr>
              <w:fldChar w:fldCharType="end"/>
            </w:r>
          </w:hyperlink>
        </w:p>
        <w:p w14:paraId="3D34F487" w14:textId="77777777" w:rsidR="00BA2765" w:rsidRPr="00BA2765" w:rsidRDefault="00BA2765" w:rsidP="00BA2765">
          <w:pPr>
            <w:pStyle w:val="TOC1"/>
            <w:tabs>
              <w:tab w:val="right" w:leader="dot" w:pos="9350"/>
            </w:tabs>
            <w:spacing w:line="360" w:lineRule="auto"/>
            <w:jc w:val="both"/>
            <w:rPr>
              <w:noProof/>
            </w:rPr>
          </w:pPr>
          <w:hyperlink w:anchor="_Toc216518025" w:history="1">
            <w:r w:rsidRPr="00BA2765">
              <w:rPr>
                <w:rStyle w:val="Hyperlink"/>
                <w:noProof/>
                <w:color w:val="auto"/>
              </w:rPr>
              <w:t>2. Financial Health Check</w:t>
            </w:r>
            <w:r w:rsidRPr="00BA2765">
              <w:rPr>
                <w:noProof/>
                <w:webHidden/>
              </w:rPr>
              <w:tab/>
            </w:r>
            <w:r w:rsidRPr="00BA2765">
              <w:rPr>
                <w:noProof/>
                <w:webHidden/>
              </w:rPr>
              <w:fldChar w:fldCharType="begin"/>
            </w:r>
            <w:r w:rsidRPr="00BA2765">
              <w:rPr>
                <w:noProof/>
                <w:webHidden/>
              </w:rPr>
              <w:instrText xml:space="preserve"> PAGEREF _Toc216518025 \h </w:instrText>
            </w:r>
            <w:r w:rsidRPr="00BA2765">
              <w:rPr>
                <w:noProof/>
                <w:webHidden/>
              </w:rPr>
            </w:r>
            <w:r w:rsidRPr="00BA2765">
              <w:rPr>
                <w:noProof/>
                <w:webHidden/>
              </w:rPr>
              <w:fldChar w:fldCharType="separate"/>
            </w:r>
            <w:r w:rsidRPr="00BA2765">
              <w:rPr>
                <w:noProof/>
                <w:webHidden/>
              </w:rPr>
              <w:t>4</w:t>
            </w:r>
            <w:r w:rsidRPr="00BA2765">
              <w:rPr>
                <w:noProof/>
                <w:webHidden/>
              </w:rPr>
              <w:fldChar w:fldCharType="end"/>
            </w:r>
          </w:hyperlink>
        </w:p>
        <w:p w14:paraId="3395AB8C" w14:textId="77777777" w:rsidR="00BA2765" w:rsidRPr="00BA2765" w:rsidRDefault="00BA2765" w:rsidP="00BA2765">
          <w:pPr>
            <w:pStyle w:val="TOC2"/>
            <w:tabs>
              <w:tab w:val="right" w:leader="dot" w:pos="9350"/>
            </w:tabs>
            <w:spacing w:line="360" w:lineRule="auto"/>
            <w:jc w:val="both"/>
            <w:rPr>
              <w:noProof/>
            </w:rPr>
          </w:pPr>
          <w:hyperlink w:anchor="_Toc216518026" w:history="1">
            <w:r w:rsidRPr="00BA2765">
              <w:rPr>
                <w:rStyle w:val="Hyperlink"/>
                <w:noProof/>
                <w:color w:val="auto"/>
              </w:rPr>
              <w:t>2.1. Overview of Financial Performance</w:t>
            </w:r>
            <w:r w:rsidRPr="00BA2765">
              <w:rPr>
                <w:noProof/>
                <w:webHidden/>
              </w:rPr>
              <w:tab/>
            </w:r>
            <w:r w:rsidRPr="00BA2765">
              <w:rPr>
                <w:noProof/>
                <w:webHidden/>
              </w:rPr>
              <w:fldChar w:fldCharType="begin"/>
            </w:r>
            <w:r w:rsidRPr="00BA2765">
              <w:rPr>
                <w:noProof/>
                <w:webHidden/>
              </w:rPr>
              <w:instrText xml:space="preserve"> PAGEREF _Toc216518026 \h </w:instrText>
            </w:r>
            <w:r w:rsidRPr="00BA2765">
              <w:rPr>
                <w:noProof/>
                <w:webHidden/>
              </w:rPr>
            </w:r>
            <w:r w:rsidRPr="00BA2765">
              <w:rPr>
                <w:noProof/>
                <w:webHidden/>
              </w:rPr>
              <w:fldChar w:fldCharType="separate"/>
            </w:r>
            <w:r w:rsidRPr="00BA2765">
              <w:rPr>
                <w:noProof/>
                <w:webHidden/>
              </w:rPr>
              <w:t>4</w:t>
            </w:r>
            <w:r w:rsidRPr="00BA2765">
              <w:rPr>
                <w:noProof/>
                <w:webHidden/>
              </w:rPr>
              <w:fldChar w:fldCharType="end"/>
            </w:r>
          </w:hyperlink>
        </w:p>
        <w:p w14:paraId="0FE2DECC" w14:textId="77777777" w:rsidR="00BA2765" w:rsidRPr="00BA2765" w:rsidRDefault="00BA2765" w:rsidP="00BA2765">
          <w:pPr>
            <w:pStyle w:val="TOC2"/>
            <w:tabs>
              <w:tab w:val="right" w:leader="dot" w:pos="9350"/>
            </w:tabs>
            <w:spacing w:line="360" w:lineRule="auto"/>
            <w:jc w:val="both"/>
            <w:rPr>
              <w:noProof/>
            </w:rPr>
          </w:pPr>
          <w:hyperlink w:anchor="_Toc216518027" w:history="1">
            <w:r w:rsidRPr="00BA2765">
              <w:rPr>
                <w:rStyle w:val="Hyperlink"/>
                <w:noProof/>
                <w:color w:val="auto"/>
              </w:rPr>
              <w:t>2.2. Profitability Analysis</w:t>
            </w:r>
            <w:r w:rsidRPr="00BA2765">
              <w:rPr>
                <w:noProof/>
                <w:webHidden/>
              </w:rPr>
              <w:tab/>
            </w:r>
            <w:r w:rsidRPr="00BA2765">
              <w:rPr>
                <w:noProof/>
                <w:webHidden/>
              </w:rPr>
              <w:fldChar w:fldCharType="begin"/>
            </w:r>
            <w:r w:rsidRPr="00BA2765">
              <w:rPr>
                <w:noProof/>
                <w:webHidden/>
              </w:rPr>
              <w:instrText xml:space="preserve"> PAGEREF _Toc216518027 \h </w:instrText>
            </w:r>
            <w:r w:rsidRPr="00BA2765">
              <w:rPr>
                <w:noProof/>
                <w:webHidden/>
              </w:rPr>
            </w:r>
            <w:r w:rsidRPr="00BA2765">
              <w:rPr>
                <w:noProof/>
                <w:webHidden/>
              </w:rPr>
              <w:fldChar w:fldCharType="separate"/>
            </w:r>
            <w:r w:rsidRPr="00BA2765">
              <w:rPr>
                <w:noProof/>
                <w:webHidden/>
              </w:rPr>
              <w:t>5</w:t>
            </w:r>
            <w:r w:rsidRPr="00BA2765">
              <w:rPr>
                <w:noProof/>
                <w:webHidden/>
              </w:rPr>
              <w:fldChar w:fldCharType="end"/>
            </w:r>
          </w:hyperlink>
        </w:p>
        <w:p w14:paraId="0D89EFC9" w14:textId="77777777" w:rsidR="00BA2765" w:rsidRPr="00BA2765" w:rsidRDefault="00BA2765" w:rsidP="00BA2765">
          <w:pPr>
            <w:pStyle w:val="TOC2"/>
            <w:tabs>
              <w:tab w:val="right" w:leader="dot" w:pos="9350"/>
            </w:tabs>
            <w:spacing w:line="360" w:lineRule="auto"/>
            <w:jc w:val="both"/>
            <w:rPr>
              <w:noProof/>
            </w:rPr>
          </w:pPr>
          <w:hyperlink w:anchor="_Toc216518028" w:history="1">
            <w:r w:rsidRPr="00BA2765">
              <w:rPr>
                <w:rStyle w:val="Hyperlink"/>
                <w:noProof/>
                <w:color w:val="auto"/>
              </w:rPr>
              <w:t>2.3. Liquidity Analysis</w:t>
            </w:r>
            <w:r w:rsidRPr="00BA2765">
              <w:rPr>
                <w:noProof/>
                <w:webHidden/>
              </w:rPr>
              <w:tab/>
            </w:r>
            <w:r w:rsidRPr="00BA2765">
              <w:rPr>
                <w:noProof/>
                <w:webHidden/>
              </w:rPr>
              <w:fldChar w:fldCharType="begin"/>
            </w:r>
            <w:r w:rsidRPr="00BA2765">
              <w:rPr>
                <w:noProof/>
                <w:webHidden/>
              </w:rPr>
              <w:instrText xml:space="preserve"> PAGEREF _Toc216518028 \h </w:instrText>
            </w:r>
            <w:r w:rsidRPr="00BA2765">
              <w:rPr>
                <w:noProof/>
                <w:webHidden/>
              </w:rPr>
            </w:r>
            <w:r w:rsidRPr="00BA2765">
              <w:rPr>
                <w:noProof/>
                <w:webHidden/>
              </w:rPr>
              <w:fldChar w:fldCharType="separate"/>
            </w:r>
            <w:r w:rsidRPr="00BA2765">
              <w:rPr>
                <w:noProof/>
                <w:webHidden/>
              </w:rPr>
              <w:t>6</w:t>
            </w:r>
            <w:r w:rsidRPr="00BA2765">
              <w:rPr>
                <w:noProof/>
                <w:webHidden/>
              </w:rPr>
              <w:fldChar w:fldCharType="end"/>
            </w:r>
          </w:hyperlink>
        </w:p>
        <w:p w14:paraId="7FC0A3EB" w14:textId="77777777" w:rsidR="00BA2765" w:rsidRPr="00BA2765" w:rsidRDefault="00BA2765" w:rsidP="00BA2765">
          <w:pPr>
            <w:pStyle w:val="TOC2"/>
            <w:tabs>
              <w:tab w:val="right" w:leader="dot" w:pos="9350"/>
            </w:tabs>
            <w:spacing w:line="360" w:lineRule="auto"/>
            <w:jc w:val="both"/>
            <w:rPr>
              <w:noProof/>
            </w:rPr>
          </w:pPr>
          <w:hyperlink w:anchor="_Toc216518029" w:history="1">
            <w:r w:rsidRPr="00BA2765">
              <w:rPr>
                <w:rStyle w:val="Hyperlink"/>
                <w:noProof/>
                <w:color w:val="auto"/>
              </w:rPr>
              <w:t>2.4. Efficiency Ratio Analysis</w:t>
            </w:r>
            <w:r w:rsidRPr="00BA2765">
              <w:rPr>
                <w:noProof/>
                <w:webHidden/>
              </w:rPr>
              <w:tab/>
            </w:r>
            <w:r w:rsidRPr="00BA2765">
              <w:rPr>
                <w:noProof/>
                <w:webHidden/>
              </w:rPr>
              <w:fldChar w:fldCharType="begin"/>
            </w:r>
            <w:r w:rsidRPr="00BA2765">
              <w:rPr>
                <w:noProof/>
                <w:webHidden/>
              </w:rPr>
              <w:instrText xml:space="preserve"> PAGEREF _Toc216518029 \h </w:instrText>
            </w:r>
            <w:r w:rsidRPr="00BA2765">
              <w:rPr>
                <w:noProof/>
                <w:webHidden/>
              </w:rPr>
            </w:r>
            <w:r w:rsidRPr="00BA2765">
              <w:rPr>
                <w:noProof/>
                <w:webHidden/>
              </w:rPr>
              <w:fldChar w:fldCharType="separate"/>
            </w:r>
            <w:r w:rsidRPr="00BA2765">
              <w:rPr>
                <w:noProof/>
                <w:webHidden/>
              </w:rPr>
              <w:t>6</w:t>
            </w:r>
            <w:r w:rsidRPr="00BA2765">
              <w:rPr>
                <w:noProof/>
                <w:webHidden/>
              </w:rPr>
              <w:fldChar w:fldCharType="end"/>
            </w:r>
          </w:hyperlink>
        </w:p>
        <w:p w14:paraId="1C5D6D87" w14:textId="77777777" w:rsidR="00BA2765" w:rsidRPr="00BA2765" w:rsidRDefault="00BA2765" w:rsidP="00BA2765">
          <w:pPr>
            <w:pStyle w:val="TOC2"/>
            <w:tabs>
              <w:tab w:val="right" w:leader="dot" w:pos="9350"/>
            </w:tabs>
            <w:spacing w:line="360" w:lineRule="auto"/>
            <w:jc w:val="both"/>
            <w:rPr>
              <w:noProof/>
            </w:rPr>
          </w:pPr>
          <w:hyperlink w:anchor="_Toc216518030" w:history="1">
            <w:r w:rsidRPr="00BA2765">
              <w:rPr>
                <w:rStyle w:val="Hyperlink"/>
                <w:noProof/>
                <w:color w:val="auto"/>
              </w:rPr>
              <w:t>2.5. Gearing Ratio Analysis</w:t>
            </w:r>
            <w:r w:rsidRPr="00BA2765">
              <w:rPr>
                <w:noProof/>
                <w:webHidden/>
              </w:rPr>
              <w:tab/>
            </w:r>
            <w:r w:rsidRPr="00BA2765">
              <w:rPr>
                <w:noProof/>
                <w:webHidden/>
              </w:rPr>
              <w:fldChar w:fldCharType="begin"/>
            </w:r>
            <w:r w:rsidRPr="00BA2765">
              <w:rPr>
                <w:noProof/>
                <w:webHidden/>
              </w:rPr>
              <w:instrText xml:space="preserve"> PAGEREF _Toc216518030 \h </w:instrText>
            </w:r>
            <w:r w:rsidRPr="00BA2765">
              <w:rPr>
                <w:noProof/>
                <w:webHidden/>
              </w:rPr>
            </w:r>
            <w:r w:rsidRPr="00BA2765">
              <w:rPr>
                <w:noProof/>
                <w:webHidden/>
              </w:rPr>
              <w:fldChar w:fldCharType="separate"/>
            </w:r>
            <w:r w:rsidRPr="00BA2765">
              <w:rPr>
                <w:noProof/>
                <w:webHidden/>
              </w:rPr>
              <w:t>7</w:t>
            </w:r>
            <w:r w:rsidRPr="00BA2765">
              <w:rPr>
                <w:noProof/>
                <w:webHidden/>
              </w:rPr>
              <w:fldChar w:fldCharType="end"/>
            </w:r>
          </w:hyperlink>
        </w:p>
        <w:p w14:paraId="473F90F6" w14:textId="77777777" w:rsidR="00BA2765" w:rsidRPr="00BA2765" w:rsidRDefault="00BA2765" w:rsidP="00BA2765">
          <w:pPr>
            <w:pStyle w:val="TOC2"/>
            <w:tabs>
              <w:tab w:val="right" w:leader="dot" w:pos="9350"/>
            </w:tabs>
            <w:spacing w:line="360" w:lineRule="auto"/>
            <w:jc w:val="both"/>
            <w:rPr>
              <w:noProof/>
            </w:rPr>
          </w:pPr>
          <w:hyperlink w:anchor="_Toc216518031" w:history="1">
            <w:r w:rsidRPr="00BA2765">
              <w:rPr>
                <w:rStyle w:val="Hyperlink"/>
                <w:noProof/>
                <w:color w:val="auto"/>
              </w:rPr>
              <w:t>2.6. Investment Ratios Analysis</w:t>
            </w:r>
            <w:r w:rsidRPr="00BA2765">
              <w:rPr>
                <w:noProof/>
                <w:webHidden/>
              </w:rPr>
              <w:tab/>
            </w:r>
            <w:r w:rsidRPr="00BA2765">
              <w:rPr>
                <w:noProof/>
                <w:webHidden/>
              </w:rPr>
              <w:fldChar w:fldCharType="begin"/>
            </w:r>
            <w:r w:rsidRPr="00BA2765">
              <w:rPr>
                <w:noProof/>
                <w:webHidden/>
              </w:rPr>
              <w:instrText xml:space="preserve"> PAGEREF _Toc216518031 \h </w:instrText>
            </w:r>
            <w:r w:rsidRPr="00BA2765">
              <w:rPr>
                <w:noProof/>
                <w:webHidden/>
              </w:rPr>
            </w:r>
            <w:r w:rsidRPr="00BA2765">
              <w:rPr>
                <w:noProof/>
                <w:webHidden/>
              </w:rPr>
              <w:fldChar w:fldCharType="separate"/>
            </w:r>
            <w:r w:rsidRPr="00BA2765">
              <w:rPr>
                <w:noProof/>
                <w:webHidden/>
              </w:rPr>
              <w:t>8</w:t>
            </w:r>
            <w:r w:rsidRPr="00BA2765">
              <w:rPr>
                <w:noProof/>
                <w:webHidden/>
              </w:rPr>
              <w:fldChar w:fldCharType="end"/>
            </w:r>
          </w:hyperlink>
        </w:p>
        <w:p w14:paraId="6CA8FAB1" w14:textId="77777777" w:rsidR="00BA2765" w:rsidRPr="00BA2765" w:rsidRDefault="00BA2765" w:rsidP="00BA2765">
          <w:pPr>
            <w:pStyle w:val="TOC2"/>
            <w:tabs>
              <w:tab w:val="right" w:leader="dot" w:pos="9350"/>
            </w:tabs>
            <w:spacing w:line="360" w:lineRule="auto"/>
            <w:jc w:val="both"/>
            <w:rPr>
              <w:noProof/>
            </w:rPr>
          </w:pPr>
          <w:hyperlink w:anchor="_Toc216518032" w:history="1">
            <w:r w:rsidRPr="00BA2765">
              <w:rPr>
                <w:rStyle w:val="Hyperlink"/>
                <w:noProof/>
                <w:color w:val="auto"/>
              </w:rPr>
              <w:t>2.7. Cash Flow Ratio Analysis</w:t>
            </w:r>
            <w:r w:rsidRPr="00BA2765">
              <w:rPr>
                <w:noProof/>
                <w:webHidden/>
              </w:rPr>
              <w:tab/>
            </w:r>
            <w:r w:rsidRPr="00BA2765">
              <w:rPr>
                <w:noProof/>
                <w:webHidden/>
              </w:rPr>
              <w:fldChar w:fldCharType="begin"/>
            </w:r>
            <w:r w:rsidRPr="00BA2765">
              <w:rPr>
                <w:noProof/>
                <w:webHidden/>
              </w:rPr>
              <w:instrText xml:space="preserve"> PAGEREF _Toc216518032 \h </w:instrText>
            </w:r>
            <w:r w:rsidRPr="00BA2765">
              <w:rPr>
                <w:noProof/>
                <w:webHidden/>
              </w:rPr>
            </w:r>
            <w:r w:rsidRPr="00BA2765">
              <w:rPr>
                <w:noProof/>
                <w:webHidden/>
              </w:rPr>
              <w:fldChar w:fldCharType="separate"/>
            </w:r>
            <w:r w:rsidRPr="00BA2765">
              <w:rPr>
                <w:noProof/>
                <w:webHidden/>
              </w:rPr>
              <w:t>8</w:t>
            </w:r>
            <w:r w:rsidRPr="00BA2765">
              <w:rPr>
                <w:noProof/>
                <w:webHidden/>
              </w:rPr>
              <w:fldChar w:fldCharType="end"/>
            </w:r>
          </w:hyperlink>
        </w:p>
        <w:p w14:paraId="29A64386" w14:textId="77777777" w:rsidR="00BA2765" w:rsidRPr="00BA2765" w:rsidRDefault="00BA2765" w:rsidP="00BA2765">
          <w:pPr>
            <w:pStyle w:val="TOC2"/>
            <w:tabs>
              <w:tab w:val="right" w:leader="dot" w:pos="9350"/>
            </w:tabs>
            <w:spacing w:line="360" w:lineRule="auto"/>
            <w:jc w:val="both"/>
            <w:rPr>
              <w:noProof/>
            </w:rPr>
          </w:pPr>
          <w:hyperlink w:anchor="_Toc216518033" w:history="1">
            <w:r w:rsidRPr="00BA2765">
              <w:rPr>
                <w:rStyle w:val="Hyperlink"/>
                <w:noProof/>
                <w:color w:val="auto"/>
              </w:rPr>
              <w:t>2.8. Corporate Failure Prediction (Z-Score)</w:t>
            </w:r>
            <w:r w:rsidRPr="00BA2765">
              <w:rPr>
                <w:noProof/>
                <w:webHidden/>
              </w:rPr>
              <w:tab/>
            </w:r>
            <w:r w:rsidRPr="00BA2765">
              <w:rPr>
                <w:noProof/>
                <w:webHidden/>
              </w:rPr>
              <w:fldChar w:fldCharType="begin"/>
            </w:r>
            <w:r w:rsidRPr="00BA2765">
              <w:rPr>
                <w:noProof/>
                <w:webHidden/>
              </w:rPr>
              <w:instrText xml:space="preserve"> PAGEREF _Toc216518033 \h </w:instrText>
            </w:r>
            <w:r w:rsidRPr="00BA2765">
              <w:rPr>
                <w:noProof/>
                <w:webHidden/>
              </w:rPr>
            </w:r>
            <w:r w:rsidRPr="00BA2765">
              <w:rPr>
                <w:noProof/>
                <w:webHidden/>
              </w:rPr>
              <w:fldChar w:fldCharType="separate"/>
            </w:r>
            <w:r w:rsidRPr="00BA2765">
              <w:rPr>
                <w:noProof/>
                <w:webHidden/>
              </w:rPr>
              <w:t>10</w:t>
            </w:r>
            <w:r w:rsidRPr="00BA2765">
              <w:rPr>
                <w:noProof/>
                <w:webHidden/>
              </w:rPr>
              <w:fldChar w:fldCharType="end"/>
            </w:r>
          </w:hyperlink>
        </w:p>
        <w:p w14:paraId="6A7942D2" w14:textId="77777777" w:rsidR="00BA2765" w:rsidRPr="00BA2765" w:rsidRDefault="00BA2765" w:rsidP="00BA2765">
          <w:pPr>
            <w:pStyle w:val="TOC1"/>
            <w:tabs>
              <w:tab w:val="right" w:leader="dot" w:pos="9350"/>
            </w:tabs>
            <w:spacing w:line="360" w:lineRule="auto"/>
            <w:jc w:val="both"/>
            <w:rPr>
              <w:noProof/>
            </w:rPr>
          </w:pPr>
          <w:hyperlink w:anchor="_Toc216518034" w:history="1">
            <w:r w:rsidRPr="00BA2765">
              <w:rPr>
                <w:rStyle w:val="Hyperlink"/>
                <w:noProof/>
                <w:color w:val="auto"/>
              </w:rPr>
              <w:t>3. Working Capital Management Analysis</w:t>
            </w:r>
            <w:r w:rsidRPr="00BA2765">
              <w:rPr>
                <w:noProof/>
                <w:webHidden/>
              </w:rPr>
              <w:tab/>
            </w:r>
            <w:r w:rsidRPr="00BA2765">
              <w:rPr>
                <w:noProof/>
                <w:webHidden/>
              </w:rPr>
              <w:fldChar w:fldCharType="begin"/>
            </w:r>
            <w:r w:rsidRPr="00BA2765">
              <w:rPr>
                <w:noProof/>
                <w:webHidden/>
              </w:rPr>
              <w:instrText xml:space="preserve"> PAGEREF _Toc216518034 \h </w:instrText>
            </w:r>
            <w:r w:rsidRPr="00BA2765">
              <w:rPr>
                <w:noProof/>
                <w:webHidden/>
              </w:rPr>
            </w:r>
            <w:r w:rsidRPr="00BA2765">
              <w:rPr>
                <w:noProof/>
                <w:webHidden/>
              </w:rPr>
              <w:fldChar w:fldCharType="separate"/>
            </w:r>
            <w:r w:rsidRPr="00BA2765">
              <w:rPr>
                <w:noProof/>
                <w:webHidden/>
              </w:rPr>
              <w:t>12</w:t>
            </w:r>
            <w:r w:rsidRPr="00BA2765">
              <w:rPr>
                <w:noProof/>
                <w:webHidden/>
              </w:rPr>
              <w:fldChar w:fldCharType="end"/>
            </w:r>
          </w:hyperlink>
        </w:p>
        <w:p w14:paraId="490555A5" w14:textId="77777777" w:rsidR="00BA2765" w:rsidRPr="00BA2765" w:rsidRDefault="00BA2765" w:rsidP="00BA2765">
          <w:pPr>
            <w:pStyle w:val="TOC2"/>
            <w:tabs>
              <w:tab w:val="right" w:leader="dot" w:pos="9350"/>
            </w:tabs>
            <w:spacing w:line="360" w:lineRule="auto"/>
            <w:jc w:val="both"/>
            <w:rPr>
              <w:noProof/>
            </w:rPr>
          </w:pPr>
          <w:hyperlink w:anchor="_Toc216518035" w:history="1">
            <w:r w:rsidRPr="00BA2765">
              <w:rPr>
                <w:rStyle w:val="Hyperlink"/>
                <w:noProof/>
                <w:color w:val="auto"/>
              </w:rPr>
              <w:t>3.1. Cash Operating Cycle Assessment</w:t>
            </w:r>
            <w:r w:rsidRPr="00BA2765">
              <w:rPr>
                <w:noProof/>
                <w:webHidden/>
              </w:rPr>
              <w:tab/>
            </w:r>
            <w:r w:rsidRPr="00BA2765">
              <w:rPr>
                <w:noProof/>
                <w:webHidden/>
              </w:rPr>
              <w:fldChar w:fldCharType="begin"/>
            </w:r>
            <w:r w:rsidRPr="00BA2765">
              <w:rPr>
                <w:noProof/>
                <w:webHidden/>
              </w:rPr>
              <w:instrText xml:space="preserve"> PAGEREF _Toc216518035 \h </w:instrText>
            </w:r>
            <w:r w:rsidRPr="00BA2765">
              <w:rPr>
                <w:noProof/>
                <w:webHidden/>
              </w:rPr>
            </w:r>
            <w:r w:rsidRPr="00BA2765">
              <w:rPr>
                <w:noProof/>
                <w:webHidden/>
              </w:rPr>
              <w:fldChar w:fldCharType="separate"/>
            </w:r>
            <w:r w:rsidRPr="00BA2765">
              <w:rPr>
                <w:noProof/>
                <w:webHidden/>
              </w:rPr>
              <w:t>12</w:t>
            </w:r>
            <w:r w:rsidRPr="00BA2765">
              <w:rPr>
                <w:noProof/>
                <w:webHidden/>
              </w:rPr>
              <w:fldChar w:fldCharType="end"/>
            </w:r>
          </w:hyperlink>
        </w:p>
        <w:p w14:paraId="6CB36F3C" w14:textId="77777777" w:rsidR="00BA2765" w:rsidRPr="00BA2765" w:rsidRDefault="00BA2765" w:rsidP="00BA2765">
          <w:pPr>
            <w:pStyle w:val="TOC2"/>
            <w:tabs>
              <w:tab w:val="right" w:leader="dot" w:pos="9350"/>
            </w:tabs>
            <w:spacing w:line="360" w:lineRule="auto"/>
            <w:jc w:val="both"/>
            <w:rPr>
              <w:noProof/>
            </w:rPr>
          </w:pPr>
          <w:hyperlink w:anchor="_Toc216518036" w:history="1">
            <w:r w:rsidRPr="00BA2765">
              <w:rPr>
                <w:rStyle w:val="Hyperlink"/>
                <w:noProof/>
                <w:color w:val="auto"/>
              </w:rPr>
              <w:t>3.2. Strategies to Improve Liquidity</w:t>
            </w:r>
            <w:r w:rsidRPr="00BA2765">
              <w:rPr>
                <w:noProof/>
                <w:webHidden/>
              </w:rPr>
              <w:tab/>
            </w:r>
            <w:r w:rsidRPr="00BA2765">
              <w:rPr>
                <w:noProof/>
                <w:webHidden/>
              </w:rPr>
              <w:fldChar w:fldCharType="begin"/>
            </w:r>
            <w:r w:rsidRPr="00BA2765">
              <w:rPr>
                <w:noProof/>
                <w:webHidden/>
              </w:rPr>
              <w:instrText xml:space="preserve"> PAGEREF _Toc216518036 \h </w:instrText>
            </w:r>
            <w:r w:rsidRPr="00BA2765">
              <w:rPr>
                <w:noProof/>
                <w:webHidden/>
              </w:rPr>
            </w:r>
            <w:r w:rsidRPr="00BA2765">
              <w:rPr>
                <w:noProof/>
                <w:webHidden/>
              </w:rPr>
              <w:fldChar w:fldCharType="separate"/>
            </w:r>
            <w:r w:rsidRPr="00BA2765">
              <w:rPr>
                <w:noProof/>
                <w:webHidden/>
              </w:rPr>
              <w:t>13</w:t>
            </w:r>
            <w:r w:rsidRPr="00BA2765">
              <w:rPr>
                <w:noProof/>
                <w:webHidden/>
              </w:rPr>
              <w:fldChar w:fldCharType="end"/>
            </w:r>
          </w:hyperlink>
        </w:p>
        <w:p w14:paraId="3ABF37E6" w14:textId="77777777" w:rsidR="00BA2765" w:rsidRPr="00BA2765" w:rsidRDefault="00BA2765" w:rsidP="00BA2765">
          <w:pPr>
            <w:pStyle w:val="TOC2"/>
            <w:tabs>
              <w:tab w:val="right" w:leader="dot" w:pos="9350"/>
            </w:tabs>
            <w:spacing w:line="360" w:lineRule="auto"/>
            <w:jc w:val="both"/>
            <w:rPr>
              <w:noProof/>
            </w:rPr>
          </w:pPr>
          <w:hyperlink w:anchor="_Toc216518037" w:history="1">
            <w:r w:rsidRPr="00BA2765">
              <w:rPr>
                <w:rStyle w:val="Hyperlink"/>
                <w:noProof/>
                <w:color w:val="auto"/>
              </w:rPr>
              <w:t>3.3. Short-term vs Long-term Financing Options</w:t>
            </w:r>
            <w:r w:rsidRPr="00BA2765">
              <w:rPr>
                <w:noProof/>
                <w:webHidden/>
              </w:rPr>
              <w:tab/>
            </w:r>
            <w:r w:rsidRPr="00BA2765">
              <w:rPr>
                <w:noProof/>
                <w:webHidden/>
              </w:rPr>
              <w:fldChar w:fldCharType="begin"/>
            </w:r>
            <w:r w:rsidRPr="00BA2765">
              <w:rPr>
                <w:noProof/>
                <w:webHidden/>
              </w:rPr>
              <w:instrText xml:space="preserve"> PAGEREF _Toc216518037 \h </w:instrText>
            </w:r>
            <w:r w:rsidRPr="00BA2765">
              <w:rPr>
                <w:noProof/>
                <w:webHidden/>
              </w:rPr>
            </w:r>
            <w:r w:rsidRPr="00BA2765">
              <w:rPr>
                <w:noProof/>
                <w:webHidden/>
              </w:rPr>
              <w:fldChar w:fldCharType="separate"/>
            </w:r>
            <w:r w:rsidRPr="00BA2765">
              <w:rPr>
                <w:noProof/>
                <w:webHidden/>
              </w:rPr>
              <w:t>14</w:t>
            </w:r>
            <w:r w:rsidRPr="00BA2765">
              <w:rPr>
                <w:noProof/>
                <w:webHidden/>
              </w:rPr>
              <w:fldChar w:fldCharType="end"/>
            </w:r>
          </w:hyperlink>
        </w:p>
        <w:p w14:paraId="54D049FF" w14:textId="77777777" w:rsidR="00BA2765" w:rsidRPr="00BA2765" w:rsidRDefault="00BA2765" w:rsidP="00BA2765">
          <w:pPr>
            <w:pStyle w:val="TOC1"/>
            <w:tabs>
              <w:tab w:val="right" w:leader="dot" w:pos="9350"/>
            </w:tabs>
            <w:spacing w:line="360" w:lineRule="auto"/>
            <w:jc w:val="both"/>
            <w:rPr>
              <w:noProof/>
            </w:rPr>
          </w:pPr>
          <w:hyperlink w:anchor="_Toc216518038" w:history="1">
            <w:r w:rsidRPr="00BA2765">
              <w:rPr>
                <w:rStyle w:val="Hyperlink"/>
                <w:noProof/>
                <w:color w:val="auto"/>
              </w:rPr>
              <w:t>4. Strategic Financial Restructuring Plan</w:t>
            </w:r>
            <w:r w:rsidRPr="00BA2765">
              <w:rPr>
                <w:noProof/>
                <w:webHidden/>
              </w:rPr>
              <w:tab/>
            </w:r>
            <w:r w:rsidRPr="00BA2765">
              <w:rPr>
                <w:noProof/>
                <w:webHidden/>
              </w:rPr>
              <w:fldChar w:fldCharType="begin"/>
            </w:r>
            <w:r w:rsidRPr="00BA2765">
              <w:rPr>
                <w:noProof/>
                <w:webHidden/>
              </w:rPr>
              <w:instrText xml:space="preserve"> PAGEREF _Toc216518038 \h </w:instrText>
            </w:r>
            <w:r w:rsidRPr="00BA2765">
              <w:rPr>
                <w:noProof/>
                <w:webHidden/>
              </w:rPr>
            </w:r>
            <w:r w:rsidRPr="00BA2765">
              <w:rPr>
                <w:noProof/>
                <w:webHidden/>
              </w:rPr>
              <w:fldChar w:fldCharType="separate"/>
            </w:r>
            <w:r w:rsidRPr="00BA2765">
              <w:rPr>
                <w:noProof/>
                <w:webHidden/>
              </w:rPr>
              <w:t>15</w:t>
            </w:r>
            <w:r w:rsidRPr="00BA2765">
              <w:rPr>
                <w:noProof/>
                <w:webHidden/>
              </w:rPr>
              <w:fldChar w:fldCharType="end"/>
            </w:r>
          </w:hyperlink>
        </w:p>
        <w:p w14:paraId="55B39480" w14:textId="77777777" w:rsidR="00BA2765" w:rsidRPr="00BA2765" w:rsidRDefault="00BA2765" w:rsidP="00BA2765">
          <w:pPr>
            <w:pStyle w:val="TOC2"/>
            <w:tabs>
              <w:tab w:val="right" w:leader="dot" w:pos="9350"/>
            </w:tabs>
            <w:spacing w:line="360" w:lineRule="auto"/>
            <w:jc w:val="both"/>
            <w:rPr>
              <w:noProof/>
            </w:rPr>
          </w:pPr>
          <w:hyperlink w:anchor="_Toc216518039" w:history="1">
            <w:r w:rsidRPr="00BA2765">
              <w:rPr>
                <w:rStyle w:val="Hyperlink"/>
                <w:noProof/>
                <w:color w:val="auto"/>
              </w:rPr>
              <w:t>4.1. Financial Restructuring Options</w:t>
            </w:r>
            <w:r w:rsidRPr="00BA2765">
              <w:rPr>
                <w:noProof/>
                <w:webHidden/>
              </w:rPr>
              <w:tab/>
            </w:r>
            <w:r w:rsidRPr="00BA2765">
              <w:rPr>
                <w:noProof/>
                <w:webHidden/>
              </w:rPr>
              <w:fldChar w:fldCharType="begin"/>
            </w:r>
            <w:r w:rsidRPr="00BA2765">
              <w:rPr>
                <w:noProof/>
                <w:webHidden/>
              </w:rPr>
              <w:instrText xml:space="preserve"> PAGEREF _Toc216518039 \h </w:instrText>
            </w:r>
            <w:r w:rsidRPr="00BA2765">
              <w:rPr>
                <w:noProof/>
                <w:webHidden/>
              </w:rPr>
            </w:r>
            <w:r w:rsidRPr="00BA2765">
              <w:rPr>
                <w:noProof/>
                <w:webHidden/>
              </w:rPr>
              <w:fldChar w:fldCharType="separate"/>
            </w:r>
            <w:r w:rsidRPr="00BA2765">
              <w:rPr>
                <w:noProof/>
                <w:webHidden/>
              </w:rPr>
              <w:t>15</w:t>
            </w:r>
            <w:r w:rsidRPr="00BA2765">
              <w:rPr>
                <w:noProof/>
                <w:webHidden/>
              </w:rPr>
              <w:fldChar w:fldCharType="end"/>
            </w:r>
          </w:hyperlink>
        </w:p>
        <w:p w14:paraId="6554DCAC" w14:textId="77777777" w:rsidR="00BA2765" w:rsidRPr="00BA2765" w:rsidRDefault="00BA2765" w:rsidP="00BA2765">
          <w:pPr>
            <w:pStyle w:val="TOC2"/>
            <w:tabs>
              <w:tab w:val="right" w:leader="dot" w:pos="9350"/>
            </w:tabs>
            <w:spacing w:line="360" w:lineRule="auto"/>
            <w:jc w:val="both"/>
            <w:rPr>
              <w:noProof/>
            </w:rPr>
          </w:pPr>
          <w:hyperlink w:anchor="_Toc216518040" w:history="1">
            <w:r w:rsidRPr="00BA2765">
              <w:rPr>
                <w:rStyle w:val="Hyperlink"/>
                <w:noProof/>
                <w:color w:val="auto"/>
              </w:rPr>
              <w:t>4.2. Impact Evaluation</w:t>
            </w:r>
            <w:r w:rsidRPr="00BA2765">
              <w:rPr>
                <w:noProof/>
                <w:webHidden/>
              </w:rPr>
              <w:tab/>
            </w:r>
            <w:r w:rsidRPr="00BA2765">
              <w:rPr>
                <w:noProof/>
                <w:webHidden/>
              </w:rPr>
              <w:fldChar w:fldCharType="begin"/>
            </w:r>
            <w:r w:rsidRPr="00BA2765">
              <w:rPr>
                <w:noProof/>
                <w:webHidden/>
              </w:rPr>
              <w:instrText xml:space="preserve"> PAGEREF _Toc216518040 \h </w:instrText>
            </w:r>
            <w:r w:rsidRPr="00BA2765">
              <w:rPr>
                <w:noProof/>
                <w:webHidden/>
              </w:rPr>
            </w:r>
            <w:r w:rsidRPr="00BA2765">
              <w:rPr>
                <w:noProof/>
                <w:webHidden/>
              </w:rPr>
              <w:fldChar w:fldCharType="separate"/>
            </w:r>
            <w:r w:rsidRPr="00BA2765">
              <w:rPr>
                <w:noProof/>
                <w:webHidden/>
              </w:rPr>
              <w:t>17</w:t>
            </w:r>
            <w:r w:rsidRPr="00BA2765">
              <w:rPr>
                <w:noProof/>
                <w:webHidden/>
              </w:rPr>
              <w:fldChar w:fldCharType="end"/>
            </w:r>
          </w:hyperlink>
        </w:p>
        <w:p w14:paraId="03A29B17" w14:textId="77777777" w:rsidR="00BA2765" w:rsidRPr="00BA2765" w:rsidRDefault="00BA2765" w:rsidP="00BA2765">
          <w:pPr>
            <w:pStyle w:val="TOC2"/>
            <w:tabs>
              <w:tab w:val="right" w:leader="dot" w:pos="9350"/>
            </w:tabs>
            <w:spacing w:line="360" w:lineRule="auto"/>
            <w:jc w:val="both"/>
            <w:rPr>
              <w:noProof/>
            </w:rPr>
          </w:pPr>
          <w:hyperlink w:anchor="_Toc216518041" w:history="1">
            <w:r w:rsidRPr="00BA2765">
              <w:rPr>
                <w:rStyle w:val="Hyperlink"/>
                <w:noProof/>
                <w:color w:val="auto"/>
              </w:rPr>
              <w:t>4.3. International and Ethical Considerations</w:t>
            </w:r>
            <w:r w:rsidRPr="00BA2765">
              <w:rPr>
                <w:noProof/>
                <w:webHidden/>
              </w:rPr>
              <w:tab/>
            </w:r>
            <w:r w:rsidRPr="00BA2765">
              <w:rPr>
                <w:noProof/>
                <w:webHidden/>
              </w:rPr>
              <w:fldChar w:fldCharType="begin"/>
            </w:r>
            <w:r w:rsidRPr="00BA2765">
              <w:rPr>
                <w:noProof/>
                <w:webHidden/>
              </w:rPr>
              <w:instrText xml:space="preserve"> PAGEREF _Toc216518041 \h </w:instrText>
            </w:r>
            <w:r w:rsidRPr="00BA2765">
              <w:rPr>
                <w:noProof/>
                <w:webHidden/>
              </w:rPr>
            </w:r>
            <w:r w:rsidRPr="00BA2765">
              <w:rPr>
                <w:noProof/>
                <w:webHidden/>
              </w:rPr>
              <w:fldChar w:fldCharType="separate"/>
            </w:r>
            <w:r w:rsidRPr="00BA2765">
              <w:rPr>
                <w:noProof/>
                <w:webHidden/>
              </w:rPr>
              <w:t>18</w:t>
            </w:r>
            <w:r w:rsidRPr="00BA2765">
              <w:rPr>
                <w:noProof/>
                <w:webHidden/>
              </w:rPr>
              <w:fldChar w:fldCharType="end"/>
            </w:r>
          </w:hyperlink>
        </w:p>
        <w:p w14:paraId="1024645A" w14:textId="77777777" w:rsidR="00BA2765" w:rsidRPr="00BA2765" w:rsidRDefault="00BA2765" w:rsidP="00BA2765">
          <w:pPr>
            <w:pStyle w:val="TOC1"/>
            <w:tabs>
              <w:tab w:val="right" w:leader="dot" w:pos="9350"/>
            </w:tabs>
            <w:spacing w:line="360" w:lineRule="auto"/>
            <w:jc w:val="both"/>
            <w:rPr>
              <w:noProof/>
            </w:rPr>
          </w:pPr>
          <w:hyperlink w:anchor="_Toc216518042" w:history="1">
            <w:r w:rsidRPr="00BA2765">
              <w:rPr>
                <w:rStyle w:val="Hyperlink"/>
                <w:noProof/>
                <w:color w:val="auto"/>
              </w:rPr>
              <w:t>5. Investment Appraisal and Capital Budgeting</w:t>
            </w:r>
            <w:r w:rsidRPr="00BA2765">
              <w:rPr>
                <w:noProof/>
                <w:webHidden/>
              </w:rPr>
              <w:tab/>
            </w:r>
            <w:r w:rsidRPr="00BA2765">
              <w:rPr>
                <w:noProof/>
                <w:webHidden/>
              </w:rPr>
              <w:fldChar w:fldCharType="begin"/>
            </w:r>
            <w:r w:rsidRPr="00BA2765">
              <w:rPr>
                <w:noProof/>
                <w:webHidden/>
              </w:rPr>
              <w:instrText xml:space="preserve"> PAGEREF _Toc216518042 \h </w:instrText>
            </w:r>
            <w:r w:rsidRPr="00BA2765">
              <w:rPr>
                <w:noProof/>
                <w:webHidden/>
              </w:rPr>
            </w:r>
            <w:r w:rsidRPr="00BA2765">
              <w:rPr>
                <w:noProof/>
                <w:webHidden/>
              </w:rPr>
              <w:fldChar w:fldCharType="separate"/>
            </w:r>
            <w:r w:rsidRPr="00BA2765">
              <w:rPr>
                <w:noProof/>
                <w:webHidden/>
              </w:rPr>
              <w:t>19</w:t>
            </w:r>
            <w:r w:rsidRPr="00BA2765">
              <w:rPr>
                <w:noProof/>
                <w:webHidden/>
              </w:rPr>
              <w:fldChar w:fldCharType="end"/>
            </w:r>
          </w:hyperlink>
        </w:p>
        <w:p w14:paraId="5F2A7D80" w14:textId="77777777" w:rsidR="00BA2765" w:rsidRPr="00BA2765" w:rsidRDefault="00BA2765" w:rsidP="00BA2765">
          <w:pPr>
            <w:pStyle w:val="TOC2"/>
            <w:tabs>
              <w:tab w:val="right" w:leader="dot" w:pos="9350"/>
            </w:tabs>
            <w:spacing w:line="360" w:lineRule="auto"/>
            <w:jc w:val="both"/>
            <w:rPr>
              <w:noProof/>
            </w:rPr>
          </w:pPr>
          <w:hyperlink w:anchor="_Toc216518043" w:history="1">
            <w:r w:rsidRPr="00BA2765">
              <w:rPr>
                <w:rStyle w:val="Hyperlink"/>
                <w:noProof/>
                <w:color w:val="auto"/>
              </w:rPr>
              <w:t>5.1. Payback Period Analysis (PBP)</w:t>
            </w:r>
            <w:r w:rsidRPr="00BA2765">
              <w:rPr>
                <w:noProof/>
                <w:webHidden/>
              </w:rPr>
              <w:tab/>
            </w:r>
            <w:r w:rsidRPr="00BA2765">
              <w:rPr>
                <w:noProof/>
                <w:webHidden/>
              </w:rPr>
              <w:fldChar w:fldCharType="begin"/>
            </w:r>
            <w:r w:rsidRPr="00BA2765">
              <w:rPr>
                <w:noProof/>
                <w:webHidden/>
              </w:rPr>
              <w:instrText xml:space="preserve"> PAGEREF _Toc216518043 \h </w:instrText>
            </w:r>
            <w:r w:rsidRPr="00BA2765">
              <w:rPr>
                <w:noProof/>
                <w:webHidden/>
              </w:rPr>
            </w:r>
            <w:r w:rsidRPr="00BA2765">
              <w:rPr>
                <w:noProof/>
                <w:webHidden/>
              </w:rPr>
              <w:fldChar w:fldCharType="separate"/>
            </w:r>
            <w:r w:rsidRPr="00BA2765">
              <w:rPr>
                <w:noProof/>
                <w:webHidden/>
              </w:rPr>
              <w:t>21</w:t>
            </w:r>
            <w:r w:rsidRPr="00BA2765">
              <w:rPr>
                <w:noProof/>
                <w:webHidden/>
              </w:rPr>
              <w:fldChar w:fldCharType="end"/>
            </w:r>
          </w:hyperlink>
        </w:p>
        <w:p w14:paraId="7C1D892A" w14:textId="77777777" w:rsidR="00BA2765" w:rsidRPr="00BA2765" w:rsidRDefault="00BA2765" w:rsidP="00BA2765">
          <w:pPr>
            <w:pStyle w:val="TOC2"/>
            <w:tabs>
              <w:tab w:val="right" w:leader="dot" w:pos="9350"/>
            </w:tabs>
            <w:spacing w:line="360" w:lineRule="auto"/>
            <w:jc w:val="both"/>
            <w:rPr>
              <w:noProof/>
            </w:rPr>
          </w:pPr>
          <w:hyperlink w:anchor="_Toc216518044" w:history="1">
            <w:r w:rsidRPr="00BA2765">
              <w:rPr>
                <w:rStyle w:val="Hyperlink"/>
                <w:noProof/>
                <w:color w:val="auto"/>
              </w:rPr>
              <w:t>5.2. Accounting Rate of Return (ARR)</w:t>
            </w:r>
            <w:r w:rsidRPr="00BA2765">
              <w:rPr>
                <w:noProof/>
                <w:webHidden/>
              </w:rPr>
              <w:tab/>
            </w:r>
            <w:r w:rsidRPr="00BA2765">
              <w:rPr>
                <w:noProof/>
                <w:webHidden/>
              </w:rPr>
              <w:fldChar w:fldCharType="begin"/>
            </w:r>
            <w:r w:rsidRPr="00BA2765">
              <w:rPr>
                <w:noProof/>
                <w:webHidden/>
              </w:rPr>
              <w:instrText xml:space="preserve"> PAGEREF _Toc216518044 \h </w:instrText>
            </w:r>
            <w:r w:rsidRPr="00BA2765">
              <w:rPr>
                <w:noProof/>
                <w:webHidden/>
              </w:rPr>
            </w:r>
            <w:r w:rsidRPr="00BA2765">
              <w:rPr>
                <w:noProof/>
                <w:webHidden/>
              </w:rPr>
              <w:fldChar w:fldCharType="separate"/>
            </w:r>
            <w:r w:rsidRPr="00BA2765">
              <w:rPr>
                <w:noProof/>
                <w:webHidden/>
              </w:rPr>
              <w:t>22</w:t>
            </w:r>
            <w:r w:rsidRPr="00BA2765">
              <w:rPr>
                <w:noProof/>
                <w:webHidden/>
              </w:rPr>
              <w:fldChar w:fldCharType="end"/>
            </w:r>
          </w:hyperlink>
        </w:p>
        <w:p w14:paraId="1423FF28" w14:textId="77777777" w:rsidR="00BA2765" w:rsidRPr="00BA2765" w:rsidRDefault="00BA2765" w:rsidP="00BA2765">
          <w:pPr>
            <w:pStyle w:val="TOC2"/>
            <w:tabs>
              <w:tab w:val="right" w:leader="dot" w:pos="9350"/>
            </w:tabs>
            <w:spacing w:line="360" w:lineRule="auto"/>
            <w:jc w:val="both"/>
            <w:rPr>
              <w:noProof/>
            </w:rPr>
          </w:pPr>
          <w:hyperlink w:anchor="_Toc216518045" w:history="1">
            <w:r w:rsidRPr="00BA2765">
              <w:rPr>
                <w:rStyle w:val="Hyperlink"/>
                <w:noProof/>
                <w:color w:val="auto"/>
              </w:rPr>
              <w:t>5.3. Net Present Value (NPV)</w:t>
            </w:r>
            <w:r w:rsidRPr="00BA2765">
              <w:rPr>
                <w:noProof/>
                <w:webHidden/>
              </w:rPr>
              <w:tab/>
            </w:r>
            <w:r w:rsidRPr="00BA2765">
              <w:rPr>
                <w:noProof/>
                <w:webHidden/>
              </w:rPr>
              <w:fldChar w:fldCharType="begin"/>
            </w:r>
            <w:r w:rsidRPr="00BA2765">
              <w:rPr>
                <w:noProof/>
                <w:webHidden/>
              </w:rPr>
              <w:instrText xml:space="preserve"> PAGEREF _Toc216518045 \h </w:instrText>
            </w:r>
            <w:r w:rsidRPr="00BA2765">
              <w:rPr>
                <w:noProof/>
                <w:webHidden/>
              </w:rPr>
            </w:r>
            <w:r w:rsidRPr="00BA2765">
              <w:rPr>
                <w:noProof/>
                <w:webHidden/>
              </w:rPr>
              <w:fldChar w:fldCharType="separate"/>
            </w:r>
            <w:r w:rsidRPr="00BA2765">
              <w:rPr>
                <w:noProof/>
                <w:webHidden/>
              </w:rPr>
              <w:t>23</w:t>
            </w:r>
            <w:r w:rsidRPr="00BA2765">
              <w:rPr>
                <w:noProof/>
                <w:webHidden/>
              </w:rPr>
              <w:fldChar w:fldCharType="end"/>
            </w:r>
          </w:hyperlink>
        </w:p>
        <w:p w14:paraId="44004E6A" w14:textId="77777777" w:rsidR="00BA2765" w:rsidRPr="00BA2765" w:rsidRDefault="00BA2765" w:rsidP="00BA2765">
          <w:pPr>
            <w:pStyle w:val="TOC2"/>
            <w:tabs>
              <w:tab w:val="right" w:leader="dot" w:pos="9350"/>
            </w:tabs>
            <w:spacing w:line="360" w:lineRule="auto"/>
            <w:jc w:val="both"/>
            <w:rPr>
              <w:noProof/>
            </w:rPr>
          </w:pPr>
          <w:hyperlink w:anchor="_Toc216518046" w:history="1">
            <w:r w:rsidRPr="00BA2765">
              <w:rPr>
                <w:rStyle w:val="Hyperlink"/>
                <w:noProof/>
                <w:color w:val="auto"/>
              </w:rPr>
              <w:t>5.4. Profitability Index (PI)</w:t>
            </w:r>
            <w:r w:rsidRPr="00BA2765">
              <w:rPr>
                <w:noProof/>
                <w:webHidden/>
              </w:rPr>
              <w:tab/>
            </w:r>
            <w:r w:rsidRPr="00BA2765">
              <w:rPr>
                <w:noProof/>
                <w:webHidden/>
              </w:rPr>
              <w:fldChar w:fldCharType="begin"/>
            </w:r>
            <w:r w:rsidRPr="00BA2765">
              <w:rPr>
                <w:noProof/>
                <w:webHidden/>
              </w:rPr>
              <w:instrText xml:space="preserve"> PAGEREF _Toc216518046 \h </w:instrText>
            </w:r>
            <w:r w:rsidRPr="00BA2765">
              <w:rPr>
                <w:noProof/>
                <w:webHidden/>
              </w:rPr>
            </w:r>
            <w:r w:rsidRPr="00BA2765">
              <w:rPr>
                <w:noProof/>
                <w:webHidden/>
              </w:rPr>
              <w:fldChar w:fldCharType="separate"/>
            </w:r>
            <w:r w:rsidRPr="00BA2765">
              <w:rPr>
                <w:noProof/>
                <w:webHidden/>
              </w:rPr>
              <w:t>23</w:t>
            </w:r>
            <w:r w:rsidRPr="00BA2765">
              <w:rPr>
                <w:noProof/>
                <w:webHidden/>
              </w:rPr>
              <w:fldChar w:fldCharType="end"/>
            </w:r>
          </w:hyperlink>
        </w:p>
        <w:p w14:paraId="5ACD0AC7" w14:textId="77777777" w:rsidR="00BA2765" w:rsidRPr="00BA2765" w:rsidRDefault="00BA2765" w:rsidP="00BA2765">
          <w:pPr>
            <w:pStyle w:val="TOC2"/>
            <w:tabs>
              <w:tab w:val="right" w:leader="dot" w:pos="9350"/>
            </w:tabs>
            <w:spacing w:line="360" w:lineRule="auto"/>
            <w:jc w:val="both"/>
            <w:rPr>
              <w:noProof/>
            </w:rPr>
          </w:pPr>
          <w:hyperlink w:anchor="_Toc216518047" w:history="1">
            <w:r w:rsidRPr="00BA2765">
              <w:rPr>
                <w:rStyle w:val="Hyperlink"/>
                <w:noProof/>
                <w:color w:val="auto"/>
              </w:rPr>
              <w:t>5.5. Internal Rate of Return (IRR)</w:t>
            </w:r>
            <w:r w:rsidRPr="00BA2765">
              <w:rPr>
                <w:noProof/>
                <w:webHidden/>
              </w:rPr>
              <w:tab/>
            </w:r>
            <w:r w:rsidRPr="00BA2765">
              <w:rPr>
                <w:noProof/>
                <w:webHidden/>
              </w:rPr>
              <w:fldChar w:fldCharType="begin"/>
            </w:r>
            <w:r w:rsidRPr="00BA2765">
              <w:rPr>
                <w:noProof/>
                <w:webHidden/>
              </w:rPr>
              <w:instrText xml:space="preserve"> PAGEREF _Toc216518047 \h </w:instrText>
            </w:r>
            <w:r w:rsidRPr="00BA2765">
              <w:rPr>
                <w:noProof/>
                <w:webHidden/>
              </w:rPr>
            </w:r>
            <w:r w:rsidRPr="00BA2765">
              <w:rPr>
                <w:noProof/>
                <w:webHidden/>
              </w:rPr>
              <w:fldChar w:fldCharType="separate"/>
            </w:r>
            <w:r w:rsidRPr="00BA2765">
              <w:rPr>
                <w:noProof/>
                <w:webHidden/>
              </w:rPr>
              <w:t>24</w:t>
            </w:r>
            <w:r w:rsidRPr="00BA2765">
              <w:rPr>
                <w:noProof/>
                <w:webHidden/>
              </w:rPr>
              <w:fldChar w:fldCharType="end"/>
            </w:r>
          </w:hyperlink>
        </w:p>
        <w:p w14:paraId="07235F12" w14:textId="77777777" w:rsidR="00BA2765" w:rsidRPr="00BA2765" w:rsidRDefault="00BA2765" w:rsidP="00BA2765">
          <w:pPr>
            <w:pStyle w:val="TOC2"/>
            <w:tabs>
              <w:tab w:val="right" w:leader="dot" w:pos="9350"/>
            </w:tabs>
            <w:spacing w:line="360" w:lineRule="auto"/>
            <w:jc w:val="both"/>
            <w:rPr>
              <w:noProof/>
            </w:rPr>
          </w:pPr>
          <w:hyperlink w:anchor="_Toc216518048" w:history="1">
            <w:r w:rsidRPr="00BA2765">
              <w:rPr>
                <w:rStyle w:val="Hyperlink"/>
                <w:noProof/>
                <w:color w:val="auto"/>
              </w:rPr>
              <w:t>5.6. Comparative Evaluation and Capital Rationing</w:t>
            </w:r>
            <w:r w:rsidRPr="00BA2765">
              <w:rPr>
                <w:noProof/>
                <w:webHidden/>
              </w:rPr>
              <w:tab/>
            </w:r>
            <w:r w:rsidRPr="00BA2765">
              <w:rPr>
                <w:noProof/>
                <w:webHidden/>
              </w:rPr>
              <w:fldChar w:fldCharType="begin"/>
            </w:r>
            <w:r w:rsidRPr="00BA2765">
              <w:rPr>
                <w:noProof/>
                <w:webHidden/>
              </w:rPr>
              <w:instrText xml:space="preserve"> PAGEREF _Toc216518048 \h </w:instrText>
            </w:r>
            <w:r w:rsidRPr="00BA2765">
              <w:rPr>
                <w:noProof/>
                <w:webHidden/>
              </w:rPr>
            </w:r>
            <w:r w:rsidRPr="00BA2765">
              <w:rPr>
                <w:noProof/>
                <w:webHidden/>
              </w:rPr>
              <w:fldChar w:fldCharType="separate"/>
            </w:r>
            <w:r w:rsidRPr="00BA2765">
              <w:rPr>
                <w:noProof/>
                <w:webHidden/>
              </w:rPr>
              <w:t>25</w:t>
            </w:r>
            <w:r w:rsidRPr="00BA2765">
              <w:rPr>
                <w:noProof/>
                <w:webHidden/>
              </w:rPr>
              <w:fldChar w:fldCharType="end"/>
            </w:r>
          </w:hyperlink>
        </w:p>
        <w:p w14:paraId="7302E2CB" w14:textId="77777777" w:rsidR="00BA2765" w:rsidRPr="00BA2765" w:rsidRDefault="00BA2765" w:rsidP="00BA2765">
          <w:pPr>
            <w:pStyle w:val="TOC2"/>
            <w:tabs>
              <w:tab w:val="right" w:leader="dot" w:pos="9350"/>
            </w:tabs>
            <w:spacing w:line="360" w:lineRule="auto"/>
            <w:jc w:val="both"/>
            <w:rPr>
              <w:noProof/>
            </w:rPr>
          </w:pPr>
          <w:hyperlink w:anchor="_Toc216518049" w:history="1">
            <w:r w:rsidRPr="00BA2765">
              <w:rPr>
                <w:rStyle w:val="Hyperlink"/>
                <w:noProof/>
                <w:color w:val="auto"/>
              </w:rPr>
              <w:t>5.7. Final Recommendation</w:t>
            </w:r>
            <w:r w:rsidRPr="00BA2765">
              <w:rPr>
                <w:noProof/>
                <w:webHidden/>
              </w:rPr>
              <w:tab/>
            </w:r>
            <w:r w:rsidRPr="00BA2765">
              <w:rPr>
                <w:noProof/>
                <w:webHidden/>
              </w:rPr>
              <w:fldChar w:fldCharType="begin"/>
            </w:r>
            <w:r w:rsidRPr="00BA2765">
              <w:rPr>
                <w:noProof/>
                <w:webHidden/>
              </w:rPr>
              <w:instrText xml:space="preserve"> PAGEREF _Toc216518049 \h </w:instrText>
            </w:r>
            <w:r w:rsidRPr="00BA2765">
              <w:rPr>
                <w:noProof/>
                <w:webHidden/>
              </w:rPr>
            </w:r>
            <w:r w:rsidRPr="00BA2765">
              <w:rPr>
                <w:noProof/>
                <w:webHidden/>
              </w:rPr>
              <w:fldChar w:fldCharType="separate"/>
            </w:r>
            <w:r w:rsidRPr="00BA2765">
              <w:rPr>
                <w:noProof/>
                <w:webHidden/>
              </w:rPr>
              <w:t>26</w:t>
            </w:r>
            <w:r w:rsidRPr="00BA2765">
              <w:rPr>
                <w:noProof/>
                <w:webHidden/>
              </w:rPr>
              <w:fldChar w:fldCharType="end"/>
            </w:r>
          </w:hyperlink>
        </w:p>
        <w:p w14:paraId="50C37ADC" w14:textId="77777777" w:rsidR="00BA2765" w:rsidRPr="00BA2765" w:rsidRDefault="00BA2765" w:rsidP="00BA2765">
          <w:pPr>
            <w:pStyle w:val="TOC1"/>
            <w:tabs>
              <w:tab w:val="right" w:leader="dot" w:pos="9350"/>
            </w:tabs>
            <w:spacing w:line="360" w:lineRule="auto"/>
            <w:jc w:val="both"/>
            <w:rPr>
              <w:noProof/>
            </w:rPr>
          </w:pPr>
          <w:hyperlink w:anchor="_Toc216518050" w:history="1">
            <w:r w:rsidRPr="00BA2765">
              <w:rPr>
                <w:rStyle w:val="Hyperlink"/>
                <w:noProof/>
                <w:color w:val="auto"/>
              </w:rPr>
              <w:t>6. Conclusion</w:t>
            </w:r>
            <w:r w:rsidRPr="00BA2765">
              <w:rPr>
                <w:noProof/>
                <w:webHidden/>
              </w:rPr>
              <w:tab/>
            </w:r>
            <w:r w:rsidRPr="00BA2765">
              <w:rPr>
                <w:noProof/>
                <w:webHidden/>
              </w:rPr>
              <w:fldChar w:fldCharType="begin"/>
            </w:r>
            <w:r w:rsidRPr="00BA2765">
              <w:rPr>
                <w:noProof/>
                <w:webHidden/>
              </w:rPr>
              <w:instrText xml:space="preserve"> PAGEREF _Toc216518050 \h </w:instrText>
            </w:r>
            <w:r w:rsidRPr="00BA2765">
              <w:rPr>
                <w:noProof/>
                <w:webHidden/>
              </w:rPr>
            </w:r>
            <w:r w:rsidRPr="00BA2765">
              <w:rPr>
                <w:noProof/>
                <w:webHidden/>
              </w:rPr>
              <w:fldChar w:fldCharType="separate"/>
            </w:r>
            <w:r w:rsidRPr="00BA2765">
              <w:rPr>
                <w:noProof/>
                <w:webHidden/>
              </w:rPr>
              <w:t>27</w:t>
            </w:r>
            <w:r w:rsidRPr="00BA2765">
              <w:rPr>
                <w:noProof/>
                <w:webHidden/>
              </w:rPr>
              <w:fldChar w:fldCharType="end"/>
            </w:r>
          </w:hyperlink>
        </w:p>
        <w:p w14:paraId="764D2029" w14:textId="77777777" w:rsidR="00BA2765" w:rsidRPr="00BA2765" w:rsidRDefault="00BA2765" w:rsidP="00BA2765">
          <w:pPr>
            <w:pStyle w:val="TOC1"/>
            <w:tabs>
              <w:tab w:val="right" w:leader="dot" w:pos="9350"/>
            </w:tabs>
            <w:spacing w:line="360" w:lineRule="auto"/>
            <w:jc w:val="both"/>
            <w:rPr>
              <w:noProof/>
            </w:rPr>
          </w:pPr>
          <w:hyperlink w:anchor="_Toc216518051" w:history="1">
            <w:r w:rsidRPr="00BA2765">
              <w:rPr>
                <w:rStyle w:val="Hyperlink"/>
                <w:noProof/>
                <w:color w:val="auto"/>
              </w:rPr>
              <w:t>7. References</w:t>
            </w:r>
            <w:r w:rsidRPr="00BA2765">
              <w:rPr>
                <w:noProof/>
                <w:webHidden/>
              </w:rPr>
              <w:tab/>
            </w:r>
            <w:r w:rsidRPr="00BA2765">
              <w:rPr>
                <w:noProof/>
                <w:webHidden/>
              </w:rPr>
              <w:fldChar w:fldCharType="begin"/>
            </w:r>
            <w:r w:rsidRPr="00BA2765">
              <w:rPr>
                <w:noProof/>
                <w:webHidden/>
              </w:rPr>
              <w:instrText xml:space="preserve"> PAGEREF _Toc216518051 \h </w:instrText>
            </w:r>
            <w:r w:rsidRPr="00BA2765">
              <w:rPr>
                <w:noProof/>
                <w:webHidden/>
              </w:rPr>
            </w:r>
            <w:r w:rsidRPr="00BA2765">
              <w:rPr>
                <w:noProof/>
                <w:webHidden/>
              </w:rPr>
              <w:fldChar w:fldCharType="separate"/>
            </w:r>
            <w:r w:rsidRPr="00BA2765">
              <w:rPr>
                <w:noProof/>
                <w:webHidden/>
              </w:rPr>
              <w:t>28</w:t>
            </w:r>
            <w:r w:rsidRPr="00BA2765">
              <w:rPr>
                <w:noProof/>
                <w:webHidden/>
              </w:rPr>
              <w:fldChar w:fldCharType="end"/>
            </w:r>
          </w:hyperlink>
        </w:p>
        <w:p w14:paraId="07D7C7B9" w14:textId="77777777" w:rsidR="00BA2765" w:rsidRPr="00BA2765" w:rsidRDefault="00BA2765" w:rsidP="00BA2765">
          <w:pPr>
            <w:pStyle w:val="TOC1"/>
            <w:tabs>
              <w:tab w:val="right" w:leader="dot" w:pos="9350"/>
            </w:tabs>
            <w:spacing w:line="360" w:lineRule="auto"/>
            <w:jc w:val="both"/>
            <w:rPr>
              <w:noProof/>
            </w:rPr>
          </w:pPr>
          <w:hyperlink w:anchor="_Toc216518052" w:history="1">
            <w:r w:rsidRPr="00BA2765">
              <w:rPr>
                <w:rStyle w:val="Hyperlink"/>
                <w:noProof/>
                <w:color w:val="auto"/>
              </w:rPr>
              <w:t>8. Appendices</w:t>
            </w:r>
            <w:r w:rsidRPr="00BA2765">
              <w:rPr>
                <w:noProof/>
                <w:webHidden/>
              </w:rPr>
              <w:tab/>
            </w:r>
            <w:r w:rsidRPr="00BA2765">
              <w:rPr>
                <w:noProof/>
                <w:webHidden/>
              </w:rPr>
              <w:fldChar w:fldCharType="begin"/>
            </w:r>
            <w:r w:rsidRPr="00BA2765">
              <w:rPr>
                <w:noProof/>
                <w:webHidden/>
              </w:rPr>
              <w:instrText xml:space="preserve"> PAGEREF _Toc216518052 \h </w:instrText>
            </w:r>
            <w:r w:rsidRPr="00BA2765">
              <w:rPr>
                <w:noProof/>
                <w:webHidden/>
              </w:rPr>
            </w:r>
            <w:r w:rsidRPr="00BA2765">
              <w:rPr>
                <w:noProof/>
                <w:webHidden/>
              </w:rPr>
              <w:fldChar w:fldCharType="separate"/>
            </w:r>
            <w:r w:rsidRPr="00BA2765">
              <w:rPr>
                <w:noProof/>
                <w:webHidden/>
              </w:rPr>
              <w:t>28</w:t>
            </w:r>
            <w:r w:rsidRPr="00BA2765">
              <w:rPr>
                <w:noProof/>
                <w:webHidden/>
              </w:rPr>
              <w:fldChar w:fldCharType="end"/>
            </w:r>
          </w:hyperlink>
        </w:p>
        <w:p w14:paraId="7C15BD39" w14:textId="77777777" w:rsidR="00BA2765" w:rsidRPr="00BA2765" w:rsidRDefault="00BA2765" w:rsidP="00BA2765">
          <w:pPr>
            <w:spacing w:line="360" w:lineRule="auto"/>
            <w:jc w:val="both"/>
          </w:pPr>
          <w:r w:rsidRPr="00BA2765">
            <w:rPr>
              <w:b/>
              <w:bCs/>
              <w:noProof/>
            </w:rPr>
            <w:fldChar w:fldCharType="end"/>
          </w:r>
        </w:p>
      </w:sdtContent>
    </w:sdt>
    <w:p w14:paraId="69093CAC" w14:textId="77777777" w:rsidR="00BA2765" w:rsidRPr="00BA2765" w:rsidRDefault="00BA2765" w:rsidP="00BA2765">
      <w:pPr>
        <w:rPr>
          <w:b/>
          <w:bCs/>
          <w:sz w:val="28"/>
          <w:szCs w:val="28"/>
        </w:rPr>
      </w:pPr>
    </w:p>
    <w:p w14:paraId="22699430" w14:textId="77777777" w:rsidR="00BA2765" w:rsidRPr="00BA2765" w:rsidRDefault="00BA2765" w:rsidP="00BA2765">
      <w:pPr>
        <w:rPr>
          <w:b/>
          <w:bCs/>
          <w:sz w:val="28"/>
          <w:szCs w:val="28"/>
        </w:rPr>
      </w:pPr>
      <w:r w:rsidRPr="00BA2765">
        <w:br w:type="page"/>
      </w:r>
    </w:p>
    <w:p w14:paraId="4766B906" w14:textId="77777777" w:rsidR="00BA2765" w:rsidRPr="00BA2765" w:rsidRDefault="00BA2765" w:rsidP="00BA2765">
      <w:pPr>
        <w:pStyle w:val="Heading1"/>
        <w:spacing w:before="240" w:line="360" w:lineRule="auto"/>
      </w:pPr>
      <w:bookmarkStart w:id="0" w:name="_Toc216518024"/>
      <w:r w:rsidRPr="00BA2765">
        <w:lastRenderedPageBreak/>
        <w:t>1. Introduction</w:t>
      </w:r>
      <w:bookmarkEnd w:id="0"/>
    </w:p>
    <w:p w14:paraId="4AD4EEE0" w14:textId="77777777" w:rsidR="00BA2765" w:rsidRPr="00BA2765" w:rsidRDefault="00BA2765" w:rsidP="00BA2765">
      <w:pPr>
        <w:spacing w:before="240" w:after="160" w:line="360" w:lineRule="auto"/>
        <w:jc w:val="both"/>
      </w:pPr>
      <w:r w:rsidRPr="00BA2765">
        <w:t xml:space="preserve">General Electronics, an international organisation that has been in the consumer electronics industry for a long time, is presently in great financial trouble due to a number of years in poor performance. The company has been subjected to severe declines in sales, continued losses in operation, declining liquidity, and increased financial risk, which have threatened its long-term sustainability. The new Chief Financial Officer is brought in as the main business task is to identify the real factors behind this downfall and put in place a sound turnaround plan that will be able to bring about profitability, stability in operations and shareholder trust. </w:t>
      </w:r>
      <w:bookmarkStart w:id="1" w:name="_d7cw0bjtm7l1" w:colFirst="0" w:colLast="0"/>
      <w:bookmarkStart w:id="2" w:name="_Toc216518025"/>
      <w:bookmarkEnd w:id="1"/>
      <w:r w:rsidRPr="00BA2765">
        <w:t>This report provides a financial evaluation of General Electronics of years 2020-2024 through various methodologies. They are systematic ratio analysis to assess the trend of profitability, liquidity, efficiency, and solvency; a corporate failure forecast model (Altman Z-score) to assess the risk of financial distress; and approaches to capital budgeting based on discounted cash flows to assess strategic investment decisions. Besides, the working capital management effectiveness is also analyzed by the cash operating cycle, and the strategic financial restructuring plan is suggested to stabilize the situation, enhance liquidity, and reestablish shareholder trust.</w:t>
      </w:r>
    </w:p>
    <w:p w14:paraId="65DCDD17" w14:textId="77777777" w:rsidR="00BA2765" w:rsidRPr="00BA2765" w:rsidRDefault="00BA2765" w:rsidP="00BA2765">
      <w:pPr>
        <w:pStyle w:val="Heading1"/>
      </w:pPr>
      <w:r w:rsidRPr="00BA2765">
        <w:t>2. Financial Health Check</w:t>
      </w:r>
      <w:bookmarkEnd w:id="2"/>
    </w:p>
    <w:p w14:paraId="651AB3C3" w14:textId="77777777" w:rsidR="00BA2765" w:rsidRPr="00BA2765" w:rsidRDefault="00BA2765" w:rsidP="00BA2765">
      <w:pPr>
        <w:pStyle w:val="Heading2"/>
        <w:spacing w:before="240" w:line="360" w:lineRule="auto"/>
        <w:jc w:val="both"/>
      </w:pPr>
      <w:bookmarkStart w:id="3" w:name="_dxjux3v2gcxe" w:colFirst="0" w:colLast="0"/>
      <w:bookmarkStart w:id="4" w:name="_Toc216518026"/>
      <w:bookmarkEnd w:id="3"/>
      <w:r w:rsidRPr="00BA2765">
        <w:t>2.1. Overview of Financial Performance</w:t>
      </w:r>
      <w:bookmarkEnd w:id="4"/>
    </w:p>
    <w:p w14:paraId="4C6F3C12" w14:textId="77777777" w:rsidR="00BA2765" w:rsidRPr="00BA2765" w:rsidRDefault="00BA2765" w:rsidP="00BA2765">
      <w:pPr>
        <w:spacing w:before="240" w:line="360" w:lineRule="auto"/>
        <w:jc w:val="both"/>
      </w:pPr>
      <w:r w:rsidRPr="00BA2765">
        <w:t>General Electronics had a steep financial downturn between 2020 and 2024. The results of the ratio analysis are attached in Appendix-I. The sales have decreased by 35% over 5 years because of low market demands and competition. In 2023 and 2024, the company incurred net losses due to the decline in the gross margins and the increase in operating costs. Total assets dropped to 323m compared to 510m due to decreased inventories, cash and values of assets. Another indicator of significant erosion of shareholder value is the fact that equity decreased by 313m to 153m. In general, the decline of revenues, increased losses, and reduced solvency illustrates critical structural financial distress (Cenciarelli, 2024).</w:t>
      </w:r>
    </w:p>
    <w:p w14:paraId="62605E85" w14:textId="77777777" w:rsidR="00BA2765" w:rsidRPr="00BA2765" w:rsidRDefault="00BA2765" w:rsidP="00BA2765">
      <w:pPr>
        <w:rPr>
          <w:b/>
          <w:bCs/>
        </w:rPr>
      </w:pPr>
      <w:bookmarkStart w:id="5" w:name="_dwlufpydgf6n" w:colFirst="0" w:colLast="0"/>
      <w:bookmarkStart w:id="6" w:name="_Toc216518027"/>
      <w:bookmarkEnd w:id="5"/>
      <w:r w:rsidRPr="00BA2765">
        <w:br w:type="page"/>
      </w:r>
    </w:p>
    <w:p w14:paraId="2617084F" w14:textId="77777777" w:rsidR="00BA2765" w:rsidRPr="00BA2765" w:rsidRDefault="00BA2765" w:rsidP="00BA2765">
      <w:pPr>
        <w:pStyle w:val="Heading2"/>
        <w:spacing w:before="240" w:line="360" w:lineRule="auto"/>
        <w:jc w:val="both"/>
      </w:pPr>
      <w:r w:rsidRPr="00BA2765">
        <w:lastRenderedPageBreak/>
        <w:t>2.2. Profitability Analysis</w:t>
      </w:r>
      <w:bookmarkEnd w:id="6"/>
    </w:p>
    <w:p w14:paraId="5CA67911" w14:textId="77777777" w:rsidR="00BA2765" w:rsidRPr="00BA2765" w:rsidRDefault="00BA2765" w:rsidP="00BA2765">
      <w:pPr>
        <w:jc w:val="center"/>
        <w:rPr>
          <w:i/>
          <w:iCs/>
        </w:rPr>
      </w:pPr>
      <w:r w:rsidRPr="00BA2765">
        <w:rPr>
          <w:i/>
          <w:iCs/>
        </w:rPr>
        <w:t>Table-1: Profitability Ratios</w:t>
      </w:r>
    </w:p>
    <w:p w14:paraId="797F6E1E" w14:textId="77777777" w:rsidR="00BA2765" w:rsidRPr="00BA2765" w:rsidRDefault="00BA2765" w:rsidP="00BA2765">
      <w:r w:rsidRPr="00BA2765">
        <w:rPr>
          <w:noProof/>
        </w:rPr>
        <w:drawing>
          <wp:inline distT="0" distB="0" distL="0" distR="0" wp14:anchorId="5F1523D0" wp14:editId="490BD162">
            <wp:extent cx="5943600" cy="1805940"/>
            <wp:effectExtent l="0" t="0" r="0" b="3810"/>
            <wp:docPr id="118339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9313" name=""/>
                    <pic:cNvPicPr/>
                  </pic:nvPicPr>
                  <pic:blipFill rotWithShape="1">
                    <a:blip r:embed="rId7"/>
                    <a:srcRect t="1557"/>
                    <a:stretch>
                      <a:fillRect/>
                    </a:stretch>
                  </pic:blipFill>
                  <pic:spPr bwMode="auto">
                    <a:xfrm>
                      <a:off x="0" y="0"/>
                      <a:ext cx="5943600" cy="1805940"/>
                    </a:xfrm>
                    <a:prstGeom prst="rect">
                      <a:avLst/>
                    </a:prstGeom>
                    <a:ln>
                      <a:noFill/>
                    </a:ln>
                    <a:extLst>
                      <a:ext uri="{53640926-AAD7-44D8-BBD7-CCE9431645EC}">
                        <a14:shadowObscured xmlns:a14="http://schemas.microsoft.com/office/drawing/2010/main"/>
                      </a:ext>
                    </a:extLst>
                  </pic:spPr>
                </pic:pic>
              </a:graphicData>
            </a:graphic>
          </wp:inline>
        </w:drawing>
      </w:r>
    </w:p>
    <w:p w14:paraId="28B07926" w14:textId="77777777" w:rsidR="00BA2765" w:rsidRPr="00BA2765" w:rsidRDefault="00BA2765" w:rsidP="00BA2765">
      <w:pPr>
        <w:spacing w:before="240" w:line="360" w:lineRule="auto"/>
        <w:jc w:val="both"/>
      </w:pPr>
      <w:r w:rsidRPr="00BA2765">
        <w:t>The ratios on profitability indicate a sharp decline in the earning capability of the firm. The gross profit margin has slightly increased since in the year 2020, it stood at 28.67%, and in 2024, it stands at 28.87%, but this growth is not true since the sales have decreased by a very high margin and the cost controls have not helped to increase the operations performance.</w:t>
      </w:r>
    </w:p>
    <w:p w14:paraId="15247136" w14:textId="77777777" w:rsidR="00BA2765" w:rsidRPr="00BA2765" w:rsidRDefault="00BA2765" w:rsidP="00BA2765">
      <w:pPr>
        <w:spacing w:before="240" w:after="160" w:line="360" w:lineRule="auto"/>
        <w:jc w:val="both"/>
      </w:pPr>
      <w:r w:rsidRPr="00BA2765">
        <w:t>The operating profit margin worsened as in 2020 it stood at 6.06% and in 2024 the company was at -3.87% which is an indication that the company is unable to cope with its operating costs and with the falling sales volumes. Here we notice that operating expenses increased in a disproportionate manner compared to revenues in 2024.</w:t>
      </w:r>
    </w:p>
    <w:p w14:paraId="3217E641" w14:textId="77777777" w:rsidR="00BA2765" w:rsidRPr="00BA2765" w:rsidRDefault="00BA2765" w:rsidP="00BA2765">
      <w:pPr>
        <w:spacing w:before="240" w:after="160" w:line="360" w:lineRule="auto"/>
        <w:jc w:val="both"/>
      </w:pPr>
      <w:r w:rsidRPr="00BA2765">
        <w:t>The trend of net profit margin was not much different, with net profit margin decreasing to 6.28% in 2020, and then -6.09% profit margin in 2024. The sudden drop in the net profit margin is not only the result of poor operations but also relies heavily on goodwill and asset impairments of 2023. Such impairments suggest that historical acquisition and expansion choices did not create anticipated returns, and inflated the losses significantly and expedited the fall in profitability.</w:t>
      </w:r>
    </w:p>
    <w:p w14:paraId="59E929F2" w14:textId="77777777" w:rsidR="00BA2765" w:rsidRPr="00BA2765" w:rsidRDefault="00BA2765" w:rsidP="00BA2765">
      <w:pPr>
        <w:spacing w:before="240" w:after="160" w:line="360" w:lineRule="auto"/>
        <w:jc w:val="both"/>
      </w:pPr>
      <w:r w:rsidRPr="00BA2765">
        <w:t>The further evidence of worsening efficiency is Return on Equity (ROE) and Return on Assets (ROA). The ROA continued to reduce steadily in 2020 with 7.56% to 2024 with -7.43% meaning that assets are not utilized effectively to drive profits. ROE is highly volatile, falling from 12.31% in 2020 to -15.69% in 2024, as not only earnings have fallen, but the equity has also fallen. All these measures of profitability are indicators of structural inefficiencies, cost pressures and decreased competitiveness.</w:t>
      </w:r>
    </w:p>
    <w:p w14:paraId="60FB1D0D" w14:textId="77777777" w:rsidR="00BA2765" w:rsidRPr="00BA2765" w:rsidRDefault="00BA2765" w:rsidP="00BA2765">
      <w:pPr>
        <w:pStyle w:val="Heading2"/>
        <w:spacing w:before="240" w:line="360" w:lineRule="auto"/>
        <w:jc w:val="both"/>
      </w:pPr>
      <w:bookmarkStart w:id="7" w:name="_wkj17vlhpuqb" w:colFirst="0" w:colLast="0"/>
      <w:bookmarkStart w:id="8" w:name="_Toc216518028"/>
      <w:bookmarkEnd w:id="7"/>
      <w:r w:rsidRPr="00BA2765">
        <w:lastRenderedPageBreak/>
        <w:t>2.3. Liquidity Analysis</w:t>
      </w:r>
      <w:bookmarkEnd w:id="8"/>
    </w:p>
    <w:p w14:paraId="1C966A65" w14:textId="77777777" w:rsidR="00BA2765" w:rsidRPr="00BA2765" w:rsidRDefault="00BA2765" w:rsidP="00BA2765">
      <w:pPr>
        <w:jc w:val="center"/>
        <w:rPr>
          <w:i/>
          <w:iCs/>
        </w:rPr>
      </w:pPr>
      <w:r w:rsidRPr="00BA2765">
        <w:rPr>
          <w:i/>
          <w:iCs/>
        </w:rPr>
        <w:t>Table-2: Liquidity Ratios</w:t>
      </w:r>
    </w:p>
    <w:p w14:paraId="517C6308" w14:textId="77777777" w:rsidR="00BA2765" w:rsidRPr="00BA2765" w:rsidRDefault="00BA2765" w:rsidP="00BA2765">
      <w:r w:rsidRPr="00BA2765">
        <w:rPr>
          <w:noProof/>
        </w:rPr>
        <w:drawing>
          <wp:inline distT="0" distB="0" distL="0" distR="0" wp14:anchorId="656C68E0" wp14:editId="58947182">
            <wp:extent cx="5943600" cy="976630"/>
            <wp:effectExtent l="0" t="0" r="0" b="0"/>
            <wp:docPr id="667326037" name="Picture 1" descr="A white gri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26037" name="Picture 1" descr="A white grid with black numbers&#10;&#10;AI-generated content may be incorrect."/>
                    <pic:cNvPicPr/>
                  </pic:nvPicPr>
                  <pic:blipFill>
                    <a:blip r:embed="rId8"/>
                    <a:stretch>
                      <a:fillRect/>
                    </a:stretch>
                  </pic:blipFill>
                  <pic:spPr>
                    <a:xfrm>
                      <a:off x="0" y="0"/>
                      <a:ext cx="5943600" cy="976630"/>
                    </a:xfrm>
                    <a:prstGeom prst="rect">
                      <a:avLst/>
                    </a:prstGeom>
                  </pic:spPr>
                </pic:pic>
              </a:graphicData>
            </a:graphic>
          </wp:inline>
        </w:drawing>
      </w:r>
    </w:p>
    <w:p w14:paraId="2BF0088B" w14:textId="77777777" w:rsidR="00BA2765" w:rsidRPr="00BA2765" w:rsidRDefault="00BA2765" w:rsidP="00BA2765">
      <w:pPr>
        <w:spacing w:before="240" w:after="160" w:line="360" w:lineRule="auto"/>
        <w:jc w:val="both"/>
      </w:pPr>
      <w:r w:rsidRPr="00BA2765">
        <w:t xml:space="preserve">The liquidity ratios such as current and quick ratio evaluate short-term stability (Ross et al., 2019). For General Electronics, it indicates a decreasing short-term financial situation. The current ratio is also decreased because it was 1.82 in 2020 and then it decreased to 1.53 in 2024, although it is still greater than 1, it indicates a declining trend of current assets, especially cash, inventories and receivables. The quick ratio went down to 1.03 in the same year compared to 1.15. </w:t>
      </w:r>
    </w:p>
    <w:p w14:paraId="32847FC8" w14:textId="77777777" w:rsidR="00BA2765" w:rsidRPr="00BA2765" w:rsidRDefault="00BA2765" w:rsidP="00BA2765">
      <w:pPr>
        <w:spacing w:before="240" w:after="160" w:line="360" w:lineRule="auto"/>
        <w:jc w:val="both"/>
      </w:pPr>
      <w:r w:rsidRPr="00BA2765">
        <w:t xml:space="preserve">The decrease in the amount of cash in the balance (£57,153m in 2020 to £26,783m in 2024) and an increase in the amount of short-term liabilities in the form of lines of credit and accrued expenses indicate constrained liquidity. The company is relying on short-term external financing, which increases its financial vulnerability. It is also surviving on bank overdrafts (£36.9m).  </w:t>
      </w:r>
    </w:p>
    <w:p w14:paraId="2026F9D8" w14:textId="77777777" w:rsidR="00BA2765" w:rsidRPr="00BA2765" w:rsidRDefault="00BA2765" w:rsidP="00BA2765">
      <w:pPr>
        <w:pStyle w:val="Heading2"/>
        <w:spacing w:before="240" w:line="360" w:lineRule="auto"/>
        <w:jc w:val="both"/>
      </w:pPr>
      <w:bookmarkStart w:id="9" w:name="_8fok91wtpflh" w:colFirst="0" w:colLast="0"/>
      <w:bookmarkStart w:id="10" w:name="_Toc216518029"/>
      <w:bookmarkEnd w:id="9"/>
      <w:r w:rsidRPr="00BA2765">
        <w:t>2.4. Efficiency Ratio Analysis</w:t>
      </w:r>
      <w:bookmarkEnd w:id="10"/>
    </w:p>
    <w:p w14:paraId="124B9350" w14:textId="77777777" w:rsidR="00BA2765" w:rsidRPr="00BA2765" w:rsidRDefault="00BA2765" w:rsidP="00BA2765">
      <w:pPr>
        <w:jc w:val="center"/>
        <w:rPr>
          <w:i/>
          <w:iCs/>
        </w:rPr>
      </w:pPr>
      <w:r w:rsidRPr="00BA2765">
        <w:rPr>
          <w:i/>
          <w:iCs/>
        </w:rPr>
        <w:t>Table-3: Efficiency Ratios</w:t>
      </w:r>
    </w:p>
    <w:p w14:paraId="785F0E3E" w14:textId="77777777" w:rsidR="00BA2765" w:rsidRPr="00BA2765" w:rsidRDefault="00BA2765" w:rsidP="00BA2765">
      <w:pPr>
        <w:jc w:val="center"/>
      </w:pPr>
      <w:r w:rsidRPr="00BA2765">
        <w:rPr>
          <w:noProof/>
        </w:rPr>
        <w:drawing>
          <wp:inline distT="0" distB="0" distL="0" distR="0" wp14:anchorId="26F51A63" wp14:editId="24021F1C">
            <wp:extent cx="5229225" cy="1301115"/>
            <wp:effectExtent l="0" t="0" r="9525" b="0"/>
            <wp:docPr id="1556499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499763" name=""/>
                    <pic:cNvPicPr/>
                  </pic:nvPicPr>
                  <pic:blipFill rotWithShape="1">
                    <a:blip r:embed="rId9"/>
                    <a:srcRect r="12020"/>
                    <a:stretch>
                      <a:fillRect/>
                    </a:stretch>
                  </pic:blipFill>
                  <pic:spPr bwMode="auto">
                    <a:xfrm>
                      <a:off x="0" y="0"/>
                      <a:ext cx="5229225" cy="1301115"/>
                    </a:xfrm>
                    <a:prstGeom prst="rect">
                      <a:avLst/>
                    </a:prstGeom>
                    <a:ln>
                      <a:noFill/>
                    </a:ln>
                    <a:extLst>
                      <a:ext uri="{53640926-AAD7-44D8-BBD7-CCE9431645EC}">
                        <a14:shadowObscured xmlns:a14="http://schemas.microsoft.com/office/drawing/2010/main"/>
                      </a:ext>
                    </a:extLst>
                  </pic:spPr>
                </pic:pic>
              </a:graphicData>
            </a:graphic>
          </wp:inline>
        </w:drawing>
      </w:r>
    </w:p>
    <w:p w14:paraId="71B26AD7" w14:textId="77777777" w:rsidR="00BA2765" w:rsidRPr="00BA2765" w:rsidRDefault="00BA2765" w:rsidP="00BA2765">
      <w:pPr>
        <w:spacing w:before="240" w:after="160" w:line="360" w:lineRule="auto"/>
        <w:jc w:val="both"/>
      </w:pPr>
      <w:r w:rsidRPr="00BA2765">
        <w:t>Indicators of efficiency are used to show declining operational performance and strain on working capital. The inventory turnover decreased to 3.35 in 2024 as compared to 3.36 in 2021 because the excess stock and declining sales significantly slowed inventory turnover in 2022 and 2023. Reduced turnover raises the holding costs and is an indication of poor demand projection.</w:t>
      </w:r>
    </w:p>
    <w:p w14:paraId="64B99FC8" w14:textId="77777777" w:rsidR="00BA2765" w:rsidRPr="00BA2765" w:rsidRDefault="00BA2765" w:rsidP="00BA2765">
      <w:pPr>
        <w:spacing w:before="240" w:after="160" w:line="360" w:lineRule="auto"/>
        <w:jc w:val="both"/>
      </w:pPr>
      <w:r w:rsidRPr="00BA2765">
        <w:t xml:space="preserve">The turnover of receivables decreased to 3.48 in 2024 as compared to 4.65 in 2021. This means less speed in collecting customer payments and a poor credit control, which has a negative impact </w:t>
      </w:r>
      <w:r w:rsidRPr="00BA2765">
        <w:lastRenderedPageBreak/>
        <w:t xml:space="preserve">on the operating cash flows. The turnover of payables also decreased, and went down to 4.35 in 2024, compared to 4.87 in 2021, which means that the company is extending payments to vendors. Asset turnover remained relatively steady compared to other turnovers. </w:t>
      </w:r>
    </w:p>
    <w:p w14:paraId="4033A83A" w14:textId="77777777" w:rsidR="00BA2765" w:rsidRPr="00BA2765" w:rsidRDefault="00BA2765" w:rsidP="00BA2765">
      <w:pPr>
        <w:spacing w:before="240" w:after="160" w:line="360" w:lineRule="auto"/>
        <w:jc w:val="both"/>
      </w:pPr>
      <w:r w:rsidRPr="00BA2765">
        <w:t>The net impact of reduction in the speed of collection of receivables, reduction of inventory turnover, and reduction of payables settlement is the indication of a long operating cycle. This adds to the working capital requirements and strains cash resources, compelling the company to depend more on external funding.</w:t>
      </w:r>
    </w:p>
    <w:p w14:paraId="18C99A7B" w14:textId="77777777" w:rsidR="00BA2765" w:rsidRPr="00BA2765" w:rsidRDefault="00BA2765" w:rsidP="00BA2765">
      <w:pPr>
        <w:pStyle w:val="Heading2"/>
        <w:spacing w:before="240" w:line="360" w:lineRule="auto"/>
        <w:jc w:val="both"/>
      </w:pPr>
      <w:bookmarkStart w:id="11" w:name="_48d5v7nrf0ao" w:colFirst="0" w:colLast="0"/>
      <w:bookmarkStart w:id="12" w:name="_Toc216518030"/>
      <w:bookmarkEnd w:id="11"/>
      <w:r w:rsidRPr="00BA2765">
        <w:t>2.5. Gearing Ratio Analysis</w:t>
      </w:r>
      <w:bookmarkEnd w:id="12"/>
    </w:p>
    <w:p w14:paraId="09381942" w14:textId="77777777" w:rsidR="00BA2765" w:rsidRPr="00BA2765" w:rsidRDefault="00BA2765" w:rsidP="00BA2765">
      <w:pPr>
        <w:jc w:val="center"/>
        <w:rPr>
          <w:i/>
          <w:iCs/>
        </w:rPr>
      </w:pPr>
      <w:r w:rsidRPr="00BA2765">
        <w:rPr>
          <w:i/>
          <w:iCs/>
        </w:rPr>
        <w:t>Table-4: Gearing Ratios</w:t>
      </w:r>
    </w:p>
    <w:p w14:paraId="482DB1C6" w14:textId="77777777" w:rsidR="00BA2765" w:rsidRPr="00BA2765" w:rsidRDefault="00BA2765" w:rsidP="00BA2765">
      <w:r w:rsidRPr="00BA2765">
        <w:rPr>
          <w:noProof/>
        </w:rPr>
        <w:drawing>
          <wp:inline distT="0" distB="0" distL="0" distR="0" wp14:anchorId="0070322B" wp14:editId="6B41498D">
            <wp:extent cx="5943600" cy="963295"/>
            <wp:effectExtent l="0" t="0" r="0" b="8255"/>
            <wp:docPr id="101332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2398" name=""/>
                    <pic:cNvPicPr/>
                  </pic:nvPicPr>
                  <pic:blipFill>
                    <a:blip r:embed="rId10"/>
                    <a:stretch>
                      <a:fillRect/>
                    </a:stretch>
                  </pic:blipFill>
                  <pic:spPr>
                    <a:xfrm>
                      <a:off x="0" y="0"/>
                      <a:ext cx="5943600" cy="963295"/>
                    </a:xfrm>
                    <a:prstGeom prst="rect">
                      <a:avLst/>
                    </a:prstGeom>
                  </pic:spPr>
                </pic:pic>
              </a:graphicData>
            </a:graphic>
          </wp:inline>
        </w:drawing>
      </w:r>
    </w:p>
    <w:p w14:paraId="1C09C6A2" w14:textId="77777777" w:rsidR="00BA2765" w:rsidRPr="00BA2765" w:rsidRDefault="00BA2765" w:rsidP="00BA2765">
      <w:pPr>
        <w:spacing w:before="240" w:after="160" w:line="360" w:lineRule="auto"/>
        <w:jc w:val="both"/>
      </w:pPr>
      <w:r w:rsidRPr="00BA2765">
        <w:t>The leverage position of the firm has deteriorated. There was an increase in debt and equity ratio in 2024, with the ratio increasing to 0.38 after reaching 0.39 in 2022, which indicates an increase in the level of debt compared to a decrease in equity. The ratio seems to be moderate; however, the equity levels are decreasing, and the company has a smaller cushion to absorb losses.</w:t>
      </w:r>
    </w:p>
    <w:p w14:paraId="3E15F631" w14:textId="77777777" w:rsidR="00BA2765" w:rsidRPr="00BA2765" w:rsidRDefault="00BA2765" w:rsidP="00BA2765">
      <w:pPr>
        <w:spacing w:before="240" w:after="160" w:line="360" w:lineRule="auto"/>
        <w:jc w:val="both"/>
      </w:pPr>
      <w:r w:rsidRPr="00BA2765">
        <w:t xml:space="preserve">The drastic decrease in the interest coverage from 26.21 in 2020 and a negative figure in 2024 indicates that operating profit is no longer adequate to cover interest liabilities. This indicates increasing default risk, diminished creditor confidence and unsustainable debt position under existing operating conditions. </w:t>
      </w:r>
    </w:p>
    <w:p w14:paraId="6B927843" w14:textId="77777777" w:rsidR="00BA2765" w:rsidRPr="00BA2765" w:rsidRDefault="00BA2765" w:rsidP="00BA2765">
      <w:pPr>
        <w:rPr>
          <w:b/>
          <w:bCs/>
        </w:rPr>
      </w:pPr>
      <w:bookmarkStart w:id="13" w:name="_ttpf5w9obwgf" w:colFirst="0" w:colLast="0"/>
      <w:bookmarkStart w:id="14" w:name="_Toc216518031"/>
      <w:bookmarkEnd w:id="13"/>
      <w:r w:rsidRPr="00BA2765">
        <w:br w:type="page"/>
      </w:r>
    </w:p>
    <w:p w14:paraId="6D1C8099" w14:textId="77777777" w:rsidR="00BA2765" w:rsidRPr="00BA2765" w:rsidRDefault="00BA2765" w:rsidP="00BA2765">
      <w:pPr>
        <w:pStyle w:val="Heading2"/>
        <w:spacing w:before="240" w:line="360" w:lineRule="auto"/>
        <w:jc w:val="both"/>
      </w:pPr>
      <w:r w:rsidRPr="00BA2765">
        <w:lastRenderedPageBreak/>
        <w:t>2.6. Investment Ratios Analysis</w:t>
      </w:r>
      <w:bookmarkEnd w:id="14"/>
    </w:p>
    <w:p w14:paraId="797E5AC0" w14:textId="77777777" w:rsidR="00BA2765" w:rsidRPr="00BA2765" w:rsidRDefault="00BA2765" w:rsidP="00BA2765">
      <w:pPr>
        <w:jc w:val="center"/>
        <w:rPr>
          <w:i/>
          <w:iCs/>
        </w:rPr>
      </w:pPr>
      <w:r w:rsidRPr="00BA2765">
        <w:rPr>
          <w:i/>
          <w:iCs/>
        </w:rPr>
        <w:t>Table-5: Investment Ratios</w:t>
      </w:r>
    </w:p>
    <w:p w14:paraId="7F6C6A9D" w14:textId="77777777" w:rsidR="00BA2765" w:rsidRPr="00BA2765" w:rsidRDefault="00BA2765" w:rsidP="00BA2765">
      <w:r w:rsidRPr="00BA2765">
        <w:rPr>
          <w:noProof/>
        </w:rPr>
        <w:drawing>
          <wp:inline distT="0" distB="0" distL="0" distR="0" wp14:anchorId="42AF8D53" wp14:editId="63CD8C21">
            <wp:extent cx="5943600" cy="951865"/>
            <wp:effectExtent l="0" t="0" r="0" b="635"/>
            <wp:docPr id="205739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39546" name=""/>
                    <pic:cNvPicPr/>
                  </pic:nvPicPr>
                  <pic:blipFill>
                    <a:blip r:embed="rId11"/>
                    <a:stretch>
                      <a:fillRect/>
                    </a:stretch>
                  </pic:blipFill>
                  <pic:spPr>
                    <a:xfrm>
                      <a:off x="0" y="0"/>
                      <a:ext cx="5943600" cy="951865"/>
                    </a:xfrm>
                    <a:prstGeom prst="rect">
                      <a:avLst/>
                    </a:prstGeom>
                  </pic:spPr>
                </pic:pic>
              </a:graphicData>
            </a:graphic>
          </wp:inline>
        </w:drawing>
      </w:r>
    </w:p>
    <w:p w14:paraId="7D42F467" w14:textId="77777777" w:rsidR="00BA2765" w:rsidRPr="00BA2765" w:rsidRDefault="00BA2765" w:rsidP="00BA2765">
      <w:pPr>
        <w:spacing w:before="240" w:after="160" w:line="360" w:lineRule="auto"/>
        <w:jc w:val="both"/>
      </w:pPr>
      <w:r w:rsidRPr="00BA2765">
        <w:t>The trend in earnings per share (EPS) of the company indicates extreme reduction of financial performance. EPS dropped significantly, compared to £2.78 in 2020, and to -£1.85 in 2024, and with enormous losses in 2023. This continued downward trend is an indication of diminishing shareholder value and low returns on investment.</w:t>
      </w:r>
    </w:p>
    <w:p w14:paraId="0CA71EDD" w14:textId="77777777" w:rsidR="00BA2765" w:rsidRPr="00BA2765" w:rsidRDefault="00BA2765" w:rsidP="00BA2765">
      <w:pPr>
        <w:spacing w:before="240" w:after="160" w:line="360" w:lineRule="auto"/>
        <w:jc w:val="both"/>
      </w:pPr>
      <w:r w:rsidRPr="00BA2765">
        <w:t>The negative EPS is the fact that the P/E ratio cannot be calculated during the years of loss-making, and this would mean that the trust of the investors is low, and the market value would tend to decrease. No dividends were paid in the period and this indicates that the company hoarded cash to use in case of need instead of dividing it to shareholders. In general, the investment ratios represent a firm with decreasing value and a low attractiveness to investors.</w:t>
      </w:r>
    </w:p>
    <w:p w14:paraId="0257B91D" w14:textId="77777777" w:rsidR="00BA2765" w:rsidRPr="00BA2765" w:rsidRDefault="00BA2765" w:rsidP="00BA2765">
      <w:pPr>
        <w:pStyle w:val="Heading2"/>
        <w:spacing w:before="240" w:line="360" w:lineRule="auto"/>
        <w:jc w:val="both"/>
      </w:pPr>
      <w:bookmarkStart w:id="15" w:name="_cdxfct8r8z6" w:colFirst="0" w:colLast="0"/>
      <w:bookmarkStart w:id="16" w:name="_Toc216518032"/>
      <w:bookmarkEnd w:id="15"/>
      <w:r w:rsidRPr="00BA2765">
        <w:t>2.7. Cash Flow Ratio Analysis</w:t>
      </w:r>
      <w:bookmarkEnd w:id="16"/>
    </w:p>
    <w:p w14:paraId="7A65432E" w14:textId="77777777" w:rsidR="00BA2765" w:rsidRPr="00BA2765" w:rsidRDefault="00BA2765" w:rsidP="00BA2765">
      <w:pPr>
        <w:jc w:val="center"/>
        <w:rPr>
          <w:i/>
          <w:iCs/>
        </w:rPr>
      </w:pPr>
      <w:r w:rsidRPr="00BA2765">
        <w:rPr>
          <w:i/>
          <w:iCs/>
        </w:rPr>
        <w:t>Table-6: Cash Flow Ratios</w:t>
      </w:r>
    </w:p>
    <w:p w14:paraId="19CF3E04" w14:textId="77777777" w:rsidR="00BA2765" w:rsidRPr="00BA2765" w:rsidRDefault="00BA2765" w:rsidP="00BA2765">
      <w:r w:rsidRPr="00BA2765">
        <w:rPr>
          <w:noProof/>
        </w:rPr>
        <w:drawing>
          <wp:inline distT="0" distB="0" distL="0" distR="0" wp14:anchorId="5F85CC2A" wp14:editId="2AF662F7">
            <wp:extent cx="5943600" cy="822960"/>
            <wp:effectExtent l="0" t="0" r="0" b="0"/>
            <wp:docPr id="201748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82952" name=""/>
                    <pic:cNvPicPr/>
                  </pic:nvPicPr>
                  <pic:blipFill>
                    <a:blip r:embed="rId12"/>
                    <a:stretch>
                      <a:fillRect/>
                    </a:stretch>
                  </pic:blipFill>
                  <pic:spPr>
                    <a:xfrm>
                      <a:off x="0" y="0"/>
                      <a:ext cx="5943600" cy="822960"/>
                    </a:xfrm>
                    <a:prstGeom prst="rect">
                      <a:avLst/>
                    </a:prstGeom>
                  </pic:spPr>
                </pic:pic>
              </a:graphicData>
            </a:graphic>
          </wp:inline>
        </w:drawing>
      </w:r>
    </w:p>
    <w:p w14:paraId="3E8AE510" w14:textId="77777777" w:rsidR="00BA2765" w:rsidRPr="00BA2765" w:rsidRDefault="00BA2765" w:rsidP="00BA2765">
      <w:pPr>
        <w:spacing w:before="240" w:line="360" w:lineRule="auto"/>
        <w:jc w:val="both"/>
      </w:pPr>
      <w:r w:rsidRPr="00BA2765">
        <w:t>The cash flow ratios show that there is a declining position in terms of liquidity during 2020-2024. Operating Cash Flow Ratio of the company declines to 0.09, which indicates that the company is operating with significantly lower levels of operating cash as compared to its short-term liabilities. Even though the situation has somewhat improved in 2021 and 2023, the general downward trend indicates that the company is likely to be subjected to greater pressure on its working capital and depend more on external financing.</w:t>
      </w:r>
    </w:p>
    <w:p w14:paraId="718266D5" w14:textId="77777777" w:rsidR="00BA2765" w:rsidRPr="00BA2765" w:rsidRDefault="00BA2765" w:rsidP="00BA2765">
      <w:pPr>
        <w:spacing w:before="240" w:line="360" w:lineRule="auto"/>
        <w:jc w:val="both"/>
      </w:pPr>
      <w:r w:rsidRPr="00BA2765">
        <w:t xml:space="preserve">The Cash Flow to Debt Ratio also decreases drastically to 0.32 in the year 2024, having been 2.14 in the year 2020, indicating less ability to cover the long-term debt using the internal cash flows. </w:t>
      </w:r>
      <w:r w:rsidRPr="00BA2765">
        <w:lastRenderedPageBreak/>
        <w:t>Although there was a minor recovery in recent years, the level of solvency is low. These trends point to increasing financial pressure and the necessity to take restructuring measures to make liquidity available again and emphasize debt management.</w:t>
      </w:r>
    </w:p>
    <w:p w14:paraId="32AFF948" w14:textId="77777777" w:rsidR="00BA2765" w:rsidRPr="00BA2765" w:rsidRDefault="00BA2765" w:rsidP="00BA2765">
      <w:pPr>
        <w:rPr>
          <w:b/>
          <w:bCs/>
        </w:rPr>
      </w:pPr>
      <w:bookmarkStart w:id="17" w:name="_um5ilaww5co9" w:colFirst="0" w:colLast="0"/>
      <w:bookmarkEnd w:id="17"/>
      <w:r w:rsidRPr="00BA2765">
        <w:br w:type="page"/>
      </w:r>
    </w:p>
    <w:p w14:paraId="23FB1B65" w14:textId="77777777" w:rsidR="00BA2765" w:rsidRPr="00BA2765" w:rsidRDefault="00BA2765" w:rsidP="00BA2765">
      <w:pPr>
        <w:pStyle w:val="Heading2"/>
        <w:spacing w:before="360" w:line="360" w:lineRule="auto"/>
        <w:jc w:val="both"/>
      </w:pPr>
      <w:bookmarkStart w:id="18" w:name="_Toc216518033"/>
      <w:r w:rsidRPr="00BA2765">
        <w:lastRenderedPageBreak/>
        <w:t>2.8. Corporate Failure Prediction (Z-Score)</w:t>
      </w:r>
      <w:bookmarkEnd w:id="18"/>
    </w:p>
    <w:p w14:paraId="7356BC2B" w14:textId="77777777" w:rsidR="00BA2765" w:rsidRPr="00BA2765" w:rsidRDefault="00BA2765" w:rsidP="00BA2765">
      <w:pPr>
        <w:jc w:val="center"/>
        <w:rPr>
          <w:i/>
          <w:iCs/>
        </w:rPr>
      </w:pPr>
      <w:r w:rsidRPr="00BA2765">
        <w:rPr>
          <w:i/>
          <w:iCs/>
        </w:rPr>
        <w:t>Table-7: Z-score calculation</w:t>
      </w:r>
    </w:p>
    <w:p w14:paraId="617DAC97" w14:textId="77777777" w:rsidR="00BA2765" w:rsidRPr="00BA2765" w:rsidRDefault="00BA2765" w:rsidP="00BA2765">
      <w:pPr>
        <w:jc w:val="center"/>
      </w:pPr>
      <w:r w:rsidRPr="00BA2765">
        <w:rPr>
          <w:noProof/>
        </w:rPr>
        <w:drawing>
          <wp:inline distT="0" distB="0" distL="0" distR="0" wp14:anchorId="493F734C" wp14:editId="22371516">
            <wp:extent cx="5855797" cy="2752725"/>
            <wp:effectExtent l="0" t="0" r="0" b="0"/>
            <wp:docPr id="903958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58423" name=""/>
                    <pic:cNvPicPr/>
                  </pic:nvPicPr>
                  <pic:blipFill>
                    <a:blip r:embed="rId13"/>
                    <a:stretch>
                      <a:fillRect/>
                    </a:stretch>
                  </pic:blipFill>
                  <pic:spPr>
                    <a:xfrm>
                      <a:off x="0" y="0"/>
                      <a:ext cx="5857293" cy="2753428"/>
                    </a:xfrm>
                    <a:prstGeom prst="rect">
                      <a:avLst/>
                    </a:prstGeom>
                  </pic:spPr>
                </pic:pic>
              </a:graphicData>
            </a:graphic>
          </wp:inline>
        </w:drawing>
      </w:r>
    </w:p>
    <w:p w14:paraId="2D52F725" w14:textId="77777777" w:rsidR="00BA2765" w:rsidRPr="00BA2765" w:rsidRDefault="00BA2765" w:rsidP="00BA2765">
      <w:pPr>
        <w:spacing w:line="360" w:lineRule="auto"/>
        <w:jc w:val="both"/>
        <w:rPr>
          <w:b/>
          <w:bCs/>
        </w:rPr>
      </w:pPr>
      <w:r w:rsidRPr="00BA2765">
        <w:rPr>
          <w:b/>
          <w:bCs/>
        </w:rPr>
        <w:t>Interpretation:</w:t>
      </w:r>
    </w:p>
    <w:p w14:paraId="62E01B8F" w14:textId="77777777" w:rsidR="00BA2765" w:rsidRPr="00BA2765" w:rsidRDefault="00BA2765" w:rsidP="00BA2765">
      <w:pPr>
        <w:spacing w:line="360" w:lineRule="auto"/>
        <w:jc w:val="both"/>
      </w:pPr>
      <w:r w:rsidRPr="00BA2765">
        <w:t xml:space="preserve">Z &gt; 2.99 = Safe zone (low bankruptcy risk) </w:t>
      </w:r>
    </w:p>
    <w:p w14:paraId="4A8E23FA" w14:textId="77777777" w:rsidR="00BA2765" w:rsidRPr="00BA2765" w:rsidRDefault="00BA2765" w:rsidP="00BA2765">
      <w:pPr>
        <w:spacing w:line="360" w:lineRule="auto"/>
        <w:jc w:val="both"/>
      </w:pPr>
      <w:r w:rsidRPr="00BA2765">
        <w:t xml:space="preserve">1.81 &lt; Z &lt; 2.99 = Grey zone (moderate risk) </w:t>
      </w:r>
    </w:p>
    <w:p w14:paraId="4A06FE4B" w14:textId="77777777" w:rsidR="00BA2765" w:rsidRPr="00BA2765" w:rsidRDefault="00BA2765" w:rsidP="00BA2765">
      <w:pPr>
        <w:spacing w:line="360" w:lineRule="auto"/>
        <w:jc w:val="both"/>
      </w:pPr>
      <w:r w:rsidRPr="00BA2765">
        <w:t>Z &lt; 1.81 = Distress zone (high bankruptcy risk)</w:t>
      </w:r>
    </w:p>
    <w:p w14:paraId="0956603C" w14:textId="77777777" w:rsidR="00BA2765" w:rsidRPr="00BA2765" w:rsidRDefault="00BA2765" w:rsidP="00BA2765">
      <w:pPr>
        <w:jc w:val="center"/>
      </w:pPr>
    </w:p>
    <w:p w14:paraId="51B6A13B" w14:textId="77777777" w:rsidR="00BA2765" w:rsidRPr="00BA2765" w:rsidRDefault="00BA2765" w:rsidP="00BA2765">
      <w:pPr>
        <w:jc w:val="center"/>
        <w:rPr>
          <w:i/>
          <w:iCs/>
        </w:rPr>
      </w:pPr>
      <w:r w:rsidRPr="00BA2765">
        <w:rPr>
          <w:i/>
          <w:iCs/>
        </w:rPr>
        <w:t>Table-8: Z-score Interpretation</w:t>
      </w:r>
    </w:p>
    <w:tbl>
      <w:tblPr>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05"/>
        <w:gridCol w:w="1080"/>
        <w:gridCol w:w="1700"/>
        <w:gridCol w:w="2910"/>
        <w:gridCol w:w="2850"/>
      </w:tblGrid>
      <w:tr w:rsidR="00BA2765" w:rsidRPr="00BA2765" w14:paraId="2651F8FC" w14:textId="77777777" w:rsidTr="00134B76">
        <w:trPr>
          <w:trHeight w:val="557"/>
        </w:trPr>
        <w:tc>
          <w:tcPr>
            <w:tcW w:w="805" w:type="dxa"/>
          </w:tcPr>
          <w:p w14:paraId="6654408E" w14:textId="77777777" w:rsidR="00BA2765" w:rsidRPr="00BA2765" w:rsidRDefault="00BA2765" w:rsidP="00134B76">
            <w:pPr>
              <w:spacing w:after="160"/>
              <w:rPr>
                <w:b/>
                <w:bCs/>
              </w:rPr>
            </w:pPr>
            <w:r w:rsidRPr="00BA2765">
              <w:rPr>
                <w:b/>
                <w:bCs/>
              </w:rPr>
              <w:t>Year</w:t>
            </w:r>
          </w:p>
        </w:tc>
        <w:tc>
          <w:tcPr>
            <w:tcW w:w="1080" w:type="dxa"/>
          </w:tcPr>
          <w:p w14:paraId="493D658C" w14:textId="77777777" w:rsidR="00BA2765" w:rsidRPr="00BA2765" w:rsidRDefault="00BA2765" w:rsidP="00134B76">
            <w:pPr>
              <w:spacing w:after="160"/>
              <w:rPr>
                <w:b/>
                <w:bCs/>
              </w:rPr>
            </w:pPr>
            <w:r w:rsidRPr="00BA2765">
              <w:rPr>
                <w:b/>
                <w:bCs/>
              </w:rPr>
              <w:t>Z-Score</w:t>
            </w:r>
          </w:p>
        </w:tc>
        <w:tc>
          <w:tcPr>
            <w:tcW w:w="1700" w:type="dxa"/>
          </w:tcPr>
          <w:p w14:paraId="536D7D28" w14:textId="77777777" w:rsidR="00BA2765" w:rsidRPr="00BA2765" w:rsidRDefault="00BA2765" w:rsidP="00134B76">
            <w:pPr>
              <w:spacing w:after="160"/>
              <w:rPr>
                <w:b/>
                <w:bCs/>
              </w:rPr>
            </w:pPr>
            <w:r w:rsidRPr="00BA2765">
              <w:rPr>
                <w:b/>
                <w:bCs/>
              </w:rPr>
              <w:t>Zone Classification</w:t>
            </w:r>
          </w:p>
        </w:tc>
        <w:tc>
          <w:tcPr>
            <w:tcW w:w="2910" w:type="dxa"/>
          </w:tcPr>
          <w:p w14:paraId="2A674472" w14:textId="77777777" w:rsidR="00BA2765" w:rsidRPr="00BA2765" w:rsidRDefault="00BA2765" w:rsidP="00134B76">
            <w:pPr>
              <w:spacing w:after="160"/>
              <w:rPr>
                <w:b/>
                <w:bCs/>
              </w:rPr>
            </w:pPr>
            <w:r w:rsidRPr="00BA2765">
              <w:rPr>
                <w:b/>
                <w:bCs/>
              </w:rPr>
              <w:t>Interpretation</w:t>
            </w:r>
          </w:p>
        </w:tc>
        <w:tc>
          <w:tcPr>
            <w:tcW w:w="2850" w:type="dxa"/>
          </w:tcPr>
          <w:p w14:paraId="56B985E1" w14:textId="77777777" w:rsidR="00BA2765" w:rsidRPr="00BA2765" w:rsidRDefault="00BA2765" w:rsidP="00134B76">
            <w:pPr>
              <w:spacing w:after="160"/>
              <w:rPr>
                <w:b/>
                <w:bCs/>
              </w:rPr>
            </w:pPr>
            <w:r w:rsidRPr="00BA2765">
              <w:rPr>
                <w:b/>
                <w:bCs/>
              </w:rPr>
              <w:t>Financial Implication</w:t>
            </w:r>
          </w:p>
        </w:tc>
      </w:tr>
      <w:tr w:rsidR="00BA2765" w:rsidRPr="00BA2765" w14:paraId="5A0AD6E1" w14:textId="77777777" w:rsidTr="00134B76">
        <w:tc>
          <w:tcPr>
            <w:tcW w:w="805" w:type="dxa"/>
          </w:tcPr>
          <w:p w14:paraId="31C992C5" w14:textId="77777777" w:rsidR="00BA2765" w:rsidRPr="00BA2765" w:rsidRDefault="00BA2765" w:rsidP="00134B76">
            <w:pPr>
              <w:spacing w:after="160"/>
              <w:jc w:val="both"/>
            </w:pPr>
            <w:r w:rsidRPr="00BA2765">
              <w:t>2020</w:t>
            </w:r>
          </w:p>
        </w:tc>
        <w:tc>
          <w:tcPr>
            <w:tcW w:w="1080" w:type="dxa"/>
          </w:tcPr>
          <w:p w14:paraId="1D106463" w14:textId="77777777" w:rsidR="00BA2765" w:rsidRPr="00BA2765" w:rsidRDefault="00BA2765" w:rsidP="00134B76">
            <w:pPr>
              <w:spacing w:after="160"/>
              <w:jc w:val="both"/>
            </w:pPr>
            <w:r w:rsidRPr="00BA2765">
              <w:t>2.844</w:t>
            </w:r>
          </w:p>
        </w:tc>
        <w:tc>
          <w:tcPr>
            <w:tcW w:w="1700" w:type="dxa"/>
          </w:tcPr>
          <w:p w14:paraId="18E7F51F" w14:textId="77777777" w:rsidR="00BA2765" w:rsidRPr="00BA2765" w:rsidRDefault="00BA2765" w:rsidP="00134B76">
            <w:pPr>
              <w:spacing w:after="160"/>
              <w:jc w:val="both"/>
            </w:pPr>
            <w:r w:rsidRPr="00BA2765">
              <w:t>Grey Zone</w:t>
            </w:r>
          </w:p>
        </w:tc>
        <w:tc>
          <w:tcPr>
            <w:tcW w:w="2910" w:type="dxa"/>
          </w:tcPr>
          <w:p w14:paraId="15B360DC" w14:textId="77777777" w:rsidR="00BA2765" w:rsidRPr="00BA2765" w:rsidRDefault="00BA2765" w:rsidP="00134B76">
            <w:pPr>
              <w:spacing w:after="160"/>
            </w:pPr>
            <w:r w:rsidRPr="00BA2765">
              <w:t>Borderline financial stability; risk beginning to emerge.</w:t>
            </w:r>
          </w:p>
        </w:tc>
        <w:tc>
          <w:tcPr>
            <w:tcW w:w="2850" w:type="dxa"/>
          </w:tcPr>
          <w:p w14:paraId="1D978D0C" w14:textId="77777777" w:rsidR="00BA2765" w:rsidRPr="00BA2765" w:rsidRDefault="00BA2765" w:rsidP="00134B76">
            <w:pPr>
              <w:spacing w:after="160"/>
            </w:pPr>
            <w:r w:rsidRPr="00BA2765">
              <w:t>Company not yet distressed but is showing early warning signals.</w:t>
            </w:r>
          </w:p>
        </w:tc>
      </w:tr>
      <w:tr w:rsidR="00BA2765" w:rsidRPr="00BA2765" w14:paraId="07BBF329" w14:textId="77777777" w:rsidTr="00134B76">
        <w:tc>
          <w:tcPr>
            <w:tcW w:w="805" w:type="dxa"/>
          </w:tcPr>
          <w:p w14:paraId="6CE2678D" w14:textId="77777777" w:rsidR="00BA2765" w:rsidRPr="00BA2765" w:rsidRDefault="00BA2765" w:rsidP="00134B76">
            <w:pPr>
              <w:spacing w:after="160"/>
              <w:jc w:val="both"/>
            </w:pPr>
            <w:r w:rsidRPr="00BA2765">
              <w:t>2021</w:t>
            </w:r>
          </w:p>
        </w:tc>
        <w:tc>
          <w:tcPr>
            <w:tcW w:w="1080" w:type="dxa"/>
          </w:tcPr>
          <w:p w14:paraId="44AB890E" w14:textId="77777777" w:rsidR="00BA2765" w:rsidRPr="00BA2765" w:rsidRDefault="00BA2765" w:rsidP="00134B76">
            <w:pPr>
              <w:spacing w:after="160"/>
              <w:jc w:val="both"/>
            </w:pPr>
            <w:r w:rsidRPr="00BA2765">
              <w:t>2.530</w:t>
            </w:r>
          </w:p>
        </w:tc>
        <w:tc>
          <w:tcPr>
            <w:tcW w:w="1700" w:type="dxa"/>
          </w:tcPr>
          <w:p w14:paraId="03B5A918" w14:textId="77777777" w:rsidR="00BA2765" w:rsidRPr="00BA2765" w:rsidRDefault="00BA2765" w:rsidP="00134B76">
            <w:pPr>
              <w:spacing w:after="160"/>
              <w:jc w:val="both"/>
            </w:pPr>
            <w:r w:rsidRPr="00BA2765">
              <w:t>Grey Zone</w:t>
            </w:r>
          </w:p>
        </w:tc>
        <w:tc>
          <w:tcPr>
            <w:tcW w:w="2910" w:type="dxa"/>
          </w:tcPr>
          <w:p w14:paraId="6B24AA60" w14:textId="77777777" w:rsidR="00BA2765" w:rsidRPr="00BA2765" w:rsidRDefault="00BA2765" w:rsidP="00134B76">
            <w:pPr>
              <w:spacing w:after="160"/>
            </w:pPr>
            <w:r w:rsidRPr="00BA2765">
              <w:t>Deterioration continues; moving closer to distress threshold.</w:t>
            </w:r>
          </w:p>
        </w:tc>
        <w:tc>
          <w:tcPr>
            <w:tcW w:w="2850" w:type="dxa"/>
          </w:tcPr>
          <w:p w14:paraId="78A9089A" w14:textId="77777777" w:rsidR="00BA2765" w:rsidRPr="00BA2765" w:rsidRDefault="00BA2765" w:rsidP="00134B76">
            <w:pPr>
              <w:spacing w:after="160"/>
            </w:pPr>
            <w:r w:rsidRPr="00BA2765">
              <w:t>Performance weakening; solvency risk increasing.</w:t>
            </w:r>
          </w:p>
        </w:tc>
      </w:tr>
      <w:tr w:rsidR="00BA2765" w:rsidRPr="00BA2765" w14:paraId="0877B855" w14:textId="77777777" w:rsidTr="00134B76">
        <w:tc>
          <w:tcPr>
            <w:tcW w:w="805" w:type="dxa"/>
          </w:tcPr>
          <w:p w14:paraId="506C1F12" w14:textId="77777777" w:rsidR="00BA2765" w:rsidRPr="00BA2765" w:rsidRDefault="00BA2765" w:rsidP="00134B76">
            <w:pPr>
              <w:spacing w:after="160"/>
              <w:jc w:val="both"/>
            </w:pPr>
            <w:r w:rsidRPr="00BA2765">
              <w:t>2022</w:t>
            </w:r>
          </w:p>
        </w:tc>
        <w:tc>
          <w:tcPr>
            <w:tcW w:w="1080" w:type="dxa"/>
          </w:tcPr>
          <w:p w14:paraId="5EF0D1B3" w14:textId="77777777" w:rsidR="00BA2765" w:rsidRPr="00BA2765" w:rsidRDefault="00BA2765" w:rsidP="00134B76">
            <w:pPr>
              <w:spacing w:after="160"/>
              <w:jc w:val="both"/>
            </w:pPr>
            <w:r w:rsidRPr="00BA2765">
              <w:t>2.371</w:t>
            </w:r>
          </w:p>
        </w:tc>
        <w:tc>
          <w:tcPr>
            <w:tcW w:w="1700" w:type="dxa"/>
          </w:tcPr>
          <w:p w14:paraId="57A9A9E6" w14:textId="77777777" w:rsidR="00BA2765" w:rsidRPr="00BA2765" w:rsidRDefault="00BA2765" w:rsidP="00134B76">
            <w:pPr>
              <w:spacing w:after="160"/>
              <w:jc w:val="both"/>
            </w:pPr>
            <w:r w:rsidRPr="00BA2765">
              <w:t>Grey Zone</w:t>
            </w:r>
          </w:p>
        </w:tc>
        <w:tc>
          <w:tcPr>
            <w:tcW w:w="2910" w:type="dxa"/>
          </w:tcPr>
          <w:p w14:paraId="22E7CFA6" w14:textId="77777777" w:rsidR="00BA2765" w:rsidRPr="00BA2765" w:rsidRDefault="00BA2765" w:rsidP="00134B76">
            <w:pPr>
              <w:spacing w:after="160"/>
            </w:pPr>
            <w:r w:rsidRPr="00BA2765">
              <w:t>Further decline in solvency; liquidity and profitability under pressure.</w:t>
            </w:r>
          </w:p>
        </w:tc>
        <w:tc>
          <w:tcPr>
            <w:tcW w:w="2850" w:type="dxa"/>
          </w:tcPr>
          <w:p w14:paraId="3215C6C8" w14:textId="77777777" w:rsidR="00BA2765" w:rsidRPr="00BA2765" w:rsidRDefault="00BA2765" w:rsidP="00134B76">
            <w:pPr>
              <w:spacing w:after="160"/>
            </w:pPr>
            <w:r w:rsidRPr="00BA2765">
              <w:t>High probability of entering distress without corrective measures.</w:t>
            </w:r>
          </w:p>
        </w:tc>
      </w:tr>
      <w:tr w:rsidR="00BA2765" w:rsidRPr="00BA2765" w14:paraId="1A1133D1" w14:textId="77777777" w:rsidTr="00134B76">
        <w:tc>
          <w:tcPr>
            <w:tcW w:w="805" w:type="dxa"/>
          </w:tcPr>
          <w:p w14:paraId="73E747E7" w14:textId="77777777" w:rsidR="00BA2765" w:rsidRPr="00BA2765" w:rsidRDefault="00BA2765" w:rsidP="00134B76">
            <w:pPr>
              <w:spacing w:after="160"/>
              <w:jc w:val="both"/>
            </w:pPr>
            <w:r w:rsidRPr="00BA2765">
              <w:t>2023</w:t>
            </w:r>
          </w:p>
        </w:tc>
        <w:tc>
          <w:tcPr>
            <w:tcW w:w="1080" w:type="dxa"/>
          </w:tcPr>
          <w:p w14:paraId="0ABE5D83" w14:textId="77777777" w:rsidR="00BA2765" w:rsidRPr="00BA2765" w:rsidRDefault="00BA2765" w:rsidP="00134B76">
            <w:pPr>
              <w:spacing w:after="160"/>
              <w:jc w:val="both"/>
            </w:pPr>
            <w:r w:rsidRPr="00BA2765">
              <w:t>1.609</w:t>
            </w:r>
          </w:p>
        </w:tc>
        <w:tc>
          <w:tcPr>
            <w:tcW w:w="1700" w:type="dxa"/>
          </w:tcPr>
          <w:p w14:paraId="44160FFB" w14:textId="77777777" w:rsidR="00BA2765" w:rsidRPr="00BA2765" w:rsidRDefault="00BA2765" w:rsidP="00134B76">
            <w:pPr>
              <w:spacing w:after="160"/>
              <w:jc w:val="both"/>
            </w:pPr>
            <w:r w:rsidRPr="00BA2765">
              <w:t>Distress Zone</w:t>
            </w:r>
          </w:p>
        </w:tc>
        <w:tc>
          <w:tcPr>
            <w:tcW w:w="2910" w:type="dxa"/>
          </w:tcPr>
          <w:p w14:paraId="1D6FDC2A" w14:textId="77777777" w:rsidR="00BA2765" w:rsidRPr="00BA2765" w:rsidRDefault="00BA2765" w:rsidP="00134B76">
            <w:pPr>
              <w:spacing w:after="160"/>
            </w:pPr>
            <w:r w:rsidRPr="00BA2765">
              <w:t>Critical financial distress; below the 1.81 threshold.</w:t>
            </w:r>
          </w:p>
        </w:tc>
        <w:tc>
          <w:tcPr>
            <w:tcW w:w="2850" w:type="dxa"/>
          </w:tcPr>
          <w:p w14:paraId="675DF1C6" w14:textId="77777777" w:rsidR="00BA2765" w:rsidRPr="00BA2765" w:rsidRDefault="00BA2765" w:rsidP="00134B76">
            <w:pPr>
              <w:spacing w:after="160"/>
            </w:pPr>
            <w:r w:rsidRPr="00BA2765">
              <w:t>Very high likelihood of default or failure without restructuring.</w:t>
            </w:r>
          </w:p>
        </w:tc>
      </w:tr>
      <w:tr w:rsidR="00BA2765" w:rsidRPr="00BA2765" w14:paraId="59D5F199" w14:textId="77777777" w:rsidTr="00134B76">
        <w:tc>
          <w:tcPr>
            <w:tcW w:w="805" w:type="dxa"/>
          </w:tcPr>
          <w:p w14:paraId="20FD8835" w14:textId="77777777" w:rsidR="00BA2765" w:rsidRPr="00BA2765" w:rsidRDefault="00BA2765" w:rsidP="00134B76">
            <w:pPr>
              <w:spacing w:after="160"/>
              <w:jc w:val="both"/>
            </w:pPr>
            <w:r w:rsidRPr="00BA2765">
              <w:lastRenderedPageBreak/>
              <w:t>2024</w:t>
            </w:r>
          </w:p>
        </w:tc>
        <w:tc>
          <w:tcPr>
            <w:tcW w:w="1080" w:type="dxa"/>
          </w:tcPr>
          <w:p w14:paraId="395F2455" w14:textId="77777777" w:rsidR="00BA2765" w:rsidRPr="00BA2765" w:rsidRDefault="00BA2765" w:rsidP="00134B76">
            <w:pPr>
              <w:spacing w:after="160"/>
              <w:jc w:val="both"/>
            </w:pPr>
            <w:r w:rsidRPr="00BA2765">
              <w:t>2.182</w:t>
            </w:r>
          </w:p>
        </w:tc>
        <w:tc>
          <w:tcPr>
            <w:tcW w:w="1700" w:type="dxa"/>
          </w:tcPr>
          <w:p w14:paraId="1201AADF" w14:textId="77777777" w:rsidR="00BA2765" w:rsidRPr="00BA2765" w:rsidRDefault="00BA2765" w:rsidP="00134B76">
            <w:pPr>
              <w:spacing w:after="160"/>
              <w:jc w:val="both"/>
            </w:pPr>
            <w:r w:rsidRPr="00BA2765">
              <w:t xml:space="preserve">Grey Zone </w:t>
            </w:r>
          </w:p>
        </w:tc>
        <w:tc>
          <w:tcPr>
            <w:tcW w:w="2910" w:type="dxa"/>
          </w:tcPr>
          <w:p w14:paraId="6504E641" w14:textId="77777777" w:rsidR="00BA2765" w:rsidRPr="00BA2765" w:rsidRDefault="00BA2765" w:rsidP="00134B76">
            <w:pPr>
              <w:spacing w:after="160"/>
            </w:pPr>
            <w:r w:rsidRPr="00BA2765">
              <w:t>Partial recovery from 2023 but still below safe zone (2.99).</w:t>
            </w:r>
          </w:p>
        </w:tc>
        <w:tc>
          <w:tcPr>
            <w:tcW w:w="2850" w:type="dxa"/>
          </w:tcPr>
          <w:p w14:paraId="08024321" w14:textId="77777777" w:rsidR="00BA2765" w:rsidRPr="00BA2765" w:rsidRDefault="00BA2765" w:rsidP="00134B76">
            <w:pPr>
              <w:spacing w:after="160"/>
            </w:pPr>
            <w:r w:rsidRPr="00BA2765">
              <w:t>The company remains financially vulnerable; failure risk remains significant.</w:t>
            </w:r>
          </w:p>
        </w:tc>
      </w:tr>
    </w:tbl>
    <w:p w14:paraId="7FA265A7" w14:textId="77777777" w:rsidR="00BA2765" w:rsidRPr="00BA2765" w:rsidRDefault="00BA2765" w:rsidP="00BA2765">
      <w:pPr>
        <w:spacing w:before="240" w:after="160" w:line="360" w:lineRule="auto"/>
        <w:jc w:val="both"/>
        <w:rPr>
          <w:lang w:val="en-US"/>
        </w:rPr>
      </w:pPr>
      <w:r w:rsidRPr="00BA2765">
        <w:t xml:space="preserve">The Z-score calculation is attached to Appendix-II. Any score lower than 2.99 is in the grey zone, and any lower than 1.81 is in the distress zone </w:t>
      </w:r>
      <w:r w:rsidRPr="00BA2765">
        <w:rPr>
          <w:lang w:val="en-US"/>
        </w:rPr>
        <w:t>(Altman, 1968)</w:t>
      </w:r>
      <w:r w:rsidRPr="00BA2765">
        <w:t>. In 2023, the company was in the distress zone with a Z-score of 1.609, which is severe insolvency risk. Though it increased to 2.182 in 2024, it still is below the safe threshold and in the grey zone. This indicates persistent financial fragility and high chances of failure unless it is restructured immediately.</w:t>
      </w:r>
    </w:p>
    <w:p w14:paraId="1422A72A" w14:textId="77777777" w:rsidR="00BA2765" w:rsidRPr="00BA2765" w:rsidRDefault="00BA2765" w:rsidP="00BA2765">
      <w:pPr>
        <w:spacing w:before="360" w:after="80" w:line="360" w:lineRule="auto"/>
        <w:jc w:val="both"/>
        <w:rPr>
          <w:b/>
          <w:bCs/>
        </w:rPr>
      </w:pPr>
      <w:r w:rsidRPr="00BA2765">
        <w:rPr>
          <w:b/>
          <w:bCs/>
        </w:rPr>
        <w:t>Summary of Findings</w:t>
      </w:r>
    </w:p>
    <w:p w14:paraId="1073B487" w14:textId="77777777" w:rsidR="00BA2765" w:rsidRPr="00BA2765" w:rsidRDefault="00BA2765" w:rsidP="00BA2765">
      <w:pPr>
        <w:spacing w:after="160" w:line="360" w:lineRule="auto"/>
        <w:jc w:val="both"/>
      </w:pPr>
      <w:r w:rsidRPr="00BA2765">
        <w:t>The financial analysis indicates that the company is experiencing profound structural flaws. The profitability is already in the gutter, operating and net losses in 2023-2024 and falling ROA and ROE indicate significant operational inefficiency. Liquidity has deteriorated with current and quick ratios decreasing, and cash reserves declining to raise short-term pressure. Efficiency in working capital has fallen as collections have slowed, inventory turnover has decreased and payments to suppliers are delayed stretching cash flow. The solvency risk is increasing due to declining equity and the weakened interest coverage, with the Altman Z-score suggesting a continued distress. It is in urgent need of a comprehensive turnaround strategy.</w:t>
      </w:r>
    </w:p>
    <w:p w14:paraId="41E15059" w14:textId="77777777" w:rsidR="00BA2765" w:rsidRPr="00BA2765" w:rsidRDefault="00BA2765" w:rsidP="00BA2765">
      <w:pPr>
        <w:rPr>
          <w:b/>
          <w:bCs/>
          <w:sz w:val="28"/>
          <w:szCs w:val="28"/>
        </w:rPr>
      </w:pPr>
      <w:bookmarkStart w:id="19" w:name="_b3rf0ebbthur" w:colFirst="0" w:colLast="0"/>
      <w:bookmarkStart w:id="20" w:name="_Toc216518034"/>
      <w:bookmarkEnd w:id="19"/>
      <w:r w:rsidRPr="00BA2765">
        <w:br w:type="page"/>
      </w:r>
    </w:p>
    <w:p w14:paraId="7BD42DBC" w14:textId="77777777" w:rsidR="00BA2765" w:rsidRPr="00BA2765" w:rsidRDefault="00BA2765" w:rsidP="00BA2765">
      <w:pPr>
        <w:pStyle w:val="Heading1"/>
        <w:spacing w:before="240" w:line="360" w:lineRule="auto"/>
        <w:jc w:val="both"/>
      </w:pPr>
      <w:r w:rsidRPr="00BA2765">
        <w:t>3. Working Capital Management Analysis</w:t>
      </w:r>
      <w:bookmarkEnd w:id="20"/>
    </w:p>
    <w:p w14:paraId="15EB8979" w14:textId="77777777" w:rsidR="00BA2765" w:rsidRPr="00BA2765" w:rsidRDefault="00BA2765" w:rsidP="00BA2765">
      <w:pPr>
        <w:pStyle w:val="Heading2"/>
        <w:spacing w:before="240" w:line="360" w:lineRule="auto"/>
        <w:jc w:val="both"/>
      </w:pPr>
      <w:bookmarkStart w:id="21" w:name="_i60wuxwc4msp" w:colFirst="0" w:colLast="0"/>
      <w:bookmarkStart w:id="22" w:name="_Toc216518035"/>
      <w:bookmarkEnd w:id="21"/>
      <w:r w:rsidRPr="00BA2765">
        <w:t>3.1. Cash Operating Cycle Assessment</w:t>
      </w:r>
      <w:bookmarkEnd w:id="22"/>
    </w:p>
    <w:p w14:paraId="0805AA52" w14:textId="77777777" w:rsidR="00BA2765" w:rsidRPr="00BA2765" w:rsidRDefault="00BA2765" w:rsidP="00BA2765">
      <w:pPr>
        <w:jc w:val="center"/>
        <w:rPr>
          <w:i/>
          <w:iCs/>
        </w:rPr>
      </w:pPr>
      <w:r w:rsidRPr="00BA2765">
        <w:rPr>
          <w:i/>
          <w:iCs/>
        </w:rPr>
        <w:t>Table-9: Cash Operating Cycle calculation</w:t>
      </w:r>
    </w:p>
    <w:p w14:paraId="5C63CA94" w14:textId="77777777" w:rsidR="00BA2765" w:rsidRPr="00BA2765" w:rsidRDefault="00BA2765" w:rsidP="00BA2765">
      <w:r w:rsidRPr="00BA2765">
        <w:rPr>
          <w:noProof/>
        </w:rPr>
        <w:drawing>
          <wp:inline distT="0" distB="0" distL="0" distR="0" wp14:anchorId="3630A4BD" wp14:editId="032CC5E6">
            <wp:extent cx="5943600" cy="2371725"/>
            <wp:effectExtent l="0" t="0" r="0" b="9525"/>
            <wp:docPr id="8619515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5151" name="Picture 1" descr="A screenshot of a document&#10;&#10;AI-generated content may be incorrect."/>
                    <pic:cNvPicPr/>
                  </pic:nvPicPr>
                  <pic:blipFill>
                    <a:blip r:embed="rId14"/>
                    <a:stretch>
                      <a:fillRect/>
                    </a:stretch>
                  </pic:blipFill>
                  <pic:spPr>
                    <a:xfrm>
                      <a:off x="0" y="0"/>
                      <a:ext cx="5943600" cy="2371725"/>
                    </a:xfrm>
                    <a:prstGeom prst="rect">
                      <a:avLst/>
                    </a:prstGeom>
                  </pic:spPr>
                </pic:pic>
              </a:graphicData>
            </a:graphic>
          </wp:inline>
        </w:drawing>
      </w:r>
    </w:p>
    <w:p w14:paraId="7B5F71D8" w14:textId="77777777" w:rsidR="00BA2765" w:rsidRPr="00BA2765" w:rsidRDefault="00BA2765" w:rsidP="00BA2765">
      <w:pPr>
        <w:spacing w:before="240" w:after="240" w:line="360" w:lineRule="auto"/>
        <w:jc w:val="both"/>
        <w:rPr>
          <w:lang w:val="en-US"/>
        </w:rPr>
      </w:pPr>
      <w:r w:rsidRPr="00BA2765">
        <w:t xml:space="preserve">Cash operating cycle (COC) is used to indicate how many days it will take a company to use investments in inventory and other resources to translate them into cash sales (Ross et al., 2019). An extended cycle represents cash held up in operation and this influences liquidity </w:t>
      </w:r>
      <w:r w:rsidRPr="00BA2765">
        <w:rPr>
          <w:lang w:val="en-US"/>
        </w:rPr>
        <w:t>(Archavli et al., 2012)</w:t>
      </w:r>
      <w:r w:rsidRPr="00BA2765">
        <w:t xml:space="preserve">. The COC calculation of General Electronics is attached to Appendix-III. </w:t>
      </w:r>
    </w:p>
    <w:p w14:paraId="179F62C2" w14:textId="77777777" w:rsidR="00BA2765" w:rsidRPr="00BA2765" w:rsidRDefault="00BA2765" w:rsidP="00BA2765">
      <w:pPr>
        <w:spacing w:after="240" w:line="360" w:lineRule="auto"/>
        <w:jc w:val="both"/>
      </w:pPr>
      <w:r w:rsidRPr="00BA2765">
        <w:t>The growth of COC from 112.09 days in 2021 to 129.87 days in 2024 indicates 18 days of capital tied up in operations. This extension locks in almost £19 million of cash in inventories and receivables, based on average daily sales of about £1.1 million. This indicates that it has been taking longer to turn cash in its operations cycle, which is pressuring the working capital and liquidity in the short-term.</w:t>
      </w:r>
    </w:p>
    <w:p w14:paraId="589C668B" w14:textId="77777777" w:rsidR="00BA2765" w:rsidRPr="00BA2765" w:rsidRDefault="00BA2765" w:rsidP="00BA2765">
      <w:pPr>
        <w:spacing w:before="240" w:line="360" w:lineRule="auto"/>
        <w:jc w:val="both"/>
      </w:pPr>
      <w:r w:rsidRPr="00BA2765">
        <w:t>The disintegration of the COC demonstrates that the level of inventory days has been high during the period, as it increased to 129.12 days in 2023, and then decreased slightly to 108.91 days in 2024. This means that there could be inefficiency in the management of the stock or reduced turnover in sales. Furthermore, the number of receivables days rose to high levels, as in 2020, it was 78.46 days, and in 2024, it reached its highest mark of 104.81 days, which signifies the delay in receiving the payment. Conversely, payables days were not very volatile as they stood at an average of about 75-83 days, implying that the company has not been making a significant change in the payment terms to the suppliers.</w:t>
      </w:r>
    </w:p>
    <w:p w14:paraId="0316D9F0" w14:textId="77777777" w:rsidR="00BA2765" w:rsidRPr="00BA2765" w:rsidRDefault="00BA2765" w:rsidP="00BA2765">
      <w:pPr>
        <w:pStyle w:val="Heading2"/>
        <w:spacing w:before="240" w:line="360" w:lineRule="auto"/>
        <w:jc w:val="both"/>
      </w:pPr>
      <w:bookmarkStart w:id="23" w:name="_jxufttiuq4lf" w:colFirst="0" w:colLast="0"/>
      <w:bookmarkStart w:id="24" w:name="_Toc216518036"/>
      <w:bookmarkEnd w:id="23"/>
      <w:r w:rsidRPr="00BA2765">
        <w:t>3.2. Strategies to Improve Liquidity</w:t>
      </w:r>
      <w:bookmarkEnd w:id="24"/>
    </w:p>
    <w:p w14:paraId="1EB36DD5" w14:textId="77777777" w:rsidR="00BA2765" w:rsidRPr="00BA2765" w:rsidRDefault="00BA2765" w:rsidP="00BA2765">
      <w:pPr>
        <w:spacing w:before="240" w:line="360" w:lineRule="auto"/>
        <w:jc w:val="both"/>
        <w:rPr>
          <w:lang w:val="en-US"/>
        </w:rPr>
      </w:pPr>
      <w:r w:rsidRPr="00BA2765">
        <w:t xml:space="preserve">The analysis of the cash operating cycle of General Electronics evidences that the company is experiencing long-term liquidity strain, which is majorly influenced by long-inventory turnovers and sluggish accounts receivable. As a solution to these challenges, the company needs to adopt specific working capital reforms which include inventory management, receivables management, payables management and cash management (Hillier et al., 2023; </w:t>
      </w:r>
      <w:r w:rsidRPr="00BA2765">
        <w:rPr>
          <w:lang w:val="en-US"/>
        </w:rPr>
        <w:t>Shleifer and Vishny, 1997</w:t>
      </w:r>
      <w:r w:rsidRPr="00BA2765">
        <w:t>).</w:t>
      </w:r>
    </w:p>
    <w:p w14:paraId="64894D36" w14:textId="77777777" w:rsidR="00BA2765" w:rsidRPr="00BA2765" w:rsidRDefault="00BA2765" w:rsidP="00BA2765">
      <w:pPr>
        <w:spacing w:before="240" w:line="360" w:lineRule="auto"/>
        <w:jc w:val="both"/>
      </w:pPr>
      <w:r w:rsidRPr="00BA2765">
        <w:rPr>
          <w:b/>
          <w:bCs/>
        </w:rPr>
        <w:t xml:space="preserve">Inventory Management: </w:t>
      </w:r>
      <w:r w:rsidRPr="00BA2765">
        <w:t>The reconstruction in inventory management is necessary because the inventory days are constantly high throughout the period. General Electronics needs to implement better methods of demand forecast and sales planning using data to minimize overstocking and obsolete inventory. An immediate and feasible liquidity intervention is receivables factoring. The sale of outstanding invoices to a third party at a discount will enable General Electronics to turn the credit sales into almost instant cash and will resolve the high receivables turnover ratio of over 100 days. Such a solution enables the company to quickly inject cash into the company held in trade debtors, without causing customer credit conditions to tighten or break supply chains.</w:t>
      </w:r>
    </w:p>
    <w:p w14:paraId="0263F061" w14:textId="77777777" w:rsidR="00BA2765" w:rsidRPr="00BA2765" w:rsidRDefault="00BA2765" w:rsidP="00BA2765">
      <w:pPr>
        <w:spacing w:before="240" w:line="360" w:lineRule="auto"/>
        <w:jc w:val="both"/>
        <w:rPr>
          <w:lang w:val="en-US"/>
        </w:rPr>
      </w:pPr>
      <w:r w:rsidRPr="00BA2765">
        <w:rPr>
          <w:b/>
          <w:bCs/>
        </w:rPr>
        <w:t xml:space="preserve">Receivables Management: </w:t>
      </w:r>
      <w:r w:rsidRPr="00BA2765">
        <w:t xml:space="preserve">There should be increased receivables management, as the receivables days have been on the rise. The company also needs to review its credit policy by increasing credit terms on risky clients and performing stricter credit worthiness checks. It would be possible to introduce early payment incentives, like discounts to pay on time and stimulate quick cash flows. In addition, invoicing automation and introducing measures on non-payment follow-up would shorten the time to collect and enhance predictability of cash flows </w:t>
      </w:r>
      <w:r w:rsidRPr="00BA2765">
        <w:rPr>
          <w:lang w:val="en-US"/>
        </w:rPr>
        <w:t>(Emery et al., 2011)</w:t>
      </w:r>
      <w:r w:rsidRPr="00BA2765">
        <w:t>.</w:t>
      </w:r>
    </w:p>
    <w:p w14:paraId="4F0971F5" w14:textId="77777777" w:rsidR="00BA2765" w:rsidRPr="00BA2765" w:rsidRDefault="00BA2765" w:rsidP="00BA2765">
      <w:pPr>
        <w:spacing w:before="240" w:line="360" w:lineRule="auto"/>
        <w:jc w:val="both"/>
      </w:pPr>
      <w:r w:rsidRPr="00BA2765">
        <w:rPr>
          <w:b/>
          <w:bCs/>
        </w:rPr>
        <w:t>Payables Management:</w:t>
      </w:r>
      <w:r w:rsidRPr="00BA2765">
        <w:t xml:space="preserve"> Payables management can be streamlined to facilitate liquidity without harming relationships with suppliers. Although there have been relatively steady payables days, negotiations of extended payment terms can be made with major suppliers by General Electronics, especially in cases where long-term relationship is involved. This would enable the company to keep its cash for longer and keep on its operations. Yet, caution is to be considered to prevent late payments which might potentially damage credit status or supply reliability.</w:t>
      </w:r>
    </w:p>
    <w:p w14:paraId="3865B11A" w14:textId="77777777" w:rsidR="00BA2765" w:rsidRPr="00BA2765" w:rsidRDefault="00BA2765" w:rsidP="00BA2765">
      <w:pPr>
        <w:spacing w:before="240" w:after="240" w:line="360" w:lineRule="auto"/>
        <w:jc w:val="both"/>
      </w:pPr>
      <w:r w:rsidRPr="00BA2765">
        <w:rPr>
          <w:b/>
          <w:bCs/>
        </w:rPr>
        <w:t>Cash Management and Forecasting:</w:t>
      </w:r>
      <w:r w:rsidRPr="00BA2765">
        <w:t xml:space="preserve"> Better cash management and projections are essential. Planning detailed short-term cash flow projections would allow the management to predict the funding shortages and preventive actions. The use of cash buffers and cash centralisation in international business will further improve the level of liquidity control and minimise unnecessary short-term borrowing.</w:t>
      </w:r>
    </w:p>
    <w:p w14:paraId="30480EE8" w14:textId="77777777" w:rsidR="00BA2765" w:rsidRPr="00BA2765" w:rsidRDefault="00BA2765" w:rsidP="00BA2765">
      <w:pPr>
        <w:pStyle w:val="Heading2"/>
        <w:spacing w:before="240" w:line="360" w:lineRule="auto"/>
      </w:pPr>
      <w:bookmarkStart w:id="25" w:name="_30877hxiplck" w:colFirst="0" w:colLast="0"/>
      <w:bookmarkStart w:id="26" w:name="_Toc216518037"/>
      <w:bookmarkEnd w:id="25"/>
      <w:r w:rsidRPr="00BA2765">
        <w:t>3.3. Short-term vs Long-term Financing Options</w:t>
      </w:r>
      <w:bookmarkEnd w:id="26"/>
    </w:p>
    <w:p w14:paraId="5770B9AA" w14:textId="77777777" w:rsidR="00BA2765" w:rsidRPr="00BA2765" w:rsidRDefault="00BA2765" w:rsidP="00BA2765">
      <w:pPr>
        <w:spacing w:before="240" w:line="360" w:lineRule="auto"/>
        <w:jc w:val="center"/>
        <w:rPr>
          <w:i/>
          <w:iCs/>
        </w:rPr>
      </w:pPr>
      <w:r w:rsidRPr="00BA2765">
        <w:rPr>
          <w:i/>
          <w:iCs/>
        </w:rPr>
        <w:t>Table-10: Short-term vs Long-term Options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3465"/>
        <w:gridCol w:w="3570"/>
      </w:tblGrid>
      <w:tr w:rsidR="00BA2765" w:rsidRPr="00BA2765" w14:paraId="41AE1650" w14:textId="77777777" w:rsidTr="00134B76">
        <w:tc>
          <w:tcPr>
            <w:tcW w:w="2325" w:type="dxa"/>
            <w:tcMar>
              <w:top w:w="100" w:type="dxa"/>
              <w:left w:w="100" w:type="dxa"/>
              <w:bottom w:w="100" w:type="dxa"/>
              <w:right w:w="100" w:type="dxa"/>
            </w:tcMar>
          </w:tcPr>
          <w:p w14:paraId="1A8F915E"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Criteria</w:t>
            </w:r>
          </w:p>
        </w:tc>
        <w:tc>
          <w:tcPr>
            <w:tcW w:w="3465" w:type="dxa"/>
            <w:tcMar>
              <w:top w:w="100" w:type="dxa"/>
              <w:left w:w="100" w:type="dxa"/>
              <w:bottom w:w="100" w:type="dxa"/>
              <w:right w:w="100" w:type="dxa"/>
            </w:tcMar>
          </w:tcPr>
          <w:p w14:paraId="10C87820"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Short-term options</w:t>
            </w:r>
          </w:p>
        </w:tc>
        <w:tc>
          <w:tcPr>
            <w:tcW w:w="3570" w:type="dxa"/>
            <w:tcMar>
              <w:top w:w="100" w:type="dxa"/>
              <w:left w:w="100" w:type="dxa"/>
              <w:bottom w:w="100" w:type="dxa"/>
              <w:right w:w="100" w:type="dxa"/>
            </w:tcMar>
          </w:tcPr>
          <w:p w14:paraId="75B52735"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Long-term options</w:t>
            </w:r>
          </w:p>
        </w:tc>
      </w:tr>
      <w:tr w:rsidR="00BA2765" w:rsidRPr="00BA2765" w14:paraId="71D3F129" w14:textId="77777777" w:rsidTr="00134B76">
        <w:tc>
          <w:tcPr>
            <w:tcW w:w="2325" w:type="dxa"/>
            <w:tcMar>
              <w:top w:w="100" w:type="dxa"/>
              <w:left w:w="100" w:type="dxa"/>
              <w:bottom w:w="100" w:type="dxa"/>
              <w:right w:w="100" w:type="dxa"/>
            </w:tcMar>
          </w:tcPr>
          <w:p w14:paraId="4E9AD0DB" w14:textId="77777777" w:rsidR="00BA2765" w:rsidRPr="00BA2765" w:rsidRDefault="00BA2765" w:rsidP="00134B76">
            <w:pPr>
              <w:widowControl w:val="0"/>
              <w:pBdr>
                <w:top w:val="nil"/>
                <w:left w:val="nil"/>
                <w:bottom w:val="nil"/>
                <w:right w:val="nil"/>
                <w:between w:val="nil"/>
              </w:pBdr>
            </w:pPr>
            <w:r w:rsidRPr="00BA2765">
              <w:t>Purpose</w:t>
            </w:r>
          </w:p>
        </w:tc>
        <w:tc>
          <w:tcPr>
            <w:tcW w:w="3465" w:type="dxa"/>
            <w:tcMar>
              <w:top w:w="100" w:type="dxa"/>
              <w:left w:w="100" w:type="dxa"/>
              <w:bottom w:w="100" w:type="dxa"/>
              <w:right w:w="100" w:type="dxa"/>
            </w:tcMar>
          </w:tcPr>
          <w:p w14:paraId="244B3A93" w14:textId="77777777" w:rsidR="00BA2765" w:rsidRPr="00BA2765" w:rsidRDefault="00BA2765" w:rsidP="00134B76">
            <w:pPr>
              <w:widowControl w:val="0"/>
              <w:pBdr>
                <w:top w:val="nil"/>
                <w:left w:val="nil"/>
                <w:bottom w:val="nil"/>
                <w:right w:val="nil"/>
                <w:between w:val="nil"/>
              </w:pBdr>
            </w:pPr>
            <w:r w:rsidRPr="00BA2765">
              <w:t>Addressing immediate cash flow gaps due to long operating cycle</w:t>
            </w:r>
          </w:p>
        </w:tc>
        <w:tc>
          <w:tcPr>
            <w:tcW w:w="3570" w:type="dxa"/>
            <w:tcMar>
              <w:top w:w="100" w:type="dxa"/>
              <w:left w:w="100" w:type="dxa"/>
              <w:bottom w:w="100" w:type="dxa"/>
              <w:right w:w="100" w:type="dxa"/>
            </w:tcMar>
          </w:tcPr>
          <w:p w14:paraId="7512EB25" w14:textId="77777777" w:rsidR="00BA2765" w:rsidRPr="00BA2765" w:rsidRDefault="00BA2765" w:rsidP="00134B76">
            <w:pPr>
              <w:widowControl w:val="0"/>
              <w:pBdr>
                <w:top w:val="nil"/>
                <w:left w:val="nil"/>
                <w:bottom w:val="nil"/>
                <w:right w:val="nil"/>
                <w:between w:val="nil"/>
              </w:pBdr>
            </w:pPr>
            <w:r w:rsidRPr="00BA2765">
              <w:t>Funding major investments or restructuring long-term operations</w:t>
            </w:r>
          </w:p>
        </w:tc>
      </w:tr>
      <w:tr w:rsidR="00BA2765" w:rsidRPr="00BA2765" w14:paraId="1FD1BD59" w14:textId="77777777" w:rsidTr="00134B76">
        <w:tc>
          <w:tcPr>
            <w:tcW w:w="2325" w:type="dxa"/>
            <w:tcMar>
              <w:top w:w="100" w:type="dxa"/>
              <w:left w:w="100" w:type="dxa"/>
              <w:bottom w:w="100" w:type="dxa"/>
              <w:right w:w="100" w:type="dxa"/>
            </w:tcMar>
          </w:tcPr>
          <w:p w14:paraId="6AD7A25C" w14:textId="77777777" w:rsidR="00BA2765" w:rsidRPr="00BA2765" w:rsidRDefault="00BA2765" w:rsidP="00134B76">
            <w:pPr>
              <w:widowControl w:val="0"/>
              <w:pBdr>
                <w:top w:val="nil"/>
                <w:left w:val="nil"/>
                <w:bottom w:val="nil"/>
                <w:right w:val="nil"/>
                <w:between w:val="nil"/>
              </w:pBdr>
            </w:pPr>
            <w:r w:rsidRPr="00BA2765">
              <w:t>Examples</w:t>
            </w:r>
          </w:p>
        </w:tc>
        <w:tc>
          <w:tcPr>
            <w:tcW w:w="3465" w:type="dxa"/>
            <w:tcMar>
              <w:top w:w="100" w:type="dxa"/>
              <w:left w:w="100" w:type="dxa"/>
              <w:bottom w:w="100" w:type="dxa"/>
              <w:right w:w="100" w:type="dxa"/>
            </w:tcMar>
          </w:tcPr>
          <w:p w14:paraId="6D7C95FC" w14:textId="77777777" w:rsidR="00BA2765" w:rsidRPr="00BA2765" w:rsidRDefault="00BA2765" w:rsidP="00134B76">
            <w:pPr>
              <w:widowControl w:val="0"/>
              <w:pBdr>
                <w:top w:val="nil"/>
                <w:left w:val="nil"/>
                <w:bottom w:val="nil"/>
                <w:right w:val="nil"/>
                <w:between w:val="nil"/>
              </w:pBdr>
            </w:pPr>
            <w:r w:rsidRPr="00BA2765">
              <w:t>Bank overdrafts, trade credit, lines of credit, short term loans</w:t>
            </w:r>
          </w:p>
        </w:tc>
        <w:tc>
          <w:tcPr>
            <w:tcW w:w="3570" w:type="dxa"/>
            <w:tcMar>
              <w:top w:w="100" w:type="dxa"/>
              <w:left w:w="100" w:type="dxa"/>
              <w:bottom w:w="100" w:type="dxa"/>
              <w:right w:w="100" w:type="dxa"/>
            </w:tcMar>
          </w:tcPr>
          <w:p w14:paraId="5F92DA68" w14:textId="77777777" w:rsidR="00BA2765" w:rsidRPr="00BA2765" w:rsidRDefault="00BA2765" w:rsidP="00134B76">
            <w:pPr>
              <w:widowControl w:val="0"/>
              <w:pBdr>
                <w:top w:val="nil"/>
                <w:left w:val="nil"/>
                <w:bottom w:val="nil"/>
                <w:right w:val="nil"/>
                <w:between w:val="nil"/>
              </w:pBdr>
            </w:pPr>
            <w:r w:rsidRPr="00BA2765">
              <w:t>Term loans, bonds, equity financing</w:t>
            </w:r>
          </w:p>
        </w:tc>
      </w:tr>
      <w:tr w:rsidR="00BA2765" w:rsidRPr="00BA2765" w14:paraId="72578108" w14:textId="77777777" w:rsidTr="00134B76">
        <w:tc>
          <w:tcPr>
            <w:tcW w:w="2325" w:type="dxa"/>
            <w:tcMar>
              <w:top w:w="100" w:type="dxa"/>
              <w:left w:w="100" w:type="dxa"/>
              <w:bottom w:w="100" w:type="dxa"/>
              <w:right w:w="100" w:type="dxa"/>
            </w:tcMar>
          </w:tcPr>
          <w:p w14:paraId="4C59B295" w14:textId="77777777" w:rsidR="00BA2765" w:rsidRPr="00BA2765" w:rsidRDefault="00BA2765" w:rsidP="00134B76">
            <w:pPr>
              <w:widowControl w:val="0"/>
              <w:pBdr>
                <w:top w:val="nil"/>
                <w:left w:val="nil"/>
                <w:bottom w:val="nil"/>
                <w:right w:val="nil"/>
                <w:between w:val="nil"/>
              </w:pBdr>
            </w:pPr>
            <w:r w:rsidRPr="00BA2765">
              <w:t>Relevance to COC</w:t>
            </w:r>
          </w:p>
        </w:tc>
        <w:tc>
          <w:tcPr>
            <w:tcW w:w="3465" w:type="dxa"/>
            <w:tcMar>
              <w:top w:w="100" w:type="dxa"/>
              <w:left w:w="100" w:type="dxa"/>
              <w:bottom w:w="100" w:type="dxa"/>
              <w:right w:w="100" w:type="dxa"/>
            </w:tcMar>
          </w:tcPr>
          <w:p w14:paraId="2824E143" w14:textId="77777777" w:rsidR="00BA2765" w:rsidRPr="00BA2765" w:rsidRDefault="00BA2765" w:rsidP="00134B76">
            <w:r w:rsidRPr="00BA2765">
              <w:t>It is helpful in meeting short term working capital requirements, particularly due to the long receivable and inventory days of the firm, which results in temporary liquidity crises.</w:t>
            </w:r>
          </w:p>
        </w:tc>
        <w:tc>
          <w:tcPr>
            <w:tcW w:w="3570" w:type="dxa"/>
            <w:tcMar>
              <w:top w:w="100" w:type="dxa"/>
              <w:left w:w="100" w:type="dxa"/>
              <w:bottom w:w="100" w:type="dxa"/>
              <w:right w:w="100" w:type="dxa"/>
            </w:tcMar>
          </w:tcPr>
          <w:p w14:paraId="29E286BB" w14:textId="77777777" w:rsidR="00BA2765" w:rsidRPr="00BA2765" w:rsidRDefault="00BA2765" w:rsidP="00134B76">
            <w:pPr>
              <w:jc w:val="both"/>
            </w:pPr>
            <w:r w:rsidRPr="00BA2765">
              <w:t>Meets structural working capital requirements in case of a long COC trend over a series of years which eliminate the frequent short-term borrowing.</w:t>
            </w:r>
          </w:p>
        </w:tc>
      </w:tr>
      <w:tr w:rsidR="00BA2765" w:rsidRPr="00BA2765" w14:paraId="78CAB29D" w14:textId="77777777" w:rsidTr="00134B76">
        <w:tc>
          <w:tcPr>
            <w:tcW w:w="2325" w:type="dxa"/>
            <w:tcMar>
              <w:top w:w="100" w:type="dxa"/>
              <w:left w:w="100" w:type="dxa"/>
              <w:bottom w:w="100" w:type="dxa"/>
              <w:right w:w="100" w:type="dxa"/>
            </w:tcMar>
          </w:tcPr>
          <w:p w14:paraId="21FE0C97" w14:textId="77777777" w:rsidR="00BA2765" w:rsidRPr="00BA2765" w:rsidRDefault="00BA2765" w:rsidP="00134B76">
            <w:pPr>
              <w:widowControl w:val="0"/>
              <w:pBdr>
                <w:top w:val="nil"/>
                <w:left w:val="nil"/>
                <w:bottom w:val="nil"/>
                <w:right w:val="nil"/>
                <w:between w:val="nil"/>
              </w:pBdr>
            </w:pPr>
            <w:r w:rsidRPr="00BA2765">
              <w:t>Impact on Liquidity</w:t>
            </w:r>
          </w:p>
        </w:tc>
        <w:tc>
          <w:tcPr>
            <w:tcW w:w="3465" w:type="dxa"/>
            <w:tcMar>
              <w:top w:w="100" w:type="dxa"/>
              <w:left w:w="100" w:type="dxa"/>
              <w:bottom w:w="100" w:type="dxa"/>
              <w:right w:w="100" w:type="dxa"/>
            </w:tcMar>
          </w:tcPr>
          <w:p w14:paraId="2A35B9EC" w14:textId="77777777" w:rsidR="00BA2765" w:rsidRPr="00BA2765" w:rsidRDefault="00BA2765" w:rsidP="00134B76">
            <w:pPr>
              <w:jc w:val="both"/>
            </w:pPr>
            <w:r w:rsidRPr="00BA2765">
              <w:t>Enhances short-term liquidity through the provision of access to quick cash to meet the delayed receivables and large inventory.</w:t>
            </w:r>
          </w:p>
        </w:tc>
        <w:tc>
          <w:tcPr>
            <w:tcW w:w="3570" w:type="dxa"/>
            <w:tcMar>
              <w:top w:w="100" w:type="dxa"/>
              <w:left w:w="100" w:type="dxa"/>
              <w:bottom w:w="100" w:type="dxa"/>
              <w:right w:w="100" w:type="dxa"/>
            </w:tcMar>
          </w:tcPr>
          <w:p w14:paraId="6A2A6DFF" w14:textId="77777777" w:rsidR="00BA2765" w:rsidRPr="00BA2765" w:rsidRDefault="00BA2765" w:rsidP="00134B76">
            <w:pPr>
              <w:jc w:val="both"/>
            </w:pPr>
            <w:r w:rsidRPr="00BA2765">
              <w:t>Enhances long-term liquidity and minimizes the refinancing risk, particularly where COC will stay above 120 days over multiple years.</w:t>
            </w:r>
          </w:p>
        </w:tc>
      </w:tr>
      <w:tr w:rsidR="00BA2765" w:rsidRPr="00BA2765" w14:paraId="3118558A" w14:textId="77777777" w:rsidTr="00134B76">
        <w:tc>
          <w:tcPr>
            <w:tcW w:w="2325" w:type="dxa"/>
            <w:tcMar>
              <w:top w:w="100" w:type="dxa"/>
              <w:left w:w="100" w:type="dxa"/>
              <w:bottom w:w="100" w:type="dxa"/>
              <w:right w:w="100" w:type="dxa"/>
            </w:tcMar>
          </w:tcPr>
          <w:p w14:paraId="13332F38" w14:textId="77777777" w:rsidR="00BA2765" w:rsidRPr="00BA2765" w:rsidRDefault="00BA2765" w:rsidP="00134B76">
            <w:pPr>
              <w:widowControl w:val="0"/>
              <w:pBdr>
                <w:top w:val="nil"/>
                <w:left w:val="nil"/>
                <w:bottom w:val="nil"/>
                <w:right w:val="nil"/>
                <w:between w:val="nil"/>
              </w:pBdr>
            </w:pPr>
            <w:r w:rsidRPr="00BA2765">
              <w:t>Cost of Financing</w:t>
            </w:r>
          </w:p>
        </w:tc>
        <w:tc>
          <w:tcPr>
            <w:tcW w:w="3465" w:type="dxa"/>
            <w:tcMar>
              <w:top w:w="100" w:type="dxa"/>
              <w:left w:w="100" w:type="dxa"/>
              <w:bottom w:w="100" w:type="dxa"/>
              <w:right w:w="100" w:type="dxa"/>
            </w:tcMar>
          </w:tcPr>
          <w:p w14:paraId="2DA72653" w14:textId="77777777" w:rsidR="00BA2765" w:rsidRPr="00BA2765" w:rsidRDefault="00BA2765" w:rsidP="00134B76">
            <w:pPr>
              <w:jc w:val="both"/>
            </w:pPr>
            <w:r w:rsidRPr="00BA2765">
              <w:t>Not typically low interest rates, however, flexible and quick. The expenses become more costly as they are operated continuously because of the prolonged operating cycles.</w:t>
            </w:r>
          </w:p>
        </w:tc>
        <w:tc>
          <w:tcPr>
            <w:tcW w:w="3570" w:type="dxa"/>
            <w:tcMar>
              <w:top w:w="100" w:type="dxa"/>
              <w:left w:w="100" w:type="dxa"/>
              <w:bottom w:w="100" w:type="dxa"/>
              <w:right w:w="100" w:type="dxa"/>
            </w:tcMar>
          </w:tcPr>
          <w:p w14:paraId="007613BA" w14:textId="77777777" w:rsidR="00BA2765" w:rsidRPr="00BA2765" w:rsidRDefault="00BA2765" w:rsidP="00134B76">
            <w:pPr>
              <w:jc w:val="both"/>
            </w:pPr>
            <w:r w:rsidRPr="00BA2765">
              <w:t>Ordinarily reduced interest rates and foreseeable payments. Economical to finance chronic recurring COC trends.</w:t>
            </w:r>
          </w:p>
          <w:p w14:paraId="4CDF6451" w14:textId="77777777" w:rsidR="00BA2765" w:rsidRPr="00BA2765" w:rsidRDefault="00BA2765" w:rsidP="00134B76">
            <w:pPr>
              <w:widowControl w:val="0"/>
              <w:pBdr>
                <w:top w:val="nil"/>
                <w:left w:val="nil"/>
                <w:bottom w:val="nil"/>
                <w:right w:val="nil"/>
                <w:between w:val="nil"/>
              </w:pBdr>
            </w:pPr>
          </w:p>
        </w:tc>
      </w:tr>
      <w:tr w:rsidR="00BA2765" w:rsidRPr="00BA2765" w14:paraId="1ACCE646" w14:textId="77777777" w:rsidTr="00134B76">
        <w:tc>
          <w:tcPr>
            <w:tcW w:w="2325" w:type="dxa"/>
            <w:tcMar>
              <w:top w:w="100" w:type="dxa"/>
              <w:left w:w="100" w:type="dxa"/>
              <w:bottom w:w="100" w:type="dxa"/>
              <w:right w:w="100" w:type="dxa"/>
            </w:tcMar>
          </w:tcPr>
          <w:p w14:paraId="0D965379" w14:textId="77777777" w:rsidR="00BA2765" w:rsidRPr="00BA2765" w:rsidRDefault="00BA2765" w:rsidP="00134B76">
            <w:pPr>
              <w:widowControl w:val="0"/>
              <w:pBdr>
                <w:top w:val="nil"/>
                <w:left w:val="nil"/>
                <w:bottom w:val="nil"/>
                <w:right w:val="nil"/>
                <w:between w:val="nil"/>
              </w:pBdr>
            </w:pPr>
            <w:r w:rsidRPr="00BA2765">
              <w:t>Risk Level</w:t>
            </w:r>
          </w:p>
        </w:tc>
        <w:tc>
          <w:tcPr>
            <w:tcW w:w="3465" w:type="dxa"/>
            <w:tcMar>
              <w:top w:w="100" w:type="dxa"/>
              <w:left w:w="100" w:type="dxa"/>
              <w:bottom w:w="100" w:type="dxa"/>
              <w:right w:w="100" w:type="dxa"/>
            </w:tcMar>
          </w:tcPr>
          <w:p w14:paraId="5B0CEF3E" w14:textId="77777777" w:rsidR="00BA2765" w:rsidRPr="00BA2765" w:rsidRDefault="00BA2765" w:rsidP="00134B76">
            <w:pPr>
              <w:jc w:val="both"/>
            </w:pPr>
            <w:r w:rsidRPr="00BA2765">
              <w:t>Increased rollover and interest rate risk. In case COC deteriorates (as happened in 2023), the company will struggle to pay in the short term.</w:t>
            </w:r>
          </w:p>
        </w:tc>
        <w:tc>
          <w:tcPr>
            <w:tcW w:w="3570" w:type="dxa"/>
            <w:tcMar>
              <w:top w:w="100" w:type="dxa"/>
              <w:left w:w="100" w:type="dxa"/>
              <w:bottom w:w="100" w:type="dxa"/>
              <w:right w:w="100" w:type="dxa"/>
            </w:tcMar>
          </w:tcPr>
          <w:p w14:paraId="1A4316C3" w14:textId="77777777" w:rsidR="00BA2765" w:rsidRPr="00BA2765" w:rsidRDefault="00BA2765" w:rsidP="00134B76">
            <w:pPr>
              <w:jc w:val="both"/>
            </w:pPr>
            <w:r w:rsidRPr="00BA2765">
              <w:t>Lower refinancing risk. More applicable to companies such as General Electronics whose COC is variable and every now and then it exceeds 130 days.</w:t>
            </w:r>
          </w:p>
        </w:tc>
      </w:tr>
      <w:tr w:rsidR="00BA2765" w:rsidRPr="00BA2765" w14:paraId="1898C3E7" w14:textId="77777777" w:rsidTr="00134B76">
        <w:tc>
          <w:tcPr>
            <w:tcW w:w="2325" w:type="dxa"/>
            <w:tcMar>
              <w:top w:w="100" w:type="dxa"/>
              <w:left w:w="100" w:type="dxa"/>
              <w:bottom w:w="100" w:type="dxa"/>
              <w:right w:w="100" w:type="dxa"/>
            </w:tcMar>
          </w:tcPr>
          <w:p w14:paraId="41AABE15" w14:textId="77777777" w:rsidR="00BA2765" w:rsidRPr="00BA2765" w:rsidRDefault="00BA2765" w:rsidP="00134B76">
            <w:pPr>
              <w:widowControl w:val="0"/>
              <w:pBdr>
                <w:top w:val="nil"/>
                <w:left w:val="nil"/>
                <w:bottom w:val="nil"/>
                <w:right w:val="nil"/>
                <w:between w:val="nil"/>
              </w:pBdr>
            </w:pPr>
            <w:r w:rsidRPr="00BA2765">
              <w:t>Flexibility</w:t>
            </w:r>
          </w:p>
        </w:tc>
        <w:tc>
          <w:tcPr>
            <w:tcW w:w="3465" w:type="dxa"/>
            <w:tcMar>
              <w:top w:w="100" w:type="dxa"/>
              <w:left w:w="100" w:type="dxa"/>
              <w:bottom w:w="100" w:type="dxa"/>
              <w:right w:w="100" w:type="dxa"/>
            </w:tcMar>
          </w:tcPr>
          <w:p w14:paraId="4E4AFD60" w14:textId="77777777" w:rsidR="00BA2765" w:rsidRPr="00BA2765" w:rsidRDefault="00BA2765" w:rsidP="00134B76">
            <w:pPr>
              <w:jc w:val="both"/>
            </w:pPr>
            <w:r w:rsidRPr="00BA2765">
              <w:t>Very flexible; it is suited to seasonal inventory and sales peaks common in the consumer electronics field.</w:t>
            </w:r>
          </w:p>
        </w:tc>
        <w:tc>
          <w:tcPr>
            <w:tcW w:w="3570" w:type="dxa"/>
            <w:tcMar>
              <w:top w:w="100" w:type="dxa"/>
              <w:left w:w="100" w:type="dxa"/>
              <w:bottom w:w="100" w:type="dxa"/>
              <w:right w:w="100" w:type="dxa"/>
            </w:tcMar>
          </w:tcPr>
          <w:p w14:paraId="2DE72C3C" w14:textId="77777777" w:rsidR="00BA2765" w:rsidRPr="00BA2765" w:rsidRDefault="00BA2765" w:rsidP="00134B76">
            <w:pPr>
              <w:jc w:val="both"/>
            </w:pPr>
            <w:r w:rsidRPr="00BA2765">
              <w:t>Less adjustable, though, guarantees stable financing of stock-ups and long receivable cycles.</w:t>
            </w:r>
          </w:p>
        </w:tc>
      </w:tr>
      <w:tr w:rsidR="00BA2765" w:rsidRPr="00BA2765" w14:paraId="502F0048" w14:textId="77777777" w:rsidTr="00134B76">
        <w:trPr>
          <w:trHeight w:val="470"/>
        </w:trPr>
        <w:tc>
          <w:tcPr>
            <w:tcW w:w="2325" w:type="dxa"/>
            <w:tcMar>
              <w:top w:w="100" w:type="dxa"/>
              <w:left w:w="100" w:type="dxa"/>
              <w:bottom w:w="100" w:type="dxa"/>
              <w:right w:w="100" w:type="dxa"/>
            </w:tcMar>
          </w:tcPr>
          <w:p w14:paraId="37A0410C" w14:textId="77777777" w:rsidR="00BA2765" w:rsidRPr="00BA2765" w:rsidRDefault="00BA2765" w:rsidP="00134B76">
            <w:pPr>
              <w:widowControl w:val="0"/>
              <w:pBdr>
                <w:top w:val="nil"/>
                <w:left w:val="nil"/>
                <w:bottom w:val="nil"/>
                <w:right w:val="nil"/>
                <w:between w:val="nil"/>
              </w:pBdr>
            </w:pPr>
            <w:r w:rsidRPr="00BA2765">
              <w:t>Suitability</w:t>
            </w:r>
          </w:p>
        </w:tc>
        <w:tc>
          <w:tcPr>
            <w:tcW w:w="3465" w:type="dxa"/>
            <w:tcMar>
              <w:top w:w="100" w:type="dxa"/>
              <w:left w:w="100" w:type="dxa"/>
              <w:bottom w:w="100" w:type="dxa"/>
              <w:right w:w="100" w:type="dxa"/>
            </w:tcMar>
          </w:tcPr>
          <w:p w14:paraId="19EC31D1" w14:textId="77777777" w:rsidR="00BA2765" w:rsidRPr="00BA2765" w:rsidRDefault="00BA2765" w:rsidP="00134B76">
            <w:pPr>
              <w:jc w:val="both"/>
            </w:pPr>
            <w:r w:rsidRPr="00BA2765">
              <w:t>Useful in the case that COC has been varying in the short term, and urgent liquidity is necessary, particularly during years such as 2021 and 2024 when COC has improved.</w:t>
            </w:r>
          </w:p>
        </w:tc>
        <w:tc>
          <w:tcPr>
            <w:tcW w:w="3570" w:type="dxa"/>
            <w:tcMar>
              <w:top w:w="100" w:type="dxa"/>
              <w:left w:w="100" w:type="dxa"/>
              <w:bottom w:w="100" w:type="dxa"/>
              <w:right w:w="100" w:type="dxa"/>
            </w:tcMar>
          </w:tcPr>
          <w:p w14:paraId="153FEB35" w14:textId="77777777" w:rsidR="00BA2765" w:rsidRPr="00BA2765" w:rsidRDefault="00BA2765" w:rsidP="00134B76">
            <w:pPr>
              <w:jc w:val="both"/>
            </w:pPr>
            <w:r w:rsidRPr="00BA2765">
              <w:t>More appropriate in case the long-term pattern indicates continuously high COC (as in 2022-2023) i.e. structural liquidity requirements.</w:t>
            </w:r>
          </w:p>
        </w:tc>
      </w:tr>
    </w:tbl>
    <w:p w14:paraId="362AB48E" w14:textId="77777777" w:rsidR="00BA2765" w:rsidRPr="00BA2765" w:rsidRDefault="00BA2765" w:rsidP="00BA2765"/>
    <w:p w14:paraId="1F5D82BB" w14:textId="77777777" w:rsidR="00BA2765" w:rsidRPr="00BA2765" w:rsidRDefault="00BA2765" w:rsidP="00BA2765">
      <w:pPr>
        <w:pStyle w:val="Heading1"/>
        <w:spacing w:before="240" w:line="360" w:lineRule="auto"/>
        <w:jc w:val="both"/>
      </w:pPr>
      <w:bookmarkStart w:id="27" w:name="_w3bn2tfx3iu6" w:colFirst="0" w:colLast="0"/>
      <w:bookmarkStart w:id="28" w:name="_Toc216518038"/>
      <w:bookmarkEnd w:id="27"/>
      <w:r w:rsidRPr="00BA2765">
        <w:t>4. Strategic Financial Restructuring Plan</w:t>
      </w:r>
      <w:bookmarkEnd w:id="28"/>
    </w:p>
    <w:p w14:paraId="616CFCEC" w14:textId="77777777" w:rsidR="00BA2765" w:rsidRPr="00BA2765" w:rsidRDefault="00BA2765" w:rsidP="00BA2765">
      <w:pPr>
        <w:pStyle w:val="Heading2"/>
        <w:spacing w:before="240" w:line="360" w:lineRule="auto"/>
        <w:jc w:val="both"/>
      </w:pPr>
      <w:bookmarkStart w:id="29" w:name="_2g9zt0tmj76" w:colFirst="0" w:colLast="0"/>
      <w:bookmarkStart w:id="30" w:name="_Toc216518039"/>
      <w:bookmarkEnd w:id="29"/>
      <w:r w:rsidRPr="00BA2765">
        <w:t>4.1. Financial Restructuring Options</w:t>
      </w:r>
      <w:bookmarkEnd w:id="30"/>
    </w:p>
    <w:p w14:paraId="2D2FE465" w14:textId="77777777" w:rsidR="00BA2765" w:rsidRPr="00BA2765" w:rsidRDefault="00BA2765" w:rsidP="00BA2765">
      <w:pPr>
        <w:spacing w:before="240" w:line="360" w:lineRule="auto"/>
        <w:jc w:val="both"/>
        <w:rPr>
          <w:b/>
          <w:bCs/>
          <w:i/>
          <w:iCs/>
        </w:rPr>
      </w:pPr>
      <w:r w:rsidRPr="00BA2765">
        <w:rPr>
          <w:b/>
          <w:bCs/>
          <w:i/>
          <w:iCs/>
        </w:rPr>
        <w:t>Divestiture of Underperforming Business Units</w:t>
      </w:r>
    </w:p>
    <w:p w14:paraId="2159B76F" w14:textId="77777777" w:rsidR="00BA2765" w:rsidRPr="00BA2765" w:rsidRDefault="00BA2765" w:rsidP="00BA2765">
      <w:pPr>
        <w:spacing w:before="240" w:line="360" w:lineRule="auto"/>
        <w:jc w:val="both"/>
      </w:pPr>
      <w:r w:rsidRPr="00BA2765">
        <w:t>Among the most productive restructuring measures to General Electronics is the sale of non-core assets, especially in the case of loss-making product-lines or markets that are unprofitable geographically. The ratio analysis depicts a decreasing asset turnover and decreasing gross profits which means that some of the assets are not yielding sufficient returns. Sale of the division responsible for the goodwill impairment would bring instant cash flows which could be utilized to pay off high interest debts or even invest in profitable product lines like smart home systems or wearable devices.</w:t>
      </w:r>
    </w:p>
    <w:p w14:paraId="09DECE68" w14:textId="77777777" w:rsidR="00BA2765" w:rsidRPr="00BA2765" w:rsidRDefault="00BA2765" w:rsidP="00BA2765">
      <w:pPr>
        <w:spacing w:before="240" w:line="360" w:lineRule="auto"/>
        <w:jc w:val="both"/>
        <w:rPr>
          <w:lang w:val="en-US"/>
        </w:rPr>
      </w:pPr>
      <w:r w:rsidRPr="00BA2765">
        <w:t xml:space="preserve">Also, divestiture enhances operational focus. Portfolio allows the management to invest more effectively in the high-margin segments </w:t>
      </w:r>
      <w:r w:rsidRPr="00BA2765">
        <w:rPr>
          <w:lang w:val="en-US"/>
        </w:rPr>
        <w:t>(Hofer, 1980; Pearce and Robbins, 1993)</w:t>
      </w:r>
      <w:r w:rsidRPr="00BA2765">
        <w:t>. Financially, divestiture improves ROA, cuts down on depreciation expenses and increases liquidity. Shareholder value can be enhanced because the market is generally rewarding those companies that also sell non-performing units, as they are seen to have a greater strategic focus and a lower uncertainty in earnings.</w:t>
      </w:r>
    </w:p>
    <w:p w14:paraId="43A11E48" w14:textId="77777777" w:rsidR="00BA2765" w:rsidRPr="00BA2765" w:rsidRDefault="00BA2765" w:rsidP="00BA2765">
      <w:pPr>
        <w:rPr>
          <w:b/>
          <w:bCs/>
          <w:i/>
          <w:iCs/>
        </w:rPr>
      </w:pPr>
      <w:r w:rsidRPr="00BA2765">
        <w:rPr>
          <w:b/>
          <w:bCs/>
          <w:i/>
          <w:iCs/>
        </w:rPr>
        <w:br w:type="page"/>
      </w:r>
    </w:p>
    <w:p w14:paraId="17139A55" w14:textId="77777777" w:rsidR="00BA2765" w:rsidRPr="00BA2765" w:rsidRDefault="00BA2765" w:rsidP="00BA2765">
      <w:pPr>
        <w:spacing w:before="240" w:line="360" w:lineRule="auto"/>
        <w:jc w:val="both"/>
        <w:rPr>
          <w:b/>
          <w:bCs/>
          <w:i/>
          <w:iCs/>
        </w:rPr>
      </w:pPr>
      <w:r w:rsidRPr="00BA2765">
        <w:rPr>
          <w:b/>
          <w:bCs/>
          <w:i/>
          <w:iCs/>
        </w:rPr>
        <w:t>Equity Injection</w:t>
      </w:r>
    </w:p>
    <w:p w14:paraId="6614711D" w14:textId="77777777" w:rsidR="00BA2765" w:rsidRPr="00BA2765" w:rsidRDefault="00BA2765" w:rsidP="00BA2765">
      <w:pPr>
        <w:spacing w:before="240" w:line="360" w:lineRule="auto"/>
        <w:jc w:val="both"/>
        <w:rPr>
          <w:lang w:val="en-US"/>
        </w:rPr>
      </w:pPr>
      <w:r w:rsidRPr="00BA2765">
        <w:t xml:space="preserve">With the declining profitability and a high leverage level of General Electronics, an equity injection offers a required amendment to the capital structure </w:t>
      </w:r>
      <w:r w:rsidRPr="00BA2765">
        <w:rPr>
          <w:lang w:val="en-US"/>
        </w:rPr>
        <w:t>(Modigliani and Miller, 1958)</w:t>
      </w:r>
      <w:r w:rsidRPr="00BA2765">
        <w:t>. The debt-to-equity ratios have been increasing steadily, and interest coverage has been compromised, which indicates the inability to service the current liabilities. Long-term and stable capital would be available through a rights issue or a private equity investor.</w:t>
      </w:r>
    </w:p>
    <w:p w14:paraId="39445541" w14:textId="77777777" w:rsidR="00BA2765" w:rsidRPr="00BA2765" w:rsidRDefault="00BA2765" w:rsidP="00BA2765">
      <w:pPr>
        <w:spacing w:before="240" w:line="360" w:lineRule="auto"/>
        <w:jc w:val="both"/>
      </w:pPr>
      <w:r w:rsidRPr="00BA2765">
        <w:t>The benefits of an equity injection are:</w:t>
      </w:r>
    </w:p>
    <w:p w14:paraId="0D8771C9" w14:textId="77777777" w:rsidR="00BA2765" w:rsidRPr="00BA2765" w:rsidRDefault="00BA2765" w:rsidP="00BA2765">
      <w:pPr>
        <w:numPr>
          <w:ilvl w:val="0"/>
          <w:numId w:val="1"/>
        </w:numPr>
        <w:spacing w:before="240" w:line="360" w:lineRule="auto"/>
        <w:jc w:val="both"/>
      </w:pPr>
      <w:r w:rsidRPr="00BA2765">
        <w:t>Lessens the debt burden, which reduces financial risk and increases credit ratings.</w:t>
      </w:r>
    </w:p>
    <w:p w14:paraId="2024F753" w14:textId="77777777" w:rsidR="00BA2765" w:rsidRPr="00BA2765" w:rsidRDefault="00BA2765" w:rsidP="00BA2765">
      <w:pPr>
        <w:numPr>
          <w:ilvl w:val="0"/>
          <w:numId w:val="1"/>
        </w:numPr>
        <w:spacing w:before="240" w:line="360" w:lineRule="auto"/>
        <w:jc w:val="both"/>
      </w:pPr>
      <w:r w:rsidRPr="00BA2765">
        <w:t>Improves liquidity to structure its operations or to invest in research and development.</w:t>
      </w:r>
    </w:p>
    <w:p w14:paraId="4530F3AF" w14:textId="77777777" w:rsidR="00BA2765" w:rsidRPr="00BA2765" w:rsidRDefault="00BA2765" w:rsidP="00BA2765">
      <w:pPr>
        <w:numPr>
          <w:ilvl w:val="0"/>
          <w:numId w:val="1"/>
        </w:numPr>
        <w:spacing w:before="240" w:line="360" w:lineRule="auto"/>
        <w:jc w:val="both"/>
      </w:pPr>
      <w:r w:rsidRPr="00BA2765">
        <w:t>Favors innovation-based development which is a critical component in the fast changing consumer electronics sector.</w:t>
      </w:r>
    </w:p>
    <w:p w14:paraId="020153D3" w14:textId="77777777" w:rsidR="00BA2765" w:rsidRPr="00BA2765" w:rsidRDefault="00BA2765" w:rsidP="00BA2765">
      <w:pPr>
        <w:numPr>
          <w:ilvl w:val="0"/>
          <w:numId w:val="1"/>
        </w:numPr>
        <w:spacing w:before="240" w:line="360" w:lineRule="auto"/>
        <w:jc w:val="both"/>
      </w:pPr>
      <w:r w:rsidRPr="00BA2765">
        <w:t>Strengthens balance sheet, which is essential in obtaining long payment terms with suppliers.</w:t>
      </w:r>
    </w:p>
    <w:p w14:paraId="07F97190" w14:textId="77777777" w:rsidR="00BA2765" w:rsidRPr="00BA2765" w:rsidRDefault="00BA2765" w:rsidP="00BA2765">
      <w:pPr>
        <w:spacing w:before="240" w:line="360" w:lineRule="auto"/>
        <w:jc w:val="both"/>
        <w:rPr>
          <w:b/>
          <w:bCs/>
          <w:i/>
          <w:iCs/>
        </w:rPr>
      </w:pPr>
      <w:r w:rsidRPr="00BA2765">
        <w:rPr>
          <w:b/>
          <w:bCs/>
          <w:i/>
          <w:iCs/>
        </w:rPr>
        <w:t>Debt Restructuring and Refinancing</w:t>
      </w:r>
    </w:p>
    <w:p w14:paraId="078665BA" w14:textId="77777777" w:rsidR="00BA2765" w:rsidRPr="00BA2765" w:rsidRDefault="00BA2765" w:rsidP="00BA2765">
      <w:pPr>
        <w:spacing w:before="240" w:line="360" w:lineRule="auto"/>
        <w:jc w:val="both"/>
      </w:pPr>
      <w:r w:rsidRPr="00BA2765">
        <w:t>Since the facility of short-term credit is denied, and cash flows are not stable, it is necessary to restructure the current debt structure. The company will be able to renegotiate repayment conditions, roll over maturities or refinance high-cost borrowings with longer term, lower rate instruments (Lane, 2019).</w:t>
      </w:r>
    </w:p>
    <w:p w14:paraId="49F954D2" w14:textId="77777777" w:rsidR="00BA2765" w:rsidRPr="00BA2765" w:rsidRDefault="00BA2765" w:rsidP="00BA2765">
      <w:pPr>
        <w:spacing w:before="240" w:line="360" w:lineRule="auto"/>
      </w:pPr>
      <w:r w:rsidRPr="00BA2765">
        <w:t>Debt restructuring has three key benefits:</w:t>
      </w:r>
    </w:p>
    <w:p w14:paraId="7D37D913" w14:textId="77777777" w:rsidR="00BA2765" w:rsidRPr="00BA2765" w:rsidRDefault="00BA2765" w:rsidP="00BA2765">
      <w:pPr>
        <w:numPr>
          <w:ilvl w:val="0"/>
          <w:numId w:val="3"/>
        </w:numPr>
        <w:spacing w:before="240" w:line="360" w:lineRule="auto"/>
      </w:pPr>
      <w:r w:rsidRPr="00BA2765">
        <w:t>Balances the cash flows by lowering the short-term repayment liabilities.</w:t>
      </w:r>
    </w:p>
    <w:p w14:paraId="628FB093" w14:textId="77777777" w:rsidR="00BA2765" w:rsidRPr="00BA2765" w:rsidRDefault="00BA2765" w:rsidP="00BA2765">
      <w:pPr>
        <w:numPr>
          <w:ilvl w:val="0"/>
          <w:numId w:val="3"/>
        </w:numPr>
        <w:spacing w:before="240" w:line="360" w:lineRule="auto"/>
      </w:pPr>
      <w:r w:rsidRPr="00BA2765">
        <w:t>Enhances liquidity, enabling the management to concentrate on operational efficiency and not temporary refinancing.</w:t>
      </w:r>
    </w:p>
    <w:p w14:paraId="3D75EF37" w14:textId="77777777" w:rsidR="00BA2765" w:rsidRPr="00BA2765" w:rsidRDefault="00BA2765" w:rsidP="00BA2765">
      <w:pPr>
        <w:numPr>
          <w:ilvl w:val="0"/>
          <w:numId w:val="3"/>
        </w:numPr>
        <w:spacing w:before="240" w:line="360" w:lineRule="auto"/>
      </w:pPr>
      <w:r w:rsidRPr="00BA2765">
        <w:t>Minimizes bankruptcy risk, making shareholders and creditors more confident.</w:t>
      </w:r>
    </w:p>
    <w:p w14:paraId="7066D576" w14:textId="77777777" w:rsidR="00BA2765" w:rsidRPr="00BA2765" w:rsidRDefault="00BA2765" w:rsidP="00BA2765">
      <w:pPr>
        <w:spacing w:before="240" w:line="360" w:lineRule="auto"/>
      </w:pPr>
      <w:r w:rsidRPr="00BA2765">
        <w:t>Further, currency risk is reduced over refinancing debt that has a foreign currency denomination, which is imperative to a multinational firm that faces fluctuations of exchange rates in its entire supply chain.</w:t>
      </w:r>
    </w:p>
    <w:p w14:paraId="341810D2" w14:textId="77777777" w:rsidR="00BA2765" w:rsidRPr="00BA2765" w:rsidRDefault="00BA2765" w:rsidP="00BA2765">
      <w:pPr>
        <w:rPr>
          <w:b/>
          <w:bCs/>
          <w:i/>
          <w:iCs/>
        </w:rPr>
      </w:pPr>
      <w:r w:rsidRPr="00BA2765">
        <w:rPr>
          <w:b/>
          <w:bCs/>
          <w:i/>
          <w:iCs/>
        </w:rPr>
        <w:t>Strategic Joint Venture or Technology Partnership</w:t>
      </w:r>
    </w:p>
    <w:p w14:paraId="1A4A12FF" w14:textId="77777777" w:rsidR="00BA2765" w:rsidRPr="00BA2765" w:rsidRDefault="00BA2765" w:rsidP="00BA2765">
      <w:pPr>
        <w:spacing w:before="240" w:line="360" w:lineRule="auto"/>
      </w:pPr>
      <w:r w:rsidRPr="00BA2765">
        <w:t>Substantial ventures can be created in the event of a merger or strategic alliance with a more powerful or complementary technology firm. General Electronics has experienced decreasing R&amp;D output and deteriorating share which points to technological assistance. A merger can deliver:</w:t>
      </w:r>
    </w:p>
    <w:p w14:paraId="26C777C9" w14:textId="77777777" w:rsidR="00BA2765" w:rsidRPr="00BA2765" w:rsidRDefault="00BA2765" w:rsidP="00BA2765">
      <w:pPr>
        <w:numPr>
          <w:ilvl w:val="0"/>
          <w:numId w:val="2"/>
        </w:numPr>
        <w:spacing w:before="240" w:line="360" w:lineRule="auto"/>
      </w:pPr>
      <w:r w:rsidRPr="00BA2765">
        <w:t>Production and procurement economies of scale.</w:t>
      </w:r>
    </w:p>
    <w:p w14:paraId="4D4B27DF" w14:textId="77777777" w:rsidR="00BA2765" w:rsidRPr="00BA2765" w:rsidRDefault="00BA2765" w:rsidP="00BA2765">
      <w:pPr>
        <w:numPr>
          <w:ilvl w:val="0"/>
          <w:numId w:val="2"/>
        </w:numPr>
        <w:spacing w:before="240" w:line="360" w:lineRule="auto"/>
      </w:pPr>
      <w:r w:rsidRPr="00BA2765">
        <w:t>Common technological resources and collaborative research and development.</w:t>
      </w:r>
    </w:p>
    <w:p w14:paraId="57456549" w14:textId="77777777" w:rsidR="00BA2765" w:rsidRPr="00BA2765" w:rsidRDefault="00BA2765" w:rsidP="00BA2765">
      <w:pPr>
        <w:numPr>
          <w:ilvl w:val="0"/>
          <w:numId w:val="2"/>
        </w:numPr>
        <w:spacing w:before="240" w:line="360" w:lineRule="auto"/>
      </w:pPr>
      <w:r w:rsidRPr="00BA2765">
        <w:t>Economy of scale obtained by merging duplicated processes.</w:t>
      </w:r>
    </w:p>
    <w:p w14:paraId="1C4B821B" w14:textId="77777777" w:rsidR="00BA2765" w:rsidRPr="00BA2765" w:rsidRDefault="00BA2765" w:rsidP="00BA2765">
      <w:pPr>
        <w:spacing w:before="240" w:line="360" w:lineRule="auto"/>
        <w:rPr>
          <w:lang w:val="en-US"/>
        </w:rPr>
      </w:pPr>
      <w:r w:rsidRPr="00BA2765">
        <w:t xml:space="preserve">This kind of cooperation would not only increase competitiveness in the long term, but it will help the company shift towards products that are based on innovation (Kaplan and Norton, 2018; </w:t>
      </w:r>
      <w:r w:rsidRPr="00BA2765">
        <w:rPr>
          <w:lang w:val="en-US"/>
        </w:rPr>
        <w:t>Joshi, 2019</w:t>
      </w:r>
      <w:r w:rsidRPr="00BA2765">
        <w:t xml:space="preserve">). Moreover, mergers tend to increase shareholder value through the formation of joint entities that are more relevant in the market and have a better bargaining power </w:t>
      </w:r>
      <w:r w:rsidRPr="00BA2765">
        <w:rPr>
          <w:lang w:val="en-US"/>
        </w:rPr>
        <w:t>(Jensen and Meckling, 1976)</w:t>
      </w:r>
      <w:r w:rsidRPr="00BA2765">
        <w:t>.</w:t>
      </w:r>
    </w:p>
    <w:p w14:paraId="17CAFE75" w14:textId="77777777" w:rsidR="00BA2765" w:rsidRPr="00BA2765" w:rsidRDefault="00BA2765" w:rsidP="00BA2765">
      <w:pPr>
        <w:pStyle w:val="Heading2"/>
        <w:spacing w:before="240" w:line="360" w:lineRule="auto"/>
        <w:jc w:val="both"/>
      </w:pPr>
      <w:bookmarkStart w:id="31" w:name="_4iwauhn9kpnk" w:colFirst="0" w:colLast="0"/>
      <w:bookmarkStart w:id="32" w:name="_Toc216518040"/>
      <w:bookmarkEnd w:id="31"/>
      <w:r w:rsidRPr="00BA2765">
        <w:t>4.2. Impact Evaluation</w:t>
      </w:r>
      <w:bookmarkEnd w:id="32"/>
    </w:p>
    <w:p w14:paraId="61908E44" w14:textId="77777777" w:rsidR="00BA2765" w:rsidRPr="00BA2765" w:rsidRDefault="00BA2765" w:rsidP="00BA2765">
      <w:pPr>
        <w:spacing w:before="240" w:line="360" w:lineRule="auto"/>
        <w:jc w:val="both"/>
        <w:rPr>
          <w:b/>
          <w:bCs/>
          <w:i/>
          <w:iCs/>
        </w:rPr>
      </w:pPr>
      <w:r w:rsidRPr="00BA2765">
        <w:rPr>
          <w:b/>
          <w:bCs/>
          <w:i/>
          <w:iCs/>
        </w:rPr>
        <w:t>Shareholder Value</w:t>
      </w:r>
    </w:p>
    <w:p w14:paraId="01AEB6A6" w14:textId="77777777" w:rsidR="00BA2765" w:rsidRPr="00BA2765" w:rsidRDefault="00BA2765" w:rsidP="00BA2765">
      <w:pPr>
        <w:spacing w:before="240" w:line="360" w:lineRule="auto"/>
        <w:jc w:val="both"/>
      </w:pPr>
      <w:r w:rsidRPr="00BA2765">
        <w:t>The restructuring plan would add value to shareholders with respect to increasing profitability, lessening financial risk, and increasing long-term growth prospects (Palepu et al., 2019). The loss-making assets should be removed by divestiture, the financial stability can be enhanced by equities injection, and the interest expenses and cash flow stabilisation can be achieved by restructuring debts. Alliances also contribute to innovation. Though there are some issues of equity that can be a point of concern in dilution, effective communication and use of funds being value orientated can reduce this. Overall, a better balance sheet enhances investor confidence and valuation.</w:t>
      </w:r>
    </w:p>
    <w:p w14:paraId="26A1C005" w14:textId="77777777" w:rsidR="00BA2765" w:rsidRPr="00BA2765" w:rsidRDefault="00BA2765" w:rsidP="00BA2765">
      <w:pPr>
        <w:rPr>
          <w:b/>
          <w:bCs/>
          <w:i/>
          <w:iCs/>
        </w:rPr>
      </w:pPr>
      <w:r w:rsidRPr="00BA2765">
        <w:rPr>
          <w:b/>
          <w:bCs/>
          <w:i/>
          <w:iCs/>
        </w:rPr>
        <w:br w:type="page"/>
      </w:r>
    </w:p>
    <w:p w14:paraId="26503EC3" w14:textId="77777777" w:rsidR="00BA2765" w:rsidRPr="00BA2765" w:rsidRDefault="00BA2765" w:rsidP="00BA2765">
      <w:pPr>
        <w:spacing w:before="240" w:line="360" w:lineRule="auto"/>
        <w:jc w:val="both"/>
        <w:rPr>
          <w:b/>
          <w:bCs/>
          <w:i/>
          <w:iCs/>
        </w:rPr>
      </w:pPr>
      <w:r w:rsidRPr="00BA2765">
        <w:rPr>
          <w:b/>
          <w:bCs/>
          <w:i/>
          <w:iCs/>
        </w:rPr>
        <w:t>Debt Structure</w:t>
      </w:r>
    </w:p>
    <w:p w14:paraId="6F847922" w14:textId="77777777" w:rsidR="00BA2765" w:rsidRPr="00BA2765" w:rsidRDefault="00BA2765" w:rsidP="00BA2765">
      <w:pPr>
        <w:spacing w:before="240" w:line="360" w:lineRule="auto"/>
        <w:jc w:val="both"/>
        <w:rPr>
          <w:lang w:val="en-US"/>
        </w:rPr>
      </w:pPr>
      <w:r w:rsidRPr="00BA2765">
        <w:t xml:space="preserve">The recommended measures are great to enhance the debt position of the firm. Divestiture has the benefit of reducing debt immediately whereas refinancing turns short-term liabilities into long-term liabilities that are easier to manage </w:t>
      </w:r>
      <w:r w:rsidRPr="00BA2765">
        <w:rPr>
          <w:lang w:val="en-US"/>
        </w:rPr>
        <w:t>(La Porta et al., 2000)</w:t>
      </w:r>
      <w:r w:rsidRPr="00BA2765">
        <w:t>. Increase in equity reduces the leverage ratios and improves borrowing power. This is a more sustainable structure, which enhances creditworthiness and minimizes the cost of financing.</w:t>
      </w:r>
    </w:p>
    <w:p w14:paraId="4827F354" w14:textId="77777777" w:rsidR="00BA2765" w:rsidRPr="00BA2765" w:rsidRDefault="00BA2765" w:rsidP="00BA2765">
      <w:pPr>
        <w:spacing w:before="240" w:line="360" w:lineRule="auto"/>
        <w:jc w:val="both"/>
        <w:rPr>
          <w:b/>
          <w:bCs/>
          <w:i/>
          <w:iCs/>
        </w:rPr>
      </w:pPr>
      <w:r w:rsidRPr="00BA2765">
        <w:rPr>
          <w:b/>
          <w:bCs/>
          <w:i/>
          <w:iCs/>
        </w:rPr>
        <w:t>Operational Flexibility</w:t>
      </w:r>
    </w:p>
    <w:p w14:paraId="3FAEBF99" w14:textId="77777777" w:rsidR="00BA2765" w:rsidRPr="00BA2765" w:rsidRDefault="00BA2765" w:rsidP="00BA2765">
      <w:pPr>
        <w:spacing w:before="240" w:line="360" w:lineRule="auto"/>
        <w:jc w:val="both"/>
        <w:rPr>
          <w:b/>
          <w:bCs/>
          <w:i/>
          <w:iCs/>
        </w:rPr>
      </w:pPr>
      <w:r w:rsidRPr="00BA2765">
        <w:t>Flexibility in operations is higher because divestiture and refinancing relieve cash limitations and allows increased investment in core operations, innovation, and supply chain enhancement. Optimisation of Cash Operating Cycle is also supported by better liquidity. Partnerships also create flexibility of strategy by getting access to technology and new markets. Generally, the company is made more responsive to market and competitive dynamics.</w:t>
      </w:r>
    </w:p>
    <w:p w14:paraId="2DF92182" w14:textId="77777777" w:rsidR="00BA2765" w:rsidRPr="00BA2765" w:rsidRDefault="00BA2765" w:rsidP="00BA2765">
      <w:pPr>
        <w:pStyle w:val="Heading2"/>
        <w:spacing w:before="240" w:line="360" w:lineRule="auto"/>
        <w:jc w:val="both"/>
      </w:pPr>
      <w:bookmarkStart w:id="33" w:name="_xu8p0hc4aqg3" w:colFirst="0" w:colLast="0"/>
      <w:bookmarkStart w:id="34" w:name="_Toc216518041"/>
      <w:bookmarkEnd w:id="33"/>
      <w:r w:rsidRPr="00BA2765">
        <w:t>4.3. International and Ethical Considerations</w:t>
      </w:r>
      <w:bookmarkEnd w:id="34"/>
    </w:p>
    <w:p w14:paraId="4987324C" w14:textId="77777777" w:rsidR="00BA2765" w:rsidRPr="00BA2765" w:rsidRDefault="00BA2765" w:rsidP="00BA2765">
      <w:pPr>
        <w:spacing w:before="240" w:line="360" w:lineRule="auto"/>
        <w:jc w:val="both"/>
        <w:rPr>
          <w:b/>
          <w:bCs/>
          <w:i/>
          <w:iCs/>
        </w:rPr>
      </w:pPr>
      <w:r w:rsidRPr="00BA2765">
        <w:rPr>
          <w:b/>
          <w:bCs/>
          <w:i/>
          <w:iCs/>
        </w:rPr>
        <w:t>Taxation</w:t>
      </w:r>
    </w:p>
    <w:p w14:paraId="62A15EAE" w14:textId="77777777" w:rsidR="00BA2765" w:rsidRPr="00BA2765" w:rsidRDefault="00BA2765" w:rsidP="00BA2765">
      <w:pPr>
        <w:spacing w:before="240" w:line="360" w:lineRule="auto"/>
        <w:jc w:val="both"/>
        <w:rPr>
          <w:b/>
          <w:bCs/>
          <w:i/>
          <w:iCs/>
        </w:rPr>
      </w:pPr>
      <w:r w:rsidRPr="00BA2765">
        <w:t>The divestiture can lead to the creation of capital gains that are taxable in various jurisdictions. Debt restructuring has impacts on the deductibility of interest and equity financing eliminates the tax shields regarding interest payment. The company should streamline the reorganization to provide avoidance of unnecessary taxation and full compliance to the international taxation laws and take into account the transfer pricing risks.</w:t>
      </w:r>
    </w:p>
    <w:p w14:paraId="63BA2794" w14:textId="77777777" w:rsidR="00BA2765" w:rsidRPr="00BA2765" w:rsidRDefault="00BA2765" w:rsidP="00BA2765">
      <w:pPr>
        <w:spacing w:before="240" w:line="360" w:lineRule="auto"/>
        <w:jc w:val="both"/>
        <w:rPr>
          <w:b/>
          <w:bCs/>
          <w:i/>
          <w:iCs/>
        </w:rPr>
      </w:pPr>
      <w:r w:rsidRPr="00BA2765">
        <w:rPr>
          <w:b/>
          <w:bCs/>
          <w:i/>
          <w:iCs/>
        </w:rPr>
        <w:t>Currency Risk</w:t>
      </w:r>
    </w:p>
    <w:p w14:paraId="778D47F5" w14:textId="77777777" w:rsidR="00BA2765" w:rsidRPr="00BA2765" w:rsidRDefault="00BA2765" w:rsidP="00BA2765">
      <w:pPr>
        <w:spacing w:before="240" w:line="360" w:lineRule="auto"/>
        <w:jc w:val="both"/>
        <w:rPr>
          <w:b/>
          <w:bCs/>
          <w:i/>
          <w:iCs/>
        </w:rPr>
      </w:pPr>
      <w:r w:rsidRPr="00BA2765">
        <w:t>General Electronics is a multinational company that sources components around the world, hence, it is exposed to the exchange rate volatility. Refinancing foreign debt to home-currency obligations minimizes the foreign exchange risk. The partners of mergers in stable currency also reduce exposure. The restructuring plan should include hedging measures (i.e., forwards, options).</w:t>
      </w:r>
    </w:p>
    <w:p w14:paraId="020E7120" w14:textId="77777777" w:rsidR="00BA2765" w:rsidRPr="00BA2765" w:rsidRDefault="00BA2765" w:rsidP="00BA2765">
      <w:pPr>
        <w:rPr>
          <w:b/>
          <w:bCs/>
          <w:i/>
          <w:iCs/>
        </w:rPr>
      </w:pPr>
      <w:r w:rsidRPr="00BA2765">
        <w:rPr>
          <w:b/>
          <w:bCs/>
          <w:i/>
          <w:iCs/>
        </w:rPr>
        <w:br w:type="page"/>
      </w:r>
    </w:p>
    <w:p w14:paraId="7F169A7C" w14:textId="77777777" w:rsidR="00BA2765" w:rsidRPr="00BA2765" w:rsidRDefault="00BA2765" w:rsidP="00BA2765">
      <w:pPr>
        <w:spacing w:before="240" w:line="360" w:lineRule="auto"/>
        <w:jc w:val="both"/>
        <w:rPr>
          <w:b/>
          <w:bCs/>
          <w:i/>
          <w:iCs/>
        </w:rPr>
      </w:pPr>
      <w:r w:rsidRPr="00BA2765">
        <w:rPr>
          <w:b/>
          <w:bCs/>
          <w:i/>
          <w:iCs/>
        </w:rPr>
        <w:t>Inflation</w:t>
      </w:r>
    </w:p>
    <w:p w14:paraId="21317A4B" w14:textId="77777777" w:rsidR="00BA2765" w:rsidRPr="00BA2765" w:rsidRDefault="00BA2765" w:rsidP="00BA2765">
      <w:pPr>
        <w:spacing w:before="240" w:line="360" w:lineRule="auto"/>
        <w:jc w:val="both"/>
      </w:pPr>
      <w:r w:rsidRPr="00BA2765">
        <w:t>Inflation in the supplier areas makes the costs of raw materials high, aggravating the cost structure of the firm. Restructuring debt shields cash flows in times of inflation, whereas selling price sensitive divisions eliminate exposure to the effects of inflation on the erosion of margins.</w:t>
      </w:r>
    </w:p>
    <w:p w14:paraId="022D413A" w14:textId="77777777" w:rsidR="00BA2765" w:rsidRPr="00BA2765" w:rsidRDefault="00BA2765" w:rsidP="00BA2765">
      <w:pPr>
        <w:spacing w:before="240" w:line="360" w:lineRule="auto"/>
        <w:jc w:val="both"/>
        <w:rPr>
          <w:b/>
          <w:bCs/>
          <w:i/>
          <w:iCs/>
        </w:rPr>
      </w:pPr>
      <w:r w:rsidRPr="00BA2765">
        <w:rPr>
          <w:b/>
          <w:bCs/>
          <w:i/>
          <w:iCs/>
        </w:rPr>
        <w:t>CSR and Ethical Responsibilities</w:t>
      </w:r>
    </w:p>
    <w:p w14:paraId="1D2C0778" w14:textId="77777777" w:rsidR="00BA2765" w:rsidRPr="00BA2765" w:rsidRDefault="00BA2765" w:rsidP="00BA2765">
      <w:pPr>
        <w:spacing w:before="240" w:line="360" w:lineRule="auto"/>
        <w:jc w:val="both"/>
        <w:rPr>
          <w:lang w:val="en-US"/>
        </w:rPr>
      </w:pPr>
      <w:r w:rsidRPr="00BA2765">
        <w:t xml:space="preserve">Through the restructuring process, the process needs to be supported with good ethics and corporate social responsibility (CSR) to ensure that the stakeholders trust the process. Open notification to employees on the possibility of job change, redeployment or divestiture effects should be communicated to reduce uncertainty. Such financial restructuring might necessitate downsizing of the workforce thereby incurring redundancy costs in terms of severance, retraining, and legal requirements and broader societal consequences on local communities </w:t>
      </w:r>
      <w:r w:rsidRPr="00BA2765">
        <w:rPr>
          <w:lang w:val="en-US"/>
        </w:rPr>
        <w:t>(Jafeel et al., 2023)</w:t>
      </w:r>
      <w:r w:rsidRPr="00BA2765">
        <w:t>. To safeguard stakeholder confidence and corporate image, ethical management by effective communication and equitable payments is necessary. The company is not supposed to engage in aggressive tax-minimisation strategies that might harm its reputation or go against the regulatory expectations. Disposal of any assets or closing of any facility should be done in an environmentally friendly manner that is harmless in handling of electronic components, recycling of materials and environmental regulations. Also, the company should uphold just labour standards especially when conducting cost-cutting measures such as offering severance, retraining, and assisting the stricken employees.</w:t>
      </w:r>
    </w:p>
    <w:p w14:paraId="3D273F51" w14:textId="77777777" w:rsidR="00BA2765" w:rsidRPr="00BA2765" w:rsidRDefault="00BA2765" w:rsidP="00BA2765">
      <w:pPr>
        <w:pStyle w:val="Heading1"/>
        <w:spacing w:before="240" w:after="240" w:line="360" w:lineRule="auto"/>
        <w:jc w:val="both"/>
      </w:pPr>
      <w:bookmarkStart w:id="35" w:name="_r9573yypfpu7" w:colFirst="0" w:colLast="0"/>
      <w:bookmarkStart w:id="36" w:name="_Toc216518042"/>
      <w:bookmarkEnd w:id="35"/>
      <w:r w:rsidRPr="00BA2765">
        <w:t>5. Investment Appraisal and Capital Budgeting</w:t>
      </w:r>
      <w:bookmarkEnd w:id="36"/>
    </w:p>
    <w:p w14:paraId="25B4E42A" w14:textId="77777777" w:rsidR="00BA2765" w:rsidRPr="00BA2765" w:rsidRDefault="00BA2765" w:rsidP="00BA2765">
      <w:pPr>
        <w:spacing w:after="240"/>
        <w:jc w:val="center"/>
        <w:rPr>
          <w:i/>
          <w:iCs/>
        </w:rPr>
      </w:pPr>
      <w:r w:rsidRPr="00BA2765">
        <w:rPr>
          <w:i/>
          <w:iCs/>
        </w:rPr>
        <w:t>Table-10: Project Cash Flows (in £million)</w:t>
      </w:r>
    </w:p>
    <w:p w14:paraId="27A1DBA7" w14:textId="77777777" w:rsidR="00BA2765" w:rsidRPr="00BA2765" w:rsidRDefault="00BA2765" w:rsidP="00BA2765">
      <w:pPr>
        <w:jc w:val="center"/>
      </w:pPr>
      <w:r w:rsidRPr="00BA2765">
        <w:rPr>
          <w:noProof/>
        </w:rPr>
        <w:drawing>
          <wp:inline distT="0" distB="0" distL="0" distR="0" wp14:anchorId="67B0B6DC" wp14:editId="0163F982">
            <wp:extent cx="3496163" cy="1390844"/>
            <wp:effectExtent l="0" t="0" r="9525" b="0"/>
            <wp:docPr id="176189433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894332" name="Picture 1" descr="A table with text on it&#10;&#10;AI-generated content may be incorrect."/>
                    <pic:cNvPicPr/>
                  </pic:nvPicPr>
                  <pic:blipFill>
                    <a:blip r:embed="rId15"/>
                    <a:stretch>
                      <a:fillRect/>
                    </a:stretch>
                  </pic:blipFill>
                  <pic:spPr>
                    <a:xfrm>
                      <a:off x="0" y="0"/>
                      <a:ext cx="3496163" cy="1390844"/>
                    </a:xfrm>
                    <a:prstGeom prst="rect">
                      <a:avLst/>
                    </a:prstGeom>
                  </pic:spPr>
                </pic:pic>
              </a:graphicData>
            </a:graphic>
          </wp:inline>
        </w:drawing>
      </w:r>
    </w:p>
    <w:p w14:paraId="07745895" w14:textId="77777777" w:rsidR="00BA2765" w:rsidRPr="00BA2765" w:rsidRDefault="00BA2765" w:rsidP="00BA2765">
      <w:pPr>
        <w:spacing w:before="240" w:line="360" w:lineRule="auto"/>
        <w:jc w:val="both"/>
        <w:rPr>
          <w:lang w:val="en-US"/>
        </w:rPr>
      </w:pPr>
      <w:r w:rsidRPr="00BA2765">
        <w:t xml:space="preserve">The choice of optimal capital investment is an important strategy decision that directly determines its long-term shareholder value, financial sustainability, and operational competitiveness </w:t>
      </w:r>
      <w:r w:rsidRPr="00BA2765">
        <w:rPr>
          <w:lang w:val="en-US"/>
        </w:rPr>
        <w:t>(Sangster, 1993)</w:t>
      </w:r>
      <w:r w:rsidRPr="00BA2765">
        <w:t>. General Electronics is now considering three mutually exclusive projects A, B, and C, all of which involve a large initial investment and will result in cash flows during a period of five years. In order to be rigorous and objective in the assessment, five commonly used appraisal methods are used: PBP, ARR, NPV, PI, and IRR. The discount rate is to be 10 percent and depreciation of all assets is straight-line to zero. There is also a capital rationing constraint which limits the firm to invest up to £60 million which forces not only to rank the projects, but also to choose the best portfolio with budget constraints. The results are provided in the following Table-11.</w:t>
      </w:r>
    </w:p>
    <w:p w14:paraId="1577077A" w14:textId="77777777" w:rsidR="00BA2765" w:rsidRPr="00BA2765" w:rsidRDefault="00BA2765" w:rsidP="00BA2765">
      <w:pPr>
        <w:spacing w:after="240"/>
        <w:jc w:val="center"/>
        <w:rPr>
          <w:i/>
          <w:iCs/>
        </w:rPr>
      </w:pPr>
      <w:r w:rsidRPr="00BA2765">
        <w:rPr>
          <w:i/>
          <w:iCs/>
        </w:rPr>
        <w:t>Table-11: Summary of Results</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447"/>
        <w:gridCol w:w="1916"/>
        <w:gridCol w:w="2072"/>
        <w:gridCol w:w="1915"/>
      </w:tblGrid>
      <w:tr w:rsidR="00BA2765" w:rsidRPr="00BA2765" w14:paraId="6887E82D" w14:textId="77777777" w:rsidTr="00134B76">
        <w:trPr>
          <w:trHeight w:val="20"/>
        </w:trPr>
        <w:tc>
          <w:tcPr>
            <w:tcW w:w="3447" w:type="dxa"/>
          </w:tcPr>
          <w:p w14:paraId="12668168" w14:textId="77777777" w:rsidR="00BA2765" w:rsidRPr="00BA2765" w:rsidRDefault="00BA2765" w:rsidP="00134B76">
            <w:pPr>
              <w:spacing w:line="360" w:lineRule="auto"/>
              <w:jc w:val="center"/>
              <w:rPr>
                <w:b/>
                <w:bCs/>
              </w:rPr>
            </w:pPr>
            <w:r w:rsidRPr="00BA2765">
              <w:rPr>
                <w:b/>
                <w:bCs/>
              </w:rPr>
              <w:t>Methods</w:t>
            </w:r>
          </w:p>
        </w:tc>
        <w:tc>
          <w:tcPr>
            <w:tcW w:w="1916" w:type="dxa"/>
          </w:tcPr>
          <w:p w14:paraId="017F1B19" w14:textId="77777777" w:rsidR="00BA2765" w:rsidRPr="00BA2765" w:rsidRDefault="00BA2765" w:rsidP="00134B76">
            <w:pPr>
              <w:spacing w:line="360" w:lineRule="auto"/>
              <w:jc w:val="center"/>
              <w:rPr>
                <w:b/>
                <w:bCs/>
              </w:rPr>
            </w:pPr>
            <w:r w:rsidRPr="00BA2765">
              <w:rPr>
                <w:b/>
                <w:bCs/>
              </w:rPr>
              <w:t>Project A</w:t>
            </w:r>
          </w:p>
        </w:tc>
        <w:tc>
          <w:tcPr>
            <w:tcW w:w="2072" w:type="dxa"/>
          </w:tcPr>
          <w:p w14:paraId="043F36EC" w14:textId="77777777" w:rsidR="00BA2765" w:rsidRPr="00BA2765" w:rsidRDefault="00BA2765" w:rsidP="00134B76">
            <w:pPr>
              <w:spacing w:line="360" w:lineRule="auto"/>
              <w:jc w:val="center"/>
              <w:rPr>
                <w:b/>
                <w:bCs/>
              </w:rPr>
            </w:pPr>
            <w:r w:rsidRPr="00BA2765">
              <w:rPr>
                <w:b/>
                <w:bCs/>
              </w:rPr>
              <w:t>Project B</w:t>
            </w:r>
          </w:p>
        </w:tc>
        <w:tc>
          <w:tcPr>
            <w:tcW w:w="1915" w:type="dxa"/>
          </w:tcPr>
          <w:p w14:paraId="082AAEFE" w14:textId="77777777" w:rsidR="00BA2765" w:rsidRPr="00BA2765" w:rsidRDefault="00BA2765" w:rsidP="00134B76">
            <w:pPr>
              <w:spacing w:line="360" w:lineRule="auto"/>
              <w:jc w:val="center"/>
              <w:rPr>
                <w:b/>
                <w:bCs/>
              </w:rPr>
            </w:pPr>
            <w:r w:rsidRPr="00BA2765">
              <w:rPr>
                <w:b/>
                <w:bCs/>
              </w:rPr>
              <w:t>Project C</w:t>
            </w:r>
          </w:p>
        </w:tc>
      </w:tr>
      <w:tr w:rsidR="00BA2765" w:rsidRPr="00BA2765" w14:paraId="6F210A4B" w14:textId="77777777" w:rsidTr="00134B76">
        <w:trPr>
          <w:trHeight w:val="20"/>
        </w:trPr>
        <w:tc>
          <w:tcPr>
            <w:tcW w:w="3447" w:type="dxa"/>
          </w:tcPr>
          <w:p w14:paraId="40E2FAC0" w14:textId="77777777" w:rsidR="00BA2765" w:rsidRPr="00BA2765" w:rsidRDefault="00BA2765" w:rsidP="00134B76">
            <w:pPr>
              <w:spacing w:line="360" w:lineRule="auto"/>
              <w:jc w:val="both"/>
              <w:rPr>
                <w:b/>
                <w:bCs/>
              </w:rPr>
            </w:pPr>
            <w:r w:rsidRPr="00BA2765">
              <w:rPr>
                <w:b/>
                <w:bCs/>
              </w:rPr>
              <w:t>Payback Period (Years)</w:t>
            </w:r>
          </w:p>
        </w:tc>
        <w:tc>
          <w:tcPr>
            <w:tcW w:w="1916" w:type="dxa"/>
          </w:tcPr>
          <w:p w14:paraId="5EBA654D" w14:textId="77777777" w:rsidR="00BA2765" w:rsidRPr="00BA2765" w:rsidRDefault="00BA2765" w:rsidP="00134B76">
            <w:pPr>
              <w:spacing w:line="360" w:lineRule="auto"/>
              <w:jc w:val="both"/>
            </w:pPr>
            <w:r w:rsidRPr="00BA2765">
              <w:t>3.4</w:t>
            </w:r>
          </w:p>
        </w:tc>
        <w:tc>
          <w:tcPr>
            <w:tcW w:w="2072" w:type="dxa"/>
          </w:tcPr>
          <w:p w14:paraId="2FCD14BD" w14:textId="77777777" w:rsidR="00BA2765" w:rsidRPr="00BA2765" w:rsidRDefault="00BA2765" w:rsidP="00134B76">
            <w:pPr>
              <w:spacing w:line="360" w:lineRule="auto"/>
              <w:jc w:val="both"/>
            </w:pPr>
            <w:r w:rsidRPr="00BA2765">
              <w:t>5.0</w:t>
            </w:r>
          </w:p>
        </w:tc>
        <w:tc>
          <w:tcPr>
            <w:tcW w:w="1915" w:type="dxa"/>
          </w:tcPr>
          <w:p w14:paraId="69A1615D" w14:textId="77777777" w:rsidR="00BA2765" w:rsidRPr="00BA2765" w:rsidRDefault="00BA2765" w:rsidP="00134B76">
            <w:pPr>
              <w:spacing w:line="360" w:lineRule="auto"/>
              <w:jc w:val="both"/>
            </w:pPr>
            <w:r w:rsidRPr="00BA2765">
              <w:t>3.6</w:t>
            </w:r>
          </w:p>
        </w:tc>
      </w:tr>
      <w:tr w:rsidR="00BA2765" w:rsidRPr="00BA2765" w14:paraId="7F6BB5BF" w14:textId="77777777" w:rsidTr="00134B76">
        <w:trPr>
          <w:trHeight w:val="20"/>
        </w:trPr>
        <w:tc>
          <w:tcPr>
            <w:tcW w:w="3447" w:type="dxa"/>
          </w:tcPr>
          <w:p w14:paraId="6194D375" w14:textId="77777777" w:rsidR="00BA2765" w:rsidRPr="00BA2765" w:rsidRDefault="00BA2765" w:rsidP="00134B76">
            <w:pPr>
              <w:spacing w:line="360" w:lineRule="auto"/>
              <w:jc w:val="both"/>
              <w:rPr>
                <w:b/>
                <w:bCs/>
              </w:rPr>
            </w:pPr>
            <w:r w:rsidRPr="00BA2765">
              <w:rPr>
                <w:b/>
                <w:bCs/>
              </w:rPr>
              <w:t>ARR</w:t>
            </w:r>
          </w:p>
        </w:tc>
        <w:tc>
          <w:tcPr>
            <w:tcW w:w="1916" w:type="dxa"/>
          </w:tcPr>
          <w:p w14:paraId="25812538" w14:textId="77777777" w:rsidR="00BA2765" w:rsidRPr="00BA2765" w:rsidRDefault="00BA2765" w:rsidP="00134B76">
            <w:pPr>
              <w:spacing w:line="360" w:lineRule="auto"/>
              <w:jc w:val="both"/>
            </w:pPr>
            <w:r w:rsidRPr="00BA2765">
              <w:t>14%</w:t>
            </w:r>
          </w:p>
        </w:tc>
        <w:tc>
          <w:tcPr>
            <w:tcW w:w="2072" w:type="dxa"/>
          </w:tcPr>
          <w:p w14:paraId="667D9688" w14:textId="77777777" w:rsidR="00BA2765" w:rsidRPr="00BA2765" w:rsidRDefault="00BA2765" w:rsidP="00134B76">
            <w:pPr>
              <w:spacing w:line="360" w:lineRule="auto"/>
              <w:jc w:val="both"/>
            </w:pPr>
            <w:r w:rsidRPr="00BA2765">
              <w:t>0%</w:t>
            </w:r>
          </w:p>
        </w:tc>
        <w:tc>
          <w:tcPr>
            <w:tcW w:w="1915" w:type="dxa"/>
          </w:tcPr>
          <w:p w14:paraId="7B04BA4A" w14:textId="77777777" w:rsidR="00BA2765" w:rsidRPr="00BA2765" w:rsidRDefault="00BA2765" w:rsidP="00134B76">
            <w:pPr>
              <w:spacing w:line="360" w:lineRule="auto"/>
              <w:jc w:val="both"/>
            </w:pPr>
            <w:r w:rsidRPr="00BA2765">
              <w:t>20%</w:t>
            </w:r>
          </w:p>
        </w:tc>
      </w:tr>
      <w:tr w:rsidR="00BA2765" w:rsidRPr="00BA2765" w14:paraId="35F621C4" w14:textId="77777777" w:rsidTr="00134B76">
        <w:trPr>
          <w:trHeight w:val="20"/>
        </w:trPr>
        <w:tc>
          <w:tcPr>
            <w:tcW w:w="3447" w:type="dxa"/>
          </w:tcPr>
          <w:p w14:paraId="62284CCE" w14:textId="77777777" w:rsidR="00BA2765" w:rsidRPr="00BA2765" w:rsidRDefault="00BA2765" w:rsidP="00134B76">
            <w:pPr>
              <w:spacing w:line="360" w:lineRule="auto"/>
              <w:jc w:val="both"/>
              <w:rPr>
                <w:b/>
                <w:bCs/>
              </w:rPr>
            </w:pPr>
            <w:r w:rsidRPr="00BA2765">
              <w:rPr>
                <w:b/>
                <w:bCs/>
              </w:rPr>
              <w:t>NPV (£)</w:t>
            </w:r>
          </w:p>
        </w:tc>
        <w:tc>
          <w:tcPr>
            <w:tcW w:w="1916" w:type="dxa"/>
          </w:tcPr>
          <w:p w14:paraId="3F1774BF" w14:textId="77777777" w:rsidR="00BA2765" w:rsidRPr="00BA2765" w:rsidRDefault="00BA2765" w:rsidP="00134B76">
            <w:pPr>
              <w:spacing w:line="360" w:lineRule="auto"/>
              <w:jc w:val="both"/>
            </w:pPr>
            <w:r w:rsidRPr="00BA2765">
              <w:t>1,324,176.81</w:t>
            </w:r>
          </w:p>
        </w:tc>
        <w:tc>
          <w:tcPr>
            <w:tcW w:w="2072" w:type="dxa"/>
          </w:tcPr>
          <w:p w14:paraId="01E68B2C" w14:textId="77777777" w:rsidR="00BA2765" w:rsidRPr="00BA2765" w:rsidRDefault="00BA2765" w:rsidP="00134B76">
            <w:pPr>
              <w:spacing w:line="360" w:lineRule="auto"/>
              <w:jc w:val="both"/>
            </w:pPr>
            <w:r w:rsidRPr="00BA2765">
              <w:t>–7,255,279.38</w:t>
            </w:r>
          </w:p>
        </w:tc>
        <w:tc>
          <w:tcPr>
            <w:tcW w:w="1915" w:type="dxa"/>
          </w:tcPr>
          <w:p w14:paraId="0475CAEA" w14:textId="77777777" w:rsidR="00BA2765" w:rsidRPr="00BA2765" w:rsidRDefault="00BA2765" w:rsidP="00134B76">
            <w:pPr>
              <w:spacing w:line="360" w:lineRule="auto"/>
              <w:jc w:val="both"/>
            </w:pPr>
            <w:r w:rsidRPr="00BA2765">
              <w:t>4,225,369.60</w:t>
            </w:r>
          </w:p>
        </w:tc>
      </w:tr>
      <w:tr w:rsidR="00BA2765" w:rsidRPr="00BA2765" w14:paraId="7378187A" w14:textId="77777777" w:rsidTr="00134B76">
        <w:trPr>
          <w:trHeight w:val="20"/>
        </w:trPr>
        <w:tc>
          <w:tcPr>
            <w:tcW w:w="3447" w:type="dxa"/>
          </w:tcPr>
          <w:p w14:paraId="3E7A33DD" w14:textId="77777777" w:rsidR="00BA2765" w:rsidRPr="00BA2765" w:rsidRDefault="00BA2765" w:rsidP="00134B76">
            <w:pPr>
              <w:spacing w:line="360" w:lineRule="auto"/>
              <w:jc w:val="both"/>
              <w:rPr>
                <w:b/>
                <w:bCs/>
              </w:rPr>
            </w:pPr>
            <w:r w:rsidRPr="00BA2765">
              <w:rPr>
                <w:b/>
                <w:bCs/>
              </w:rPr>
              <w:t>Profitability Index (PI)</w:t>
            </w:r>
          </w:p>
        </w:tc>
        <w:tc>
          <w:tcPr>
            <w:tcW w:w="1916" w:type="dxa"/>
          </w:tcPr>
          <w:p w14:paraId="71248B69" w14:textId="77777777" w:rsidR="00BA2765" w:rsidRPr="00BA2765" w:rsidRDefault="00BA2765" w:rsidP="00134B76">
            <w:pPr>
              <w:spacing w:line="360" w:lineRule="auto"/>
              <w:jc w:val="both"/>
            </w:pPr>
            <w:r w:rsidRPr="00BA2765">
              <w:t>1.033</w:t>
            </w:r>
          </w:p>
        </w:tc>
        <w:tc>
          <w:tcPr>
            <w:tcW w:w="2072" w:type="dxa"/>
          </w:tcPr>
          <w:p w14:paraId="22052B17" w14:textId="77777777" w:rsidR="00BA2765" w:rsidRPr="00BA2765" w:rsidRDefault="00BA2765" w:rsidP="00134B76">
            <w:pPr>
              <w:spacing w:line="360" w:lineRule="auto"/>
              <w:jc w:val="both"/>
            </w:pPr>
            <w:r w:rsidRPr="00BA2765">
              <w:t>0.758</w:t>
            </w:r>
          </w:p>
        </w:tc>
        <w:tc>
          <w:tcPr>
            <w:tcW w:w="1915" w:type="dxa"/>
          </w:tcPr>
          <w:p w14:paraId="3B52D311" w14:textId="77777777" w:rsidR="00BA2765" w:rsidRPr="00BA2765" w:rsidRDefault="00BA2765" w:rsidP="00134B76">
            <w:pPr>
              <w:spacing w:line="360" w:lineRule="auto"/>
              <w:jc w:val="both"/>
            </w:pPr>
            <w:r w:rsidRPr="00BA2765">
              <w:t>1.085</w:t>
            </w:r>
          </w:p>
        </w:tc>
      </w:tr>
      <w:tr w:rsidR="00BA2765" w:rsidRPr="00BA2765" w14:paraId="12313E99" w14:textId="77777777" w:rsidTr="00134B76">
        <w:trPr>
          <w:trHeight w:val="20"/>
        </w:trPr>
        <w:tc>
          <w:tcPr>
            <w:tcW w:w="3447" w:type="dxa"/>
          </w:tcPr>
          <w:p w14:paraId="614FF056" w14:textId="77777777" w:rsidR="00BA2765" w:rsidRPr="00BA2765" w:rsidRDefault="00BA2765" w:rsidP="00134B76">
            <w:pPr>
              <w:spacing w:line="360" w:lineRule="auto"/>
              <w:jc w:val="both"/>
              <w:rPr>
                <w:b/>
                <w:bCs/>
              </w:rPr>
            </w:pPr>
            <w:r w:rsidRPr="00BA2765">
              <w:rPr>
                <w:b/>
                <w:bCs/>
              </w:rPr>
              <w:t>IRR</w:t>
            </w:r>
          </w:p>
        </w:tc>
        <w:tc>
          <w:tcPr>
            <w:tcW w:w="1916" w:type="dxa"/>
          </w:tcPr>
          <w:p w14:paraId="52C4025C" w14:textId="77777777" w:rsidR="00BA2765" w:rsidRPr="00BA2765" w:rsidRDefault="00BA2765" w:rsidP="00134B76">
            <w:pPr>
              <w:spacing w:line="360" w:lineRule="auto"/>
              <w:jc w:val="both"/>
            </w:pPr>
            <w:r w:rsidRPr="00BA2765">
              <w:t>11.33%</w:t>
            </w:r>
          </w:p>
        </w:tc>
        <w:tc>
          <w:tcPr>
            <w:tcW w:w="2072" w:type="dxa"/>
          </w:tcPr>
          <w:p w14:paraId="449B6B92" w14:textId="77777777" w:rsidR="00BA2765" w:rsidRPr="00BA2765" w:rsidRDefault="00BA2765" w:rsidP="00134B76">
            <w:pPr>
              <w:spacing w:line="360" w:lineRule="auto"/>
              <w:jc w:val="both"/>
            </w:pPr>
            <w:r w:rsidRPr="00BA2765">
              <w:t>0.00%</w:t>
            </w:r>
          </w:p>
        </w:tc>
        <w:tc>
          <w:tcPr>
            <w:tcW w:w="1915" w:type="dxa"/>
          </w:tcPr>
          <w:p w14:paraId="197AAC50" w14:textId="77777777" w:rsidR="00BA2765" w:rsidRPr="00BA2765" w:rsidRDefault="00BA2765" w:rsidP="00134B76">
            <w:pPr>
              <w:spacing w:line="360" w:lineRule="auto"/>
              <w:jc w:val="both"/>
            </w:pPr>
            <w:r w:rsidRPr="00BA2765">
              <w:t>12.72%</w:t>
            </w:r>
          </w:p>
        </w:tc>
      </w:tr>
    </w:tbl>
    <w:p w14:paraId="063B3CA4" w14:textId="77777777" w:rsidR="00BA2765" w:rsidRPr="00BA2765" w:rsidRDefault="00BA2765" w:rsidP="00BA2765">
      <w:pPr>
        <w:spacing w:line="360" w:lineRule="auto"/>
        <w:jc w:val="both"/>
      </w:pPr>
    </w:p>
    <w:p w14:paraId="299216E0" w14:textId="77777777" w:rsidR="00BA2765" w:rsidRPr="00BA2765" w:rsidRDefault="00BA2765" w:rsidP="00BA2765">
      <w:pPr>
        <w:rPr>
          <w:b/>
          <w:bCs/>
        </w:rPr>
      </w:pPr>
      <w:bookmarkStart w:id="37" w:name="_hsm0sikyjsxp" w:colFirst="0" w:colLast="0"/>
      <w:bookmarkStart w:id="38" w:name="_Toc216518043"/>
      <w:bookmarkEnd w:id="37"/>
      <w:r w:rsidRPr="00BA2765">
        <w:br w:type="page"/>
      </w:r>
    </w:p>
    <w:p w14:paraId="64846B29" w14:textId="77777777" w:rsidR="00BA2765" w:rsidRPr="00BA2765" w:rsidRDefault="00BA2765" w:rsidP="00BA2765">
      <w:pPr>
        <w:pStyle w:val="Heading2"/>
        <w:spacing w:before="240" w:line="360" w:lineRule="auto"/>
        <w:jc w:val="both"/>
      </w:pPr>
      <w:r w:rsidRPr="00BA2765">
        <w:t>5.1. Payback Period Analysis (PBP)</w:t>
      </w:r>
      <w:bookmarkEnd w:id="38"/>
    </w:p>
    <w:p w14:paraId="470FF14A" w14:textId="77777777" w:rsidR="00BA2765" w:rsidRPr="00BA2765" w:rsidRDefault="00BA2765" w:rsidP="00BA2765">
      <w:pPr>
        <w:spacing w:after="240"/>
        <w:jc w:val="center"/>
        <w:rPr>
          <w:i/>
          <w:iCs/>
        </w:rPr>
      </w:pPr>
      <w:r w:rsidRPr="00BA2765">
        <w:rPr>
          <w:i/>
          <w:iCs/>
        </w:rPr>
        <w:t>Table-12: PBP Calculation</w:t>
      </w:r>
    </w:p>
    <w:p w14:paraId="49A88537" w14:textId="77777777" w:rsidR="00BA2765" w:rsidRPr="00BA2765" w:rsidRDefault="00BA2765" w:rsidP="00BA2765">
      <w:r w:rsidRPr="00BA2765">
        <w:rPr>
          <w:noProof/>
        </w:rPr>
        <w:drawing>
          <wp:inline distT="0" distB="0" distL="0" distR="0" wp14:anchorId="7367A3B3" wp14:editId="6A000210">
            <wp:extent cx="5943600" cy="2578100"/>
            <wp:effectExtent l="0" t="0" r="0" b="0"/>
            <wp:docPr id="777022457" name="Picture 1" descr="A table of cash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22457" name="Picture 1" descr="A table of cash flow&#10;&#10;AI-generated content may be incorrect."/>
                    <pic:cNvPicPr/>
                  </pic:nvPicPr>
                  <pic:blipFill>
                    <a:blip r:embed="rId16"/>
                    <a:stretch>
                      <a:fillRect/>
                    </a:stretch>
                  </pic:blipFill>
                  <pic:spPr>
                    <a:xfrm>
                      <a:off x="0" y="0"/>
                      <a:ext cx="5943600" cy="2578100"/>
                    </a:xfrm>
                    <a:prstGeom prst="rect">
                      <a:avLst/>
                    </a:prstGeom>
                  </pic:spPr>
                </pic:pic>
              </a:graphicData>
            </a:graphic>
          </wp:inline>
        </w:drawing>
      </w:r>
    </w:p>
    <w:p w14:paraId="610B66F2" w14:textId="77777777" w:rsidR="00BA2765" w:rsidRPr="00BA2765" w:rsidRDefault="00BA2765" w:rsidP="00BA2765">
      <w:pPr>
        <w:spacing w:before="240" w:line="360" w:lineRule="auto"/>
        <w:jc w:val="both"/>
      </w:pPr>
      <w:r w:rsidRPr="00BA2765">
        <w:t>Payback period is the duration in which the initial investment is recovered using the net cash inflows. It is a liquidity-based measure that is frequently applied in industries where cash flow risks are high. Project A and C have a higher rate of payback than Project B. Since General Electronics has a long working capital cycle and an increased liquidity strain, the short payback projects are strategically beneficial since it reduces the tight cash flow in the short run and minimizes the vulnerability of financial risk. The four-year payback in project B is not as appealing and can increase liquidity stress. Thus, in terms of pure liquidity and the risk-reduction, Projects A and C are better than Project B.</w:t>
      </w:r>
    </w:p>
    <w:p w14:paraId="0D793533" w14:textId="77777777" w:rsidR="00BA2765" w:rsidRPr="00BA2765" w:rsidRDefault="00BA2765" w:rsidP="00BA2765">
      <w:pPr>
        <w:rPr>
          <w:b/>
          <w:bCs/>
        </w:rPr>
      </w:pPr>
      <w:bookmarkStart w:id="39" w:name="_9ozfck5mwswi" w:colFirst="0" w:colLast="0"/>
      <w:bookmarkStart w:id="40" w:name="_Toc216518044"/>
      <w:bookmarkEnd w:id="39"/>
      <w:r w:rsidRPr="00BA2765">
        <w:br w:type="page"/>
      </w:r>
    </w:p>
    <w:p w14:paraId="7DFA8C7D" w14:textId="77777777" w:rsidR="00BA2765" w:rsidRPr="00BA2765" w:rsidRDefault="00BA2765" w:rsidP="00BA2765">
      <w:pPr>
        <w:pStyle w:val="Heading2"/>
        <w:spacing w:before="240" w:line="360" w:lineRule="auto"/>
        <w:jc w:val="both"/>
      </w:pPr>
      <w:r w:rsidRPr="00BA2765">
        <w:t>5.2. Accounting Rate of Return (ARR)</w:t>
      </w:r>
      <w:bookmarkEnd w:id="40"/>
    </w:p>
    <w:p w14:paraId="0FEC82A3" w14:textId="77777777" w:rsidR="00BA2765" w:rsidRPr="00BA2765" w:rsidRDefault="00BA2765" w:rsidP="00BA2765">
      <w:pPr>
        <w:spacing w:after="240"/>
        <w:jc w:val="center"/>
        <w:rPr>
          <w:i/>
          <w:iCs/>
        </w:rPr>
      </w:pPr>
      <w:r w:rsidRPr="00BA2765">
        <w:rPr>
          <w:i/>
          <w:iCs/>
        </w:rPr>
        <w:t>Table-13: ARR Calculation</w:t>
      </w:r>
    </w:p>
    <w:p w14:paraId="7F5C57FD" w14:textId="77777777" w:rsidR="00BA2765" w:rsidRPr="00BA2765" w:rsidRDefault="00BA2765" w:rsidP="00BA2765">
      <w:r w:rsidRPr="00BA2765">
        <w:rPr>
          <w:noProof/>
        </w:rPr>
        <w:drawing>
          <wp:inline distT="0" distB="0" distL="0" distR="0" wp14:anchorId="1D5C04BE" wp14:editId="6E2EBA32">
            <wp:extent cx="5943600" cy="3314065"/>
            <wp:effectExtent l="0" t="0" r="0" b="635"/>
            <wp:docPr id="172031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310047" name=""/>
                    <pic:cNvPicPr/>
                  </pic:nvPicPr>
                  <pic:blipFill rotWithShape="1">
                    <a:blip r:embed="rId17"/>
                    <a:srcRect t="2794"/>
                    <a:stretch>
                      <a:fillRect/>
                    </a:stretch>
                  </pic:blipFill>
                  <pic:spPr bwMode="auto">
                    <a:xfrm>
                      <a:off x="0" y="0"/>
                      <a:ext cx="5943600" cy="3314065"/>
                    </a:xfrm>
                    <a:prstGeom prst="rect">
                      <a:avLst/>
                    </a:prstGeom>
                    <a:ln>
                      <a:noFill/>
                    </a:ln>
                    <a:extLst>
                      <a:ext uri="{53640926-AAD7-44D8-BBD7-CCE9431645EC}">
                        <a14:shadowObscured xmlns:a14="http://schemas.microsoft.com/office/drawing/2010/main"/>
                      </a:ext>
                    </a:extLst>
                  </pic:spPr>
                </pic:pic>
              </a:graphicData>
            </a:graphic>
          </wp:inline>
        </w:drawing>
      </w:r>
    </w:p>
    <w:p w14:paraId="14A88EA2" w14:textId="77777777" w:rsidR="00BA2765" w:rsidRPr="00BA2765" w:rsidRDefault="00BA2765" w:rsidP="00BA2765">
      <w:pPr>
        <w:spacing w:before="240" w:line="360" w:lineRule="auto"/>
        <w:jc w:val="both"/>
      </w:pPr>
      <w:r w:rsidRPr="00BA2765">
        <w:t>ARR measures the profitability in terms of the average annual accounting profits as compared to the initial investment. Project C provides the best ARR (20%), which implies high accounting profitability. Project A is moderately performing with 14% whereas Project B is not bringing any accounting profit meaning it is not worth considering in terms of return-on-investment. Although ARR does not consider the time value of money, it is still effective in the measurement of performance in terms of book values and the evaluation of incentives among the managers. The high ARR of Project C supports its appeal and shows that it generates more profits throughout the life of project operations.</w:t>
      </w:r>
    </w:p>
    <w:p w14:paraId="21748AC9" w14:textId="77777777" w:rsidR="00BA2765" w:rsidRPr="00BA2765" w:rsidRDefault="00BA2765" w:rsidP="00BA2765">
      <w:pPr>
        <w:rPr>
          <w:b/>
          <w:bCs/>
        </w:rPr>
      </w:pPr>
      <w:bookmarkStart w:id="41" w:name="_5e0xjnh2q0ek" w:colFirst="0" w:colLast="0"/>
      <w:bookmarkStart w:id="42" w:name="_Toc216518045"/>
      <w:bookmarkEnd w:id="41"/>
      <w:r w:rsidRPr="00BA2765">
        <w:br w:type="page"/>
      </w:r>
    </w:p>
    <w:p w14:paraId="0EFD01C3" w14:textId="77777777" w:rsidR="00BA2765" w:rsidRPr="00BA2765" w:rsidRDefault="00BA2765" w:rsidP="00BA2765">
      <w:pPr>
        <w:pStyle w:val="Heading2"/>
        <w:spacing w:before="240" w:line="360" w:lineRule="auto"/>
        <w:jc w:val="both"/>
      </w:pPr>
      <w:r w:rsidRPr="00BA2765">
        <w:t>5.3. Net Present Value (NPV)</w:t>
      </w:r>
      <w:bookmarkEnd w:id="42"/>
    </w:p>
    <w:p w14:paraId="1B3946EC" w14:textId="77777777" w:rsidR="00BA2765" w:rsidRPr="00BA2765" w:rsidRDefault="00BA2765" w:rsidP="00BA2765">
      <w:pPr>
        <w:spacing w:after="240"/>
        <w:jc w:val="center"/>
        <w:rPr>
          <w:i/>
          <w:iCs/>
        </w:rPr>
      </w:pPr>
      <w:r w:rsidRPr="00BA2765">
        <w:rPr>
          <w:i/>
          <w:iCs/>
        </w:rPr>
        <w:t>Table-14: NPV calculation</w:t>
      </w:r>
    </w:p>
    <w:p w14:paraId="7F627E3C" w14:textId="77777777" w:rsidR="00BA2765" w:rsidRPr="00BA2765" w:rsidRDefault="00BA2765" w:rsidP="00BA2765">
      <w:r w:rsidRPr="00BA2765">
        <w:rPr>
          <w:noProof/>
        </w:rPr>
        <w:drawing>
          <wp:inline distT="0" distB="0" distL="0" distR="0" wp14:anchorId="11AA13D1" wp14:editId="44C6F1F2">
            <wp:extent cx="5943600" cy="839470"/>
            <wp:effectExtent l="0" t="0" r="0" b="0"/>
            <wp:docPr id="70128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80986" name=""/>
                    <pic:cNvPicPr/>
                  </pic:nvPicPr>
                  <pic:blipFill>
                    <a:blip r:embed="rId18"/>
                    <a:stretch>
                      <a:fillRect/>
                    </a:stretch>
                  </pic:blipFill>
                  <pic:spPr>
                    <a:xfrm>
                      <a:off x="0" y="0"/>
                      <a:ext cx="5943600" cy="839470"/>
                    </a:xfrm>
                    <a:prstGeom prst="rect">
                      <a:avLst/>
                    </a:prstGeom>
                  </pic:spPr>
                </pic:pic>
              </a:graphicData>
            </a:graphic>
          </wp:inline>
        </w:drawing>
      </w:r>
    </w:p>
    <w:p w14:paraId="0091ADF9" w14:textId="77777777" w:rsidR="00BA2765" w:rsidRPr="00BA2765" w:rsidRDefault="00BA2765" w:rsidP="00BA2765">
      <w:pPr>
        <w:spacing w:before="240" w:line="360" w:lineRule="auto"/>
        <w:jc w:val="both"/>
      </w:pPr>
      <w:r w:rsidRPr="00BA2765">
        <w:t>NPV is the most theoretically objective technique or method of appraisal since it considers the size and the timing of cash flows. It quantitatively measures the anticipated growth in the shareholder wealth. When NPV is positive, it implies value creation whereas a negative NPV implies the destruction of values. Project C has the best NPV and therefore, the most robust addition to the shareholder value. Project A has a small positive NPV as well. Project B has an NPV of a certain negative value, meaning that the project should be discarded. In the case of a firm such as General Electronics, which is currently reducing in profitability and under pressure on its financial side, it is necessary to focus on the projects that can generate the greatest value. Under the NPV, Project C comes first hence Project A, and Project B is rejected.</w:t>
      </w:r>
    </w:p>
    <w:p w14:paraId="6FCBEBC4" w14:textId="77777777" w:rsidR="00BA2765" w:rsidRPr="00BA2765" w:rsidRDefault="00BA2765" w:rsidP="00BA2765">
      <w:pPr>
        <w:pStyle w:val="Heading2"/>
        <w:spacing w:before="240" w:line="360" w:lineRule="auto"/>
        <w:jc w:val="both"/>
      </w:pPr>
      <w:bookmarkStart w:id="43" w:name="_4n2eieurzams" w:colFirst="0" w:colLast="0"/>
      <w:bookmarkStart w:id="44" w:name="_Toc216518046"/>
      <w:bookmarkEnd w:id="43"/>
      <w:r w:rsidRPr="00BA2765">
        <w:t>5.4. Profitability Index (PI)</w:t>
      </w:r>
      <w:bookmarkEnd w:id="44"/>
    </w:p>
    <w:p w14:paraId="7D20B4E3" w14:textId="77777777" w:rsidR="00BA2765" w:rsidRPr="00BA2765" w:rsidRDefault="00BA2765" w:rsidP="00BA2765">
      <w:pPr>
        <w:spacing w:after="240"/>
        <w:jc w:val="center"/>
        <w:rPr>
          <w:i/>
          <w:iCs/>
        </w:rPr>
      </w:pPr>
      <w:r w:rsidRPr="00BA2765">
        <w:rPr>
          <w:i/>
          <w:iCs/>
        </w:rPr>
        <w:t>Table-15: PI calculation</w:t>
      </w:r>
    </w:p>
    <w:p w14:paraId="6AC8696A" w14:textId="77777777" w:rsidR="00BA2765" w:rsidRPr="00BA2765" w:rsidRDefault="00BA2765" w:rsidP="00BA2765">
      <w:r w:rsidRPr="00BA2765">
        <w:rPr>
          <w:noProof/>
        </w:rPr>
        <w:drawing>
          <wp:inline distT="0" distB="0" distL="0" distR="0" wp14:anchorId="1F3CB386" wp14:editId="76BFD0A7">
            <wp:extent cx="5943600" cy="932180"/>
            <wp:effectExtent l="0" t="0" r="0" b="1270"/>
            <wp:docPr id="176063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39034" name=""/>
                    <pic:cNvPicPr/>
                  </pic:nvPicPr>
                  <pic:blipFill>
                    <a:blip r:embed="rId19"/>
                    <a:stretch>
                      <a:fillRect/>
                    </a:stretch>
                  </pic:blipFill>
                  <pic:spPr>
                    <a:xfrm>
                      <a:off x="0" y="0"/>
                      <a:ext cx="5943600" cy="932180"/>
                    </a:xfrm>
                    <a:prstGeom prst="rect">
                      <a:avLst/>
                    </a:prstGeom>
                  </pic:spPr>
                </pic:pic>
              </a:graphicData>
            </a:graphic>
          </wp:inline>
        </w:drawing>
      </w:r>
    </w:p>
    <w:p w14:paraId="2580F894" w14:textId="77777777" w:rsidR="00BA2765" w:rsidRPr="00BA2765" w:rsidRDefault="00BA2765" w:rsidP="00BA2765">
      <w:pPr>
        <w:spacing w:before="240" w:line="360" w:lineRule="auto"/>
        <w:jc w:val="both"/>
      </w:pPr>
      <w:r w:rsidRPr="00BA2765">
        <w:t>The PI assesses the value generated per dollar of investment, and it is particularly essential in capital rationing. A PI with value exceeding 1 signifies the creation of positive value. Project C gives the best PI, which is the highest rate of return on every pound invested. Project A is also acceptable but a weaker project and the PI below 1 of Project B strengthens the rejection. PI is highly significant under capital restrictions since it determines where limited capital is going to produce the most benefit. Project C is hence the most efficient and economically desirable investment.</w:t>
      </w:r>
    </w:p>
    <w:p w14:paraId="5FCCFCFC" w14:textId="77777777" w:rsidR="00BA2765" w:rsidRPr="00BA2765" w:rsidRDefault="00BA2765" w:rsidP="00BA2765">
      <w:pPr>
        <w:pStyle w:val="Heading2"/>
        <w:spacing w:before="240" w:line="360" w:lineRule="auto"/>
        <w:jc w:val="both"/>
      </w:pPr>
      <w:bookmarkStart w:id="45" w:name="_cnxkp4h9njtk" w:colFirst="0" w:colLast="0"/>
      <w:bookmarkStart w:id="46" w:name="_Toc216518047"/>
      <w:bookmarkEnd w:id="45"/>
      <w:r w:rsidRPr="00BA2765">
        <w:t>5.5. Internal Rate of Return (IRR)</w:t>
      </w:r>
      <w:bookmarkEnd w:id="46"/>
    </w:p>
    <w:p w14:paraId="56124ABA" w14:textId="77777777" w:rsidR="00BA2765" w:rsidRPr="00BA2765" w:rsidRDefault="00BA2765" w:rsidP="00BA2765">
      <w:pPr>
        <w:spacing w:after="240"/>
        <w:jc w:val="center"/>
        <w:rPr>
          <w:i/>
          <w:iCs/>
        </w:rPr>
      </w:pPr>
      <w:r w:rsidRPr="00BA2765">
        <w:rPr>
          <w:i/>
          <w:iCs/>
        </w:rPr>
        <w:t>Table-16: IRR calculation</w:t>
      </w:r>
    </w:p>
    <w:p w14:paraId="16C9B317" w14:textId="77777777" w:rsidR="00BA2765" w:rsidRPr="00BA2765" w:rsidRDefault="00BA2765" w:rsidP="00BA2765">
      <w:r w:rsidRPr="00BA2765">
        <w:rPr>
          <w:noProof/>
        </w:rPr>
        <w:drawing>
          <wp:inline distT="0" distB="0" distL="0" distR="0" wp14:anchorId="37B4809E" wp14:editId="51D35E18">
            <wp:extent cx="5943600" cy="795655"/>
            <wp:effectExtent l="0" t="0" r="0" b="4445"/>
            <wp:docPr id="2062390714"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90714" name="Picture 1" descr="A white rectangular box with black text&#10;&#10;AI-generated content may be incorrect."/>
                    <pic:cNvPicPr/>
                  </pic:nvPicPr>
                  <pic:blipFill>
                    <a:blip r:embed="rId20"/>
                    <a:stretch>
                      <a:fillRect/>
                    </a:stretch>
                  </pic:blipFill>
                  <pic:spPr>
                    <a:xfrm>
                      <a:off x="0" y="0"/>
                      <a:ext cx="5943600" cy="795655"/>
                    </a:xfrm>
                    <a:prstGeom prst="rect">
                      <a:avLst/>
                    </a:prstGeom>
                  </pic:spPr>
                </pic:pic>
              </a:graphicData>
            </a:graphic>
          </wp:inline>
        </w:drawing>
      </w:r>
    </w:p>
    <w:p w14:paraId="52E833F3" w14:textId="77777777" w:rsidR="00BA2765" w:rsidRPr="00BA2765" w:rsidRDefault="00BA2765" w:rsidP="00BA2765">
      <w:pPr>
        <w:spacing w:before="240" w:line="360" w:lineRule="auto"/>
        <w:jc w:val="both"/>
      </w:pPr>
      <w:r w:rsidRPr="00BA2765">
        <w:t>The discount rate which gives NPV = 0 is IRR. It is the anticipated project rate of recovery. Project A and C both surpass the 10% discount rate, i.e. both are able to give returns greater than the required rate of return. Project C is still better than Project A, but Project B is significantly worse, which does not pay back the cost of capital. IRR proves previous conclusions: Project C is the most financially reasonable choice, Project A is the second choice, and Project B is not acceptable.</w:t>
      </w:r>
    </w:p>
    <w:p w14:paraId="311DCCC4" w14:textId="77777777" w:rsidR="00BA2765" w:rsidRPr="00BA2765" w:rsidRDefault="00BA2765" w:rsidP="00BA2765">
      <w:pPr>
        <w:rPr>
          <w:b/>
          <w:bCs/>
        </w:rPr>
      </w:pPr>
      <w:r w:rsidRPr="00BA2765">
        <w:br w:type="page"/>
      </w:r>
    </w:p>
    <w:p w14:paraId="5F454CB9" w14:textId="77777777" w:rsidR="00BA2765" w:rsidRPr="00BA2765" w:rsidRDefault="00BA2765" w:rsidP="00BA2765">
      <w:pPr>
        <w:pStyle w:val="Heading2"/>
        <w:spacing w:before="240" w:line="360" w:lineRule="auto"/>
        <w:jc w:val="both"/>
      </w:pPr>
      <w:bookmarkStart w:id="47" w:name="_Toc216518048"/>
      <w:r w:rsidRPr="00BA2765">
        <w:t>5.6. Comparative Evaluation and Capital Rationing</w:t>
      </w:r>
      <w:bookmarkEnd w:id="47"/>
      <w:r w:rsidRPr="00BA2765">
        <w:t xml:space="preserve"> </w:t>
      </w:r>
    </w:p>
    <w:p w14:paraId="009D4707" w14:textId="77777777" w:rsidR="00BA2765" w:rsidRPr="00BA2765" w:rsidRDefault="00BA2765" w:rsidP="00BA2765">
      <w:pPr>
        <w:spacing w:after="240"/>
        <w:jc w:val="center"/>
        <w:rPr>
          <w:i/>
          <w:iCs/>
        </w:rPr>
      </w:pPr>
      <w:r w:rsidRPr="00BA2765">
        <w:rPr>
          <w:i/>
          <w:iCs/>
        </w:rPr>
        <w:t>Table-17: Comparative Evaluation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A2765" w:rsidRPr="00BA2765" w14:paraId="30DBFDB9" w14:textId="77777777" w:rsidTr="00134B76">
        <w:tc>
          <w:tcPr>
            <w:tcW w:w="3120" w:type="dxa"/>
            <w:tcMar>
              <w:top w:w="100" w:type="dxa"/>
              <w:left w:w="100" w:type="dxa"/>
              <w:bottom w:w="100" w:type="dxa"/>
              <w:right w:w="100" w:type="dxa"/>
            </w:tcMar>
          </w:tcPr>
          <w:p w14:paraId="2CBA87A6"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Method</w:t>
            </w:r>
          </w:p>
        </w:tc>
        <w:tc>
          <w:tcPr>
            <w:tcW w:w="3120" w:type="dxa"/>
            <w:tcMar>
              <w:top w:w="100" w:type="dxa"/>
              <w:left w:w="100" w:type="dxa"/>
              <w:bottom w:w="100" w:type="dxa"/>
              <w:right w:w="100" w:type="dxa"/>
            </w:tcMar>
          </w:tcPr>
          <w:p w14:paraId="0AF2B650"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Best Project</w:t>
            </w:r>
          </w:p>
        </w:tc>
        <w:tc>
          <w:tcPr>
            <w:tcW w:w="3120" w:type="dxa"/>
            <w:tcMar>
              <w:top w:w="100" w:type="dxa"/>
              <w:left w:w="100" w:type="dxa"/>
              <w:bottom w:w="100" w:type="dxa"/>
              <w:right w:w="100" w:type="dxa"/>
            </w:tcMar>
          </w:tcPr>
          <w:p w14:paraId="1C48D339"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Comment</w:t>
            </w:r>
          </w:p>
        </w:tc>
      </w:tr>
      <w:tr w:rsidR="00BA2765" w:rsidRPr="00BA2765" w14:paraId="1D33EF69" w14:textId="77777777" w:rsidTr="00134B76">
        <w:tc>
          <w:tcPr>
            <w:tcW w:w="3120" w:type="dxa"/>
            <w:tcMar>
              <w:top w:w="100" w:type="dxa"/>
              <w:left w:w="100" w:type="dxa"/>
              <w:bottom w:w="100" w:type="dxa"/>
              <w:right w:w="100" w:type="dxa"/>
            </w:tcMar>
          </w:tcPr>
          <w:p w14:paraId="02A17365" w14:textId="77777777" w:rsidR="00BA2765" w:rsidRPr="00BA2765" w:rsidRDefault="00BA2765" w:rsidP="00134B76">
            <w:pPr>
              <w:widowControl w:val="0"/>
              <w:pBdr>
                <w:top w:val="nil"/>
                <w:left w:val="nil"/>
                <w:bottom w:val="nil"/>
                <w:right w:val="nil"/>
                <w:between w:val="nil"/>
              </w:pBdr>
              <w:spacing w:line="240" w:lineRule="auto"/>
            </w:pPr>
            <w:r w:rsidRPr="00BA2765">
              <w:t>PBP</w:t>
            </w:r>
          </w:p>
        </w:tc>
        <w:tc>
          <w:tcPr>
            <w:tcW w:w="3120" w:type="dxa"/>
            <w:tcMar>
              <w:top w:w="100" w:type="dxa"/>
              <w:left w:w="100" w:type="dxa"/>
              <w:bottom w:w="100" w:type="dxa"/>
              <w:right w:w="100" w:type="dxa"/>
            </w:tcMar>
          </w:tcPr>
          <w:p w14:paraId="06D4A8F9" w14:textId="77777777" w:rsidR="00BA2765" w:rsidRPr="00BA2765" w:rsidRDefault="00BA2765" w:rsidP="00134B76">
            <w:pPr>
              <w:widowControl w:val="0"/>
              <w:pBdr>
                <w:top w:val="nil"/>
                <w:left w:val="nil"/>
                <w:bottom w:val="nil"/>
                <w:right w:val="nil"/>
                <w:between w:val="nil"/>
              </w:pBdr>
              <w:spacing w:line="240" w:lineRule="auto"/>
            </w:pPr>
            <w:r w:rsidRPr="00BA2765">
              <w:t>A</w:t>
            </w:r>
          </w:p>
        </w:tc>
        <w:tc>
          <w:tcPr>
            <w:tcW w:w="3120" w:type="dxa"/>
            <w:tcMar>
              <w:top w:w="100" w:type="dxa"/>
              <w:left w:w="100" w:type="dxa"/>
              <w:bottom w:w="100" w:type="dxa"/>
              <w:right w:w="100" w:type="dxa"/>
            </w:tcMar>
          </w:tcPr>
          <w:p w14:paraId="276307EE" w14:textId="77777777" w:rsidR="00BA2765" w:rsidRPr="00BA2765" w:rsidRDefault="00BA2765" w:rsidP="00134B76">
            <w:pPr>
              <w:widowControl w:val="0"/>
              <w:pBdr>
                <w:top w:val="nil"/>
                <w:left w:val="nil"/>
                <w:bottom w:val="nil"/>
                <w:right w:val="nil"/>
                <w:between w:val="nil"/>
              </w:pBdr>
              <w:spacing w:line="240" w:lineRule="auto"/>
            </w:pPr>
            <w:r w:rsidRPr="00BA2765">
              <w:t>Fastest recovery of cash</w:t>
            </w:r>
          </w:p>
        </w:tc>
      </w:tr>
      <w:tr w:rsidR="00BA2765" w:rsidRPr="00BA2765" w14:paraId="1D5C3F29" w14:textId="77777777" w:rsidTr="00134B76">
        <w:tc>
          <w:tcPr>
            <w:tcW w:w="3120" w:type="dxa"/>
            <w:tcMar>
              <w:top w:w="100" w:type="dxa"/>
              <w:left w:w="100" w:type="dxa"/>
              <w:bottom w:w="100" w:type="dxa"/>
              <w:right w:w="100" w:type="dxa"/>
            </w:tcMar>
          </w:tcPr>
          <w:p w14:paraId="6C7459B2" w14:textId="77777777" w:rsidR="00BA2765" w:rsidRPr="00BA2765" w:rsidRDefault="00BA2765" w:rsidP="00134B76">
            <w:pPr>
              <w:widowControl w:val="0"/>
              <w:pBdr>
                <w:top w:val="nil"/>
                <w:left w:val="nil"/>
                <w:bottom w:val="nil"/>
                <w:right w:val="nil"/>
                <w:between w:val="nil"/>
              </w:pBdr>
              <w:spacing w:line="240" w:lineRule="auto"/>
            </w:pPr>
            <w:r w:rsidRPr="00BA2765">
              <w:t>ARR</w:t>
            </w:r>
          </w:p>
        </w:tc>
        <w:tc>
          <w:tcPr>
            <w:tcW w:w="3120" w:type="dxa"/>
            <w:tcMar>
              <w:top w:w="100" w:type="dxa"/>
              <w:left w:w="100" w:type="dxa"/>
              <w:bottom w:w="100" w:type="dxa"/>
              <w:right w:w="100" w:type="dxa"/>
            </w:tcMar>
          </w:tcPr>
          <w:p w14:paraId="46A1F79A" w14:textId="77777777" w:rsidR="00BA2765" w:rsidRPr="00BA2765" w:rsidRDefault="00BA2765" w:rsidP="00134B76">
            <w:pPr>
              <w:widowControl w:val="0"/>
              <w:pBdr>
                <w:top w:val="nil"/>
                <w:left w:val="nil"/>
                <w:bottom w:val="nil"/>
                <w:right w:val="nil"/>
                <w:between w:val="nil"/>
              </w:pBdr>
              <w:spacing w:line="240" w:lineRule="auto"/>
            </w:pPr>
            <w:r w:rsidRPr="00BA2765">
              <w:t>C</w:t>
            </w:r>
          </w:p>
        </w:tc>
        <w:tc>
          <w:tcPr>
            <w:tcW w:w="3120" w:type="dxa"/>
            <w:tcMar>
              <w:top w:w="100" w:type="dxa"/>
              <w:left w:w="100" w:type="dxa"/>
              <w:bottom w:w="100" w:type="dxa"/>
              <w:right w:w="100" w:type="dxa"/>
            </w:tcMar>
          </w:tcPr>
          <w:p w14:paraId="4EA4A50A" w14:textId="77777777" w:rsidR="00BA2765" w:rsidRPr="00BA2765" w:rsidRDefault="00BA2765" w:rsidP="00134B76">
            <w:pPr>
              <w:widowControl w:val="0"/>
              <w:pBdr>
                <w:top w:val="nil"/>
                <w:left w:val="nil"/>
                <w:bottom w:val="nil"/>
                <w:right w:val="nil"/>
                <w:between w:val="nil"/>
              </w:pBdr>
              <w:spacing w:line="240" w:lineRule="auto"/>
            </w:pPr>
            <w:r w:rsidRPr="00BA2765">
              <w:t>Highest profitability</w:t>
            </w:r>
          </w:p>
        </w:tc>
      </w:tr>
      <w:tr w:rsidR="00BA2765" w:rsidRPr="00BA2765" w14:paraId="3564C1C4" w14:textId="77777777" w:rsidTr="00134B76">
        <w:tc>
          <w:tcPr>
            <w:tcW w:w="3120" w:type="dxa"/>
            <w:tcMar>
              <w:top w:w="100" w:type="dxa"/>
              <w:left w:w="100" w:type="dxa"/>
              <w:bottom w:w="100" w:type="dxa"/>
              <w:right w:w="100" w:type="dxa"/>
            </w:tcMar>
          </w:tcPr>
          <w:p w14:paraId="76EFC927" w14:textId="77777777" w:rsidR="00BA2765" w:rsidRPr="00BA2765" w:rsidRDefault="00BA2765" w:rsidP="00134B76">
            <w:pPr>
              <w:widowControl w:val="0"/>
              <w:pBdr>
                <w:top w:val="nil"/>
                <w:left w:val="nil"/>
                <w:bottom w:val="nil"/>
                <w:right w:val="nil"/>
                <w:between w:val="nil"/>
              </w:pBdr>
              <w:spacing w:line="240" w:lineRule="auto"/>
            </w:pPr>
            <w:r w:rsidRPr="00BA2765">
              <w:t>NPV</w:t>
            </w:r>
          </w:p>
        </w:tc>
        <w:tc>
          <w:tcPr>
            <w:tcW w:w="3120" w:type="dxa"/>
            <w:tcMar>
              <w:top w:w="100" w:type="dxa"/>
              <w:left w:w="100" w:type="dxa"/>
              <w:bottom w:w="100" w:type="dxa"/>
              <w:right w:w="100" w:type="dxa"/>
            </w:tcMar>
          </w:tcPr>
          <w:p w14:paraId="6804E563" w14:textId="77777777" w:rsidR="00BA2765" w:rsidRPr="00BA2765" w:rsidRDefault="00BA2765" w:rsidP="00134B76">
            <w:pPr>
              <w:widowControl w:val="0"/>
              <w:pBdr>
                <w:top w:val="nil"/>
                <w:left w:val="nil"/>
                <w:bottom w:val="nil"/>
                <w:right w:val="nil"/>
                <w:between w:val="nil"/>
              </w:pBdr>
              <w:spacing w:line="240" w:lineRule="auto"/>
            </w:pPr>
            <w:r w:rsidRPr="00BA2765">
              <w:t>C</w:t>
            </w:r>
          </w:p>
        </w:tc>
        <w:tc>
          <w:tcPr>
            <w:tcW w:w="3120" w:type="dxa"/>
            <w:tcMar>
              <w:top w:w="100" w:type="dxa"/>
              <w:left w:w="100" w:type="dxa"/>
              <w:bottom w:w="100" w:type="dxa"/>
              <w:right w:w="100" w:type="dxa"/>
            </w:tcMar>
          </w:tcPr>
          <w:p w14:paraId="1EE0E959" w14:textId="77777777" w:rsidR="00BA2765" w:rsidRPr="00BA2765" w:rsidRDefault="00BA2765" w:rsidP="00134B76">
            <w:pPr>
              <w:widowControl w:val="0"/>
              <w:pBdr>
                <w:top w:val="nil"/>
                <w:left w:val="nil"/>
                <w:bottom w:val="nil"/>
                <w:right w:val="nil"/>
                <w:between w:val="nil"/>
              </w:pBdr>
              <w:spacing w:line="240" w:lineRule="auto"/>
            </w:pPr>
            <w:r w:rsidRPr="00BA2765">
              <w:t>Highest wealth creation</w:t>
            </w:r>
          </w:p>
        </w:tc>
      </w:tr>
      <w:tr w:rsidR="00BA2765" w:rsidRPr="00BA2765" w14:paraId="7031270C" w14:textId="77777777" w:rsidTr="00134B76">
        <w:tc>
          <w:tcPr>
            <w:tcW w:w="3120" w:type="dxa"/>
            <w:tcMar>
              <w:top w:w="100" w:type="dxa"/>
              <w:left w:w="100" w:type="dxa"/>
              <w:bottom w:w="100" w:type="dxa"/>
              <w:right w:w="100" w:type="dxa"/>
            </w:tcMar>
          </w:tcPr>
          <w:p w14:paraId="756A4C26" w14:textId="77777777" w:rsidR="00BA2765" w:rsidRPr="00BA2765" w:rsidRDefault="00BA2765" w:rsidP="00134B76">
            <w:pPr>
              <w:widowControl w:val="0"/>
              <w:pBdr>
                <w:top w:val="nil"/>
                <w:left w:val="nil"/>
                <w:bottom w:val="nil"/>
                <w:right w:val="nil"/>
                <w:between w:val="nil"/>
              </w:pBdr>
              <w:spacing w:line="240" w:lineRule="auto"/>
            </w:pPr>
            <w:r w:rsidRPr="00BA2765">
              <w:t>PI</w:t>
            </w:r>
          </w:p>
        </w:tc>
        <w:tc>
          <w:tcPr>
            <w:tcW w:w="3120" w:type="dxa"/>
            <w:tcMar>
              <w:top w:w="100" w:type="dxa"/>
              <w:left w:w="100" w:type="dxa"/>
              <w:bottom w:w="100" w:type="dxa"/>
              <w:right w:w="100" w:type="dxa"/>
            </w:tcMar>
          </w:tcPr>
          <w:p w14:paraId="09F846BE" w14:textId="77777777" w:rsidR="00BA2765" w:rsidRPr="00BA2765" w:rsidRDefault="00BA2765" w:rsidP="00134B76">
            <w:pPr>
              <w:widowControl w:val="0"/>
              <w:pBdr>
                <w:top w:val="nil"/>
                <w:left w:val="nil"/>
                <w:bottom w:val="nil"/>
                <w:right w:val="nil"/>
                <w:between w:val="nil"/>
              </w:pBdr>
              <w:spacing w:line="240" w:lineRule="auto"/>
            </w:pPr>
            <w:r w:rsidRPr="00BA2765">
              <w:t>C</w:t>
            </w:r>
          </w:p>
        </w:tc>
        <w:tc>
          <w:tcPr>
            <w:tcW w:w="3120" w:type="dxa"/>
            <w:tcMar>
              <w:top w:w="100" w:type="dxa"/>
              <w:left w:w="100" w:type="dxa"/>
              <w:bottom w:w="100" w:type="dxa"/>
              <w:right w:w="100" w:type="dxa"/>
            </w:tcMar>
          </w:tcPr>
          <w:p w14:paraId="14BEA0F2" w14:textId="77777777" w:rsidR="00BA2765" w:rsidRPr="00BA2765" w:rsidRDefault="00BA2765" w:rsidP="00134B76">
            <w:pPr>
              <w:widowControl w:val="0"/>
              <w:pBdr>
                <w:top w:val="nil"/>
                <w:left w:val="nil"/>
                <w:bottom w:val="nil"/>
                <w:right w:val="nil"/>
                <w:between w:val="nil"/>
              </w:pBdr>
              <w:spacing w:line="240" w:lineRule="auto"/>
            </w:pPr>
            <w:r w:rsidRPr="00BA2765">
              <w:t>Best under capital rationing</w:t>
            </w:r>
          </w:p>
        </w:tc>
      </w:tr>
      <w:tr w:rsidR="00BA2765" w:rsidRPr="00BA2765" w14:paraId="4EE7E159" w14:textId="77777777" w:rsidTr="00134B76">
        <w:tc>
          <w:tcPr>
            <w:tcW w:w="3120" w:type="dxa"/>
            <w:tcMar>
              <w:top w:w="100" w:type="dxa"/>
              <w:left w:w="100" w:type="dxa"/>
              <w:bottom w:w="100" w:type="dxa"/>
              <w:right w:w="100" w:type="dxa"/>
            </w:tcMar>
          </w:tcPr>
          <w:p w14:paraId="28B3EDF9" w14:textId="77777777" w:rsidR="00BA2765" w:rsidRPr="00BA2765" w:rsidRDefault="00BA2765" w:rsidP="00134B76">
            <w:pPr>
              <w:widowControl w:val="0"/>
              <w:pBdr>
                <w:top w:val="nil"/>
                <w:left w:val="nil"/>
                <w:bottom w:val="nil"/>
                <w:right w:val="nil"/>
                <w:between w:val="nil"/>
              </w:pBdr>
              <w:spacing w:line="240" w:lineRule="auto"/>
            </w:pPr>
            <w:r w:rsidRPr="00BA2765">
              <w:t>IRR</w:t>
            </w:r>
          </w:p>
        </w:tc>
        <w:tc>
          <w:tcPr>
            <w:tcW w:w="3120" w:type="dxa"/>
            <w:tcMar>
              <w:top w:w="100" w:type="dxa"/>
              <w:left w:w="100" w:type="dxa"/>
              <w:bottom w:w="100" w:type="dxa"/>
              <w:right w:w="100" w:type="dxa"/>
            </w:tcMar>
          </w:tcPr>
          <w:p w14:paraId="19BD319E" w14:textId="77777777" w:rsidR="00BA2765" w:rsidRPr="00BA2765" w:rsidRDefault="00BA2765" w:rsidP="00134B76">
            <w:pPr>
              <w:widowControl w:val="0"/>
              <w:pBdr>
                <w:top w:val="nil"/>
                <w:left w:val="nil"/>
                <w:bottom w:val="nil"/>
                <w:right w:val="nil"/>
                <w:between w:val="nil"/>
              </w:pBdr>
              <w:spacing w:line="240" w:lineRule="auto"/>
            </w:pPr>
            <w:r w:rsidRPr="00BA2765">
              <w:t>C</w:t>
            </w:r>
          </w:p>
        </w:tc>
        <w:tc>
          <w:tcPr>
            <w:tcW w:w="3120" w:type="dxa"/>
            <w:tcMar>
              <w:top w:w="100" w:type="dxa"/>
              <w:left w:w="100" w:type="dxa"/>
              <w:bottom w:w="100" w:type="dxa"/>
              <w:right w:w="100" w:type="dxa"/>
            </w:tcMar>
          </w:tcPr>
          <w:p w14:paraId="0A252ACE" w14:textId="77777777" w:rsidR="00BA2765" w:rsidRPr="00BA2765" w:rsidRDefault="00BA2765" w:rsidP="00134B76">
            <w:pPr>
              <w:widowControl w:val="0"/>
              <w:pBdr>
                <w:top w:val="nil"/>
                <w:left w:val="nil"/>
                <w:bottom w:val="nil"/>
                <w:right w:val="nil"/>
                <w:between w:val="nil"/>
              </w:pBdr>
              <w:spacing w:line="240" w:lineRule="auto"/>
            </w:pPr>
            <w:r w:rsidRPr="00BA2765">
              <w:t>Highest rate of return</w:t>
            </w:r>
          </w:p>
        </w:tc>
      </w:tr>
    </w:tbl>
    <w:p w14:paraId="30BCFC3C" w14:textId="77777777" w:rsidR="00BA2765" w:rsidRPr="00BA2765" w:rsidRDefault="00BA2765" w:rsidP="00BA2765">
      <w:pPr>
        <w:spacing w:before="200" w:line="360" w:lineRule="auto"/>
        <w:jc w:val="both"/>
      </w:pPr>
      <w:r w:rsidRPr="00BA2765">
        <w:t>Although Project A is acceptable, it is inferior to Project C across most investment appraisal techniques. On the contrary, Project B performs poorly across all metrics.</w:t>
      </w:r>
    </w:p>
    <w:p w14:paraId="5D2548A9" w14:textId="77777777" w:rsidR="00BA2765" w:rsidRPr="00BA2765" w:rsidRDefault="00BA2765" w:rsidP="00BA2765">
      <w:pPr>
        <w:spacing w:before="200" w:line="360" w:lineRule="auto"/>
        <w:jc w:val="both"/>
      </w:pPr>
      <w:r w:rsidRPr="00BA2765">
        <w:t>Under capital rationing, decision-makers must prioritise investments with the highest value per unit of capital (Damodaran, 2016). As it is given that General Electronics can invest up to £60 million and there is no possible combination of projects which is less than the given amount, only one project can be chosen. It is described in the following Table-18.</w:t>
      </w:r>
    </w:p>
    <w:p w14:paraId="7A616471" w14:textId="77777777" w:rsidR="00BA2765" w:rsidRPr="00BA2765" w:rsidRDefault="00BA2765" w:rsidP="00BA2765">
      <w:pPr>
        <w:spacing w:after="240"/>
        <w:jc w:val="center"/>
        <w:rPr>
          <w:i/>
          <w:iCs/>
        </w:rPr>
      </w:pPr>
      <w:r w:rsidRPr="00BA2765">
        <w:rPr>
          <w:i/>
          <w:iCs/>
        </w:rPr>
        <w:t>Table-18: Feasibility under Capital Rationing</w:t>
      </w:r>
      <w:r w:rsidRPr="00BA2765">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A2765" w:rsidRPr="00BA2765" w14:paraId="48673A7B" w14:textId="77777777" w:rsidTr="00134B76">
        <w:tc>
          <w:tcPr>
            <w:tcW w:w="3120" w:type="dxa"/>
            <w:tcMar>
              <w:top w:w="100" w:type="dxa"/>
              <w:left w:w="100" w:type="dxa"/>
              <w:bottom w:w="100" w:type="dxa"/>
              <w:right w:w="100" w:type="dxa"/>
            </w:tcMar>
          </w:tcPr>
          <w:p w14:paraId="05573638"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Combination</w:t>
            </w:r>
          </w:p>
        </w:tc>
        <w:tc>
          <w:tcPr>
            <w:tcW w:w="3120" w:type="dxa"/>
            <w:tcMar>
              <w:top w:w="100" w:type="dxa"/>
              <w:left w:w="100" w:type="dxa"/>
              <w:bottom w:w="100" w:type="dxa"/>
              <w:right w:w="100" w:type="dxa"/>
            </w:tcMar>
          </w:tcPr>
          <w:p w14:paraId="7DC7BCDC"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Investment Total</w:t>
            </w:r>
          </w:p>
        </w:tc>
        <w:tc>
          <w:tcPr>
            <w:tcW w:w="3120" w:type="dxa"/>
            <w:tcMar>
              <w:top w:w="100" w:type="dxa"/>
              <w:left w:w="100" w:type="dxa"/>
              <w:bottom w:w="100" w:type="dxa"/>
              <w:right w:w="100" w:type="dxa"/>
            </w:tcMar>
          </w:tcPr>
          <w:p w14:paraId="72A53ECD" w14:textId="77777777" w:rsidR="00BA2765" w:rsidRPr="00BA2765" w:rsidRDefault="00BA2765" w:rsidP="00134B76">
            <w:pPr>
              <w:widowControl w:val="0"/>
              <w:pBdr>
                <w:top w:val="nil"/>
                <w:left w:val="nil"/>
                <w:bottom w:val="nil"/>
                <w:right w:val="nil"/>
                <w:between w:val="nil"/>
              </w:pBdr>
              <w:spacing w:line="240" w:lineRule="auto"/>
              <w:jc w:val="center"/>
              <w:rPr>
                <w:b/>
                <w:bCs/>
              </w:rPr>
            </w:pPr>
            <w:r w:rsidRPr="00BA2765">
              <w:rPr>
                <w:b/>
                <w:bCs/>
              </w:rPr>
              <w:t>Feasibility</w:t>
            </w:r>
          </w:p>
        </w:tc>
      </w:tr>
      <w:tr w:rsidR="00BA2765" w:rsidRPr="00BA2765" w14:paraId="3B13488D" w14:textId="77777777" w:rsidTr="00134B76">
        <w:tc>
          <w:tcPr>
            <w:tcW w:w="3120" w:type="dxa"/>
            <w:tcMar>
              <w:top w:w="100" w:type="dxa"/>
              <w:left w:w="100" w:type="dxa"/>
              <w:bottom w:w="100" w:type="dxa"/>
              <w:right w:w="100" w:type="dxa"/>
            </w:tcMar>
          </w:tcPr>
          <w:p w14:paraId="3B3B4BD6" w14:textId="77777777" w:rsidR="00BA2765" w:rsidRPr="00BA2765" w:rsidRDefault="00BA2765" w:rsidP="00134B76">
            <w:pPr>
              <w:widowControl w:val="0"/>
              <w:pBdr>
                <w:top w:val="nil"/>
                <w:left w:val="nil"/>
                <w:bottom w:val="nil"/>
                <w:right w:val="nil"/>
                <w:between w:val="nil"/>
              </w:pBdr>
              <w:spacing w:line="240" w:lineRule="auto"/>
            </w:pPr>
            <w:r w:rsidRPr="00BA2765">
              <w:t>A + B</w:t>
            </w:r>
          </w:p>
        </w:tc>
        <w:tc>
          <w:tcPr>
            <w:tcW w:w="3120" w:type="dxa"/>
            <w:tcMar>
              <w:top w:w="100" w:type="dxa"/>
              <w:left w:w="100" w:type="dxa"/>
              <w:bottom w:w="100" w:type="dxa"/>
              <w:right w:w="100" w:type="dxa"/>
            </w:tcMar>
          </w:tcPr>
          <w:p w14:paraId="6CD931B2" w14:textId="77777777" w:rsidR="00BA2765" w:rsidRPr="00BA2765" w:rsidRDefault="00BA2765" w:rsidP="00134B76">
            <w:pPr>
              <w:widowControl w:val="0"/>
              <w:pBdr>
                <w:top w:val="nil"/>
                <w:left w:val="nil"/>
                <w:bottom w:val="nil"/>
                <w:right w:val="nil"/>
                <w:between w:val="nil"/>
              </w:pBdr>
              <w:spacing w:line="240" w:lineRule="auto"/>
            </w:pPr>
            <w:r w:rsidRPr="00BA2765">
              <w:t>£70m</w:t>
            </w:r>
          </w:p>
        </w:tc>
        <w:tc>
          <w:tcPr>
            <w:tcW w:w="3120" w:type="dxa"/>
            <w:tcMar>
              <w:top w:w="100" w:type="dxa"/>
              <w:left w:w="100" w:type="dxa"/>
              <w:bottom w:w="100" w:type="dxa"/>
              <w:right w:w="100" w:type="dxa"/>
            </w:tcMar>
          </w:tcPr>
          <w:p w14:paraId="63547B83" w14:textId="77777777" w:rsidR="00BA2765" w:rsidRPr="00BA2765" w:rsidRDefault="00BA2765" w:rsidP="00134B76">
            <w:pPr>
              <w:widowControl w:val="0"/>
              <w:pBdr>
                <w:top w:val="nil"/>
                <w:left w:val="nil"/>
                <w:bottom w:val="nil"/>
                <w:right w:val="nil"/>
                <w:between w:val="nil"/>
              </w:pBdr>
              <w:spacing w:line="240" w:lineRule="auto"/>
            </w:pPr>
            <w:r w:rsidRPr="00BA2765">
              <w:t>Not feasible</w:t>
            </w:r>
          </w:p>
        </w:tc>
      </w:tr>
      <w:tr w:rsidR="00BA2765" w:rsidRPr="00BA2765" w14:paraId="4E6146B5" w14:textId="77777777" w:rsidTr="00134B76">
        <w:tc>
          <w:tcPr>
            <w:tcW w:w="3120" w:type="dxa"/>
            <w:tcMar>
              <w:top w:w="100" w:type="dxa"/>
              <w:left w:w="100" w:type="dxa"/>
              <w:bottom w:w="100" w:type="dxa"/>
              <w:right w:w="100" w:type="dxa"/>
            </w:tcMar>
          </w:tcPr>
          <w:p w14:paraId="6DD31BA4" w14:textId="77777777" w:rsidR="00BA2765" w:rsidRPr="00BA2765" w:rsidRDefault="00BA2765" w:rsidP="00134B76">
            <w:pPr>
              <w:widowControl w:val="0"/>
              <w:pBdr>
                <w:top w:val="nil"/>
                <w:left w:val="nil"/>
                <w:bottom w:val="nil"/>
                <w:right w:val="nil"/>
                <w:between w:val="nil"/>
              </w:pBdr>
              <w:spacing w:line="240" w:lineRule="auto"/>
            </w:pPr>
            <w:r w:rsidRPr="00BA2765">
              <w:t>A + C</w:t>
            </w:r>
          </w:p>
        </w:tc>
        <w:tc>
          <w:tcPr>
            <w:tcW w:w="3120" w:type="dxa"/>
            <w:tcMar>
              <w:top w:w="100" w:type="dxa"/>
              <w:left w:w="100" w:type="dxa"/>
              <w:bottom w:w="100" w:type="dxa"/>
              <w:right w:w="100" w:type="dxa"/>
            </w:tcMar>
          </w:tcPr>
          <w:p w14:paraId="56D85B49" w14:textId="77777777" w:rsidR="00BA2765" w:rsidRPr="00BA2765" w:rsidRDefault="00BA2765" w:rsidP="00134B76">
            <w:pPr>
              <w:widowControl w:val="0"/>
              <w:pBdr>
                <w:top w:val="nil"/>
                <w:left w:val="nil"/>
                <w:bottom w:val="nil"/>
                <w:right w:val="nil"/>
                <w:between w:val="nil"/>
              </w:pBdr>
              <w:spacing w:line="240" w:lineRule="auto"/>
            </w:pPr>
            <w:r w:rsidRPr="00BA2765">
              <w:t>£90m</w:t>
            </w:r>
          </w:p>
        </w:tc>
        <w:tc>
          <w:tcPr>
            <w:tcW w:w="3120" w:type="dxa"/>
            <w:tcMar>
              <w:top w:w="100" w:type="dxa"/>
              <w:left w:w="100" w:type="dxa"/>
              <w:bottom w:w="100" w:type="dxa"/>
              <w:right w:w="100" w:type="dxa"/>
            </w:tcMar>
          </w:tcPr>
          <w:p w14:paraId="4532F156" w14:textId="77777777" w:rsidR="00BA2765" w:rsidRPr="00BA2765" w:rsidRDefault="00BA2765" w:rsidP="00134B76">
            <w:pPr>
              <w:widowControl w:val="0"/>
              <w:spacing w:line="240" w:lineRule="auto"/>
            </w:pPr>
            <w:r w:rsidRPr="00BA2765">
              <w:t>Not feasible</w:t>
            </w:r>
          </w:p>
        </w:tc>
      </w:tr>
      <w:tr w:rsidR="00BA2765" w:rsidRPr="00BA2765" w14:paraId="5D6A613D" w14:textId="77777777" w:rsidTr="00134B76">
        <w:tc>
          <w:tcPr>
            <w:tcW w:w="3120" w:type="dxa"/>
            <w:tcMar>
              <w:top w:w="100" w:type="dxa"/>
              <w:left w:w="100" w:type="dxa"/>
              <w:bottom w:w="100" w:type="dxa"/>
              <w:right w:w="100" w:type="dxa"/>
            </w:tcMar>
          </w:tcPr>
          <w:p w14:paraId="04E27F20" w14:textId="77777777" w:rsidR="00BA2765" w:rsidRPr="00BA2765" w:rsidRDefault="00BA2765" w:rsidP="00134B76">
            <w:pPr>
              <w:widowControl w:val="0"/>
              <w:pBdr>
                <w:top w:val="nil"/>
                <w:left w:val="nil"/>
                <w:bottom w:val="nil"/>
                <w:right w:val="nil"/>
                <w:between w:val="nil"/>
              </w:pBdr>
              <w:spacing w:line="240" w:lineRule="auto"/>
            </w:pPr>
            <w:r w:rsidRPr="00BA2765">
              <w:t>B + C</w:t>
            </w:r>
          </w:p>
        </w:tc>
        <w:tc>
          <w:tcPr>
            <w:tcW w:w="3120" w:type="dxa"/>
            <w:tcMar>
              <w:top w:w="100" w:type="dxa"/>
              <w:left w:w="100" w:type="dxa"/>
              <w:bottom w:w="100" w:type="dxa"/>
              <w:right w:w="100" w:type="dxa"/>
            </w:tcMar>
          </w:tcPr>
          <w:p w14:paraId="00339B49" w14:textId="77777777" w:rsidR="00BA2765" w:rsidRPr="00BA2765" w:rsidRDefault="00BA2765" w:rsidP="00134B76">
            <w:pPr>
              <w:widowControl w:val="0"/>
              <w:pBdr>
                <w:top w:val="nil"/>
                <w:left w:val="nil"/>
                <w:bottom w:val="nil"/>
                <w:right w:val="nil"/>
                <w:between w:val="nil"/>
              </w:pBdr>
              <w:spacing w:line="240" w:lineRule="auto"/>
            </w:pPr>
            <w:r w:rsidRPr="00BA2765">
              <w:t>£80m</w:t>
            </w:r>
          </w:p>
        </w:tc>
        <w:tc>
          <w:tcPr>
            <w:tcW w:w="3120" w:type="dxa"/>
            <w:tcMar>
              <w:top w:w="100" w:type="dxa"/>
              <w:left w:w="100" w:type="dxa"/>
              <w:bottom w:w="100" w:type="dxa"/>
              <w:right w:w="100" w:type="dxa"/>
            </w:tcMar>
          </w:tcPr>
          <w:p w14:paraId="56D8FCE2" w14:textId="77777777" w:rsidR="00BA2765" w:rsidRPr="00BA2765" w:rsidRDefault="00BA2765" w:rsidP="00134B76">
            <w:pPr>
              <w:widowControl w:val="0"/>
              <w:spacing w:line="240" w:lineRule="auto"/>
            </w:pPr>
            <w:r w:rsidRPr="00BA2765">
              <w:t>Not feasible</w:t>
            </w:r>
          </w:p>
        </w:tc>
      </w:tr>
    </w:tbl>
    <w:p w14:paraId="5521420B" w14:textId="77777777" w:rsidR="00BA2765" w:rsidRPr="00BA2765" w:rsidRDefault="00BA2765" w:rsidP="00BA2765">
      <w:pPr>
        <w:spacing w:before="200" w:line="360" w:lineRule="auto"/>
        <w:jc w:val="both"/>
      </w:pPr>
      <w:r w:rsidRPr="00BA2765">
        <w:t>As Project C gives the highest NPV, PI, IRR and ARR with shortest payback, under capital rationing, the optimal decision is to select Project C only.</w:t>
      </w:r>
    </w:p>
    <w:p w14:paraId="77EF7483" w14:textId="77777777" w:rsidR="00BA2765" w:rsidRPr="00BA2765" w:rsidRDefault="00BA2765" w:rsidP="00BA2765">
      <w:pPr>
        <w:rPr>
          <w:b/>
          <w:bCs/>
        </w:rPr>
      </w:pPr>
      <w:bookmarkStart w:id="48" w:name="_55degusfrsar" w:colFirst="0" w:colLast="0"/>
      <w:bookmarkEnd w:id="48"/>
      <w:r w:rsidRPr="00BA2765">
        <w:br w:type="page"/>
      </w:r>
    </w:p>
    <w:p w14:paraId="3855C199" w14:textId="77777777" w:rsidR="00BA2765" w:rsidRPr="00BA2765" w:rsidRDefault="00BA2765" w:rsidP="00BA2765">
      <w:pPr>
        <w:pStyle w:val="Heading2"/>
        <w:spacing w:before="200" w:line="360" w:lineRule="auto"/>
        <w:jc w:val="both"/>
      </w:pPr>
      <w:bookmarkStart w:id="49" w:name="_Toc216518049"/>
      <w:r w:rsidRPr="00BA2765">
        <w:t>5.7. Final Recommendation</w:t>
      </w:r>
      <w:bookmarkEnd w:id="49"/>
    </w:p>
    <w:p w14:paraId="4CF0D5BC" w14:textId="77777777" w:rsidR="00BA2765" w:rsidRPr="00BA2765" w:rsidRDefault="00BA2765" w:rsidP="00BA2765">
      <w:pPr>
        <w:spacing w:before="200" w:line="360" w:lineRule="auto"/>
        <w:jc w:val="both"/>
      </w:pPr>
      <w:r w:rsidRPr="00BA2765">
        <w:t>The investment decision should not just be in accordance with the outcomes of the appraisals but also in accordance with the overall financial situation of General Electronics and its strategic priorities. The company is struggling in case of liquidity, i.e., prolonged cash operating cycle, loss in profitability and restrained ability to borrow. All these pressures necessitate the need to pick on a project that will boost the cash flow, increase the profitability, and longevity.</w:t>
      </w:r>
    </w:p>
    <w:p w14:paraId="4E446E41" w14:textId="77777777" w:rsidR="00BA2765" w:rsidRPr="00BA2765" w:rsidRDefault="00BA2765" w:rsidP="00BA2765">
      <w:pPr>
        <w:spacing w:before="200" w:line="360" w:lineRule="auto"/>
        <w:jc w:val="both"/>
      </w:pPr>
      <w:r w:rsidRPr="00BA2765">
        <w:t>Project C is also supported by profitability analysis. It has the best ARR (20%), which is higher than Project A (14%), and significantly higher than Project B (0%). Its NPV of £4.23 million is also the highest in terms of value creation, which is certainly in contrast to the small NPV of Project A and a considerably negative NPV of Project B. Since NPV is the best indicator of shareholder wealth (Arnold &amp; Lewis, 2019), Project C fits the best in the effort to undo the negative profitability trends in the recent past.</w:t>
      </w:r>
    </w:p>
    <w:p w14:paraId="32468F1A" w14:textId="77777777" w:rsidR="00BA2765" w:rsidRPr="00BA2765" w:rsidRDefault="00BA2765" w:rsidP="00BA2765">
      <w:pPr>
        <w:spacing w:before="200" w:line="360" w:lineRule="auto"/>
        <w:jc w:val="both"/>
      </w:pPr>
      <w:r w:rsidRPr="00BA2765">
        <w:t>Despite Project C shows the best net present value and highest value creation in the long term, its choice must be justified with caution since the firm has a weak liquidity stand. Project C would require a high initial investment of £50 million and cash inflows relatively small in the first years, putting a further burden on short-term liquidity. Project A, on the other hand, has a smaller initial cost, greater first year cash operations and maintains a larger share of the capital budget as immediate working capital. According to Brealey et al. (2020), firms who are facing liquidity constraints should prioritise investment options with strong cash recovery states.</w:t>
      </w:r>
    </w:p>
    <w:p w14:paraId="57ECA9F7" w14:textId="77777777" w:rsidR="00BA2765" w:rsidRPr="00BA2765" w:rsidRDefault="00BA2765" w:rsidP="00BA2765">
      <w:pPr>
        <w:spacing w:before="200" w:line="360" w:lineRule="auto"/>
        <w:jc w:val="both"/>
      </w:pPr>
      <w:r w:rsidRPr="00BA2765">
        <w:t>The strategic mandate of the General Electronics is however not restricted to the short-term survival but the long-term viability and competitiveness. Project C is more appropriate to this goal as it provides better overall wealth creation and greater long-term profitability. It is rightly chosen on the basis, however, that the working capital reforms suggested in Section 3, including the acceleration of receivables and the release of trapped cash, is effectively executed. Such steps are necessary to compensate the stricter liquidity profile of Project C and to make sure that the company will be able to survive the initial cash flow pressure and realize long-term benefits of the project.</w:t>
      </w:r>
    </w:p>
    <w:p w14:paraId="2D415A8C" w14:textId="77777777" w:rsidR="00BA2765" w:rsidRPr="00BA2765" w:rsidRDefault="00BA2765" w:rsidP="00BA2765">
      <w:pPr>
        <w:spacing w:before="200" w:line="360" w:lineRule="auto"/>
        <w:jc w:val="both"/>
      </w:pPr>
      <w:r w:rsidRPr="00BA2765">
        <w:t>This conclusion is supported by risk considerations. Despite the fluctuations in the cash flows of Project C over the years, the growth potential is demonstrated in the positive trend, which is the beginning of the change in the strategies of the company towards more value-driven and innovation-based products. Project A is more stable and provides inadequate value creation and Project B provides neither value nor adequate returns. The suitability of Project C further proves through the IRR of 12.72% which is above the 10% discount rate used by the firm.</w:t>
      </w:r>
    </w:p>
    <w:p w14:paraId="3F3B8354" w14:textId="77777777" w:rsidR="00BA2765" w:rsidRPr="00BA2765" w:rsidRDefault="00BA2765" w:rsidP="00BA2765">
      <w:pPr>
        <w:spacing w:before="200" w:line="360" w:lineRule="auto"/>
        <w:jc w:val="both"/>
      </w:pPr>
      <w:r w:rsidRPr="00BA2765">
        <w:t>Having a capital limit of £60 million that is very strict, only independent projects can be viable. Project C is the most efficient in terms of using scarce capital also because of its Profitability Index (1.085).</w:t>
      </w:r>
    </w:p>
    <w:p w14:paraId="6929F884" w14:textId="77777777" w:rsidR="00BA2765" w:rsidRPr="00BA2765" w:rsidRDefault="00BA2765" w:rsidP="00BA2765">
      <w:pPr>
        <w:pStyle w:val="Heading1"/>
        <w:spacing w:before="200" w:line="360" w:lineRule="auto"/>
        <w:jc w:val="both"/>
      </w:pPr>
      <w:bookmarkStart w:id="50" w:name="_jir6ux5a7cex" w:colFirst="0" w:colLast="0"/>
      <w:bookmarkStart w:id="51" w:name="_Toc216518050"/>
      <w:bookmarkEnd w:id="50"/>
      <w:r w:rsidRPr="00BA2765">
        <w:t>6. Conclusion</w:t>
      </w:r>
      <w:bookmarkEnd w:id="51"/>
    </w:p>
    <w:p w14:paraId="0A2FD957" w14:textId="77777777" w:rsidR="00BA2765" w:rsidRPr="00BA2765" w:rsidRDefault="00BA2765" w:rsidP="00BA2765">
      <w:pPr>
        <w:spacing w:before="200" w:line="360" w:lineRule="auto"/>
        <w:jc w:val="both"/>
      </w:pPr>
      <w:r w:rsidRPr="00BA2765">
        <w:t>General Electronics has been in serious financial distress due to decreasing profitability, increasing liquidity weaknesses, and increased inefficiency in its operations. It is revealed that the company requires immediate reorganisation to secure the cash flow, reinforce the capital structure and reinstate the trust of shareholders. Reforms of working capital, debt reorganization and divestment of low performing units will assist in restoring financial resilience. Project C is the best investment under the PS60 million capital constraint based on the extensive investment appraisal including the highest NPV, IRR, ARR, and PI, which contributes to the recovery of liquidity based on the presence of strong cash flows. On the whole, turnaround will only be successful by exercising disciplined measures to implement financial restructuring and prioritisation of value enhancing investments that are consistent with the long-term strategic goals of the firm.</w:t>
      </w:r>
    </w:p>
    <w:p w14:paraId="68B19BF8" w14:textId="77777777" w:rsidR="00BA2765" w:rsidRPr="00BA2765" w:rsidRDefault="00BA2765" w:rsidP="00BA2765">
      <w:pPr>
        <w:rPr>
          <w:b/>
          <w:bCs/>
          <w:sz w:val="28"/>
          <w:szCs w:val="28"/>
        </w:rPr>
      </w:pPr>
      <w:bookmarkStart w:id="52" w:name="_wwbs23i2fm0q" w:colFirst="0" w:colLast="0"/>
      <w:bookmarkEnd w:id="52"/>
      <w:r w:rsidRPr="00BA2765">
        <w:br w:type="page"/>
      </w:r>
    </w:p>
    <w:p w14:paraId="00B9703C" w14:textId="77777777" w:rsidR="00BA2765" w:rsidRPr="00BA2765" w:rsidRDefault="00BA2765" w:rsidP="00BA2765">
      <w:pPr>
        <w:pStyle w:val="Heading1"/>
        <w:spacing w:before="200" w:line="360" w:lineRule="auto"/>
      </w:pPr>
      <w:bookmarkStart w:id="53" w:name="_Toc216518051"/>
      <w:r w:rsidRPr="00BA2765">
        <w:t>7. References</w:t>
      </w:r>
      <w:bookmarkEnd w:id="53"/>
    </w:p>
    <w:p w14:paraId="651359ED" w14:textId="77777777" w:rsidR="00BA2765" w:rsidRPr="00BA2765" w:rsidRDefault="00BA2765" w:rsidP="00BA2765">
      <w:pPr>
        <w:spacing w:before="240" w:line="360" w:lineRule="auto"/>
        <w:jc w:val="both"/>
        <w:rPr>
          <w:lang w:val="en-US"/>
        </w:rPr>
      </w:pPr>
      <w:bookmarkStart w:id="54" w:name="_Toc216518052"/>
      <w:r w:rsidRPr="00BA2765">
        <w:rPr>
          <w:lang w:val="en-US"/>
        </w:rPr>
        <w:t xml:space="preserve">Altman, E.I. (1968). Financial Ratios, Discriminant Analysis and the Prediction of Corporate Bankruptcy. </w:t>
      </w:r>
      <w:r w:rsidRPr="00BA2765">
        <w:rPr>
          <w:i/>
          <w:iCs/>
          <w:lang w:val="en-US"/>
        </w:rPr>
        <w:t>The Journal of Finance</w:t>
      </w:r>
      <w:r w:rsidRPr="00BA2765">
        <w:rPr>
          <w:lang w:val="en-US"/>
        </w:rPr>
        <w:t>, [online] 23(4), pp.589–609. doi:https://doi.org/10.2307/2978933.</w:t>
      </w:r>
    </w:p>
    <w:p w14:paraId="326DD8C7" w14:textId="77777777" w:rsidR="00BA2765" w:rsidRPr="00BA2765" w:rsidRDefault="00BA2765" w:rsidP="00BA2765">
      <w:pPr>
        <w:spacing w:before="240" w:line="360" w:lineRule="auto"/>
        <w:jc w:val="both"/>
        <w:rPr>
          <w:lang w:val="en-US"/>
        </w:rPr>
      </w:pPr>
      <w:r w:rsidRPr="00BA2765">
        <w:rPr>
          <w:lang w:val="en-US"/>
        </w:rPr>
        <w:t xml:space="preserve">Archavli, S., Siriopoulos, C. and Arvanitis, S. (2012). Determinants of Working Capital Management. </w:t>
      </w:r>
      <w:r w:rsidRPr="00BA2765">
        <w:rPr>
          <w:i/>
          <w:iCs/>
          <w:lang w:val="en-US"/>
        </w:rPr>
        <w:t>Electronic Journal</w:t>
      </w:r>
      <w:r w:rsidRPr="00BA2765">
        <w:rPr>
          <w:lang w:val="en-US"/>
        </w:rPr>
        <w:t>. doi:https://doi.org/10.2139/ssrn.2179907.</w:t>
      </w:r>
    </w:p>
    <w:p w14:paraId="3B221D04" w14:textId="77777777" w:rsidR="00BA2765" w:rsidRPr="00BA2765" w:rsidRDefault="00BA2765" w:rsidP="00BA2765">
      <w:pPr>
        <w:spacing w:before="240" w:line="360" w:lineRule="auto"/>
        <w:jc w:val="both"/>
        <w:rPr>
          <w:lang w:val="en-US"/>
        </w:rPr>
      </w:pPr>
      <w:r w:rsidRPr="00BA2765">
        <w:rPr>
          <w:lang w:val="en-US"/>
        </w:rPr>
        <w:t xml:space="preserve">Arnold, G. and Lewis, D.S. (2019). </w:t>
      </w:r>
      <w:r w:rsidRPr="00BA2765">
        <w:rPr>
          <w:i/>
          <w:iCs/>
          <w:lang w:val="en-US"/>
        </w:rPr>
        <w:t>Corporate Financial Management</w:t>
      </w:r>
      <w:r w:rsidRPr="00BA2765">
        <w:rPr>
          <w:lang w:val="en-US"/>
        </w:rPr>
        <w:t>. 6th ed. Harlow, England: Pearson Education Limited.</w:t>
      </w:r>
    </w:p>
    <w:p w14:paraId="26BFEA50" w14:textId="77777777" w:rsidR="00BA2765" w:rsidRPr="00BA2765" w:rsidRDefault="00BA2765" w:rsidP="00BA2765">
      <w:pPr>
        <w:spacing w:before="240" w:line="360" w:lineRule="auto"/>
        <w:jc w:val="both"/>
        <w:rPr>
          <w:lang w:val="en-US"/>
        </w:rPr>
      </w:pPr>
      <w:r w:rsidRPr="00BA2765">
        <w:rPr>
          <w:lang w:val="en-US"/>
        </w:rPr>
        <w:t xml:space="preserve">Brealey, R.A., Myers, S.C. and Allen, F. (2022). </w:t>
      </w:r>
      <w:r w:rsidRPr="00BA2765">
        <w:rPr>
          <w:i/>
          <w:iCs/>
          <w:lang w:val="en-US"/>
        </w:rPr>
        <w:t>Principles of Corporate Finance</w:t>
      </w:r>
      <w:r w:rsidRPr="00BA2765">
        <w:rPr>
          <w:lang w:val="en-US"/>
        </w:rPr>
        <w:t>. 14th ed. New York: McGraw-Hill Education.</w:t>
      </w:r>
    </w:p>
    <w:p w14:paraId="2B8CB9F5" w14:textId="77777777" w:rsidR="00BA2765" w:rsidRPr="00BA2765" w:rsidRDefault="00BA2765" w:rsidP="00BA2765">
      <w:pPr>
        <w:spacing w:before="240" w:line="360" w:lineRule="auto"/>
        <w:jc w:val="both"/>
        <w:rPr>
          <w:lang w:val="en-US"/>
        </w:rPr>
      </w:pPr>
      <w:r w:rsidRPr="00BA2765">
        <w:rPr>
          <w:lang w:val="en-US"/>
        </w:rPr>
        <w:t xml:space="preserve">Cenciarelli, V.G. (2024). </w:t>
      </w:r>
      <w:r w:rsidRPr="00BA2765">
        <w:rPr>
          <w:i/>
          <w:iCs/>
          <w:lang w:val="en-US"/>
        </w:rPr>
        <w:t>Corporate financial distress: new predictors and early warning</w:t>
      </w:r>
      <w:r w:rsidRPr="00BA2765">
        <w:rPr>
          <w:lang w:val="en-US"/>
        </w:rPr>
        <w:t>. FrancoAngeli.</w:t>
      </w:r>
    </w:p>
    <w:p w14:paraId="50C6BD00" w14:textId="77777777" w:rsidR="00BA2765" w:rsidRPr="00BA2765" w:rsidRDefault="00BA2765" w:rsidP="00BA2765">
      <w:pPr>
        <w:spacing w:before="240" w:line="360" w:lineRule="auto"/>
        <w:jc w:val="both"/>
        <w:rPr>
          <w:lang w:val="en-US"/>
        </w:rPr>
      </w:pPr>
      <w:r w:rsidRPr="00BA2765">
        <w:rPr>
          <w:lang w:val="en-US"/>
        </w:rPr>
        <w:t xml:space="preserve">Damodaran, A. (2016). </w:t>
      </w:r>
      <w:r w:rsidRPr="00BA2765">
        <w:rPr>
          <w:i/>
          <w:iCs/>
          <w:lang w:val="en-US"/>
        </w:rPr>
        <w:t>Applied Corporate Finance, Fourth Edition Wiley E-Text Reg Card</w:t>
      </w:r>
      <w:r w:rsidRPr="00BA2765">
        <w:rPr>
          <w:lang w:val="en-US"/>
        </w:rPr>
        <w:t>.</w:t>
      </w:r>
    </w:p>
    <w:p w14:paraId="734D9066" w14:textId="77777777" w:rsidR="00BA2765" w:rsidRPr="00BA2765" w:rsidRDefault="00BA2765" w:rsidP="00BA2765">
      <w:pPr>
        <w:spacing w:before="240" w:line="360" w:lineRule="auto"/>
        <w:jc w:val="both"/>
        <w:rPr>
          <w:lang w:val="en-US"/>
        </w:rPr>
      </w:pPr>
      <w:r w:rsidRPr="00BA2765">
        <w:rPr>
          <w:lang w:val="en-US"/>
        </w:rPr>
        <w:t xml:space="preserve">Emery, D.R., Finnerty, J.D. and Stowe, J.D. (2011). </w:t>
      </w:r>
      <w:r w:rsidRPr="00BA2765">
        <w:rPr>
          <w:i/>
          <w:iCs/>
          <w:lang w:val="en-US"/>
        </w:rPr>
        <w:t>Corporate Financial Management</w:t>
      </w:r>
      <w:r w:rsidRPr="00BA2765">
        <w:rPr>
          <w:lang w:val="en-US"/>
        </w:rPr>
        <w:t>. Morristown, Nj: Wohl Publishing.</w:t>
      </w:r>
    </w:p>
    <w:p w14:paraId="01A98C60" w14:textId="77777777" w:rsidR="00BA2765" w:rsidRPr="00BA2765" w:rsidRDefault="00BA2765" w:rsidP="00BA2765">
      <w:pPr>
        <w:spacing w:before="240" w:line="360" w:lineRule="auto"/>
        <w:jc w:val="both"/>
        <w:rPr>
          <w:lang w:val="en-US"/>
        </w:rPr>
      </w:pPr>
      <w:r w:rsidRPr="00BA2765">
        <w:rPr>
          <w:lang w:val="en-US"/>
        </w:rPr>
        <w:t xml:space="preserve">Hillier, D., Grinblatt, M. and Titman, S. (2023). </w:t>
      </w:r>
      <w:r w:rsidRPr="00BA2765">
        <w:rPr>
          <w:i/>
          <w:iCs/>
          <w:lang w:val="en-US"/>
        </w:rPr>
        <w:t>Financial Markets and Corporate Strategy: European Edition, 3e</w:t>
      </w:r>
      <w:r w:rsidRPr="00BA2765">
        <w:rPr>
          <w:lang w:val="en-US"/>
        </w:rPr>
        <w:t>. McGraw Hill.</w:t>
      </w:r>
    </w:p>
    <w:p w14:paraId="607AE0F7" w14:textId="77777777" w:rsidR="00BA2765" w:rsidRPr="00BA2765" w:rsidRDefault="00BA2765" w:rsidP="00BA2765">
      <w:pPr>
        <w:spacing w:before="240" w:line="360" w:lineRule="auto"/>
        <w:jc w:val="both"/>
        <w:rPr>
          <w:lang w:val="en-US"/>
        </w:rPr>
      </w:pPr>
      <w:r w:rsidRPr="00BA2765">
        <w:rPr>
          <w:lang w:val="en-US"/>
        </w:rPr>
        <w:t xml:space="preserve">Hofer, C.W. (1980). Turnaround Strategies. </w:t>
      </w:r>
      <w:r w:rsidRPr="00BA2765">
        <w:rPr>
          <w:i/>
          <w:iCs/>
          <w:lang w:val="en-US"/>
        </w:rPr>
        <w:t>Journal of Business Strategy</w:t>
      </w:r>
      <w:r w:rsidRPr="00BA2765">
        <w:rPr>
          <w:lang w:val="en-US"/>
        </w:rPr>
        <w:t>, 1(1), pp.19–31. doi:https://doi.org/10.1108/eb038886.</w:t>
      </w:r>
    </w:p>
    <w:p w14:paraId="6515565F" w14:textId="77777777" w:rsidR="00BA2765" w:rsidRPr="00BA2765" w:rsidRDefault="00BA2765" w:rsidP="00BA2765">
      <w:pPr>
        <w:spacing w:before="240" w:line="360" w:lineRule="auto"/>
        <w:jc w:val="both"/>
        <w:rPr>
          <w:lang w:val="en-US"/>
        </w:rPr>
      </w:pPr>
      <w:r w:rsidRPr="00BA2765">
        <w:rPr>
          <w:lang w:val="en-US"/>
        </w:rPr>
        <w:t xml:space="preserve">Jafeel, A.Y., Abdalla, Y.A., Abdalla, A.A. and Warsame, M.H. (2023). How Corporate Governance Quality Affects Investment efficiency? an Empirical Analysis of Nonfinancial Companies in the Gulf Cooperation Council 2015-2020. </w:t>
      </w:r>
      <w:r w:rsidRPr="00BA2765">
        <w:rPr>
          <w:i/>
          <w:iCs/>
          <w:lang w:val="en-US"/>
        </w:rPr>
        <w:t>Cogent Business &amp; Management</w:t>
      </w:r>
      <w:r w:rsidRPr="00BA2765">
        <w:rPr>
          <w:lang w:val="en-US"/>
        </w:rPr>
        <w:t>, 10(1). doi:https://doi.org/10.1080/23311975.2023.2198061.</w:t>
      </w:r>
    </w:p>
    <w:p w14:paraId="7E9F5C5D" w14:textId="77777777" w:rsidR="00BA2765" w:rsidRPr="00BA2765" w:rsidRDefault="00BA2765" w:rsidP="00BA2765">
      <w:pPr>
        <w:spacing w:before="240" w:line="360" w:lineRule="auto"/>
        <w:jc w:val="both"/>
        <w:rPr>
          <w:lang w:val="en-US"/>
        </w:rPr>
      </w:pPr>
      <w:r w:rsidRPr="00BA2765">
        <w:rPr>
          <w:lang w:val="en-US"/>
        </w:rPr>
        <w:t xml:space="preserve">Jensen, M.C. and Meckling, W.H. (1976). Theory of the firm: Managerial behavior, Agency Costs and Ownership Structure. </w:t>
      </w:r>
      <w:r w:rsidRPr="00BA2765">
        <w:rPr>
          <w:i/>
          <w:iCs/>
          <w:lang w:val="en-US"/>
        </w:rPr>
        <w:t>Journal of Financial Economics</w:t>
      </w:r>
      <w:r w:rsidRPr="00BA2765">
        <w:rPr>
          <w:lang w:val="en-US"/>
        </w:rPr>
        <w:t>, 3(4), pp.305–360. doi:https://doi.org/10.1016/0304-405X(76)90026-X.</w:t>
      </w:r>
    </w:p>
    <w:p w14:paraId="42A76488" w14:textId="77777777" w:rsidR="00BA2765" w:rsidRPr="00BA2765" w:rsidRDefault="00BA2765" w:rsidP="00BA2765">
      <w:pPr>
        <w:spacing w:before="240" w:line="360" w:lineRule="auto"/>
        <w:jc w:val="both"/>
        <w:rPr>
          <w:lang w:val="en-US"/>
        </w:rPr>
      </w:pPr>
      <w:r w:rsidRPr="00BA2765">
        <w:rPr>
          <w:lang w:val="en-US"/>
        </w:rPr>
        <w:t xml:space="preserve">Joshi, N.A. (2019). </w:t>
      </w:r>
      <w:r w:rsidRPr="00BA2765">
        <w:rPr>
          <w:i/>
          <w:iCs/>
          <w:lang w:val="en-US"/>
        </w:rPr>
        <w:t>Financial Restructuring and Its Impact of Corporate Performance in Steel Industry in India</w:t>
      </w:r>
      <w:r w:rsidRPr="00BA2765">
        <w:rPr>
          <w:lang w:val="en-US"/>
        </w:rPr>
        <w:t>. [online] Ssrn.com. Available at: https://papers.ssrn.com/sol3/papers.cfm?abstract_id=2564694 [Accessed 14 Dec. 2025].</w:t>
      </w:r>
    </w:p>
    <w:p w14:paraId="2AC87BEA" w14:textId="77777777" w:rsidR="00BA2765" w:rsidRPr="00BA2765" w:rsidRDefault="00BA2765" w:rsidP="00BA2765">
      <w:pPr>
        <w:spacing w:before="240" w:line="360" w:lineRule="auto"/>
        <w:jc w:val="both"/>
        <w:rPr>
          <w:lang w:val="en-US"/>
        </w:rPr>
      </w:pPr>
      <w:r w:rsidRPr="00BA2765">
        <w:rPr>
          <w:lang w:val="en-US"/>
        </w:rPr>
        <w:t xml:space="preserve">Kaplan, R.S. and Norton, D.P. (2018). </w:t>
      </w:r>
      <w:r w:rsidRPr="00BA2765">
        <w:rPr>
          <w:i/>
          <w:iCs/>
          <w:lang w:val="en-US"/>
        </w:rPr>
        <w:t>The Execution Premium: Linking Strategy to Operations for Competitive Advantage</w:t>
      </w:r>
      <w:r w:rsidRPr="00BA2765">
        <w:rPr>
          <w:lang w:val="en-US"/>
        </w:rPr>
        <w:t>. Boston, Mass.: Harvard Business Press.</w:t>
      </w:r>
    </w:p>
    <w:p w14:paraId="684696EC" w14:textId="77777777" w:rsidR="00BA2765" w:rsidRPr="00BA2765" w:rsidRDefault="00BA2765" w:rsidP="00BA2765">
      <w:pPr>
        <w:spacing w:before="240" w:line="360" w:lineRule="auto"/>
        <w:jc w:val="both"/>
        <w:rPr>
          <w:lang w:val="en-US"/>
        </w:rPr>
      </w:pPr>
      <w:r w:rsidRPr="00BA2765">
        <w:rPr>
          <w:lang w:val="en-US"/>
        </w:rPr>
        <w:t xml:space="preserve">La Porta, R., Lopez-de-Silanes, F., Shleifer, A. and Vishny, R. (2000). Investor Protection and Corporate Governance. </w:t>
      </w:r>
      <w:r w:rsidRPr="00BA2765">
        <w:rPr>
          <w:i/>
          <w:iCs/>
          <w:lang w:val="en-US"/>
        </w:rPr>
        <w:t>Journal of Financial Economics</w:t>
      </w:r>
      <w:r w:rsidRPr="00BA2765">
        <w:rPr>
          <w:lang w:val="en-US"/>
        </w:rPr>
        <w:t>, 58(1-2), pp.3–27.</w:t>
      </w:r>
    </w:p>
    <w:p w14:paraId="7718D08B" w14:textId="77777777" w:rsidR="00BA2765" w:rsidRPr="00BA2765" w:rsidRDefault="00BA2765" w:rsidP="00BA2765">
      <w:pPr>
        <w:spacing w:before="240" w:line="360" w:lineRule="auto"/>
        <w:jc w:val="both"/>
        <w:rPr>
          <w:lang w:val="en-US"/>
        </w:rPr>
      </w:pPr>
      <w:r w:rsidRPr="00BA2765">
        <w:rPr>
          <w:lang w:val="en-US"/>
        </w:rPr>
        <w:t xml:space="preserve">Lane, D. (2019). The Cost of capital, Corporation Finance and the Theory of investment: a Refinement. </w:t>
      </w:r>
      <w:r w:rsidRPr="00BA2765">
        <w:rPr>
          <w:i/>
          <w:iCs/>
          <w:lang w:val="en-US"/>
        </w:rPr>
        <w:t>Applied Economics Letters</w:t>
      </w:r>
      <w:r w:rsidRPr="00BA2765">
        <w:rPr>
          <w:lang w:val="en-US"/>
        </w:rPr>
        <w:t>, 16(10), pp.101–109. doi:https://doi.org/10.1080/17446540802345448.</w:t>
      </w:r>
    </w:p>
    <w:p w14:paraId="0E056B85" w14:textId="77777777" w:rsidR="00BA2765" w:rsidRPr="00BA2765" w:rsidRDefault="00BA2765" w:rsidP="00BA2765">
      <w:pPr>
        <w:spacing w:before="240" w:line="360" w:lineRule="auto"/>
        <w:jc w:val="both"/>
        <w:rPr>
          <w:lang w:val="en-US"/>
        </w:rPr>
      </w:pPr>
      <w:r w:rsidRPr="00BA2765">
        <w:rPr>
          <w:lang w:val="en-US"/>
        </w:rPr>
        <w:t xml:space="preserve">Modigliani, F. and Miller, M.H. (1958). The Cost of Capital, Corporation Finance and the Theory of Investment. </w:t>
      </w:r>
      <w:r w:rsidRPr="00BA2765">
        <w:rPr>
          <w:i/>
          <w:iCs/>
          <w:lang w:val="en-US"/>
        </w:rPr>
        <w:t>The American Economic Review</w:t>
      </w:r>
      <w:r w:rsidRPr="00BA2765">
        <w:rPr>
          <w:lang w:val="en-US"/>
        </w:rPr>
        <w:t>, [online] 48(3), pp.261–297. Available at: https://www.jstor.org/stable/1809766.</w:t>
      </w:r>
    </w:p>
    <w:p w14:paraId="00FA8CEF" w14:textId="77777777" w:rsidR="00BA2765" w:rsidRPr="00BA2765" w:rsidRDefault="00BA2765" w:rsidP="00BA2765">
      <w:pPr>
        <w:spacing w:before="240" w:line="360" w:lineRule="auto"/>
        <w:jc w:val="both"/>
        <w:rPr>
          <w:lang w:val="en-US"/>
        </w:rPr>
      </w:pPr>
      <w:r w:rsidRPr="00BA2765">
        <w:rPr>
          <w:lang w:val="en-US"/>
        </w:rPr>
        <w:t xml:space="preserve">Palepu, K.G., Healy, P.M. and Peek, E. (2019). </w:t>
      </w:r>
      <w:r w:rsidRPr="00BA2765">
        <w:rPr>
          <w:i/>
          <w:iCs/>
          <w:lang w:val="en-US"/>
        </w:rPr>
        <w:t>Business Analysis and Valuation : Text &amp; Cases</w:t>
      </w:r>
      <w:r w:rsidRPr="00BA2765">
        <w:rPr>
          <w:lang w:val="en-US"/>
        </w:rPr>
        <w:t>. Andover, Hampshire: Cengage Learning.</w:t>
      </w:r>
    </w:p>
    <w:p w14:paraId="26FD6878" w14:textId="77777777" w:rsidR="00BA2765" w:rsidRPr="00BA2765" w:rsidRDefault="00BA2765" w:rsidP="00BA2765">
      <w:pPr>
        <w:spacing w:before="240" w:line="360" w:lineRule="auto"/>
        <w:jc w:val="both"/>
        <w:rPr>
          <w:lang w:val="en-US"/>
        </w:rPr>
      </w:pPr>
      <w:r w:rsidRPr="00BA2765">
        <w:rPr>
          <w:lang w:val="en-US"/>
        </w:rPr>
        <w:t xml:space="preserve">Pearce, J.A. and Robbins, K. (1993). Toward Improved Theory and Research on Business Turnaround. </w:t>
      </w:r>
      <w:r w:rsidRPr="00BA2765">
        <w:rPr>
          <w:i/>
          <w:iCs/>
          <w:lang w:val="en-US"/>
        </w:rPr>
        <w:t>Journal of Management</w:t>
      </w:r>
      <w:r w:rsidRPr="00BA2765">
        <w:rPr>
          <w:lang w:val="en-US"/>
        </w:rPr>
        <w:t>, 19(3), pp.613–636. doi:https://doi.org/10.1177/014920639301900306.</w:t>
      </w:r>
    </w:p>
    <w:p w14:paraId="629D8D8C" w14:textId="77777777" w:rsidR="00BA2765" w:rsidRPr="00BA2765" w:rsidRDefault="00BA2765" w:rsidP="00BA2765">
      <w:pPr>
        <w:spacing w:before="240" w:line="360" w:lineRule="auto"/>
        <w:jc w:val="both"/>
        <w:rPr>
          <w:lang w:val="en-US"/>
        </w:rPr>
      </w:pPr>
      <w:r w:rsidRPr="00BA2765">
        <w:rPr>
          <w:lang w:val="en-US"/>
        </w:rPr>
        <w:t xml:space="preserve">Ross, S.A., Westerfield, R., Jaffe, J.F. and Jordan, B.D. (2019). </w:t>
      </w:r>
      <w:r w:rsidRPr="00BA2765">
        <w:rPr>
          <w:i/>
          <w:iCs/>
          <w:lang w:val="en-US"/>
        </w:rPr>
        <w:t>Corporate finance</w:t>
      </w:r>
      <w:r w:rsidRPr="00BA2765">
        <w:rPr>
          <w:lang w:val="en-US"/>
        </w:rPr>
        <w:t>. 12th ed. New York Mcgraw-Hill Education.</w:t>
      </w:r>
    </w:p>
    <w:p w14:paraId="514C23EA" w14:textId="77777777" w:rsidR="00BA2765" w:rsidRPr="00BA2765" w:rsidRDefault="00BA2765" w:rsidP="00BA2765">
      <w:pPr>
        <w:spacing w:before="240" w:line="360" w:lineRule="auto"/>
        <w:jc w:val="both"/>
        <w:rPr>
          <w:lang w:val="en-US"/>
        </w:rPr>
      </w:pPr>
      <w:r w:rsidRPr="00BA2765">
        <w:rPr>
          <w:lang w:val="en-US"/>
        </w:rPr>
        <w:t xml:space="preserve">Sangster, A. (1993). Capital Investment Appraisal Techniques: A Survey of Current Usage. </w:t>
      </w:r>
      <w:r w:rsidRPr="00BA2765">
        <w:rPr>
          <w:i/>
          <w:iCs/>
          <w:lang w:val="en-US"/>
        </w:rPr>
        <w:t>Journal of Business Finance &amp; Accounting</w:t>
      </w:r>
      <w:r w:rsidRPr="00BA2765">
        <w:rPr>
          <w:lang w:val="en-US"/>
        </w:rPr>
        <w:t>, [online] 20(3), pp.307–332. doi:https://doi.org/10.1111/j.1468-5957.1993.tb00258.x.</w:t>
      </w:r>
    </w:p>
    <w:p w14:paraId="710AA764" w14:textId="77777777" w:rsidR="00BA2765" w:rsidRPr="00BA2765" w:rsidRDefault="00BA2765" w:rsidP="00BA2765">
      <w:pPr>
        <w:spacing w:before="240" w:line="360" w:lineRule="auto"/>
        <w:jc w:val="both"/>
        <w:rPr>
          <w:lang w:val="en-US"/>
        </w:rPr>
      </w:pPr>
      <w:r w:rsidRPr="00BA2765">
        <w:rPr>
          <w:lang w:val="en-US"/>
        </w:rPr>
        <w:t xml:space="preserve">Shleifer, A. and Vishny, R.W. (1997). A Survey of Corporate Governance. </w:t>
      </w:r>
      <w:r w:rsidRPr="00BA2765">
        <w:rPr>
          <w:i/>
          <w:iCs/>
          <w:lang w:val="en-US"/>
        </w:rPr>
        <w:t>The Journal of Finance</w:t>
      </w:r>
      <w:r w:rsidRPr="00BA2765">
        <w:rPr>
          <w:lang w:val="en-US"/>
        </w:rPr>
        <w:t>, 52(2), pp.73–78. doi:https://doi.org/10.2307/2329497.</w:t>
      </w:r>
    </w:p>
    <w:p w14:paraId="40C489EF" w14:textId="77777777" w:rsidR="00BA2765" w:rsidRPr="00BA2765" w:rsidRDefault="00BA2765" w:rsidP="00BA2765">
      <w:pPr>
        <w:rPr>
          <w:b/>
          <w:bCs/>
          <w:sz w:val="28"/>
          <w:szCs w:val="28"/>
        </w:rPr>
      </w:pPr>
      <w:r w:rsidRPr="00BA2765">
        <w:br w:type="page"/>
      </w:r>
    </w:p>
    <w:p w14:paraId="4EEC7129" w14:textId="77777777" w:rsidR="00BA2765" w:rsidRPr="00BA2765" w:rsidRDefault="00BA2765" w:rsidP="00BA2765">
      <w:pPr>
        <w:pStyle w:val="Heading1"/>
        <w:spacing w:before="240" w:line="360" w:lineRule="auto"/>
        <w:jc w:val="both"/>
      </w:pPr>
      <w:r w:rsidRPr="00BA2765">
        <w:t>8. Appendices</w:t>
      </w:r>
      <w:bookmarkEnd w:id="54"/>
    </w:p>
    <w:p w14:paraId="5FBE1BD7" w14:textId="77777777" w:rsidR="00BA2765" w:rsidRPr="00BA2765" w:rsidRDefault="00BA2765" w:rsidP="00BA2765">
      <w:pPr>
        <w:spacing w:before="240"/>
        <w:rPr>
          <w:b/>
          <w:bCs/>
        </w:rPr>
      </w:pPr>
      <w:r w:rsidRPr="00BA2765">
        <w:rPr>
          <w:b/>
          <w:bCs/>
        </w:rPr>
        <w:t>I. Ratios</w:t>
      </w:r>
    </w:p>
    <w:tbl>
      <w:tblPr>
        <w:tblW w:w="9535" w:type="dxa"/>
        <w:tblLook w:val="04A0" w:firstRow="1" w:lastRow="0" w:firstColumn="1" w:lastColumn="0" w:noHBand="0" w:noVBand="1"/>
      </w:tblPr>
      <w:tblGrid>
        <w:gridCol w:w="2155"/>
        <w:gridCol w:w="1980"/>
        <w:gridCol w:w="1170"/>
        <w:gridCol w:w="1170"/>
        <w:gridCol w:w="1080"/>
        <w:gridCol w:w="990"/>
        <w:gridCol w:w="990"/>
      </w:tblGrid>
      <w:tr w:rsidR="00BA2765" w:rsidRPr="00BA2765" w14:paraId="4CD7C431" w14:textId="77777777" w:rsidTr="00134B76">
        <w:trPr>
          <w:trHeight w:val="300"/>
        </w:trPr>
        <w:tc>
          <w:tcPr>
            <w:tcW w:w="2155" w:type="dxa"/>
            <w:tcBorders>
              <w:top w:val="single" w:sz="4" w:space="0" w:color="auto"/>
              <w:left w:val="single" w:sz="4" w:space="0" w:color="auto"/>
              <w:bottom w:val="single" w:sz="4" w:space="0" w:color="auto"/>
              <w:right w:val="single" w:sz="4" w:space="0" w:color="auto"/>
            </w:tcBorders>
            <w:noWrap/>
            <w:vAlign w:val="bottom"/>
            <w:hideMark/>
          </w:tcPr>
          <w:p w14:paraId="1B3F012B" w14:textId="77777777" w:rsidR="00BA2765" w:rsidRPr="00BA2765" w:rsidRDefault="00BA2765" w:rsidP="00134B76">
            <w:pPr>
              <w:spacing w:before="240" w:line="240" w:lineRule="auto"/>
              <w:jc w:val="center"/>
              <w:rPr>
                <w:b/>
                <w:bCs/>
                <w:color w:val="000000"/>
                <w:lang w:val="en-US"/>
              </w:rPr>
            </w:pPr>
            <w:r w:rsidRPr="00BA2765">
              <w:rPr>
                <w:b/>
                <w:bCs/>
                <w:color w:val="000000"/>
                <w:lang w:val="en-US"/>
              </w:rPr>
              <w:t>Ratios</w:t>
            </w:r>
          </w:p>
        </w:tc>
        <w:tc>
          <w:tcPr>
            <w:tcW w:w="1980" w:type="dxa"/>
            <w:tcBorders>
              <w:top w:val="single" w:sz="4" w:space="0" w:color="auto"/>
              <w:left w:val="nil"/>
              <w:bottom w:val="single" w:sz="4" w:space="0" w:color="auto"/>
              <w:right w:val="single" w:sz="4" w:space="0" w:color="auto"/>
            </w:tcBorders>
            <w:noWrap/>
            <w:vAlign w:val="bottom"/>
            <w:hideMark/>
          </w:tcPr>
          <w:p w14:paraId="5B1C7DF9" w14:textId="77777777" w:rsidR="00BA2765" w:rsidRPr="00BA2765" w:rsidRDefault="00BA2765" w:rsidP="00134B76">
            <w:pPr>
              <w:spacing w:before="240" w:line="240" w:lineRule="auto"/>
              <w:jc w:val="center"/>
              <w:rPr>
                <w:b/>
                <w:bCs/>
                <w:color w:val="000000"/>
                <w:lang w:val="en-US"/>
              </w:rPr>
            </w:pPr>
            <w:r w:rsidRPr="00BA2765">
              <w:rPr>
                <w:b/>
                <w:bCs/>
                <w:color w:val="000000"/>
                <w:lang w:val="en-US"/>
              </w:rPr>
              <w:t>Formula</w:t>
            </w:r>
          </w:p>
        </w:tc>
        <w:tc>
          <w:tcPr>
            <w:tcW w:w="1170" w:type="dxa"/>
            <w:tcBorders>
              <w:top w:val="single" w:sz="4" w:space="0" w:color="auto"/>
              <w:left w:val="nil"/>
              <w:bottom w:val="single" w:sz="4" w:space="0" w:color="auto"/>
              <w:right w:val="single" w:sz="4" w:space="0" w:color="auto"/>
            </w:tcBorders>
            <w:noWrap/>
            <w:vAlign w:val="bottom"/>
            <w:hideMark/>
          </w:tcPr>
          <w:p w14:paraId="6F19B1DD" w14:textId="77777777" w:rsidR="00BA2765" w:rsidRPr="00BA2765" w:rsidRDefault="00BA2765" w:rsidP="00134B76">
            <w:pPr>
              <w:spacing w:before="240" w:line="240" w:lineRule="auto"/>
              <w:jc w:val="right"/>
              <w:rPr>
                <w:b/>
                <w:bCs/>
                <w:color w:val="000000"/>
                <w:lang w:val="en-US"/>
              </w:rPr>
            </w:pPr>
            <w:r w:rsidRPr="00BA2765">
              <w:rPr>
                <w:b/>
                <w:bCs/>
                <w:color w:val="000000"/>
                <w:lang w:val="en-US"/>
              </w:rPr>
              <w:t>2024</w:t>
            </w:r>
          </w:p>
        </w:tc>
        <w:tc>
          <w:tcPr>
            <w:tcW w:w="1170" w:type="dxa"/>
            <w:tcBorders>
              <w:top w:val="single" w:sz="4" w:space="0" w:color="auto"/>
              <w:left w:val="nil"/>
              <w:bottom w:val="single" w:sz="4" w:space="0" w:color="auto"/>
              <w:right w:val="single" w:sz="4" w:space="0" w:color="auto"/>
            </w:tcBorders>
            <w:noWrap/>
            <w:vAlign w:val="bottom"/>
            <w:hideMark/>
          </w:tcPr>
          <w:p w14:paraId="47C96784" w14:textId="77777777" w:rsidR="00BA2765" w:rsidRPr="00BA2765" w:rsidRDefault="00BA2765" w:rsidP="00134B76">
            <w:pPr>
              <w:spacing w:before="240" w:line="240" w:lineRule="auto"/>
              <w:jc w:val="right"/>
              <w:rPr>
                <w:b/>
                <w:bCs/>
                <w:color w:val="000000"/>
                <w:lang w:val="en-US"/>
              </w:rPr>
            </w:pPr>
            <w:r w:rsidRPr="00BA2765">
              <w:rPr>
                <w:b/>
                <w:bCs/>
                <w:color w:val="000000"/>
                <w:lang w:val="en-US"/>
              </w:rPr>
              <w:t>2023</w:t>
            </w:r>
          </w:p>
        </w:tc>
        <w:tc>
          <w:tcPr>
            <w:tcW w:w="1080" w:type="dxa"/>
            <w:tcBorders>
              <w:top w:val="single" w:sz="4" w:space="0" w:color="auto"/>
              <w:left w:val="nil"/>
              <w:bottom w:val="single" w:sz="4" w:space="0" w:color="auto"/>
              <w:right w:val="single" w:sz="4" w:space="0" w:color="auto"/>
            </w:tcBorders>
            <w:noWrap/>
            <w:vAlign w:val="bottom"/>
            <w:hideMark/>
          </w:tcPr>
          <w:p w14:paraId="149512F0" w14:textId="77777777" w:rsidR="00BA2765" w:rsidRPr="00BA2765" w:rsidRDefault="00BA2765" w:rsidP="00134B76">
            <w:pPr>
              <w:spacing w:before="240" w:line="240" w:lineRule="auto"/>
              <w:jc w:val="right"/>
              <w:rPr>
                <w:b/>
                <w:bCs/>
                <w:color w:val="000000"/>
                <w:lang w:val="en-US"/>
              </w:rPr>
            </w:pPr>
            <w:r w:rsidRPr="00BA2765">
              <w:rPr>
                <w:b/>
                <w:bCs/>
                <w:color w:val="000000"/>
                <w:lang w:val="en-US"/>
              </w:rPr>
              <w:t>2022</w:t>
            </w:r>
          </w:p>
        </w:tc>
        <w:tc>
          <w:tcPr>
            <w:tcW w:w="990" w:type="dxa"/>
            <w:tcBorders>
              <w:top w:val="single" w:sz="4" w:space="0" w:color="auto"/>
              <w:left w:val="nil"/>
              <w:bottom w:val="single" w:sz="4" w:space="0" w:color="auto"/>
              <w:right w:val="single" w:sz="4" w:space="0" w:color="auto"/>
            </w:tcBorders>
            <w:noWrap/>
            <w:vAlign w:val="bottom"/>
            <w:hideMark/>
          </w:tcPr>
          <w:p w14:paraId="36044ED0" w14:textId="77777777" w:rsidR="00BA2765" w:rsidRPr="00BA2765" w:rsidRDefault="00BA2765" w:rsidP="00134B76">
            <w:pPr>
              <w:spacing w:before="240" w:line="240" w:lineRule="auto"/>
              <w:jc w:val="right"/>
              <w:rPr>
                <w:b/>
                <w:bCs/>
                <w:color w:val="000000"/>
                <w:lang w:val="en-US"/>
              </w:rPr>
            </w:pPr>
            <w:r w:rsidRPr="00BA2765">
              <w:rPr>
                <w:b/>
                <w:bCs/>
                <w:color w:val="000000"/>
                <w:lang w:val="en-US"/>
              </w:rPr>
              <w:t>2021</w:t>
            </w:r>
          </w:p>
        </w:tc>
        <w:tc>
          <w:tcPr>
            <w:tcW w:w="990" w:type="dxa"/>
            <w:tcBorders>
              <w:top w:val="single" w:sz="4" w:space="0" w:color="auto"/>
              <w:left w:val="nil"/>
              <w:bottom w:val="single" w:sz="4" w:space="0" w:color="auto"/>
              <w:right w:val="single" w:sz="4" w:space="0" w:color="auto"/>
            </w:tcBorders>
            <w:noWrap/>
            <w:vAlign w:val="bottom"/>
            <w:hideMark/>
          </w:tcPr>
          <w:p w14:paraId="5E50624B" w14:textId="77777777" w:rsidR="00BA2765" w:rsidRPr="00BA2765" w:rsidRDefault="00BA2765" w:rsidP="00134B76">
            <w:pPr>
              <w:spacing w:before="240" w:line="240" w:lineRule="auto"/>
              <w:jc w:val="right"/>
              <w:rPr>
                <w:b/>
                <w:bCs/>
                <w:color w:val="000000"/>
                <w:lang w:val="en-US"/>
              </w:rPr>
            </w:pPr>
            <w:r w:rsidRPr="00BA2765">
              <w:rPr>
                <w:b/>
                <w:bCs/>
                <w:color w:val="000000"/>
                <w:lang w:val="en-US"/>
              </w:rPr>
              <w:t>2020</w:t>
            </w:r>
          </w:p>
        </w:tc>
      </w:tr>
      <w:tr w:rsidR="00BA2765" w:rsidRPr="00BA2765" w14:paraId="2C93E378"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0C8E69B0" w14:textId="77777777" w:rsidR="00BA2765" w:rsidRPr="00BA2765" w:rsidRDefault="00BA2765" w:rsidP="00134B76">
            <w:pPr>
              <w:spacing w:line="240" w:lineRule="auto"/>
              <w:rPr>
                <w:b/>
                <w:bCs/>
                <w:color w:val="000000"/>
                <w:lang w:val="en-US"/>
              </w:rPr>
            </w:pPr>
            <w:r w:rsidRPr="00BA2765">
              <w:rPr>
                <w:b/>
                <w:bCs/>
                <w:color w:val="000000"/>
                <w:lang w:val="en-US"/>
              </w:rPr>
              <w:t>Profitabiliy Ratios</w:t>
            </w:r>
          </w:p>
        </w:tc>
        <w:tc>
          <w:tcPr>
            <w:tcW w:w="1980" w:type="dxa"/>
            <w:tcBorders>
              <w:top w:val="nil"/>
              <w:left w:val="nil"/>
              <w:bottom w:val="single" w:sz="4" w:space="0" w:color="auto"/>
              <w:right w:val="single" w:sz="4" w:space="0" w:color="auto"/>
            </w:tcBorders>
            <w:noWrap/>
            <w:vAlign w:val="bottom"/>
            <w:hideMark/>
          </w:tcPr>
          <w:p w14:paraId="4E794F44"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single" w:sz="4" w:space="0" w:color="auto"/>
            </w:tcBorders>
            <w:noWrap/>
            <w:vAlign w:val="bottom"/>
            <w:hideMark/>
          </w:tcPr>
          <w:p w14:paraId="1EE2C4BD" w14:textId="77777777" w:rsidR="00BA2765" w:rsidRPr="00BA2765" w:rsidRDefault="00BA2765" w:rsidP="00134B76">
            <w:pPr>
              <w:spacing w:line="240" w:lineRule="auto"/>
              <w:rPr>
                <w:color w:val="000000"/>
                <w:lang w:val="en-US"/>
              </w:rPr>
            </w:pPr>
            <w:r w:rsidRPr="00BA2765">
              <w:rPr>
                <w:color w:val="000000"/>
                <w:lang w:val="en-US"/>
              </w:rPr>
              <w:t> </w:t>
            </w:r>
          </w:p>
        </w:tc>
        <w:tc>
          <w:tcPr>
            <w:tcW w:w="1170" w:type="dxa"/>
            <w:tcBorders>
              <w:top w:val="nil"/>
              <w:left w:val="nil"/>
              <w:bottom w:val="single" w:sz="4" w:space="0" w:color="auto"/>
              <w:right w:val="single" w:sz="4" w:space="0" w:color="auto"/>
            </w:tcBorders>
            <w:noWrap/>
            <w:vAlign w:val="bottom"/>
            <w:hideMark/>
          </w:tcPr>
          <w:p w14:paraId="7CA242C0" w14:textId="77777777" w:rsidR="00BA2765" w:rsidRPr="00BA2765" w:rsidRDefault="00BA2765" w:rsidP="00134B76">
            <w:pPr>
              <w:spacing w:line="240" w:lineRule="auto"/>
              <w:rPr>
                <w:color w:val="000000"/>
                <w:lang w:val="en-US"/>
              </w:rPr>
            </w:pPr>
            <w:r w:rsidRPr="00BA2765">
              <w:rPr>
                <w:color w:val="000000"/>
                <w:lang w:val="en-US"/>
              </w:rPr>
              <w:t> </w:t>
            </w:r>
          </w:p>
        </w:tc>
        <w:tc>
          <w:tcPr>
            <w:tcW w:w="1080" w:type="dxa"/>
            <w:tcBorders>
              <w:top w:val="nil"/>
              <w:left w:val="nil"/>
              <w:bottom w:val="single" w:sz="4" w:space="0" w:color="auto"/>
              <w:right w:val="single" w:sz="4" w:space="0" w:color="auto"/>
            </w:tcBorders>
            <w:noWrap/>
            <w:vAlign w:val="bottom"/>
            <w:hideMark/>
          </w:tcPr>
          <w:p w14:paraId="77E7B383"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0EDE9ADC"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0CE79D8D"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4E44586F"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408A43BE" w14:textId="77777777" w:rsidR="00BA2765" w:rsidRPr="00BA2765" w:rsidRDefault="00BA2765" w:rsidP="00134B76">
            <w:pPr>
              <w:spacing w:line="240" w:lineRule="auto"/>
              <w:rPr>
                <w:color w:val="000000"/>
                <w:lang w:val="en-US"/>
              </w:rPr>
            </w:pPr>
            <w:r w:rsidRPr="00BA2765">
              <w:rPr>
                <w:color w:val="000000"/>
                <w:lang w:val="en-US"/>
              </w:rPr>
              <w:t>Gross Profit Margin</w:t>
            </w:r>
          </w:p>
        </w:tc>
        <w:tc>
          <w:tcPr>
            <w:tcW w:w="1980" w:type="dxa"/>
            <w:tcBorders>
              <w:top w:val="nil"/>
              <w:left w:val="nil"/>
              <w:bottom w:val="single" w:sz="4" w:space="0" w:color="auto"/>
              <w:right w:val="single" w:sz="4" w:space="0" w:color="auto"/>
            </w:tcBorders>
            <w:vAlign w:val="bottom"/>
            <w:hideMark/>
          </w:tcPr>
          <w:p w14:paraId="13559F00" w14:textId="77777777" w:rsidR="00BA2765" w:rsidRPr="00BA2765" w:rsidRDefault="00BA2765" w:rsidP="00134B76">
            <w:pPr>
              <w:spacing w:line="240" w:lineRule="auto"/>
              <w:rPr>
                <w:color w:val="000000"/>
                <w:lang w:val="en-US"/>
              </w:rPr>
            </w:pPr>
            <w:r w:rsidRPr="00BA2765">
              <w:rPr>
                <w:color w:val="000000"/>
                <w:lang w:val="en-US"/>
              </w:rPr>
              <w:t>Gross Profit / Net Sales*100</w:t>
            </w:r>
          </w:p>
        </w:tc>
        <w:tc>
          <w:tcPr>
            <w:tcW w:w="1170" w:type="dxa"/>
            <w:tcBorders>
              <w:top w:val="nil"/>
              <w:left w:val="nil"/>
              <w:bottom w:val="single" w:sz="4" w:space="0" w:color="auto"/>
              <w:right w:val="single" w:sz="4" w:space="0" w:color="auto"/>
            </w:tcBorders>
            <w:noWrap/>
            <w:vAlign w:val="bottom"/>
            <w:hideMark/>
          </w:tcPr>
          <w:p w14:paraId="56C187B5" w14:textId="77777777" w:rsidR="00BA2765" w:rsidRPr="00BA2765" w:rsidRDefault="00BA2765" w:rsidP="00134B76">
            <w:pPr>
              <w:spacing w:line="240" w:lineRule="auto"/>
              <w:jc w:val="right"/>
              <w:rPr>
                <w:color w:val="000000"/>
                <w:lang w:val="en-US"/>
              </w:rPr>
            </w:pPr>
            <w:r w:rsidRPr="00BA2765">
              <w:rPr>
                <w:color w:val="000000"/>
                <w:lang w:val="en-US"/>
              </w:rPr>
              <w:t>28.87%</w:t>
            </w:r>
          </w:p>
        </w:tc>
        <w:tc>
          <w:tcPr>
            <w:tcW w:w="1170" w:type="dxa"/>
            <w:tcBorders>
              <w:top w:val="nil"/>
              <w:left w:val="nil"/>
              <w:bottom w:val="single" w:sz="4" w:space="0" w:color="auto"/>
              <w:right w:val="single" w:sz="4" w:space="0" w:color="auto"/>
            </w:tcBorders>
            <w:noWrap/>
            <w:vAlign w:val="bottom"/>
            <w:hideMark/>
          </w:tcPr>
          <w:p w14:paraId="59801A3F" w14:textId="77777777" w:rsidR="00BA2765" w:rsidRPr="00BA2765" w:rsidRDefault="00BA2765" w:rsidP="00134B76">
            <w:pPr>
              <w:spacing w:line="240" w:lineRule="auto"/>
              <w:jc w:val="right"/>
              <w:rPr>
                <w:color w:val="000000"/>
                <w:lang w:val="en-US"/>
              </w:rPr>
            </w:pPr>
            <w:r w:rsidRPr="00BA2765">
              <w:rPr>
                <w:color w:val="000000"/>
                <w:lang w:val="en-US"/>
              </w:rPr>
              <w:t>23.20%</w:t>
            </w:r>
          </w:p>
        </w:tc>
        <w:tc>
          <w:tcPr>
            <w:tcW w:w="1080" w:type="dxa"/>
            <w:tcBorders>
              <w:top w:val="nil"/>
              <w:left w:val="nil"/>
              <w:bottom w:val="single" w:sz="4" w:space="0" w:color="auto"/>
              <w:right w:val="single" w:sz="4" w:space="0" w:color="auto"/>
            </w:tcBorders>
            <w:noWrap/>
            <w:vAlign w:val="bottom"/>
            <w:hideMark/>
          </w:tcPr>
          <w:p w14:paraId="227BC784" w14:textId="77777777" w:rsidR="00BA2765" w:rsidRPr="00BA2765" w:rsidRDefault="00BA2765" w:rsidP="00134B76">
            <w:pPr>
              <w:spacing w:line="240" w:lineRule="auto"/>
              <w:jc w:val="right"/>
              <w:rPr>
                <w:color w:val="000000"/>
                <w:lang w:val="en-US"/>
              </w:rPr>
            </w:pPr>
            <w:r w:rsidRPr="00BA2765">
              <w:rPr>
                <w:color w:val="000000"/>
                <w:lang w:val="en-US"/>
              </w:rPr>
              <w:t>28.06%</w:t>
            </w:r>
          </w:p>
        </w:tc>
        <w:tc>
          <w:tcPr>
            <w:tcW w:w="990" w:type="dxa"/>
            <w:tcBorders>
              <w:top w:val="nil"/>
              <w:left w:val="nil"/>
              <w:bottom w:val="single" w:sz="4" w:space="0" w:color="auto"/>
              <w:right w:val="single" w:sz="4" w:space="0" w:color="auto"/>
            </w:tcBorders>
            <w:noWrap/>
            <w:vAlign w:val="bottom"/>
            <w:hideMark/>
          </w:tcPr>
          <w:p w14:paraId="01A1EAA0" w14:textId="77777777" w:rsidR="00BA2765" w:rsidRPr="00BA2765" w:rsidRDefault="00BA2765" w:rsidP="00134B76">
            <w:pPr>
              <w:spacing w:line="240" w:lineRule="auto"/>
              <w:jc w:val="right"/>
              <w:rPr>
                <w:color w:val="000000"/>
                <w:lang w:val="en-US"/>
              </w:rPr>
            </w:pPr>
            <w:r w:rsidRPr="00BA2765">
              <w:rPr>
                <w:color w:val="000000"/>
                <w:lang w:val="en-US"/>
              </w:rPr>
              <w:t>28.76%</w:t>
            </w:r>
          </w:p>
        </w:tc>
        <w:tc>
          <w:tcPr>
            <w:tcW w:w="990" w:type="dxa"/>
            <w:tcBorders>
              <w:top w:val="nil"/>
              <w:left w:val="nil"/>
              <w:bottom w:val="single" w:sz="4" w:space="0" w:color="auto"/>
              <w:right w:val="single" w:sz="4" w:space="0" w:color="auto"/>
            </w:tcBorders>
            <w:noWrap/>
            <w:vAlign w:val="bottom"/>
            <w:hideMark/>
          </w:tcPr>
          <w:p w14:paraId="3BB29D2B" w14:textId="77777777" w:rsidR="00BA2765" w:rsidRPr="00BA2765" w:rsidRDefault="00BA2765" w:rsidP="00134B76">
            <w:pPr>
              <w:spacing w:line="240" w:lineRule="auto"/>
              <w:jc w:val="right"/>
              <w:rPr>
                <w:color w:val="000000"/>
                <w:lang w:val="en-US"/>
              </w:rPr>
            </w:pPr>
            <w:r w:rsidRPr="00BA2765">
              <w:rPr>
                <w:color w:val="000000"/>
                <w:lang w:val="en-US"/>
              </w:rPr>
              <w:t>28.67%</w:t>
            </w:r>
          </w:p>
        </w:tc>
      </w:tr>
      <w:tr w:rsidR="00BA2765" w:rsidRPr="00BA2765" w14:paraId="6033AF6E"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2F016926" w14:textId="77777777" w:rsidR="00BA2765" w:rsidRPr="00BA2765" w:rsidRDefault="00BA2765" w:rsidP="00134B76">
            <w:pPr>
              <w:spacing w:line="240" w:lineRule="auto"/>
              <w:rPr>
                <w:color w:val="000000"/>
                <w:lang w:val="en-US"/>
              </w:rPr>
            </w:pPr>
            <w:r w:rsidRPr="00BA2765">
              <w:rPr>
                <w:color w:val="000000"/>
                <w:lang w:val="en-US"/>
              </w:rPr>
              <w:t>Operating Profit Margin</w:t>
            </w:r>
          </w:p>
        </w:tc>
        <w:tc>
          <w:tcPr>
            <w:tcW w:w="1980" w:type="dxa"/>
            <w:tcBorders>
              <w:top w:val="nil"/>
              <w:left w:val="nil"/>
              <w:bottom w:val="single" w:sz="4" w:space="0" w:color="auto"/>
              <w:right w:val="single" w:sz="4" w:space="0" w:color="auto"/>
            </w:tcBorders>
            <w:vAlign w:val="bottom"/>
            <w:hideMark/>
          </w:tcPr>
          <w:p w14:paraId="642BB3F0" w14:textId="77777777" w:rsidR="00BA2765" w:rsidRPr="00BA2765" w:rsidRDefault="00BA2765" w:rsidP="00134B76">
            <w:pPr>
              <w:spacing w:line="240" w:lineRule="auto"/>
              <w:rPr>
                <w:color w:val="000000"/>
                <w:lang w:val="en-US"/>
              </w:rPr>
            </w:pPr>
            <w:r w:rsidRPr="00BA2765">
              <w:rPr>
                <w:color w:val="000000"/>
                <w:lang w:val="en-US"/>
              </w:rPr>
              <w:t>Operating Profit / Net Sales*100</w:t>
            </w:r>
          </w:p>
        </w:tc>
        <w:tc>
          <w:tcPr>
            <w:tcW w:w="1170" w:type="dxa"/>
            <w:tcBorders>
              <w:top w:val="nil"/>
              <w:left w:val="nil"/>
              <w:bottom w:val="single" w:sz="4" w:space="0" w:color="auto"/>
              <w:right w:val="single" w:sz="4" w:space="0" w:color="auto"/>
            </w:tcBorders>
            <w:noWrap/>
            <w:vAlign w:val="bottom"/>
            <w:hideMark/>
          </w:tcPr>
          <w:p w14:paraId="7BA2F5EB" w14:textId="77777777" w:rsidR="00BA2765" w:rsidRPr="00BA2765" w:rsidRDefault="00BA2765" w:rsidP="00134B76">
            <w:pPr>
              <w:spacing w:line="240" w:lineRule="auto"/>
              <w:jc w:val="right"/>
              <w:rPr>
                <w:color w:val="000000"/>
                <w:lang w:val="en-US"/>
              </w:rPr>
            </w:pPr>
            <w:r w:rsidRPr="00BA2765">
              <w:rPr>
                <w:color w:val="000000"/>
                <w:lang w:val="en-US"/>
              </w:rPr>
              <w:t>-3.87%</w:t>
            </w:r>
          </w:p>
        </w:tc>
        <w:tc>
          <w:tcPr>
            <w:tcW w:w="1170" w:type="dxa"/>
            <w:tcBorders>
              <w:top w:val="nil"/>
              <w:left w:val="nil"/>
              <w:bottom w:val="single" w:sz="4" w:space="0" w:color="auto"/>
              <w:right w:val="single" w:sz="4" w:space="0" w:color="auto"/>
            </w:tcBorders>
            <w:noWrap/>
            <w:vAlign w:val="bottom"/>
            <w:hideMark/>
          </w:tcPr>
          <w:p w14:paraId="35C1429D" w14:textId="77777777" w:rsidR="00BA2765" w:rsidRPr="00BA2765" w:rsidRDefault="00BA2765" w:rsidP="00134B76">
            <w:pPr>
              <w:spacing w:line="240" w:lineRule="auto"/>
              <w:jc w:val="right"/>
              <w:rPr>
                <w:color w:val="000000"/>
                <w:lang w:val="en-US"/>
              </w:rPr>
            </w:pPr>
            <w:r w:rsidRPr="00BA2765">
              <w:rPr>
                <w:color w:val="000000"/>
                <w:lang w:val="en-US"/>
              </w:rPr>
              <w:t>-20.29%</w:t>
            </w:r>
          </w:p>
        </w:tc>
        <w:tc>
          <w:tcPr>
            <w:tcW w:w="1080" w:type="dxa"/>
            <w:tcBorders>
              <w:top w:val="nil"/>
              <w:left w:val="nil"/>
              <w:bottom w:val="single" w:sz="4" w:space="0" w:color="auto"/>
              <w:right w:val="single" w:sz="4" w:space="0" w:color="auto"/>
            </w:tcBorders>
            <w:noWrap/>
            <w:vAlign w:val="bottom"/>
            <w:hideMark/>
          </w:tcPr>
          <w:p w14:paraId="52255FD2" w14:textId="77777777" w:rsidR="00BA2765" w:rsidRPr="00BA2765" w:rsidRDefault="00BA2765" w:rsidP="00134B76">
            <w:pPr>
              <w:spacing w:line="240" w:lineRule="auto"/>
              <w:jc w:val="right"/>
              <w:rPr>
                <w:color w:val="000000"/>
                <w:lang w:val="en-US"/>
              </w:rPr>
            </w:pPr>
            <w:r w:rsidRPr="00BA2765">
              <w:rPr>
                <w:color w:val="000000"/>
                <w:lang w:val="en-US"/>
              </w:rPr>
              <w:t>2.68%</w:t>
            </w:r>
          </w:p>
        </w:tc>
        <w:tc>
          <w:tcPr>
            <w:tcW w:w="990" w:type="dxa"/>
            <w:tcBorders>
              <w:top w:val="nil"/>
              <w:left w:val="nil"/>
              <w:bottom w:val="single" w:sz="4" w:space="0" w:color="auto"/>
              <w:right w:val="single" w:sz="4" w:space="0" w:color="auto"/>
            </w:tcBorders>
            <w:noWrap/>
            <w:vAlign w:val="bottom"/>
            <w:hideMark/>
          </w:tcPr>
          <w:p w14:paraId="7ED9CC82" w14:textId="77777777" w:rsidR="00BA2765" w:rsidRPr="00BA2765" w:rsidRDefault="00BA2765" w:rsidP="00134B76">
            <w:pPr>
              <w:spacing w:line="240" w:lineRule="auto"/>
              <w:jc w:val="right"/>
              <w:rPr>
                <w:color w:val="000000"/>
                <w:lang w:val="en-US"/>
              </w:rPr>
            </w:pPr>
            <w:r w:rsidRPr="00BA2765">
              <w:rPr>
                <w:color w:val="000000"/>
                <w:lang w:val="en-US"/>
              </w:rPr>
              <w:t>3.87%</w:t>
            </w:r>
          </w:p>
        </w:tc>
        <w:tc>
          <w:tcPr>
            <w:tcW w:w="990" w:type="dxa"/>
            <w:tcBorders>
              <w:top w:val="nil"/>
              <w:left w:val="nil"/>
              <w:bottom w:val="single" w:sz="4" w:space="0" w:color="auto"/>
              <w:right w:val="single" w:sz="4" w:space="0" w:color="auto"/>
            </w:tcBorders>
            <w:noWrap/>
            <w:vAlign w:val="bottom"/>
            <w:hideMark/>
          </w:tcPr>
          <w:p w14:paraId="04879389" w14:textId="77777777" w:rsidR="00BA2765" w:rsidRPr="00BA2765" w:rsidRDefault="00BA2765" w:rsidP="00134B76">
            <w:pPr>
              <w:spacing w:line="240" w:lineRule="auto"/>
              <w:jc w:val="right"/>
              <w:rPr>
                <w:color w:val="000000"/>
                <w:lang w:val="en-US"/>
              </w:rPr>
            </w:pPr>
            <w:r w:rsidRPr="00BA2765">
              <w:rPr>
                <w:color w:val="000000"/>
                <w:lang w:val="en-US"/>
              </w:rPr>
              <w:t>6.06%</w:t>
            </w:r>
          </w:p>
        </w:tc>
      </w:tr>
      <w:tr w:rsidR="00BA2765" w:rsidRPr="00BA2765" w14:paraId="7CFD5D78"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39DE05CC" w14:textId="77777777" w:rsidR="00BA2765" w:rsidRPr="00BA2765" w:rsidRDefault="00BA2765" w:rsidP="00134B76">
            <w:pPr>
              <w:spacing w:line="240" w:lineRule="auto"/>
              <w:rPr>
                <w:color w:val="000000"/>
                <w:lang w:val="en-US"/>
              </w:rPr>
            </w:pPr>
            <w:r w:rsidRPr="00BA2765">
              <w:rPr>
                <w:color w:val="000000"/>
                <w:lang w:val="en-US"/>
              </w:rPr>
              <w:t>Net Profit Margin</w:t>
            </w:r>
          </w:p>
        </w:tc>
        <w:tc>
          <w:tcPr>
            <w:tcW w:w="1980" w:type="dxa"/>
            <w:tcBorders>
              <w:top w:val="nil"/>
              <w:left w:val="nil"/>
              <w:bottom w:val="single" w:sz="4" w:space="0" w:color="auto"/>
              <w:right w:val="single" w:sz="4" w:space="0" w:color="auto"/>
            </w:tcBorders>
            <w:vAlign w:val="bottom"/>
            <w:hideMark/>
          </w:tcPr>
          <w:p w14:paraId="15914019" w14:textId="77777777" w:rsidR="00BA2765" w:rsidRPr="00BA2765" w:rsidRDefault="00BA2765" w:rsidP="00134B76">
            <w:pPr>
              <w:spacing w:line="240" w:lineRule="auto"/>
              <w:rPr>
                <w:color w:val="000000"/>
                <w:lang w:val="en-US"/>
              </w:rPr>
            </w:pPr>
            <w:r w:rsidRPr="00BA2765">
              <w:rPr>
                <w:color w:val="000000"/>
                <w:lang w:val="en-US"/>
              </w:rPr>
              <w:t>Net Profit / Net Sales*100</w:t>
            </w:r>
          </w:p>
        </w:tc>
        <w:tc>
          <w:tcPr>
            <w:tcW w:w="1170" w:type="dxa"/>
            <w:tcBorders>
              <w:top w:val="nil"/>
              <w:left w:val="nil"/>
              <w:bottom w:val="single" w:sz="4" w:space="0" w:color="auto"/>
              <w:right w:val="single" w:sz="4" w:space="0" w:color="auto"/>
            </w:tcBorders>
            <w:noWrap/>
            <w:vAlign w:val="bottom"/>
            <w:hideMark/>
          </w:tcPr>
          <w:p w14:paraId="0054C286" w14:textId="77777777" w:rsidR="00BA2765" w:rsidRPr="00BA2765" w:rsidRDefault="00BA2765" w:rsidP="00134B76">
            <w:pPr>
              <w:spacing w:line="240" w:lineRule="auto"/>
              <w:jc w:val="right"/>
              <w:rPr>
                <w:color w:val="000000"/>
                <w:lang w:val="en-US"/>
              </w:rPr>
            </w:pPr>
            <w:r w:rsidRPr="00BA2765">
              <w:rPr>
                <w:color w:val="000000"/>
                <w:lang w:val="en-US"/>
              </w:rPr>
              <w:t>-6.09%</w:t>
            </w:r>
          </w:p>
        </w:tc>
        <w:tc>
          <w:tcPr>
            <w:tcW w:w="1170" w:type="dxa"/>
            <w:tcBorders>
              <w:top w:val="nil"/>
              <w:left w:val="nil"/>
              <w:bottom w:val="single" w:sz="4" w:space="0" w:color="auto"/>
              <w:right w:val="single" w:sz="4" w:space="0" w:color="auto"/>
            </w:tcBorders>
            <w:noWrap/>
            <w:vAlign w:val="bottom"/>
            <w:hideMark/>
          </w:tcPr>
          <w:p w14:paraId="4EB72E13" w14:textId="77777777" w:rsidR="00BA2765" w:rsidRPr="00BA2765" w:rsidRDefault="00BA2765" w:rsidP="00134B76">
            <w:pPr>
              <w:spacing w:line="240" w:lineRule="auto"/>
              <w:jc w:val="right"/>
              <w:rPr>
                <w:color w:val="000000"/>
                <w:lang w:val="en-US"/>
              </w:rPr>
            </w:pPr>
            <w:r w:rsidRPr="00BA2765">
              <w:rPr>
                <w:color w:val="000000"/>
                <w:lang w:val="en-US"/>
              </w:rPr>
              <w:t>-23.36%</w:t>
            </w:r>
          </w:p>
        </w:tc>
        <w:tc>
          <w:tcPr>
            <w:tcW w:w="1080" w:type="dxa"/>
            <w:tcBorders>
              <w:top w:val="nil"/>
              <w:left w:val="nil"/>
              <w:bottom w:val="single" w:sz="4" w:space="0" w:color="auto"/>
              <w:right w:val="single" w:sz="4" w:space="0" w:color="auto"/>
            </w:tcBorders>
            <w:noWrap/>
            <w:vAlign w:val="bottom"/>
            <w:hideMark/>
          </w:tcPr>
          <w:p w14:paraId="646F6CDD" w14:textId="77777777" w:rsidR="00BA2765" w:rsidRPr="00BA2765" w:rsidRDefault="00BA2765" w:rsidP="00134B76">
            <w:pPr>
              <w:spacing w:line="240" w:lineRule="auto"/>
              <w:jc w:val="right"/>
              <w:rPr>
                <w:color w:val="000000"/>
                <w:lang w:val="en-US"/>
              </w:rPr>
            </w:pPr>
            <w:r w:rsidRPr="00BA2765">
              <w:rPr>
                <w:color w:val="000000"/>
                <w:lang w:val="en-US"/>
              </w:rPr>
              <w:t>0.07%</w:t>
            </w:r>
          </w:p>
        </w:tc>
        <w:tc>
          <w:tcPr>
            <w:tcW w:w="990" w:type="dxa"/>
            <w:tcBorders>
              <w:top w:val="nil"/>
              <w:left w:val="nil"/>
              <w:bottom w:val="single" w:sz="4" w:space="0" w:color="auto"/>
              <w:right w:val="single" w:sz="4" w:space="0" w:color="auto"/>
            </w:tcBorders>
            <w:noWrap/>
            <w:vAlign w:val="bottom"/>
            <w:hideMark/>
          </w:tcPr>
          <w:p w14:paraId="21B039F9" w14:textId="77777777" w:rsidR="00BA2765" w:rsidRPr="00BA2765" w:rsidRDefault="00BA2765" w:rsidP="00134B76">
            <w:pPr>
              <w:spacing w:line="240" w:lineRule="auto"/>
              <w:jc w:val="right"/>
              <w:rPr>
                <w:color w:val="000000"/>
                <w:lang w:val="en-US"/>
              </w:rPr>
            </w:pPr>
            <w:r w:rsidRPr="00BA2765">
              <w:rPr>
                <w:color w:val="000000"/>
                <w:lang w:val="en-US"/>
              </w:rPr>
              <w:t>0.88%</w:t>
            </w:r>
          </w:p>
        </w:tc>
        <w:tc>
          <w:tcPr>
            <w:tcW w:w="990" w:type="dxa"/>
            <w:tcBorders>
              <w:top w:val="nil"/>
              <w:left w:val="nil"/>
              <w:bottom w:val="single" w:sz="4" w:space="0" w:color="auto"/>
              <w:right w:val="single" w:sz="4" w:space="0" w:color="auto"/>
            </w:tcBorders>
            <w:noWrap/>
            <w:vAlign w:val="bottom"/>
            <w:hideMark/>
          </w:tcPr>
          <w:p w14:paraId="00ACB737" w14:textId="77777777" w:rsidR="00BA2765" w:rsidRPr="00BA2765" w:rsidRDefault="00BA2765" w:rsidP="00134B76">
            <w:pPr>
              <w:spacing w:line="240" w:lineRule="auto"/>
              <w:jc w:val="right"/>
              <w:rPr>
                <w:color w:val="000000"/>
                <w:lang w:val="en-US"/>
              </w:rPr>
            </w:pPr>
            <w:r w:rsidRPr="00BA2765">
              <w:rPr>
                <w:color w:val="000000"/>
                <w:lang w:val="en-US"/>
              </w:rPr>
              <w:t>6.28%</w:t>
            </w:r>
          </w:p>
        </w:tc>
      </w:tr>
      <w:tr w:rsidR="00BA2765" w:rsidRPr="00BA2765" w14:paraId="3E83C23A"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1EF7B00B" w14:textId="77777777" w:rsidR="00BA2765" w:rsidRPr="00BA2765" w:rsidRDefault="00BA2765" w:rsidP="00134B76">
            <w:pPr>
              <w:spacing w:line="240" w:lineRule="auto"/>
              <w:rPr>
                <w:color w:val="000000"/>
                <w:lang w:val="en-US"/>
              </w:rPr>
            </w:pPr>
            <w:r w:rsidRPr="00BA2765">
              <w:rPr>
                <w:color w:val="000000"/>
                <w:lang w:val="en-US"/>
              </w:rPr>
              <w:t>Return on Assets (ROA)</w:t>
            </w:r>
          </w:p>
        </w:tc>
        <w:tc>
          <w:tcPr>
            <w:tcW w:w="1980" w:type="dxa"/>
            <w:tcBorders>
              <w:top w:val="nil"/>
              <w:left w:val="nil"/>
              <w:bottom w:val="single" w:sz="4" w:space="0" w:color="auto"/>
              <w:right w:val="single" w:sz="4" w:space="0" w:color="auto"/>
            </w:tcBorders>
            <w:vAlign w:val="bottom"/>
            <w:hideMark/>
          </w:tcPr>
          <w:p w14:paraId="1F296725" w14:textId="77777777" w:rsidR="00BA2765" w:rsidRPr="00BA2765" w:rsidRDefault="00BA2765" w:rsidP="00134B76">
            <w:pPr>
              <w:spacing w:line="240" w:lineRule="auto"/>
              <w:rPr>
                <w:color w:val="000000"/>
                <w:lang w:val="en-US"/>
              </w:rPr>
            </w:pPr>
            <w:r w:rsidRPr="00BA2765">
              <w:rPr>
                <w:color w:val="000000"/>
                <w:lang w:val="en-US"/>
              </w:rPr>
              <w:t>Net Profit / Total Assets*100</w:t>
            </w:r>
          </w:p>
        </w:tc>
        <w:tc>
          <w:tcPr>
            <w:tcW w:w="1170" w:type="dxa"/>
            <w:tcBorders>
              <w:top w:val="nil"/>
              <w:left w:val="nil"/>
              <w:bottom w:val="single" w:sz="4" w:space="0" w:color="auto"/>
              <w:right w:val="single" w:sz="4" w:space="0" w:color="auto"/>
            </w:tcBorders>
            <w:noWrap/>
            <w:vAlign w:val="bottom"/>
            <w:hideMark/>
          </w:tcPr>
          <w:p w14:paraId="1266C56B" w14:textId="77777777" w:rsidR="00BA2765" w:rsidRPr="00BA2765" w:rsidRDefault="00BA2765" w:rsidP="00134B76">
            <w:pPr>
              <w:spacing w:line="240" w:lineRule="auto"/>
              <w:jc w:val="right"/>
              <w:rPr>
                <w:color w:val="000000"/>
                <w:lang w:val="en-US"/>
              </w:rPr>
            </w:pPr>
            <w:r w:rsidRPr="00BA2765">
              <w:rPr>
                <w:color w:val="000000"/>
                <w:lang w:val="en-US"/>
              </w:rPr>
              <w:t>-7.43%</w:t>
            </w:r>
          </w:p>
        </w:tc>
        <w:tc>
          <w:tcPr>
            <w:tcW w:w="1170" w:type="dxa"/>
            <w:tcBorders>
              <w:top w:val="nil"/>
              <w:left w:val="nil"/>
              <w:bottom w:val="single" w:sz="4" w:space="0" w:color="auto"/>
              <w:right w:val="single" w:sz="4" w:space="0" w:color="auto"/>
            </w:tcBorders>
            <w:noWrap/>
            <w:vAlign w:val="bottom"/>
            <w:hideMark/>
          </w:tcPr>
          <w:p w14:paraId="0BB05E95" w14:textId="77777777" w:rsidR="00BA2765" w:rsidRPr="00BA2765" w:rsidRDefault="00BA2765" w:rsidP="00134B76">
            <w:pPr>
              <w:spacing w:line="240" w:lineRule="auto"/>
              <w:jc w:val="right"/>
              <w:rPr>
                <w:color w:val="000000"/>
                <w:lang w:val="en-US"/>
              </w:rPr>
            </w:pPr>
            <w:r w:rsidRPr="00BA2765">
              <w:rPr>
                <w:color w:val="000000"/>
                <w:lang w:val="en-US"/>
              </w:rPr>
              <w:t>-27.60%</w:t>
            </w:r>
          </w:p>
        </w:tc>
        <w:tc>
          <w:tcPr>
            <w:tcW w:w="1080" w:type="dxa"/>
            <w:tcBorders>
              <w:top w:val="nil"/>
              <w:left w:val="nil"/>
              <w:bottom w:val="single" w:sz="4" w:space="0" w:color="auto"/>
              <w:right w:val="single" w:sz="4" w:space="0" w:color="auto"/>
            </w:tcBorders>
            <w:noWrap/>
            <w:vAlign w:val="bottom"/>
            <w:hideMark/>
          </w:tcPr>
          <w:p w14:paraId="08294343" w14:textId="77777777" w:rsidR="00BA2765" w:rsidRPr="00BA2765" w:rsidRDefault="00BA2765" w:rsidP="00134B76">
            <w:pPr>
              <w:spacing w:line="240" w:lineRule="auto"/>
              <w:jc w:val="right"/>
              <w:rPr>
                <w:color w:val="000000"/>
                <w:lang w:val="en-US"/>
              </w:rPr>
            </w:pPr>
            <w:r w:rsidRPr="00BA2765">
              <w:rPr>
                <w:color w:val="000000"/>
                <w:lang w:val="en-US"/>
              </w:rPr>
              <w:t>0.08%</w:t>
            </w:r>
          </w:p>
        </w:tc>
        <w:tc>
          <w:tcPr>
            <w:tcW w:w="990" w:type="dxa"/>
            <w:tcBorders>
              <w:top w:val="nil"/>
              <w:left w:val="nil"/>
              <w:bottom w:val="single" w:sz="4" w:space="0" w:color="auto"/>
              <w:right w:val="single" w:sz="4" w:space="0" w:color="auto"/>
            </w:tcBorders>
            <w:noWrap/>
            <w:vAlign w:val="bottom"/>
            <w:hideMark/>
          </w:tcPr>
          <w:p w14:paraId="32061F9B" w14:textId="77777777" w:rsidR="00BA2765" w:rsidRPr="00BA2765" w:rsidRDefault="00BA2765" w:rsidP="00134B76">
            <w:pPr>
              <w:spacing w:line="240" w:lineRule="auto"/>
              <w:jc w:val="right"/>
              <w:rPr>
                <w:color w:val="000000"/>
                <w:lang w:val="en-US"/>
              </w:rPr>
            </w:pPr>
            <w:r w:rsidRPr="00BA2765">
              <w:rPr>
                <w:color w:val="000000"/>
                <w:lang w:val="en-US"/>
              </w:rPr>
              <w:t>1.04%</w:t>
            </w:r>
          </w:p>
        </w:tc>
        <w:tc>
          <w:tcPr>
            <w:tcW w:w="990" w:type="dxa"/>
            <w:tcBorders>
              <w:top w:val="nil"/>
              <w:left w:val="nil"/>
              <w:bottom w:val="single" w:sz="4" w:space="0" w:color="auto"/>
              <w:right w:val="single" w:sz="4" w:space="0" w:color="auto"/>
            </w:tcBorders>
            <w:noWrap/>
            <w:vAlign w:val="bottom"/>
            <w:hideMark/>
          </w:tcPr>
          <w:p w14:paraId="2FF754FA" w14:textId="77777777" w:rsidR="00BA2765" w:rsidRPr="00BA2765" w:rsidRDefault="00BA2765" w:rsidP="00134B76">
            <w:pPr>
              <w:spacing w:line="240" w:lineRule="auto"/>
              <w:jc w:val="right"/>
              <w:rPr>
                <w:color w:val="000000"/>
                <w:lang w:val="en-US"/>
              </w:rPr>
            </w:pPr>
            <w:r w:rsidRPr="00BA2765">
              <w:rPr>
                <w:color w:val="000000"/>
                <w:lang w:val="en-US"/>
              </w:rPr>
              <w:t>7.56%</w:t>
            </w:r>
          </w:p>
        </w:tc>
      </w:tr>
      <w:tr w:rsidR="00BA2765" w:rsidRPr="00BA2765" w14:paraId="76E12850" w14:textId="77777777" w:rsidTr="00134B76">
        <w:trPr>
          <w:trHeight w:val="900"/>
        </w:trPr>
        <w:tc>
          <w:tcPr>
            <w:tcW w:w="2155" w:type="dxa"/>
            <w:tcBorders>
              <w:top w:val="nil"/>
              <w:left w:val="single" w:sz="4" w:space="0" w:color="auto"/>
              <w:bottom w:val="single" w:sz="4" w:space="0" w:color="auto"/>
              <w:right w:val="single" w:sz="4" w:space="0" w:color="auto"/>
            </w:tcBorders>
            <w:noWrap/>
            <w:vAlign w:val="bottom"/>
            <w:hideMark/>
          </w:tcPr>
          <w:p w14:paraId="5FBF08E1" w14:textId="77777777" w:rsidR="00BA2765" w:rsidRPr="00BA2765" w:rsidRDefault="00BA2765" w:rsidP="00134B76">
            <w:pPr>
              <w:spacing w:line="240" w:lineRule="auto"/>
              <w:rPr>
                <w:color w:val="000000"/>
                <w:lang w:val="en-US"/>
              </w:rPr>
            </w:pPr>
            <w:r w:rsidRPr="00BA2765">
              <w:rPr>
                <w:color w:val="000000"/>
                <w:lang w:val="en-US"/>
              </w:rPr>
              <w:t>Return on Equity (ROE)</w:t>
            </w:r>
          </w:p>
        </w:tc>
        <w:tc>
          <w:tcPr>
            <w:tcW w:w="1980" w:type="dxa"/>
            <w:tcBorders>
              <w:top w:val="nil"/>
              <w:left w:val="nil"/>
              <w:bottom w:val="single" w:sz="4" w:space="0" w:color="auto"/>
              <w:right w:val="single" w:sz="4" w:space="0" w:color="auto"/>
            </w:tcBorders>
            <w:vAlign w:val="bottom"/>
            <w:hideMark/>
          </w:tcPr>
          <w:p w14:paraId="3EC48976" w14:textId="77777777" w:rsidR="00BA2765" w:rsidRPr="00BA2765" w:rsidRDefault="00BA2765" w:rsidP="00134B76">
            <w:pPr>
              <w:spacing w:line="240" w:lineRule="auto"/>
              <w:rPr>
                <w:color w:val="000000"/>
                <w:lang w:val="en-US"/>
              </w:rPr>
            </w:pPr>
            <w:r w:rsidRPr="00BA2765">
              <w:rPr>
                <w:color w:val="000000"/>
                <w:lang w:val="en-US"/>
              </w:rPr>
              <w:t>Net Profit / Shareholders' Equity*100</w:t>
            </w:r>
          </w:p>
        </w:tc>
        <w:tc>
          <w:tcPr>
            <w:tcW w:w="1170" w:type="dxa"/>
            <w:tcBorders>
              <w:top w:val="nil"/>
              <w:left w:val="nil"/>
              <w:bottom w:val="single" w:sz="4" w:space="0" w:color="auto"/>
              <w:right w:val="single" w:sz="4" w:space="0" w:color="auto"/>
            </w:tcBorders>
            <w:noWrap/>
            <w:vAlign w:val="bottom"/>
            <w:hideMark/>
          </w:tcPr>
          <w:p w14:paraId="14DA5906" w14:textId="77777777" w:rsidR="00BA2765" w:rsidRPr="00BA2765" w:rsidRDefault="00BA2765" w:rsidP="00134B76">
            <w:pPr>
              <w:spacing w:line="240" w:lineRule="auto"/>
              <w:jc w:val="right"/>
              <w:rPr>
                <w:color w:val="000000"/>
                <w:lang w:val="en-US"/>
              </w:rPr>
            </w:pPr>
            <w:r w:rsidRPr="00BA2765">
              <w:rPr>
                <w:color w:val="000000"/>
                <w:lang w:val="en-US"/>
              </w:rPr>
              <w:t>-15.69%</w:t>
            </w:r>
          </w:p>
        </w:tc>
        <w:tc>
          <w:tcPr>
            <w:tcW w:w="1170" w:type="dxa"/>
            <w:tcBorders>
              <w:top w:val="nil"/>
              <w:left w:val="nil"/>
              <w:bottom w:val="single" w:sz="4" w:space="0" w:color="auto"/>
              <w:right w:val="single" w:sz="4" w:space="0" w:color="auto"/>
            </w:tcBorders>
            <w:noWrap/>
            <w:vAlign w:val="bottom"/>
            <w:hideMark/>
          </w:tcPr>
          <w:p w14:paraId="1795F6E6" w14:textId="77777777" w:rsidR="00BA2765" w:rsidRPr="00BA2765" w:rsidRDefault="00BA2765" w:rsidP="00134B76">
            <w:pPr>
              <w:spacing w:line="240" w:lineRule="auto"/>
              <w:jc w:val="right"/>
              <w:rPr>
                <w:color w:val="000000"/>
                <w:lang w:val="en-US"/>
              </w:rPr>
            </w:pPr>
            <w:r w:rsidRPr="00BA2765">
              <w:rPr>
                <w:color w:val="000000"/>
                <w:lang w:val="en-US"/>
              </w:rPr>
              <w:t>-54.91%</w:t>
            </w:r>
          </w:p>
        </w:tc>
        <w:tc>
          <w:tcPr>
            <w:tcW w:w="1080" w:type="dxa"/>
            <w:tcBorders>
              <w:top w:val="nil"/>
              <w:left w:val="nil"/>
              <w:bottom w:val="single" w:sz="4" w:space="0" w:color="auto"/>
              <w:right w:val="single" w:sz="4" w:space="0" w:color="auto"/>
            </w:tcBorders>
            <w:noWrap/>
            <w:vAlign w:val="bottom"/>
            <w:hideMark/>
          </w:tcPr>
          <w:p w14:paraId="6F2DA67A" w14:textId="77777777" w:rsidR="00BA2765" w:rsidRPr="00BA2765" w:rsidRDefault="00BA2765" w:rsidP="00134B76">
            <w:pPr>
              <w:spacing w:line="240" w:lineRule="auto"/>
              <w:jc w:val="right"/>
              <w:rPr>
                <w:color w:val="000000"/>
                <w:lang w:val="en-US"/>
              </w:rPr>
            </w:pPr>
            <w:r w:rsidRPr="00BA2765">
              <w:rPr>
                <w:color w:val="000000"/>
                <w:lang w:val="en-US"/>
              </w:rPr>
              <w:t>0.15%</w:t>
            </w:r>
          </w:p>
        </w:tc>
        <w:tc>
          <w:tcPr>
            <w:tcW w:w="990" w:type="dxa"/>
            <w:tcBorders>
              <w:top w:val="nil"/>
              <w:left w:val="nil"/>
              <w:bottom w:val="single" w:sz="4" w:space="0" w:color="auto"/>
              <w:right w:val="single" w:sz="4" w:space="0" w:color="auto"/>
            </w:tcBorders>
            <w:noWrap/>
            <w:vAlign w:val="bottom"/>
            <w:hideMark/>
          </w:tcPr>
          <w:p w14:paraId="455876C1" w14:textId="77777777" w:rsidR="00BA2765" w:rsidRPr="00BA2765" w:rsidRDefault="00BA2765" w:rsidP="00134B76">
            <w:pPr>
              <w:spacing w:line="240" w:lineRule="auto"/>
              <w:jc w:val="right"/>
              <w:rPr>
                <w:color w:val="000000"/>
                <w:lang w:val="en-US"/>
              </w:rPr>
            </w:pPr>
            <w:r w:rsidRPr="00BA2765">
              <w:rPr>
                <w:color w:val="000000"/>
                <w:lang w:val="en-US"/>
              </w:rPr>
              <w:t>1.92%</w:t>
            </w:r>
          </w:p>
        </w:tc>
        <w:tc>
          <w:tcPr>
            <w:tcW w:w="990" w:type="dxa"/>
            <w:tcBorders>
              <w:top w:val="nil"/>
              <w:left w:val="nil"/>
              <w:bottom w:val="single" w:sz="4" w:space="0" w:color="auto"/>
              <w:right w:val="single" w:sz="4" w:space="0" w:color="auto"/>
            </w:tcBorders>
            <w:noWrap/>
            <w:vAlign w:val="bottom"/>
            <w:hideMark/>
          </w:tcPr>
          <w:p w14:paraId="6DD09B42" w14:textId="77777777" w:rsidR="00BA2765" w:rsidRPr="00BA2765" w:rsidRDefault="00BA2765" w:rsidP="00134B76">
            <w:pPr>
              <w:spacing w:line="240" w:lineRule="auto"/>
              <w:jc w:val="right"/>
              <w:rPr>
                <w:color w:val="000000"/>
                <w:lang w:val="en-US"/>
              </w:rPr>
            </w:pPr>
            <w:r w:rsidRPr="00BA2765">
              <w:rPr>
                <w:color w:val="000000"/>
                <w:lang w:val="en-US"/>
              </w:rPr>
              <w:t>12.31%</w:t>
            </w:r>
          </w:p>
        </w:tc>
      </w:tr>
      <w:tr w:rsidR="00BA2765" w:rsidRPr="00BA2765" w14:paraId="404F5BD3"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36D47023" w14:textId="77777777" w:rsidR="00BA2765" w:rsidRPr="00BA2765" w:rsidRDefault="00BA2765" w:rsidP="00134B76">
            <w:pPr>
              <w:spacing w:line="240" w:lineRule="auto"/>
              <w:rPr>
                <w:b/>
                <w:bCs/>
                <w:color w:val="000000"/>
                <w:lang w:val="en-US"/>
              </w:rPr>
            </w:pPr>
            <w:r w:rsidRPr="00BA2765">
              <w:rPr>
                <w:b/>
                <w:bCs/>
                <w:color w:val="000000"/>
                <w:lang w:val="en-US"/>
              </w:rPr>
              <w:t>Liquidity ratios</w:t>
            </w:r>
          </w:p>
        </w:tc>
        <w:tc>
          <w:tcPr>
            <w:tcW w:w="1980" w:type="dxa"/>
            <w:tcBorders>
              <w:top w:val="nil"/>
              <w:left w:val="nil"/>
              <w:bottom w:val="single" w:sz="4" w:space="0" w:color="auto"/>
              <w:right w:val="single" w:sz="4" w:space="0" w:color="auto"/>
            </w:tcBorders>
            <w:vAlign w:val="bottom"/>
            <w:hideMark/>
          </w:tcPr>
          <w:p w14:paraId="0EDEB7EC"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single" w:sz="4" w:space="0" w:color="auto"/>
            </w:tcBorders>
            <w:noWrap/>
            <w:vAlign w:val="bottom"/>
            <w:hideMark/>
          </w:tcPr>
          <w:p w14:paraId="11429DF9" w14:textId="77777777" w:rsidR="00BA2765" w:rsidRPr="00BA2765" w:rsidRDefault="00BA2765" w:rsidP="00134B76">
            <w:pPr>
              <w:spacing w:line="240" w:lineRule="auto"/>
              <w:rPr>
                <w:color w:val="000000"/>
                <w:lang w:val="en-US"/>
              </w:rPr>
            </w:pPr>
            <w:r w:rsidRPr="00BA2765">
              <w:rPr>
                <w:color w:val="000000"/>
                <w:lang w:val="en-US"/>
              </w:rPr>
              <w:t> </w:t>
            </w:r>
          </w:p>
        </w:tc>
        <w:tc>
          <w:tcPr>
            <w:tcW w:w="1170" w:type="dxa"/>
            <w:tcBorders>
              <w:top w:val="nil"/>
              <w:left w:val="nil"/>
              <w:bottom w:val="single" w:sz="4" w:space="0" w:color="auto"/>
              <w:right w:val="single" w:sz="4" w:space="0" w:color="auto"/>
            </w:tcBorders>
            <w:noWrap/>
            <w:vAlign w:val="bottom"/>
            <w:hideMark/>
          </w:tcPr>
          <w:p w14:paraId="43B306A4" w14:textId="77777777" w:rsidR="00BA2765" w:rsidRPr="00BA2765" w:rsidRDefault="00BA2765" w:rsidP="00134B76">
            <w:pPr>
              <w:spacing w:line="240" w:lineRule="auto"/>
              <w:rPr>
                <w:color w:val="000000"/>
                <w:lang w:val="en-US"/>
              </w:rPr>
            </w:pPr>
            <w:r w:rsidRPr="00BA2765">
              <w:rPr>
                <w:color w:val="000000"/>
                <w:lang w:val="en-US"/>
              </w:rPr>
              <w:t> </w:t>
            </w:r>
          </w:p>
        </w:tc>
        <w:tc>
          <w:tcPr>
            <w:tcW w:w="1080" w:type="dxa"/>
            <w:tcBorders>
              <w:top w:val="nil"/>
              <w:left w:val="nil"/>
              <w:bottom w:val="single" w:sz="4" w:space="0" w:color="auto"/>
              <w:right w:val="single" w:sz="4" w:space="0" w:color="auto"/>
            </w:tcBorders>
            <w:noWrap/>
            <w:vAlign w:val="bottom"/>
            <w:hideMark/>
          </w:tcPr>
          <w:p w14:paraId="4612895C"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502C68B6"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52B9E33C"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1DCDBD5B"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3F827E20" w14:textId="77777777" w:rsidR="00BA2765" w:rsidRPr="00BA2765" w:rsidRDefault="00BA2765" w:rsidP="00134B76">
            <w:pPr>
              <w:spacing w:line="240" w:lineRule="auto"/>
              <w:rPr>
                <w:color w:val="000000"/>
                <w:lang w:val="en-US"/>
              </w:rPr>
            </w:pPr>
            <w:r w:rsidRPr="00BA2765">
              <w:rPr>
                <w:color w:val="000000"/>
                <w:lang w:val="en-US"/>
              </w:rPr>
              <w:t>Current Ratio</w:t>
            </w:r>
          </w:p>
        </w:tc>
        <w:tc>
          <w:tcPr>
            <w:tcW w:w="1980" w:type="dxa"/>
            <w:tcBorders>
              <w:top w:val="nil"/>
              <w:left w:val="nil"/>
              <w:bottom w:val="single" w:sz="4" w:space="0" w:color="auto"/>
              <w:right w:val="single" w:sz="4" w:space="0" w:color="auto"/>
            </w:tcBorders>
            <w:vAlign w:val="bottom"/>
            <w:hideMark/>
          </w:tcPr>
          <w:p w14:paraId="0C2D6E9D" w14:textId="77777777" w:rsidR="00BA2765" w:rsidRPr="00BA2765" w:rsidRDefault="00BA2765" w:rsidP="00134B76">
            <w:pPr>
              <w:spacing w:line="240" w:lineRule="auto"/>
              <w:rPr>
                <w:color w:val="000000"/>
                <w:lang w:val="en-US"/>
              </w:rPr>
            </w:pPr>
            <w:r w:rsidRPr="00BA2765">
              <w:rPr>
                <w:color w:val="000000"/>
                <w:lang w:val="en-US"/>
              </w:rPr>
              <w:t>Current Assets / Current Liabilities</w:t>
            </w:r>
          </w:p>
        </w:tc>
        <w:tc>
          <w:tcPr>
            <w:tcW w:w="1170" w:type="dxa"/>
            <w:tcBorders>
              <w:top w:val="nil"/>
              <w:left w:val="nil"/>
              <w:bottom w:val="single" w:sz="4" w:space="0" w:color="auto"/>
              <w:right w:val="single" w:sz="4" w:space="0" w:color="auto"/>
            </w:tcBorders>
            <w:noWrap/>
            <w:vAlign w:val="bottom"/>
            <w:hideMark/>
          </w:tcPr>
          <w:p w14:paraId="45F94078" w14:textId="77777777" w:rsidR="00BA2765" w:rsidRPr="00BA2765" w:rsidRDefault="00BA2765" w:rsidP="00134B76">
            <w:pPr>
              <w:spacing w:line="240" w:lineRule="auto"/>
              <w:jc w:val="right"/>
              <w:rPr>
                <w:color w:val="000000"/>
                <w:lang w:val="en-US"/>
              </w:rPr>
            </w:pPr>
            <w:r w:rsidRPr="00BA2765">
              <w:rPr>
                <w:color w:val="000000"/>
                <w:lang w:val="en-US"/>
              </w:rPr>
              <w:t>1.53</w:t>
            </w:r>
          </w:p>
        </w:tc>
        <w:tc>
          <w:tcPr>
            <w:tcW w:w="1170" w:type="dxa"/>
            <w:tcBorders>
              <w:top w:val="nil"/>
              <w:left w:val="nil"/>
              <w:bottom w:val="single" w:sz="4" w:space="0" w:color="auto"/>
              <w:right w:val="single" w:sz="4" w:space="0" w:color="auto"/>
            </w:tcBorders>
            <w:noWrap/>
            <w:vAlign w:val="bottom"/>
            <w:hideMark/>
          </w:tcPr>
          <w:p w14:paraId="062B27B8" w14:textId="77777777" w:rsidR="00BA2765" w:rsidRPr="00BA2765" w:rsidRDefault="00BA2765" w:rsidP="00134B76">
            <w:pPr>
              <w:spacing w:line="240" w:lineRule="auto"/>
              <w:jc w:val="right"/>
              <w:rPr>
                <w:color w:val="000000"/>
                <w:lang w:val="en-US"/>
              </w:rPr>
            </w:pPr>
            <w:r w:rsidRPr="00BA2765">
              <w:rPr>
                <w:color w:val="000000"/>
                <w:lang w:val="en-US"/>
              </w:rPr>
              <w:t>1.61</w:t>
            </w:r>
          </w:p>
        </w:tc>
        <w:tc>
          <w:tcPr>
            <w:tcW w:w="1080" w:type="dxa"/>
            <w:tcBorders>
              <w:top w:val="nil"/>
              <w:left w:val="nil"/>
              <w:bottom w:val="single" w:sz="4" w:space="0" w:color="auto"/>
              <w:right w:val="single" w:sz="4" w:space="0" w:color="auto"/>
            </w:tcBorders>
            <w:noWrap/>
            <w:vAlign w:val="bottom"/>
            <w:hideMark/>
          </w:tcPr>
          <w:p w14:paraId="409F7571" w14:textId="77777777" w:rsidR="00BA2765" w:rsidRPr="00BA2765" w:rsidRDefault="00BA2765" w:rsidP="00134B76">
            <w:pPr>
              <w:spacing w:line="240" w:lineRule="auto"/>
              <w:jc w:val="right"/>
              <w:rPr>
                <w:color w:val="000000"/>
                <w:lang w:val="en-US"/>
              </w:rPr>
            </w:pPr>
            <w:r w:rsidRPr="00BA2765">
              <w:rPr>
                <w:color w:val="000000"/>
                <w:lang w:val="en-US"/>
              </w:rPr>
              <w:t>1.56</w:t>
            </w:r>
          </w:p>
        </w:tc>
        <w:tc>
          <w:tcPr>
            <w:tcW w:w="990" w:type="dxa"/>
            <w:tcBorders>
              <w:top w:val="nil"/>
              <w:left w:val="nil"/>
              <w:bottom w:val="single" w:sz="4" w:space="0" w:color="auto"/>
              <w:right w:val="single" w:sz="4" w:space="0" w:color="auto"/>
            </w:tcBorders>
            <w:noWrap/>
            <w:vAlign w:val="bottom"/>
            <w:hideMark/>
          </w:tcPr>
          <w:p w14:paraId="40694159" w14:textId="77777777" w:rsidR="00BA2765" w:rsidRPr="00BA2765" w:rsidRDefault="00BA2765" w:rsidP="00134B76">
            <w:pPr>
              <w:spacing w:line="240" w:lineRule="auto"/>
              <w:jc w:val="right"/>
              <w:rPr>
                <w:color w:val="000000"/>
                <w:lang w:val="en-US"/>
              </w:rPr>
            </w:pPr>
            <w:r w:rsidRPr="00BA2765">
              <w:rPr>
                <w:color w:val="000000"/>
                <w:lang w:val="en-US"/>
              </w:rPr>
              <w:t>1.56</w:t>
            </w:r>
          </w:p>
        </w:tc>
        <w:tc>
          <w:tcPr>
            <w:tcW w:w="990" w:type="dxa"/>
            <w:tcBorders>
              <w:top w:val="nil"/>
              <w:left w:val="nil"/>
              <w:bottom w:val="single" w:sz="4" w:space="0" w:color="auto"/>
              <w:right w:val="single" w:sz="4" w:space="0" w:color="auto"/>
            </w:tcBorders>
            <w:noWrap/>
            <w:vAlign w:val="bottom"/>
            <w:hideMark/>
          </w:tcPr>
          <w:p w14:paraId="20FCD03F" w14:textId="77777777" w:rsidR="00BA2765" w:rsidRPr="00BA2765" w:rsidRDefault="00BA2765" w:rsidP="00134B76">
            <w:pPr>
              <w:spacing w:line="240" w:lineRule="auto"/>
              <w:jc w:val="right"/>
              <w:rPr>
                <w:color w:val="000000"/>
                <w:lang w:val="en-US"/>
              </w:rPr>
            </w:pPr>
            <w:r w:rsidRPr="00BA2765">
              <w:rPr>
                <w:color w:val="000000"/>
                <w:lang w:val="en-US"/>
              </w:rPr>
              <w:t>1.82</w:t>
            </w:r>
          </w:p>
        </w:tc>
      </w:tr>
      <w:tr w:rsidR="00BA2765" w:rsidRPr="00BA2765" w14:paraId="67DEA58E" w14:textId="77777777" w:rsidTr="00134B76">
        <w:trPr>
          <w:trHeight w:val="900"/>
        </w:trPr>
        <w:tc>
          <w:tcPr>
            <w:tcW w:w="2155" w:type="dxa"/>
            <w:tcBorders>
              <w:top w:val="nil"/>
              <w:left w:val="single" w:sz="4" w:space="0" w:color="auto"/>
              <w:bottom w:val="single" w:sz="4" w:space="0" w:color="auto"/>
              <w:right w:val="single" w:sz="4" w:space="0" w:color="auto"/>
            </w:tcBorders>
            <w:noWrap/>
            <w:vAlign w:val="bottom"/>
            <w:hideMark/>
          </w:tcPr>
          <w:p w14:paraId="78E615EF" w14:textId="77777777" w:rsidR="00BA2765" w:rsidRPr="00BA2765" w:rsidRDefault="00BA2765" w:rsidP="00134B76">
            <w:pPr>
              <w:spacing w:line="240" w:lineRule="auto"/>
              <w:rPr>
                <w:color w:val="000000"/>
                <w:lang w:val="en-US"/>
              </w:rPr>
            </w:pPr>
            <w:r w:rsidRPr="00BA2765">
              <w:rPr>
                <w:color w:val="000000"/>
                <w:lang w:val="en-US"/>
              </w:rPr>
              <w:t>Quick Ratio</w:t>
            </w:r>
          </w:p>
        </w:tc>
        <w:tc>
          <w:tcPr>
            <w:tcW w:w="1980" w:type="dxa"/>
            <w:tcBorders>
              <w:top w:val="nil"/>
              <w:left w:val="nil"/>
              <w:bottom w:val="single" w:sz="4" w:space="0" w:color="auto"/>
              <w:right w:val="single" w:sz="4" w:space="0" w:color="auto"/>
            </w:tcBorders>
            <w:vAlign w:val="bottom"/>
            <w:hideMark/>
          </w:tcPr>
          <w:p w14:paraId="2DE475C6" w14:textId="77777777" w:rsidR="00BA2765" w:rsidRPr="00BA2765" w:rsidRDefault="00BA2765" w:rsidP="00134B76">
            <w:pPr>
              <w:spacing w:line="240" w:lineRule="auto"/>
              <w:rPr>
                <w:color w:val="000000"/>
                <w:lang w:val="en-US"/>
              </w:rPr>
            </w:pPr>
            <w:r w:rsidRPr="00BA2765">
              <w:rPr>
                <w:color w:val="000000"/>
                <w:lang w:val="en-US"/>
              </w:rPr>
              <w:t>(Current Assets - Inventory) / Current Liabilities</w:t>
            </w:r>
          </w:p>
        </w:tc>
        <w:tc>
          <w:tcPr>
            <w:tcW w:w="1170" w:type="dxa"/>
            <w:tcBorders>
              <w:top w:val="nil"/>
              <w:left w:val="nil"/>
              <w:bottom w:val="single" w:sz="4" w:space="0" w:color="auto"/>
              <w:right w:val="single" w:sz="4" w:space="0" w:color="auto"/>
            </w:tcBorders>
            <w:noWrap/>
            <w:vAlign w:val="bottom"/>
            <w:hideMark/>
          </w:tcPr>
          <w:p w14:paraId="308701D3" w14:textId="77777777" w:rsidR="00BA2765" w:rsidRPr="00BA2765" w:rsidRDefault="00BA2765" w:rsidP="00134B76">
            <w:pPr>
              <w:spacing w:line="240" w:lineRule="auto"/>
              <w:jc w:val="right"/>
              <w:rPr>
                <w:color w:val="000000"/>
                <w:lang w:val="en-US"/>
              </w:rPr>
            </w:pPr>
            <w:r w:rsidRPr="00BA2765">
              <w:rPr>
                <w:color w:val="000000"/>
                <w:lang w:val="en-US"/>
              </w:rPr>
              <w:t>1.03</w:t>
            </w:r>
          </w:p>
        </w:tc>
        <w:tc>
          <w:tcPr>
            <w:tcW w:w="1170" w:type="dxa"/>
            <w:tcBorders>
              <w:top w:val="nil"/>
              <w:left w:val="nil"/>
              <w:bottom w:val="single" w:sz="4" w:space="0" w:color="auto"/>
              <w:right w:val="single" w:sz="4" w:space="0" w:color="auto"/>
            </w:tcBorders>
            <w:noWrap/>
            <w:vAlign w:val="bottom"/>
            <w:hideMark/>
          </w:tcPr>
          <w:p w14:paraId="465DCDC6" w14:textId="77777777" w:rsidR="00BA2765" w:rsidRPr="00BA2765" w:rsidRDefault="00BA2765" w:rsidP="00134B76">
            <w:pPr>
              <w:spacing w:line="240" w:lineRule="auto"/>
              <w:jc w:val="right"/>
              <w:rPr>
                <w:color w:val="000000"/>
                <w:lang w:val="en-US"/>
              </w:rPr>
            </w:pPr>
            <w:r w:rsidRPr="00BA2765">
              <w:rPr>
                <w:color w:val="000000"/>
                <w:lang w:val="en-US"/>
              </w:rPr>
              <w:t>1.06</w:t>
            </w:r>
          </w:p>
        </w:tc>
        <w:tc>
          <w:tcPr>
            <w:tcW w:w="1080" w:type="dxa"/>
            <w:tcBorders>
              <w:top w:val="nil"/>
              <w:left w:val="nil"/>
              <w:bottom w:val="single" w:sz="4" w:space="0" w:color="auto"/>
              <w:right w:val="single" w:sz="4" w:space="0" w:color="auto"/>
            </w:tcBorders>
            <w:noWrap/>
            <w:vAlign w:val="bottom"/>
            <w:hideMark/>
          </w:tcPr>
          <w:p w14:paraId="17AC01C5" w14:textId="77777777" w:rsidR="00BA2765" w:rsidRPr="00BA2765" w:rsidRDefault="00BA2765" w:rsidP="00134B76">
            <w:pPr>
              <w:spacing w:line="240" w:lineRule="auto"/>
              <w:jc w:val="right"/>
              <w:rPr>
                <w:color w:val="000000"/>
                <w:lang w:val="en-US"/>
              </w:rPr>
            </w:pPr>
            <w:r w:rsidRPr="00BA2765">
              <w:rPr>
                <w:color w:val="000000"/>
                <w:lang w:val="en-US"/>
              </w:rPr>
              <w:t>0.91</w:t>
            </w:r>
          </w:p>
        </w:tc>
        <w:tc>
          <w:tcPr>
            <w:tcW w:w="990" w:type="dxa"/>
            <w:tcBorders>
              <w:top w:val="nil"/>
              <w:left w:val="nil"/>
              <w:bottom w:val="single" w:sz="4" w:space="0" w:color="auto"/>
              <w:right w:val="single" w:sz="4" w:space="0" w:color="auto"/>
            </w:tcBorders>
            <w:noWrap/>
            <w:vAlign w:val="bottom"/>
            <w:hideMark/>
          </w:tcPr>
          <w:p w14:paraId="3CCC9811" w14:textId="77777777" w:rsidR="00BA2765" w:rsidRPr="00BA2765" w:rsidRDefault="00BA2765" w:rsidP="00134B76">
            <w:pPr>
              <w:spacing w:line="240" w:lineRule="auto"/>
              <w:jc w:val="right"/>
              <w:rPr>
                <w:color w:val="000000"/>
                <w:lang w:val="en-US"/>
              </w:rPr>
            </w:pPr>
            <w:r w:rsidRPr="00BA2765">
              <w:rPr>
                <w:color w:val="000000"/>
                <w:lang w:val="en-US"/>
              </w:rPr>
              <w:t>0.93</w:t>
            </w:r>
          </w:p>
        </w:tc>
        <w:tc>
          <w:tcPr>
            <w:tcW w:w="990" w:type="dxa"/>
            <w:tcBorders>
              <w:top w:val="nil"/>
              <w:left w:val="nil"/>
              <w:bottom w:val="single" w:sz="4" w:space="0" w:color="auto"/>
              <w:right w:val="single" w:sz="4" w:space="0" w:color="auto"/>
            </w:tcBorders>
            <w:noWrap/>
            <w:vAlign w:val="bottom"/>
            <w:hideMark/>
          </w:tcPr>
          <w:p w14:paraId="0FF2922E" w14:textId="77777777" w:rsidR="00BA2765" w:rsidRPr="00BA2765" w:rsidRDefault="00BA2765" w:rsidP="00134B76">
            <w:pPr>
              <w:spacing w:line="240" w:lineRule="auto"/>
              <w:jc w:val="right"/>
              <w:rPr>
                <w:color w:val="000000"/>
                <w:lang w:val="en-US"/>
              </w:rPr>
            </w:pPr>
            <w:r w:rsidRPr="00BA2765">
              <w:rPr>
                <w:color w:val="000000"/>
                <w:lang w:val="en-US"/>
              </w:rPr>
              <w:t>1.15</w:t>
            </w:r>
          </w:p>
        </w:tc>
      </w:tr>
      <w:tr w:rsidR="00BA2765" w:rsidRPr="00BA2765" w14:paraId="14EBA984"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6382374A" w14:textId="77777777" w:rsidR="00BA2765" w:rsidRPr="00BA2765" w:rsidRDefault="00BA2765" w:rsidP="00134B76">
            <w:pPr>
              <w:spacing w:line="240" w:lineRule="auto"/>
              <w:rPr>
                <w:b/>
                <w:bCs/>
                <w:color w:val="000000"/>
                <w:lang w:val="en-US"/>
              </w:rPr>
            </w:pPr>
            <w:r w:rsidRPr="00BA2765">
              <w:rPr>
                <w:b/>
                <w:bCs/>
                <w:color w:val="000000"/>
                <w:lang w:val="en-US"/>
              </w:rPr>
              <w:t>Efficiency Ratios</w:t>
            </w:r>
          </w:p>
        </w:tc>
        <w:tc>
          <w:tcPr>
            <w:tcW w:w="1980" w:type="dxa"/>
            <w:tcBorders>
              <w:top w:val="nil"/>
              <w:left w:val="nil"/>
              <w:bottom w:val="single" w:sz="4" w:space="0" w:color="auto"/>
              <w:right w:val="single" w:sz="4" w:space="0" w:color="auto"/>
            </w:tcBorders>
            <w:vAlign w:val="bottom"/>
            <w:hideMark/>
          </w:tcPr>
          <w:p w14:paraId="158FF1A5"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single" w:sz="4" w:space="0" w:color="auto"/>
            </w:tcBorders>
            <w:noWrap/>
            <w:vAlign w:val="bottom"/>
            <w:hideMark/>
          </w:tcPr>
          <w:p w14:paraId="4E35FFA9" w14:textId="77777777" w:rsidR="00BA2765" w:rsidRPr="00BA2765" w:rsidRDefault="00BA2765" w:rsidP="00134B76">
            <w:pPr>
              <w:spacing w:line="240" w:lineRule="auto"/>
              <w:rPr>
                <w:color w:val="000000"/>
                <w:lang w:val="en-US"/>
              </w:rPr>
            </w:pPr>
            <w:r w:rsidRPr="00BA2765">
              <w:rPr>
                <w:color w:val="000000"/>
                <w:lang w:val="en-US"/>
              </w:rPr>
              <w:t> </w:t>
            </w:r>
          </w:p>
        </w:tc>
        <w:tc>
          <w:tcPr>
            <w:tcW w:w="1170" w:type="dxa"/>
            <w:tcBorders>
              <w:top w:val="nil"/>
              <w:left w:val="nil"/>
              <w:bottom w:val="single" w:sz="4" w:space="0" w:color="auto"/>
              <w:right w:val="single" w:sz="4" w:space="0" w:color="auto"/>
            </w:tcBorders>
            <w:noWrap/>
            <w:vAlign w:val="bottom"/>
            <w:hideMark/>
          </w:tcPr>
          <w:p w14:paraId="089DE37E" w14:textId="77777777" w:rsidR="00BA2765" w:rsidRPr="00BA2765" w:rsidRDefault="00BA2765" w:rsidP="00134B76">
            <w:pPr>
              <w:spacing w:line="240" w:lineRule="auto"/>
              <w:rPr>
                <w:color w:val="000000"/>
                <w:lang w:val="en-US"/>
              </w:rPr>
            </w:pPr>
            <w:r w:rsidRPr="00BA2765">
              <w:rPr>
                <w:color w:val="000000"/>
                <w:lang w:val="en-US"/>
              </w:rPr>
              <w:t> </w:t>
            </w:r>
          </w:p>
        </w:tc>
        <w:tc>
          <w:tcPr>
            <w:tcW w:w="1080" w:type="dxa"/>
            <w:tcBorders>
              <w:top w:val="nil"/>
              <w:left w:val="nil"/>
              <w:bottom w:val="single" w:sz="4" w:space="0" w:color="auto"/>
              <w:right w:val="single" w:sz="4" w:space="0" w:color="auto"/>
            </w:tcBorders>
            <w:noWrap/>
            <w:vAlign w:val="bottom"/>
            <w:hideMark/>
          </w:tcPr>
          <w:p w14:paraId="2C2D1E3C"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59EDA5E2"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0D01B0E3"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7D5A94BE"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2FD2F782" w14:textId="77777777" w:rsidR="00BA2765" w:rsidRPr="00BA2765" w:rsidRDefault="00BA2765" w:rsidP="00134B76">
            <w:pPr>
              <w:spacing w:line="240" w:lineRule="auto"/>
              <w:rPr>
                <w:color w:val="000000"/>
                <w:lang w:val="en-US"/>
              </w:rPr>
            </w:pPr>
            <w:r w:rsidRPr="00BA2765">
              <w:rPr>
                <w:color w:val="000000"/>
                <w:lang w:val="en-US"/>
              </w:rPr>
              <w:t>Inventory Turnover</w:t>
            </w:r>
          </w:p>
        </w:tc>
        <w:tc>
          <w:tcPr>
            <w:tcW w:w="1980" w:type="dxa"/>
            <w:tcBorders>
              <w:top w:val="nil"/>
              <w:left w:val="nil"/>
              <w:bottom w:val="single" w:sz="4" w:space="0" w:color="auto"/>
              <w:right w:val="single" w:sz="4" w:space="0" w:color="auto"/>
            </w:tcBorders>
            <w:vAlign w:val="bottom"/>
            <w:hideMark/>
          </w:tcPr>
          <w:p w14:paraId="4B6E05CD" w14:textId="77777777" w:rsidR="00BA2765" w:rsidRPr="00BA2765" w:rsidRDefault="00BA2765" w:rsidP="00134B76">
            <w:pPr>
              <w:spacing w:line="240" w:lineRule="auto"/>
              <w:rPr>
                <w:color w:val="000000"/>
                <w:lang w:val="en-US"/>
              </w:rPr>
            </w:pPr>
            <w:r w:rsidRPr="00BA2765">
              <w:rPr>
                <w:color w:val="000000"/>
                <w:lang w:val="en-US"/>
              </w:rPr>
              <w:t>Cost of Sales / Average Inventory</w:t>
            </w:r>
          </w:p>
        </w:tc>
        <w:tc>
          <w:tcPr>
            <w:tcW w:w="1170" w:type="dxa"/>
            <w:tcBorders>
              <w:top w:val="nil"/>
              <w:left w:val="nil"/>
              <w:bottom w:val="single" w:sz="4" w:space="0" w:color="auto"/>
              <w:right w:val="single" w:sz="4" w:space="0" w:color="auto"/>
            </w:tcBorders>
            <w:noWrap/>
            <w:vAlign w:val="bottom"/>
            <w:hideMark/>
          </w:tcPr>
          <w:p w14:paraId="56E15F90" w14:textId="77777777" w:rsidR="00BA2765" w:rsidRPr="00BA2765" w:rsidRDefault="00BA2765" w:rsidP="00134B76">
            <w:pPr>
              <w:spacing w:line="240" w:lineRule="auto"/>
              <w:jc w:val="right"/>
              <w:rPr>
                <w:color w:val="000000"/>
                <w:lang w:val="en-US"/>
              </w:rPr>
            </w:pPr>
            <w:r w:rsidRPr="00BA2765">
              <w:rPr>
                <w:color w:val="000000"/>
                <w:lang w:val="en-US"/>
              </w:rPr>
              <w:t>3.35</w:t>
            </w:r>
          </w:p>
        </w:tc>
        <w:tc>
          <w:tcPr>
            <w:tcW w:w="1170" w:type="dxa"/>
            <w:tcBorders>
              <w:top w:val="nil"/>
              <w:left w:val="nil"/>
              <w:bottom w:val="single" w:sz="4" w:space="0" w:color="auto"/>
              <w:right w:val="single" w:sz="4" w:space="0" w:color="auto"/>
            </w:tcBorders>
            <w:noWrap/>
            <w:vAlign w:val="bottom"/>
            <w:hideMark/>
          </w:tcPr>
          <w:p w14:paraId="1F1C0C34" w14:textId="77777777" w:rsidR="00BA2765" w:rsidRPr="00BA2765" w:rsidRDefault="00BA2765" w:rsidP="00134B76">
            <w:pPr>
              <w:spacing w:line="240" w:lineRule="auto"/>
              <w:jc w:val="right"/>
              <w:rPr>
                <w:color w:val="000000"/>
                <w:lang w:val="en-US"/>
              </w:rPr>
            </w:pPr>
            <w:r w:rsidRPr="00BA2765">
              <w:rPr>
                <w:color w:val="000000"/>
                <w:lang w:val="en-US"/>
              </w:rPr>
              <w:t>2.83</w:t>
            </w:r>
          </w:p>
        </w:tc>
        <w:tc>
          <w:tcPr>
            <w:tcW w:w="1080" w:type="dxa"/>
            <w:tcBorders>
              <w:top w:val="nil"/>
              <w:left w:val="nil"/>
              <w:bottom w:val="single" w:sz="4" w:space="0" w:color="auto"/>
              <w:right w:val="single" w:sz="4" w:space="0" w:color="auto"/>
            </w:tcBorders>
            <w:noWrap/>
            <w:vAlign w:val="bottom"/>
            <w:hideMark/>
          </w:tcPr>
          <w:p w14:paraId="120CE828" w14:textId="77777777" w:rsidR="00BA2765" w:rsidRPr="00BA2765" w:rsidRDefault="00BA2765" w:rsidP="00134B76">
            <w:pPr>
              <w:spacing w:line="240" w:lineRule="auto"/>
              <w:jc w:val="right"/>
              <w:rPr>
                <w:color w:val="000000"/>
                <w:lang w:val="en-US"/>
              </w:rPr>
            </w:pPr>
            <w:r w:rsidRPr="00BA2765">
              <w:rPr>
                <w:color w:val="000000"/>
                <w:lang w:val="en-US"/>
              </w:rPr>
              <w:t>2.84</w:t>
            </w:r>
          </w:p>
        </w:tc>
        <w:tc>
          <w:tcPr>
            <w:tcW w:w="990" w:type="dxa"/>
            <w:tcBorders>
              <w:top w:val="nil"/>
              <w:left w:val="nil"/>
              <w:bottom w:val="single" w:sz="4" w:space="0" w:color="auto"/>
              <w:right w:val="single" w:sz="4" w:space="0" w:color="auto"/>
            </w:tcBorders>
            <w:noWrap/>
            <w:vAlign w:val="bottom"/>
            <w:hideMark/>
          </w:tcPr>
          <w:p w14:paraId="14330207" w14:textId="77777777" w:rsidR="00BA2765" w:rsidRPr="00BA2765" w:rsidRDefault="00BA2765" w:rsidP="00134B76">
            <w:pPr>
              <w:spacing w:line="240" w:lineRule="auto"/>
              <w:jc w:val="right"/>
              <w:rPr>
                <w:color w:val="000000"/>
                <w:lang w:val="en-US"/>
              </w:rPr>
            </w:pPr>
            <w:r w:rsidRPr="00BA2765">
              <w:rPr>
                <w:color w:val="000000"/>
                <w:lang w:val="en-US"/>
              </w:rPr>
              <w:t>3.36</w:t>
            </w:r>
          </w:p>
        </w:tc>
        <w:tc>
          <w:tcPr>
            <w:tcW w:w="990" w:type="dxa"/>
            <w:tcBorders>
              <w:top w:val="nil"/>
              <w:left w:val="nil"/>
              <w:bottom w:val="single" w:sz="4" w:space="0" w:color="auto"/>
              <w:right w:val="single" w:sz="4" w:space="0" w:color="auto"/>
            </w:tcBorders>
            <w:noWrap/>
            <w:vAlign w:val="bottom"/>
            <w:hideMark/>
          </w:tcPr>
          <w:p w14:paraId="03E18291"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45998F57"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17093357" w14:textId="77777777" w:rsidR="00BA2765" w:rsidRPr="00BA2765" w:rsidRDefault="00BA2765" w:rsidP="00134B76">
            <w:pPr>
              <w:spacing w:line="240" w:lineRule="auto"/>
              <w:rPr>
                <w:color w:val="000000"/>
                <w:lang w:val="en-US"/>
              </w:rPr>
            </w:pPr>
            <w:r w:rsidRPr="00BA2765">
              <w:rPr>
                <w:color w:val="000000"/>
                <w:lang w:val="en-US"/>
              </w:rPr>
              <w:t>Receivables Turnover</w:t>
            </w:r>
          </w:p>
        </w:tc>
        <w:tc>
          <w:tcPr>
            <w:tcW w:w="1980" w:type="dxa"/>
            <w:tcBorders>
              <w:top w:val="nil"/>
              <w:left w:val="nil"/>
              <w:bottom w:val="single" w:sz="4" w:space="0" w:color="auto"/>
              <w:right w:val="single" w:sz="4" w:space="0" w:color="auto"/>
            </w:tcBorders>
            <w:vAlign w:val="bottom"/>
            <w:hideMark/>
          </w:tcPr>
          <w:p w14:paraId="57033CE3" w14:textId="77777777" w:rsidR="00BA2765" w:rsidRPr="00BA2765" w:rsidRDefault="00BA2765" w:rsidP="00134B76">
            <w:pPr>
              <w:spacing w:line="240" w:lineRule="auto"/>
              <w:rPr>
                <w:color w:val="000000"/>
                <w:lang w:val="en-US"/>
              </w:rPr>
            </w:pPr>
            <w:r w:rsidRPr="00BA2765">
              <w:rPr>
                <w:color w:val="000000"/>
                <w:lang w:val="en-US"/>
              </w:rPr>
              <w:t>Net Sales / Average Trade Receivables</w:t>
            </w:r>
          </w:p>
        </w:tc>
        <w:tc>
          <w:tcPr>
            <w:tcW w:w="1170" w:type="dxa"/>
            <w:tcBorders>
              <w:top w:val="nil"/>
              <w:left w:val="nil"/>
              <w:bottom w:val="single" w:sz="4" w:space="0" w:color="auto"/>
              <w:right w:val="single" w:sz="4" w:space="0" w:color="auto"/>
            </w:tcBorders>
            <w:noWrap/>
            <w:vAlign w:val="bottom"/>
            <w:hideMark/>
          </w:tcPr>
          <w:p w14:paraId="3243B7B8" w14:textId="77777777" w:rsidR="00BA2765" w:rsidRPr="00BA2765" w:rsidRDefault="00BA2765" w:rsidP="00134B76">
            <w:pPr>
              <w:spacing w:line="240" w:lineRule="auto"/>
              <w:jc w:val="right"/>
              <w:rPr>
                <w:color w:val="000000"/>
                <w:lang w:val="en-US"/>
              </w:rPr>
            </w:pPr>
            <w:r w:rsidRPr="00BA2765">
              <w:rPr>
                <w:color w:val="000000"/>
                <w:lang w:val="en-US"/>
              </w:rPr>
              <w:t>3.48</w:t>
            </w:r>
          </w:p>
        </w:tc>
        <w:tc>
          <w:tcPr>
            <w:tcW w:w="1170" w:type="dxa"/>
            <w:tcBorders>
              <w:top w:val="nil"/>
              <w:left w:val="nil"/>
              <w:bottom w:val="single" w:sz="4" w:space="0" w:color="auto"/>
              <w:right w:val="single" w:sz="4" w:space="0" w:color="auto"/>
            </w:tcBorders>
            <w:noWrap/>
            <w:vAlign w:val="bottom"/>
            <w:hideMark/>
          </w:tcPr>
          <w:p w14:paraId="6AEBCCDB" w14:textId="77777777" w:rsidR="00BA2765" w:rsidRPr="00BA2765" w:rsidRDefault="00BA2765" w:rsidP="00134B76">
            <w:pPr>
              <w:spacing w:line="240" w:lineRule="auto"/>
              <w:jc w:val="right"/>
              <w:rPr>
                <w:color w:val="000000"/>
                <w:lang w:val="en-US"/>
              </w:rPr>
            </w:pPr>
            <w:r w:rsidRPr="00BA2765">
              <w:rPr>
                <w:color w:val="000000"/>
                <w:lang w:val="en-US"/>
              </w:rPr>
              <w:t>3.74</w:t>
            </w:r>
          </w:p>
        </w:tc>
        <w:tc>
          <w:tcPr>
            <w:tcW w:w="1080" w:type="dxa"/>
            <w:tcBorders>
              <w:top w:val="nil"/>
              <w:left w:val="nil"/>
              <w:bottom w:val="single" w:sz="4" w:space="0" w:color="auto"/>
              <w:right w:val="single" w:sz="4" w:space="0" w:color="auto"/>
            </w:tcBorders>
            <w:noWrap/>
            <w:vAlign w:val="bottom"/>
            <w:hideMark/>
          </w:tcPr>
          <w:p w14:paraId="731EE48B" w14:textId="77777777" w:rsidR="00BA2765" w:rsidRPr="00BA2765" w:rsidRDefault="00BA2765" w:rsidP="00134B76">
            <w:pPr>
              <w:spacing w:line="240" w:lineRule="auto"/>
              <w:jc w:val="right"/>
              <w:rPr>
                <w:color w:val="000000"/>
                <w:lang w:val="en-US"/>
              </w:rPr>
            </w:pPr>
            <w:r w:rsidRPr="00BA2765">
              <w:rPr>
                <w:color w:val="000000"/>
                <w:lang w:val="en-US"/>
              </w:rPr>
              <w:t>4.49</w:t>
            </w:r>
          </w:p>
        </w:tc>
        <w:tc>
          <w:tcPr>
            <w:tcW w:w="990" w:type="dxa"/>
            <w:tcBorders>
              <w:top w:val="nil"/>
              <w:left w:val="nil"/>
              <w:bottom w:val="single" w:sz="4" w:space="0" w:color="auto"/>
              <w:right w:val="single" w:sz="4" w:space="0" w:color="auto"/>
            </w:tcBorders>
            <w:noWrap/>
            <w:vAlign w:val="bottom"/>
            <w:hideMark/>
          </w:tcPr>
          <w:p w14:paraId="0332936C" w14:textId="77777777" w:rsidR="00BA2765" w:rsidRPr="00BA2765" w:rsidRDefault="00BA2765" w:rsidP="00134B76">
            <w:pPr>
              <w:spacing w:line="240" w:lineRule="auto"/>
              <w:jc w:val="right"/>
              <w:rPr>
                <w:color w:val="000000"/>
                <w:lang w:val="en-US"/>
              </w:rPr>
            </w:pPr>
            <w:r w:rsidRPr="00BA2765">
              <w:rPr>
                <w:color w:val="000000"/>
                <w:lang w:val="en-US"/>
              </w:rPr>
              <w:t>4.65</w:t>
            </w:r>
          </w:p>
        </w:tc>
        <w:tc>
          <w:tcPr>
            <w:tcW w:w="990" w:type="dxa"/>
            <w:tcBorders>
              <w:top w:val="nil"/>
              <w:left w:val="nil"/>
              <w:bottom w:val="single" w:sz="4" w:space="0" w:color="auto"/>
              <w:right w:val="single" w:sz="4" w:space="0" w:color="auto"/>
            </w:tcBorders>
            <w:noWrap/>
            <w:vAlign w:val="bottom"/>
            <w:hideMark/>
          </w:tcPr>
          <w:p w14:paraId="464E5181"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010A01A2"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2F1CE668" w14:textId="77777777" w:rsidR="00BA2765" w:rsidRPr="00BA2765" w:rsidRDefault="00BA2765" w:rsidP="00134B76">
            <w:pPr>
              <w:spacing w:line="240" w:lineRule="auto"/>
              <w:rPr>
                <w:color w:val="000000"/>
                <w:lang w:val="en-US"/>
              </w:rPr>
            </w:pPr>
            <w:r w:rsidRPr="00BA2765">
              <w:rPr>
                <w:color w:val="000000"/>
                <w:lang w:val="en-US"/>
              </w:rPr>
              <w:t>Payables Turnover</w:t>
            </w:r>
          </w:p>
        </w:tc>
        <w:tc>
          <w:tcPr>
            <w:tcW w:w="1980" w:type="dxa"/>
            <w:tcBorders>
              <w:top w:val="nil"/>
              <w:left w:val="nil"/>
              <w:bottom w:val="single" w:sz="4" w:space="0" w:color="auto"/>
              <w:right w:val="single" w:sz="4" w:space="0" w:color="auto"/>
            </w:tcBorders>
            <w:vAlign w:val="bottom"/>
            <w:hideMark/>
          </w:tcPr>
          <w:p w14:paraId="02BFE98B" w14:textId="77777777" w:rsidR="00BA2765" w:rsidRPr="00BA2765" w:rsidRDefault="00BA2765" w:rsidP="00134B76">
            <w:pPr>
              <w:spacing w:line="240" w:lineRule="auto"/>
              <w:rPr>
                <w:color w:val="000000"/>
                <w:lang w:val="en-US"/>
              </w:rPr>
            </w:pPr>
            <w:r w:rsidRPr="00BA2765">
              <w:rPr>
                <w:color w:val="000000"/>
                <w:lang w:val="en-US"/>
              </w:rPr>
              <w:t>Cost of Sales / Average Trade Payables</w:t>
            </w:r>
          </w:p>
        </w:tc>
        <w:tc>
          <w:tcPr>
            <w:tcW w:w="1170" w:type="dxa"/>
            <w:tcBorders>
              <w:top w:val="nil"/>
              <w:left w:val="nil"/>
              <w:bottom w:val="single" w:sz="4" w:space="0" w:color="auto"/>
              <w:right w:val="single" w:sz="4" w:space="0" w:color="auto"/>
            </w:tcBorders>
            <w:noWrap/>
            <w:vAlign w:val="bottom"/>
            <w:hideMark/>
          </w:tcPr>
          <w:p w14:paraId="176F3118" w14:textId="77777777" w:rsidR="00BA2765" w:rsidRPr="00BA2765" w:rsidRDefault="00BA2765" w:rsidP="00134B76">
            <w:pPr>
              <w:spacing w:line="240" w:lineRule="auto"/>
              <w:jc w:val="right"/>
              <w:rPr>
                <w:color w:val="000000"/>
                <w:lang w:val="en-US"/>
              </w:rPr>
            </w:pPr>
            <w:r w:rsidRPr="00BA2765">
              <w:rPr>
                <w:color w:val="000000"/>
                <w:lang w:val="en-US"/>
              </w:rPr>
              <w:t>4.35</w:t>
            </w:r>
          </w:p>
        </w:tc>
        <w:tc>
          <w:tcPr>
            <w:tcW w:w="1170" w:type="dxa"/>
            <w:tcBorders>
              <w:top w:val="nil"/>
              <w:left w:val="nil"/>
              <w:bottom w:val="single" w:sz="4" w:space="0" w:color="auto"/>
              <w:right w:val="single" w:sz="4" w:space="0" w:color="auto"/>
            </w:tcBorders>
            <w:noWrap/>
            <w:vAlign w:val="bottom"/>
            <w:hideMark/>
          </w:tcPr>
          <w:p w14:paraId="1FBB3705" w14:textId="77777777" w:rsidR="00BA2765" w:rsidRPr="00BA2765" w:rsidRDefault="00BA2765" w:rsidP="00134B76">
            <w:pPr>
              <w:spacing w:line="240" w:lineRule="auto"/>
              <w:jc w:val="right"/>
              <w:rPr>
                <w:color w:val="000000"/>
                <w:lang w:val="en-US"/>
              </w:rPr>
            </w:pPr>
            <w:r w:rsidRPr="00BA2765">
              <w:rPr>
                <w:color w:val="000000"/>
                <w:lang w:val="en-US"/>
              </w:rPr>
              <w:t>5.03</w:t>
            </w:r>
          </w:p>
        </w:tc>
        <w:tc>
          <w:tcPr>
            <w:tcW w:w="1080" w:type="dxa"/>
            <w:tcBorders>
              <w:top w:val="nil"/>
              <w:left w:val="nil"/>
              <w:bottom w:val="single" w:sz="4" w:space="0" w:color="auto"/>
              <w:right w:val="single" w:sz="4" w:space="0" w:color="auto"/>
            </w:tcBorders>
            <w:noWrap/>
            <w:vAlign w:val="bottom"/>
            <w:hideMark/>
          </w:tcPr>
          <w:p w14:paraId="6C3A885D" w14:textId="77777777" w:rsidR="00BA2765" w:rsidRPr="00BA2765" w:rsidRDefault="00BA2765" w:rsidP="00134B76">
            <w:pPr>
              <w:spacing w:line="240" w:lineRule="auto"/>
              <w:jc w:val="right"/>
              <w:rPr>
                <w:color w:val="000000"/>
                <w:lang w:val="en-US"/>
              </w:rPr>
            </w:pPr>
            <w:r w:rsidRPr="00BA2765">
              <w:rPr>
                <w:color w:val="000000"/>
                <w:lang w:val="en-US"/>
              </w:rPr>
              <w:t>4.76</w:t>
            </w:r>
          </w:p>
        </w:tc>
        <w:tc>
          <w:tcPr>
            <w:tcW w:w="990" w:type="dxa"/>
            <w:tcBorders>
              <w:top w:val="nil"/>
              <w:left w:val="nil"/>
              <w:bottom w:val="single" w:sz="4" w:space="0" w:color="auto"/>
              <w:right w:val="single" w:sz="4" w:space="0" w:color="auto"/>
            </w:tcBorders>
            <w:noWrap/>
            <w:vAlign w:val="bottom"/>
            <w:hideMark/>
          </w:tcPr>
          <w:p w14:paraId="1C8E57EA" w14:textId="77777777" w:rsidR="00BA2765" w:rsidRPr="00BA2765" w:rsidRDefault="00BA2765" w:rsidP="00134B76">
            <w:pPr>
              <w:spacing w:line="240" w:lineRule="auto"/>
              <w:jc w:val="right"/>
              <w:rPr>
                <w:color w:val="000000"/>
                <w:lang w:val="en-US"/>
              </w:rPr>
            </w:pPr>
            <w:r w:rsidRPr="00BA2765">
              <w:rPr>
                <w:color w:val="000000"/>
                <w:lang w:val="en-US"/>
              </w:rPr>
              <w:t>4.87</w:t>
            </w:r>
          </w:p>
        </w:tc>
        <w:tc>
          <w:tcPr>
            <w:tcW w:w="990" w:type="dxa"/>
            <w:tcBorders>
              <w:top w:val="nil"/>
              <w:left w:val="nil"/>
              <w:bottom w:val="single" w:sz="4" w:space="0" w:color="auto"/>
              <w:right w:val="single" w:sz="4" w:space="0" w:color="auto"/>
            </w:tcBorders>
            <w:noWrap/>
            <w:vAlign w:val="bottom"/>
            <w:hideMark/>
          </w:tcPr>
          <w:p w14:paraId="1BCF76B7"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1E59D916"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77ED4B56" w14:textId="77777777" w:rsidR="00BA2765" w:rsidRPr="00BA2765" w:rsidRDefault="00BA2765" w:rsidP="00134B76">
            <w:pPr>
              <w:spacing w:line="240" w:lineRule="auto"/>
              <w:rPr>
                <w:color w:val="000000"/>
                <w:lang w:val="en-US"/>
              </w:rPr>
            </w:pPr>
            <w:r w:rsidRPr="00BA2765">
              <w:rPr>
                <w:color w:val="000000"/>
                <w:lang w:val="en-US"/>
              </w:rPr>
              <w:t>Asset Turnover</w:t>
            </w:r>
          </w:p>
        </w:tc>
        <w:tc>
          <w:tcPr>
            <w:tcW w:w="1980" w:type="dxa"/>
            <w:tcBorders>
              <w:top w:val="nil"/>
              <w:left w:val="nil"/>
              <w:bottom w:val="single" w:sz="4" w:space="0" w:color="auto"/>
              <w:right w:val="single" w:sz="4" w:space="0" w:color="auto"/>
            </w:tcBorders>
            <w:vAlign w:val="bottom"/>
            <w:hideMark/>
          </w:tcPr>
          <w:p w14:paraId="657017E1" w14:textId="77777777" w:rsidR="00BA2765" w:rsidRPr="00BA2765" w:rsidRDefault="00BA2765" w:rsidP="00134B76">
            <w:pPr>
              <w:spacing w:line="240" w:lineRule="auto"/>
              <w:rPr>
                <w:color w:val="000000"/>
                <w:lang w:val="en-US"/>
              </w:rPr>
            </w:pPr>
            <w:r w:rsidRPr="00BA2765">
              <w:rPr>
                <w:color w:val="000000"/>
                <w:lang w:val="en-US"/>
              </w:rPr>
              <w:t>Net Sales / Total Assets</w:t>
            </w:r>
          </w:p>
        </w:tc>
        <w:tc>
          <w:tcPr>
            <w:tcW w:w="1170" w:type="dxa"/>
            <w:tcBorders>
              <w:top w:val="nil"/>
              <w:left w:val="nil"/>
              <w:bottom w:val="single" w:sz="4" w:space="0" w:color="auto"/>
              <w:right w:val="single" w:sz="4" w:space="0" w:color="auto"/>
            </w:tcBorders>
            <w:noWrap/>
            <w:vAlign w:val="bottom"/>
            <w:hideMark/>
          </w:tcPr>
          <w:p w14:paraId="1850FEDD" w14:textId="77777777" w:rsidR="00BA2765" w:rsidRPr="00BA2765" w:rsidRDefault="00BA2765" w:rsidP="00134B76">
            <w:pPr>
              <w:spacing w:line="240" w:lineRule="auto"/>
              <w:jc w:val="right"/>
              <w:rPr>
                <w:color w:val="000000"/>
                <w:lang w:val="en-US"/>
              </w:rPr>
            </w:pPr>
            <w:r w:rsidRPr="00BA2765">
              <w:rPr>
                <w:color w:val="000000"/>
                <w:lang w:val="en-US"/>
              </w:rPr>
              <w:t>1.16</w:t>
            </w:r>
          </w:p>
        </w:tc>
        <w:tc>
          <w:tcPr>
            <w:tcW w:w="1170" w:type="dxa"/>
            <w:tcBorders>
              <w:top w:val="nil"/>
              <w:left w:val="nil"/>
              <w:bottom w:val="single" w:sz="4" w:space="0" w:color="auto"/>
              <w:right w:val="single" w:sz="4" w:space="0" w:color="auto"/>
            </w:tcBorders>
            <w:noWrap/>
            <w:vAlign w:val="bottom"/>
            <w:hideMark/>
          </w:tcPr>
          <w:p w14:paraId="764E1BE1" w14:textId="77777777" w:rsidR="00BA2765" w:rsidRPr="00BA2765" w:rsidRDefault="00BA2765" w:rsidP="00134B76">
            <w:pPr>
              <w:spacing w:line="240" w:lineRule="auto"/>
              <w:jc w:val="right"/>
              <w:rPr>
                <w:color w:val="000000"/>
                <w:lang w:val="en-US"/>
              </w:rPr>
            </w:pPr>
            <w:r w:rsidRPr="00BA2765">
              <w:rPr>
                <w:color w:val="000000"/>
                <w:lang w:val="en-US"/>
              </w:rPr>
              <w:t>0.98</w:t>
            </w:r>
          </w:p>
        </w:tc>
        <w:tc>
          <w:tcPr>
            <w:tcW w:w="1080" w:type="dxa"/>
            <w:tcBorders>
              <w:top w:val="nil"/>
              <w:left w:val="nil"/>
              <w:bottom w:val="single" w:sz="4" w:space="0" w:color="auto"/>
              <w:right w:val="single" w:sz="4" w:space="0" w:color="auto"/>
            </w:tcBorders>
            <w:noWrap/>
            <w:vAlign w:val="bottom"/>
            <w:hideMark/>
          </w:tcPr>
          <w:p w14:paraId="2D907E66" w14:textId="77777777" w:rsidR="00BA2765" w:rsidRPr="00BA2765" w:rsidRDefault="00BA2765" w:rsidP="00134B76">
            <w:pPr>
              <w:spacing w:line="240" w:lineRule="auto"/>
              <w:jc w:val="right"/>
              <w:rPr>
                <w:color w:val="000000"/>
                <w:lang w:val="en-US"/>
              </w:rPr>
            </w:pPr>
            <w:r w:rsidRPr="00BA2765">
              <w:rPr>
                <w:color w:val="000000"/>
                <w:lang w:val="en-US"/>
              </w:rPr>
              <w:t>1.07</w:t>
            </w:r>
          </w:p>
        </w:tc>
        <w:tc>
          <w:tcPr>
            <w:tcW w:w="990" w:type="dxa"/>
            <w:tcBorders>
              <w:top w:val="nil"/>
              <w:left w:val="nil"/>
              <w:bottom w:val="single" w:sz="4" w:space="0" w:color="auto"/>
              <w:right w:val="single" w:sz="4" w:space="0" w:color="auto"/>
            </w:tcBorders>
            <w:noWrap/>
            <w:vAlign w:val="bottom"/>
            <w:hideMark/>
          </w:tcPr>
          <w:p w14:paraId="1B4DEC0B" w14:textId="77777777" w:rsidR="00BA2765" w:rsidRPr="00BA2765" w:rsidRDefault="00BA2765" w:rsidP="00134B76">
            <w:pPr>
              <w:spacing w:line="240" w:lineRule="auto"/>
              <w:jc w:val="right"/>
              <w:rPr>
                <w:color w:val="000000"/>
                <w:lang w:val="en-US"/>
              </w:rPr>
            </w:pPr>
            <w:r w:rsidRPr="00BA2765">
              <w:rPr>
                <w:color w:val="000000"/>
                <w:lang w:val="en-US"/>
              </w:rPr>
              <w:t>1.18</w:t>
            </w:r>
          </w:p>
        </w:tc>
        <w:tc>
          <w:tcPr>
            <w:tcW w:w="990" w:type="dxa"/>
            <w:tcBorders>
              <w:top w:val="nil"/>
              <w:left w:val="nil"/>
              <w:bottom w:val="single" w:sz="4" w:space="0" w:color="auto"/>
              <w:right w:val="single" w:sz="4" w:space="0" w:color="auto"/>
            </w:tcBorders>
            <w:noWrap/>
            <w:vAlign w:val="bottom"/>
            <w:hideMark/>
          </w:tcPr>
          <w:p w14:paraId="1765256F"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3574186E"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77E9D896" w14:textId="77777777" w:rsidR="00BA2765" w:rsidRPr="00BA2765" w:rsidRDefault="00BA2765" w:rsidP="00134B76">
            <w:pPr>
              <w:spacing w:line="240" w:lineRule="auto"/>
              <w:rPr>
                <w:b/>
                <w:bCs/>
                <w:color w:val="000000"/>
                <w:lang w:val="en-US"/>
              </w:rPr>
            </w:pPr>
            <w:r w:rsidRPr="00BA2765">
              <w:rPr>
                <w:b/>
                <w:bCs/>
                <w:color w:val="000000"/>
                <w:lang w:val="en-US"/>
              </w:rPr>
              <w:t>Gearing Ratios</w:t>
            </w:r>
          </w:p>
        </w:tc>
        <w:tc>
          <w:tcPr>
            <w:tcW w:w="1980" w:type="dxa"/>
            <w:tcBorders>
              <w:top w:val="nil"/>
              <w:left w:val="nil"/>
              <w:bottom w:val="single" w:sz="4" w:space="0" w:color="auto"/>
              <w:right w:val="single" w:sz="4" w:space="0" w:color="auto"/>
            </w:tcBorders>
            <w:vAlign w:val="bottom"/>
            <w:hideMark/>
          </w:tcPr>
          <w:p w14:paraId="6126EA27"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single" w:sz="4" w:space="0" w:color="auto"/>
            </w:tcBorders>
            <w:noWrap/>
            <w:vAlign w:val="bottom"/>
            <w:hideMark/>
          </w:tcPr>
          <w:p w14:paraId="2CF1B728" w14:textId="77777777" w:rsidR="00BA2765" w:rsidRPr="00BA2765" w:rsidRDefault="00BA2765" w:rsidP="00134B76">
            <w:pPr>
              <w:spacing w:line="240" w:lineRule="auto"/>
              <w:rPr>
                <w:color w:val="000000"/>
                <w:lang w:val="en-US"/>
              </w:rPr>
            </w:pPr>
            <w:r w:rsidRPr="00BA2765">
              <w:rPr>
                <w:color w:val="000000"/>
                <w:lang w:val="en-US"/>
              </w:rPr>
              <w:t> </w:t>
            </w:r>
          </w:p>
        </w:tc>
        <w:tc>
          <w:tcPr>
            <w:tcW w:w="1170" w:type="dxa"/>
            <w:tcBorders>
              <w:top w:val="nil"/>
              <w:left w:val="nil"/>
              <w:bottom w:val="single" w:sz="4" w:space="0" w:color="auto"/>
              <w:right w:val="single" w:sz="4" w:space="0" w:color="auto"/>
            </w:tcBorders>
            <w:noWrap/>
            <w:vAlign w:val="bottom"/>
            <w:hideMark/>
          </w:tcPr>
          <w:p w14:paraId="500C3CF7"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080" w:type="dxa"/>
            <w:tcBorders>
              <w:top w:val="nil"/>
              <w:left w:val="nil"/>
              <w:bottom w:val="single" w:sz="4" w:space="0" w:color="auto"/>
              <w:right w:val="single" w:sz="4" w:space="0" w:color="auto"/>
            </w:tcBorders>
            <w:noWrap/>
            <w:vAlign w:val="bottom"/>
            <w:hideMark/>
          </w:tcPr>
          <w:p w14:paraId="008BBBDB"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0BB27829"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58B867D4"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3CDB972F"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41D9FF1D" w14:textId="77777777" w:rsidR="00BA2765" w:rsidRPr="00BA2765" w:rsidRDefault="00BA2765" w:rsidP="00134B76">
            <w:pPr>
              <w:spacing w:line="240" w:lineRule="auto"/>
              <w:rPr>
                <w:color w:val="000000"/>
                <w:lang w:val="en-US"/>
              </w:rPr>
            </w:pPr>
            <w:r w:rsidRPr="00BA2765">
              <w:rPr>
                <w:color w:val="000000"/>
                <w:lang w:val="en-US"/>
              </w:rPr>
              <w:t>Debt to Equity Ratio</w:t>
            </w:r>
          </w:p>
        </w:tc>
        <w:tc>
          <w:tcPr>
            <w:tcW w:w="1980" w:type="dxa"/>
            <w:tcBorders>
              <w:top w:val="nil"/>
              <w:left w:val="nil"/>
              <w:bottom w:val="single" w:sz="4" w:space="0" w:color="auto"/>
              <w:right w:val="single" w:sz="4" w:space="0" w:color="auto"/>
            </w:tcBorders>
            <w:vAlign w:val="bottom"/>
            <w:hideMark/>
          </w:tcPr>
          <w:p w14:paraId="631CDC7E" w14:textId="77777777" w:rsidR="00BA2765" w:rsidRPr="00BA2765" w:rsidRDefault="00BA2765" w:rsidP="00134B76">
            <w:pPr>
              <w:spacing w:line="240" w:lineRule="auto"/>
              <w:rPr>
                <w:color w:val="000000"/>
                <w:lang w:val="en-US"/>
              </w:rPr>
            </w:pPr>
            <w:r w:rsidRPr="00BA2765">
              <w:rPr>
                <w:color w:val="000000"/>
                <w:lang w:val="en-US"/>
              </w:rPr>
              <w:t>Total Debt / Total equity</w:t>
            </w:r>
          </w:p>
        </w:tc>
        <w:tc>
          <w:tcPr>
            <w:tcW w:w="1170" w:type="dxa"/>
            <w:tcBorders>
              <w:top w:val="nil"/>
              <w:left w:val="nil"/>
              <w:bottom w:val="single" w:sz="4" w:space="0" w:color="auto"/>
              <w:right w:val="single" w:sz="4" w:space="0" w:color="auto"/>
            </w:tcBorders>
            <w:noWrap/>
            <w:vAlign w:val="bottom"/>
            <w:hideMark/>
          </w:tcPr>
          <w:p w14:paraId="6543A942" w14:textId="77777777" w:rsidR="00BA2765" w:rsidRPr="00BA2765" w:rsidRDefault="00BA2765" w:rsidP="00134B76">
            <w:pPr>
              <w:spacing w:line="240" w:lineRule="auto"/>
              <w:jc w:val="right"/>
              <w:rPr>
                <w:color w:val="000000"/>
                <w:lang w:val="en-US"/>
              </w:rPr>
            </w:pPr>
            <w:r w:rsidRPr="00BA2765">
              <w:rPr>
                <w:color w:val="000000"/>
                <w:lang w:val="en-US"/>
              </w:rPr>
              <w:t>0.31</w:t>
            </w:r>
          </w:p>
        </w:tc>
        <w:tc>
          <w:tcPr>
            <w:tcW w:w="1170" w:type="dxa"/>
            <w:tcBorders>
              <w:top w:val="nil"/>
              <w:left w:val="nil"/>
              <w:bottom w:val="single" w:sz="4" w:space="0" w:color="auto"/>
              <w:right w:val="single" w:sz="4" w:space="0" w:color="auto"/>
            </w:tcBorders>
            <w:noWrap/>
            <w:vAlign w:val="bottom"/>
            <w:hideMark/>
          </w:tcPr>
          <w:p w14:paraId="6FC140DC" w14:textId="77777777" w:rsidR="00BA2765" w:rsidRPr="00BA2765" w:rsidRDefault="00BA2765" w:rsidP="00134B76">
            <w:pPr>
              <w:spacing w:line="240" w:lineRule="auto"/>
              <w:jc w:val="right"/>
              <w:rPr>
                <w:color w:val="000000"/>
                <w:lang w:val="en-US"/>
              </w:rPr>
            </w:pPr>
            <w:r w:rsidRPr="00BA2765">
              <w:rPr>
                <w:color w:val="000000"/>
                <w:lang w:val="en-US"/>
              </w:rPr>
              <w:t>0.38</w:t>
            </w:r>
          </w:p>
        </w:tc>
        <w:tc>
          <w:tcPr>
            <w:tcW w:w="1080" w:type="dxa"/>
            <w:tcBorders>
              <w:top w:val="nil"/>
              <w:left w:val="nil"/>
              <w:bottom w:val="single" w:sz="4" w:space="0" w:color="auto"/>
              <w:right w:val="single" w:sz="4" w:space="0" w:color="auto"/>
            </w:tcBorders>
            <w:noWrap/>
            <w:vAlign w:val="bottom"/>
            <w:hideMark/>
          </w:tcPr>
          <w:p w14:paraId="63E229BC" w14:textId="77777777" w:rsidR="00BA2765" w:rsidRPr="00BA2765" w:rsidRDefault="00BA2765" w:rsidP="00134B76">
            <w:pPr>
              <w:spacing w:line="240" w:lineRule="auto"/>
              <w:jc w:val="right"/>
              <w:rPr>
                <w:color w:val="000000"/>
                <w:lang w:val="en-US"/>
              </w:rPr>
            </w:pPr>
            <w:r w:rsidRPr="00BA2765">
              <w:rPr>
                <w:color w:val="000000"/>
                <w:lang w:val="en-US"/>
              </w:rPr>
              <w:t>0.39</w:t>
            </w:r>
          </w:p>
        </w:tc>
        <w:tc>
          <w:tcPr>
            <w:tcW w:w="990" w:type="dxa"/>
            <w:tcBorders>
              <w:top w:val="nil"/>
              <w:left w:val="nil"/>
              <w:bottom w:val="single" w:sz="4" w:space="0" w:color="auto"/>
              <w:right w:val="single" w:sz="4" w:space="0" w:color="auto"/>
            </w:tcBorders>
            <w:noWrap/>
            <w:vAlign w:val="bottom"/>
            <w:hideMark/>
          </w:tcPr>
          <w:p w14:paraId="76680E33" w14:textId="77777777" w:rsidR="00BA2765" w:rsidRPr="00BA2765" w:rsidRDefault="00BA2765" w:rsidP="00134B76">
            <w:pPr>
              <w:spacing w:line="240" w:lineRule="auto"/>
              <w:jc w:val="right"/>
              <w:rPr>
                <w:color w:val="000000"/>
                <w:lang w:val="en-US"/>
              </w:rPr>
            </w:pPr>
            <w:r w:rsidRPr="00BA2765">
              <w:rPr>
                <w:color w:val="000000"/>
                <w:lang w:val="en-US"/>
              </w:rPr>
              <w:t>0.25</w:t>
            </w:r>
          </w:p>
        </w:tc>
        <w:tc>
          <w:tcPr>
            <w:tcW w:w="990" w:type="dxa"/>
            <w:tcBorders>
              <w:top w:val="nil"/>
              <w:left w:val="nil"/>
              <w:bottom w:val="single" w:sz="4" w:space="0" w:color="auto"/>
              <w:right w:val="single" w:sz="4" w:space="0" w:color="auto"/>
            </w:tcBorders>
            <w:noWrap/>
            <w:vAlign w:val="bottom"/>
            <w:hideMark/>
          </w:tcPr>
          <w:p w14:paraId="10F5B2DE" w14:textId="77777777" w:rsidR="00BA2765" w:rsidRPr="00BA2765" w:rsidRDefault="00BA2765" w:rsidP="00134B76">
            <w:pPr>
              <w:spacing w:line="240" w:lineRule="auto"/>
              <w:jc w:val="right"/>
              <w:rPr>
                <w:color w:val="000000"/>
                <w:lang w:val="en-US"/>
              </w:rPr>
            </w:pPr>
            <w:r w:rsidRPr="00BA2765">
              <w:rPr>
                <w:color w:val="000000"/>
                <w:lang w:val="en-US"/>
              </w:rPr>
              <w:t>0.11</w:t>
            </w:r>
          </w:p>
        </w:tc>
      </w:tr>
      <w:tr w:rsidR="00BA2765" w:rsidRPr="00BA2765" w14:paraId="5D1BAC11"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4F43CA2E" w14:textId="77777777" w:rsidR="00BA2765" w:rsidRPr="00BA2765" w:rsidRDefault="00BA2765" w:rsidP="00134B76">
            <w:pPr>
              <w:spacing w:line="240" w:lineRule="auto"/>
              <w:rPr>
                <w:color w:val="000000"/>
                <w:lang w:val="en-US"/>
              </w:rPr>
            </w:pPr>
            <w:r w:rsidRPr="00BA2765">
              <w:rPr>
                <w:color w:val="000000"/>
                <w:lang w:val="en-US"/>
              </w:rPr>
              <w:t>Equity Ratio</w:t>
            </w:r>
          </w:p>
        </w:tc>
        <w:tc>
          <w:tcPr>
            <w:tcW w:w="1980" w:type="dxa"/>
            <w:tcBorders>
              <w:top w:val="nil"/>
              <w:left w:val="nil"/>
              <w:bottom w:val="single" w:sz="4" w:space="0" w:color="auto"/>
              <w:right w:val="single" w:sz="4" w:space="0" w:color="auto"/>
            </w:tcBorders>
            <w:vAlign w:val="bottom"/>
            <w:hideMark/>
          </w:tcPr>
          <w:p w14:paraId="76B013F6" w14:textId="77777777" w:rsidR="00BA2765" w:rsidRPr="00BA2765" w:rsidRDefault="00BA2765" w:rsidP="00134B76">
            <w:pPr>
              <w:spacing w:line="240" w:lineRule="auto"/>
              <w:rPr>
                <w:color w:val="000000"/>
                <w:lang w:val="en-US"/>
              </w:rPr>
            </w:pPr>
            <w:r w:rsidRPr="00BA2765">
              <w:rPr>
                <w:color w:val="000000"/>
                <w:lang w:val="en-US"/>
              </w:rPr>
              <w:t>Total Equity / Total Assets</w:t>
            </w:r>
          </w:p>
        </w:tc>
        <w:tc>
          <w:tcPr>
            <w:tcW w:w="1170" w:type="dxa"/>
            <w:tcBorders>
              <w:top w:val="nil"/>
              <w:left w:val="nil"/>
              <w:bottom w:val="single" w:sz="4" w:space="0" w:color="auto"/>
              <w:right w:val="single" w:sz="4" w:space="0" w:color="auto"/>
            </w:tcBorders>
            <w:noWrap/>
            <w:vAlign w:val="bottom"/>
            <w:hideMark/>
          </w:tcPr>
          <w:p w14:paraId="5BFAA89F" w14:textId="77777777" w:rsidR="00BA2765" w:rsidRPr="00BA2765" w:rsidRDefault="00BA2765" w:rsidP="00134B76">
            <w:pPr>
              <w:spacing w:line="240" w:lineRule="auto"/>
              <w:jc w:val="right"/>
              <w:rPr>
                <w:color w:val="000000"/>
                <w:lang w:val="en-US"/>
              </w:rPr>
            </w:pPr>
            <w:r w:rsidRPr="00BA2765">
              <w:rPr>
                <w:color w:val="000000"/>
                <w:lang w:val="en-US"/>
              </w:rPr>
              <w:t>0.47</w:t>
            </w:r>
          </w:p>
        </w:tc>
        <w:tc>
          <w:tcPr>
            <w:tcW w:w="1170" w:type="dxa"/>
            <w:tcBorders>
              <w:top w:val="nil"/>
              <w:left w:val="nil"/>
              <w:bottom w:val="single" w:sz="4" w:space="0" w:color="auto"/>
              <w:right w:val="single" w:sz="4" w:space="0" w:color="auto"/>
            </w:tcBorders>
            <w:noWrap/>
            <w:vAlign w:val="bottom"/>
            <w:hideMark/>
          </w:tcPr>
          <w:p w14:paraId="3A23B6F3" w14:textId="77777777" w:rsidR="00BA2765" w:rsidRPr="00BA2765" w:rsidRDefault="00BA2765" w:rsidP="00134B76">
            <w:pPr>
              <w:spacing w:line="240" w:lineRule="auto"/>
              <w:jc w:val="right"/>
              <w:rPr>
                <w:color w:val="000000"/>
                <w:lang w:val="en-US"/>
              </w:rPr>
            </w:pPr>
            <w:r w:rsidRPr="00BA2765">
              <w:rPr>
                <w:color w:val="000000"/>
                <w:lang w:val="en-US"/>
              </w:rPr>
              <w:t>0.50</w:t>
            </w:r>
          </w:p>
        </w:tc>
        <w:tc>
          <w:tcPr>
            <w:tcW w:w="1080" w:type="dxa"/>
            <w:tcBorders>
              <w:top w:val="nil"/>
              <w:left w:val="nil"/>
              <w:bottom w:val="single" w:sz="4" w:space="0" w:color="auto"/>
              <w:right w:val="single" w:sz="4" w:space="0" w:color="auto"/>
            </w:tcBorders>
            <w:noWrap/>
            <w:vAlign w:val="bottom"/>
            <w:hideMark/>
          </w:tcPr>
          <w:p w14:paraId="072E644B" w14:textId="77777777" w:rsidR="00BA2765" w:rsidRPr="00BA2765" w:rsidRDefault="00BA2765" w:rsidP="00134B76">
            <w:pPr>
              <w:spacing w:line="240" w:lineRule="auto"/>
              <w:jc w:val="right"/>
              <w:rPr>
                <w:color w:val="000000"/>
                <w:lang w:val="en-US"/>
              </w:rPr>
            </w:pPr>
            <w:r w:rsidRPr="00BA2765">
              <w:rPr>
                <w:color w:val="000000"/>
                <w:lang w:val="en-US"/>
              </w:rPr>
              <w:t>0.53</w:t>
            </w:r>
          </w:p>
        </w:tc>
        <w:tc>
          <w:tcPr>
            <w:tcW w:w="990" w:type="dxa"/>
            <w:tcBorders>
              <w:top w:val="nil"/>
              <w:left w:val="nil"/>
              <w:bottom w:val="single" w:sz="4" w:space="0" w:color="auto"/>
              <w:right w:val="single" w:sz="4" w:space="0" w:color="auto"/>
            </w:tcBorders>
            <w:noWrap/>
            <w:vAlign w:val="bottom"/>
            <w:hideMark/>
          </w:tcPr>
          <w:p w14:paraId="19CA46D3" w14:textId="77777777" w:rsidR="00BA2765" w:rsidRPr="00BA2765" w:rsidRDefault="00BA2765" w:rsidP="00134B76">
            <w:pPr>
              <w:spacing w:line="240" w:lineRule="auto"/>
              <w:jc w:val="right"/>
              <w:rPr>
                <w:color w:val="000000"/>
                <w:lang w:val="en-US"/>
              </w:rPr>
            </w:pPr>
            <w:r w:rsidRPr="00BA2765">
              <w:rPr>
                <w:color w:val="000000"/>
                <w:lang w:val="en-US"/>
              </w:rPr>
              <w:t>0.54</w:t>
            </w:r>
          </w:p>
        </w:tc>
        <w:tc>
          <w:tcPr>
            <w:tcW w:w="990" w:type="dxa"/>
            <w:tcBorders>
              <w:top w:val="nil"/>
              <w:left w:val="nil"/>
              <w:bottom w:val="single" w:sz="4" w:space="0" w:color="auto"/>
              <w:right w:val="single" w:sz="4" w:space="0" w:color="auto"/>
            </w:tcBorders>
            <w:noWrap/>
            <w:vAlign w:val="bottom"/>
            <w:hideMark/>
          </w:tcPr>
          <w:p w14:paraId="000BBB43" w14:textId="77777777" w:rsidR="00BA2765" w:rsidRPr="00BA2765" w:rsidRDefault="00BA2765" w:rsidP="00134B76">
            <w:pPr>
              <w:spacing w:line="240" w:lineRule="auto"/>
              <w:jc w:val="right"/>
              <w:rPr>
                <w:color w:val="000000"/>
                <w:lang w:val="en-US"/>
              </w:rPr>
            </w:pPr>
            <w:r w:rsidRPr="00BA2765">
              <w:rPr>
                <w:color w:val="000000"/>
                <w:lang w:val="en-US"/>
              </w:rPr>
              <w:t>0.61</w:t>
            </w:r>
          </w:p>
        </w:tc>
      </w:tr>
      <w:tr w:rsidR="00BA2765" w:rsidRPr="00BA2765" w14:paraId="470E4DF2"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09A4E0E5" w14:textId="77777777" w:rsidR="00BA2765" w:rsidRPr="00BA2765" w:rsidRDefault="00BA2765" w:rsidP="00134B76">
            <w:pPr>
              <w:spacing w:line="240" w:lineRule="auto"/>
              <w:rPr>
                <w:color w:val="000000"/>
                <w:lang w:val="en-US"/>
              </w:rPr>
            </w:pPr>
            <w:r w:rsidRPr="00BA2765">
              <w:rPr>
                <w:color w:val="000000"/>
                <w:lang w:val="en-US"/>
              </w:rPr>
              <w:t>Debt Ratio</w:t>
            </w:r>
          </w:p>
        </w:tc>
        <w:tc>
          <w:tcPr>
            <w:tcW w:w="1980" w:type="dxa"/>
            <w:tcBorders>
              <w:top w:val="nil"/>
              <w:left w:val="nil"/>
              <w:bottom w:val="single" w:sz="4" w:space="0" w:color="auto"/>
              <w:right w:val="single" w:sz="4" w:space="0" w:color="auto"/>
            </w:tcBorders>
            <w:vAlign w:val="bottom"/>
            <w:hideMark/>
          </w:tcPr>
          <w:p w14:paraId="155474B4" w14:textId="77777777" w:rsidR="00BA2765" w:rsidRPr="00BA2765" w:rsidRDefault="00BA2765" w:rsidP="00134B76">
            <w:pPr>
              <w:spacing w:line="240" w:lineRule="auto"/>
              <w:rPr>
                <w:color w:val="000000"/>
                <w:lang w:val="en-US"/>
              </w:rPr>
            </w:pPr>
            <w:r w:rsidRPr="00BA2765">
              <w:rPr>
                <w:color w:val="000000"/>
                <w:lang w:val="en-US"/>
              </w:rPr>
              <w:t>Total Debt / Total Assets</w:t>
            </w:r>
          </w:p>
        </w:tc>
        <w:tc>
          <w:tcPr>
            <w:tcW w:w="1170" w:type="dxa"/>
            <w:tcBorders>
              <w:top w:val="nil"/>
              <w:left w:val="nil"/>
              <w:bottom w:val="single" w:sz="4" w:space="0" w:color="auto"/>
              <w:right w:val="single" w:sz="4" w:space="0" w:color="auto"/>
            </w:tcBorders>
            <w:noWrap/>
            <w:vAlign w:val="bottom"/>
            <w:hideMark/>
          </w:tcPr>
          <w:p w14:paraId="640DEA1E" w14:textId="77777777" w:rsidR="00BA2765" w:rsidRPr="00BA2765" w:rsidRDefault="00BA2765" w:rsidP="00134B76">
            <w:pPr>
              <w:spacing w:line="240" w:lineRule="auto"/>
              <w:jc w:val="right"/>
              <w:rPr>
                <w:color w:val="000000"/>
                <w:lang w:val="en-US"/>
              </w:rPr>
            </w:pPr>
            <w:r w:rsidRPr="00BA2765">
              <w:rPr>
                <w:color w:val="000000"/>
                <w:lang w:val="en-US"/>
              </w:rPr>
              <w:t>0.53</w:t>
            </w:r>
          </w:p>
        </w:tc>
        <w:tc>
          <w:tcPr>
            <w:tcW w:w="1170" w:type="dxa"/>
            <w:tcBorders>
              <w:top w:val="nil"/>
              <w:left w:val="nil"/>
              <w:bottom w:val="single" w:sz="4" w:space="0" w:color="auto"/>
              <w:right w:val="single" w:sz="4" w:space="0" w:color="auto"/>
            </w:tcBorders>
            <w:noWrap/>
            <w:vAlign w:val="bottom"/>
            <w:hideMark/>
          </w:tcPr>
          <w:p w14:paraId="04DB5ABE" w14:textId="77777777" w:rsidR="00BA2765" w:rsidRPr="00BA2765" w:rsidRDefault="00BA2765" w:rsidP="00134B76">
            <w:pPr>
              <w:spacing w:line="240" w:lineRule="auto"/>
              <w:jc w:val="right"/>
              <w:rPr>
                <w:color w:val="000000"/>
                <w:lang w:val="en-US"/>
              </w:rPr>
            </w:pPr>
            <w:r w:rsidRPr="00BA2765">
              <w:rPr>
                <w:color w:val="000000"/>
                <w:lang w:val="en-US"/>
              </w:rPr>
              <w:t>0.50</w:t>
            </w:r>
          </w:p>
        </w:tc>
        <w:tc>
          <w:tcPr>
            <w:tcW w:w="1080" w:type="dxa"/>
            <w:tcBorders>
              <w:top w:val="nil"/>
              <w:left w:val="nil"/>
              <w:bottom w:val="single" w:sz="4" w:space="0" w:color="auto"/>
              <w:right w:val="single" w:sz="4" w:space="0" w:color="auto"/>
            </w:tcBorders>
            <w:noWrap/>
            <w:vAlign w:val="bottom"/>
            <w:hideMark/>
          </w:tcPr>
          <w:p w14:paraId="6E34D654" w14:textId="77777777" w:rsidR="00BA2765" w:rsidRPr="00BA2765" w:rsidRDefault="00BA2765" w:rsidP="00134B76">
            <w:pPr>
              <w:spacing w:line="240" w:lineRule="auto"/>
              <w:jc w:val="right"/>
              <w:rPr>
                <w:color w:val="000000"/>
                <w:lang w:val="en-US"/>
              </w:rPr>
            </w:pPr>
            <w:r w:rsidRPr="00BA2765">
              <w:rPr>
                <w:color w:val="000000"/>
                <w:lang w:val="en-US"/>
              </w:rPr>
              <w:t>0.47</w:t>
            </w:r>
          </w:p>
        </w:tc>
        <w:tc>
          <w:tcPr>
            <w:tcW w:w="990" w:type="dxa"/>
            <w:tcBorders>
              <w:top w:val="nil"/>
              <w:left w:val="nil"/>
              <w:bottom w:val="single" w:sz="4" w:space="0" w:color="auto"/>
              <w:right w:val="single" w:sz="4" w:space="0" w:color="auto"/>
            </w:tcBorders>
            <w:noWrap/>
            <w:vAlign w:val="bottom"/>
            <w:hideMark/>
          </w:tcPr>
          <w:p w14:paraId="7C0F5444" w14:textId="77777777" w:rsidR="00BA2765" w:rsidRPr="00BA2765" w:rsidRDefault="00BA2765" w:rsidP="00134B76">
            <w:pPr>
              <w:spacing w:line="240" w:lineRule="auto"/>
              <w:jc w:val="right"/>
              <w:rPr>
                <w:color w:val="000000"/>
                <w:lang w:val="en-US"/>
              </w:rPr>
            </w:pPr>
            <w:r w:rsidRPr="00BA2765">
              <w:rPr>
                <w:color w:val="000000"/>
                <w:lang w:val="en-US"/>
              </w:rPr>
              <w:t>0.46</w:t>
            </w:r>
          </w:p>
        </w:tc>
        <w:tc>
          <w:tcPr>
            <w:tcW w:w="990" w:type="dxa"/>
            <w:tcBorders>
              <w:top w:val="nil"/>
              <w:left w:val="nil"/>
              <w:bottom w:val="single" w:sz="4" w:space="0" w:color="auto"/>
              <w:right w:val="single" w:sz="4" w:space="0" w:color="auto"/>
            </w:tcBorders>
            <w:noWrap/>
            <w:vAlign w:val="bottom"/>
            <w:hideMark/>
          </w:tcPr>
          <w:p w14:paraId="7320A95D" w14:textId="77777777" w:rsidR="00BA2765" w:rsidRPr="00BA2765" w:rsidRDefault="00BA2765" w:rsidP="00134B76">
            <w:pPr>
              <w:spacing w:line="240" w:lineRule="auto"/>
              <w:jc w:val="right"/>
              <w:rPr>
                <w:color w:val="000000"/>
                <w:lang w:val="en-US"/>
              </w:rPr>
            </w:pPr>
            <w:r w:rsidRPr="00BA2765">
              <w:rPr>
                <w:color w:val="000000"/>
                <w:lang w:val="en-US"/>
              </w:rPr>
              <w:t>0.39</w:t>
            </w:r>
          </w:p>
        </w:tc>
      </w:tr>
      <w:tr w:rsidR="00BA2765" w:rsidRPr="00BA2765" w14:paraId="3DABFB77"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0AD10BD1" w14:textId="77777777" w:rsidR="00BA2765" w:rsidRPr="00BA2765" w:rsidRDefault="00BA2765" w:rsidP="00134B76">
            <w:pPr>
              <w:spacing w:line="240" w:lineRule="auto"/>
              <w:rPr>
                <w:color w:val="000000"/>
                <w:lang w:val="en-US"/>
              </w:rPr>
            </w:pPr>
            <w:r w:rsidRPr="00BA2765">
              <w:rPr>
                <w:color w:val="000000"/>
                <w:lang w:val="en-US"/>
              </w:rPr>
              <w:t>Interest Coverage Ratio</w:t>
            </w:r>
          </w:p>
        </w:tc>
        <w:tc>
          <w:tcPr>
            <w:tcW w:w="1980" w:type="dxa"/>
            <w:tcBorders>
              <w:top w:val="nil"/>
              <w:left w:val="nil"/>
              <w:bottom w:val="single" w:sz="4" w:space="0" w:color="auto"/>
              <w:right w:val="single" w:sz="4" w:space="0" w:color="auto"/>
            </w:tcBorders>
            <w:vAlign w:val="bottom"/>
            <w:hideMark/>
          </w:tcPr>
          <w:p w14:paraId="10BF0EAB" w14:textId="77777777" w:rsidR="00BA2765" w:rsidRPr="00BA2765" w:rsidRDefault="00BA2765" w:rsidP="00134B76">
            <w:pPr>
              <w:spacing w:line="240" w:lineRule="auto"/>
              <w:rPr>
                <w:color w:val="000000"/>
                <w:lang w:val="en-US"/>
              </w:rPr>
            </w:pPr>
            <w:r w:rsidRPr="00BA2765">
              <w:rPr>
                <w:color w:val="000000"/>
                <w:lang w:val="en-US"/>
              </w:rPr>
              <w:t>EBIT / Interest Expense</w:t>
            </w:r>
          </w:p>
        </w:tc>
        <w:tc>
          <w:tcPr>
            <w:tcW w:w="1170" w:type="dxa"/>
            <w:tcBorders>
              <w:top w:val="nil"/>
              <w:left w:val="nil"/>
              <w:bottom w:val="single" w:sz="4" w:space="0" w:color="auto"/>
              <w:right w:val="single" w:sz="4" w:space="0" w:color="auto"/>
            </w:tcBorders>
            <w:noWrap/>
            <w:vAlign w:val="bottom"/>
            <w:hideMark/>
          </w:tcPr>
          <w:p w14:paraId="0CA28360" w14:textId="77777777" w:rsidR="00BA2765" w:rsidRPr="00BA2765" w:rsidRDefault="00BA2765" w:rsidP="00134B76">
            <w:pPr>
              <w:spacing w:line="240" w:lineRule="auto"/>
              <w:jc w:val="right"/>
              <w:rPr>
                <w:color w:val="000000"/>
                <w:lang w:val="en-US"/>
              </w:rPr>
            </w:pPr>
            <w:r w:rsidRPr="00BA2765">
              <w:rPr>
                <w:color w:val="000000"/>
                <w:lang w:val="en-US"/>
              </w:rPr>
              <w:t>-4.55</w:t>
            </w:r>
          </w:p>
        </w:tc>
        <w:tc>
          <w:tcPr>
            <w:tcW w:w="1170" w:type="dxa"/>
            <w:tcBorders>
              <w:top w:val="nil"/>
              <w:left w:val="nil"/>
              <w:bottom w:val="single" w:sz="4" w:space="0" w:color="auto"/>
              <w:right w:val="single" w:sz="4" w:space="0" w:color="auto"/>
            </w:tcBorders>
            <w:noWrap/>
            <w:vAlign w:val="bottom"/>
            <w:hideMark/>
          </w:tcPr>
          <w:p w14:paraId="5196B7C4" w14:textId="77777777" w:rsidR="00BA2765" w:rsidRPr="00BA2765" w:rsidRDefault="00BA2765" w:rsidP="00134B76">
            <w:pPr>
              <w:spacing w:line="240" w:lineRule="auto"/>
              <w:jc w:val="right"/>
              <w:rPr>
                <w:color w:val="000000"/>
                <w:lang w:val="en-US"/>
              </w:rPr>
            </w:pPr>
            <w:r w:rsidRPr="00BA2765">
              <w:rPr>
                <w:color w:val="000000"/>
                <w:lang w:val="en-US"/>
              </w:rPr>
              <w:t>-19.69</w:t>
            </w:r>
          </w:p>
        </w:tc>
        <w:tc>
          <w:tcPr>
            <w:tcW w:w="1080" w:type="dxa"/>
            <w:tcBorders>
              <w:top w:val="nil"/>
              <w:left w:val="nil"/>
              <w:bottom w:val="single" w:sz="4" w:space="0" w:color="auto"/>
              <w:right w:val="single" w:sz="4" w:space="0" w:color="auto"/>
            </w:tcBorders>
            <w:noWrap/>
            <w:vAlign w:val="bottom"/>
            <w:hideMark/>
          </w:tcPr>
          <w:p w14:paraId="1E14B565" w14:textId="77777777" w:rsidR="00BA2765" w:rsidRPr="00BA2765" w:rsidRDefault="00BA2765" w:rsidP="00134B76">
            <w:pPr>
              <w:spacing w:line="240" w:lineRule="auto"/>
              <w:jc w:val="right"/>
              <w:rPr>
                <w:color w:val="000000"/>
                <w:lang w:val="en-US"/>
              </w:rPr>
            </w:pPr>
            <w:r w:rsidRPr="00BA2765">
              <w:rPr>
                <w:color w:val="000000"/>
                <w:lang w:val="en-US"/>
              </w:rPr>
              <w:t>6.61</w:t>
            </w:r>
          </w:p>
        </w:tc>
        <w:tc>
          <w:tcPr>
            <w:tcW w:w="990" w:type="dxa"/>
            <w:tcBorders>
              <w:top w:val="nil"/>
              <w:left w:val="nil"/>
              <w:bottom w:val="single" w:sz="4" w:space="0" w:color="auto"/>
              <w:right w:val="single" w:sz="4" w:space="0" w:color="auto"/>
            </w:tcBorders>
            <w:noWrap/>
            <w:vAlign w:val="bottom"/>
            <w:hideMark/>
          </w:tcPr>
          <w:p w14:paraId="1B7F9958" w14:textId="77777777" w:rsidR="00BA2765" w:rsidRPr="00BA2765" w:rsidRDefault="00BA2765" w:rsidP="00134B76">
            <w:pPr>
              <w:spacing w:line="240" w:lineRule="auto"/>
              <w:jc w:val="right"/>
              <w:rPr>
                <w:color w:val="000000"/>
                <w:lang w:val="en-US"/>
              </w:rPr>
            </w:pPr>
            <w:r w:rsidRPr="00BA2765">
              <w:rPr>
                <w:color w:val="000000"/>
                <w:lang w:val="en-US"/>
              </w:rPr>
              <w:t>41.08</w:t>
            </w:r>
          </w:p>
        </w:tc>
        <w:tc>
          <w:tcPr>
            <w:tcW w:w="990" w:type="dxa"/>
            <w:tcBorders>
              <w:top w:val="nil"/>
              <w:left w:val="nil"/>
              <w:bottom w:val="single" w:sz="4" w:space="0" w:color="auto"/>
              <w:right w:val="single" w:sz="4" w:space="0" w:color="auto"/>
            </w:tcBorders>
            <w:noWrap/>
            <w:vAlign w:val="bottom"/>
            <w:hideMark/>
          </w:tcPr>
          <w:p w14:paraId="092A7A8C" w14:textId="77777777" w:rsidR="00BA2765" w:rsidRPr="00BA2765" w:rsidRDefault="00BA2765" w:rsidP="00134B76">
            <w:pPr>
              <w:spacing w:line="240" w:lineRule="auto"/>
              <w:jc w:val="right"/>
              <w:rPr>
                <w:color w:val="000000"/>
                <w:lang w:val="en-US"/>
              </w:rPr>
            </w:pPr>
            <w:r w:rsidRPr="00BA2765">
              <w:rPr>
                <w:color w:val="000000"/>
                <w:lang w:val="en-US"/>
              </w:rPr>
              <w:t>26.21</w:t>
            </w:r>
          </w:p>
        </w:tc>
      </w:tr>
      <w:tr w:rsidR="00BA2765" w:rsidRPr="00BA2765" w14:paraId="2FCF31A7"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09DADD53" w14:textId="77777777" w:rsidR="00BA2765" w:rsidRPr="00BA2765" w:rsidRDefault="00BA2765" w:rsidP="00134B76">
            <w:pPr>
              <w:spacing w:line="240" w:lineRule="auto"/>
              <w:rPr>
                <w:b/>
                <w:bCs/>
                <w:color w:val="000000"/>
                <w:lang w:val="en-US"/>
              </w:rPr>
            </w:pPr>
            <w:r w:rsidRPr="00BA2765">
              <w:rPr>
                <w:b/>
                <w:bCs/>
                <w:color w:val="000000"/>
                <w:lang w:val="en-US"/>
              </w:rPr>
              <w:t>Investment Ratios</w:t>
            </w:r>
          </w:p>
        </w:tc>
        <w:tc>
          <w:tcPr>
            <w:tcW w:w="1980" w:type="dxa"/>
            <w:tcBorders>
              <w:top w:val="nil"/>
              <w:left w:val="nil"/>
              <w:bottom w:val="single" w:sz="4" w:space="0" w:color="auto"/>
              <w:right w:val="single" w:sz="4" w:space="0" w:color="auto"/>
            </w:tcBorders>
            <w:vAlign w:val="bottom"/>
            <w:hideMark/>
          </w:tcPr>
          <w:p w14:paraId="2C696B81"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single" w:sz="4" w:space="0" w:color="auto"/>
            </w:tcBorders>
            <w:noWrap/>
            <w:vAlign w:val="bottom"/>
            <w:hideMark/>
          </w:tcPr>
          <w:p w14:paraId="634E1019" w14:textId="77777777" w:rsidR="00BA2765" w:rsidRPr="00BA2765" w:rsidRDefault="00BA2765" w:rsidP="00134B76">
            <w:pPr>
              <w:spacing w:line="240" w:lineRule="auto"/>
              <w:rPr>
                <w:color w:val="000000"/>
                <w:lang w:val="en-US"/>
              </w:rPr>
            </w:pPr>
            <w:r w:rsidRPr="00BA2765">
              <w:rPr>
                <w:color w:val="000000"/>
                <w:lang w:val="en-US"/>
              </w:rPr>
              <w:t> </w:t>
            </w:r>
          </w:p>
        </w:tc>
        <w:tc>
          <w:tcPr>
            <w:tcW w:w="1170" w:type="dxa"/>
            <w:tcBorders>
              <w:top w:val="nil"/>
              <w:left w:val="nil"/>
              <w:bottom w:val="single" w:sz="4" w:space="0" w:color="auto"/>
              <w:right w:val="single" w:sz="4" w:space="0" w:color="auto"/>
            </w:tcBorders>
            <w:noWrap/>
            <w:vAlign w:val="bottom"/>
            <w:hideMark/>
          </w:tcPr>
          <w:p w14:paraId="44CC7FED" w14:textId="77777777" w:rsidR="00BA2765" w:rsidRPr="00BA2765" w:rsidRDefault="00BA2765" w:rsidP="00134B76">
            <w:pPr>
              <w:spacing w:line="240" w:lineRule="auto"/>
              <w:rPr>
                <w:color w:val="000000"/>
                <w:lang w:val="en-US"/>
              </w:rPr>
            </w:pPr>
            <w:r w:rsidRPr="00BA2765">
              <w:rPr>
                <w:color w:val="000000"/>
                <w:lang w:val="en-US"/>
              </w:rPr>
              <w:t> </w:t>
            </w:r>
          </w:p>
        </w:tc>
        <w:tc>
          <w:tcPr>
            <w:tcW w:w="1080" w:type="dxa"/>
            <w:tcBorders>
              <w:top w:val="nil"/>
              <w:left w:val="nil"/>
              <w:bottom w:val="single" w:sz="4" w:space="0" w:color="auto"/>
              <w:right w:val="single" w:sz="4" w:space="0" w:color="auto"/>
            </w:tcBorders>
            <w:noWrap/>
            <w:vAlign w:val="bottom"/>
            <w:hideMark/>
          </w:tcPr>
          <w:p w14:paraId="74546FB3"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664E269A"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5F2BD675"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134A20F6"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3AB0A3C4" w14:textId="77777777" w:rsidR="00BA2765" w:rsidRPr="00BA2765" w:rsidRDefault="00BA2765" w:rsidP="00134B76">
            <w:pPr>
              <w:spacing w:line="240" w:lineRule="auto"/>
              <w:rPr>
                <w:color w:val="000000"/>
                <w:lang w:val="en-US"/>
              </w:rPr>
            </w:pPr>
            <w:r w:rsidRPr="00BA2765">
              <w:rPr>
                <w:color w:val="000000"/>
                <w:lang w:val="en-US"/>
              </w:rPr>
              <w:t>EPS</w:t>
            </w:r>
          </w:p>
        </w:tc>
        <w:tc>
          <w:tcPr>
            <w:tcW w:w="1980" w:type="dxa"/>
            <w:tcBorders>
              <w:top w:val="nil"/>
              <w:left w:val="nil"/>
              <w:bottom w:val="single" w:sz="4" w:space="0" w:color="auto"/>
              <w:right w:val="single" w:sz="4" w:space="0" w:color="auto"/>
            </w:tcBorders>
            <w:vAlign w:val="bottom"/>
            <w:hideMark/>
          </w:tcPr>
          <w:p w14:paraId="258776B6" w14:textId="77777777" w:rsidR="00BA2765" w:rsidRPr="00BA2765" w:rsidRDefault="00BA2765" w:rsidP="00134B76">
            <w:pPr>
              <w:spacing w:line="240" w:lineRule="auto"/>
              <w:rPr>
                <w:color w:val="000000"/>
                <w:lang w:val="en-US"/>
              </w:rPr>
            </w:pPr>
            <w:r w:rsidRPr="00BA2765">
              <w:rPr>
                <w:color w:val="000000"/>
                <w:lang w:val="en-US"/>
              </w:rPr>
              <w:t>Given in F/S</w:t>
            </w:r>
          </w:p>
        </w:tc>
        <w:tc>
          <w:tcPr>
            <w:tcW w:w="1170" w:type="dxa"/>
            <w:tcBorders>
              <w:top w:val="nil"/>
              <w:left w:val="nil"/>
              <w:bottom w:val="single" w:sz="4" w:space="0" w:color="auto"/>
              <w:right w:val="single" w:sz="4" w:space="0" w:color="auto"/>
            </w:tcBorders>
            <w:noWrap/>
            <w:vAlign w:val="bottom"/>
            <w:hideMark/>
          </w:tcPr>
          <w:p w14:paraId="58E1FC28" w14:textId="77777777" w:rsidR="00BA2765" w:rsidRPr="00BA2765" w:rsidRDefault="00BA2765" w:rsidP="00134B76">
            <w:pPr>
              <w:spacing w:line="240" w:lineRule="auto"/>
              <w:jc w:val="right"/>
              <w:rPr>
                <w:color w:val="000000"/>
                <w:lang w:val="en-US"/>
              </w:rPr>
            </w:pPr>
            <w:r w:rsidRPr="00BA2765">
              <w:rPr>
                <w:color w:val="000000"/>
                <w:lang w:val="en-US"/>
              </w:rPr>
              <w:t>-1.85</w:t>
            </w:r>
          </w:p>
        </w:tc>
        <w:tc>
          <w:tcPr>
            <w:tcW w:w="1170" w:type="dxa"/>
            <w:tcBorders>
              <w:top w:val="nil"/>
              <w:left w:val="nil"/>
              <w:bottom w:val="single" w:sz="4" w:space="0" w:color="auto"/>
              <w:right w:val="single" w:sz="4" w:space="0" w:color="auto"/>
            </w:tcBorders>
            <w:noWrap/>
            <w:vAlign w:val="bottom"/>
            <w:hideMark/>
          </w:tcPr>
          <w:p w14:paraId="709374C7" w14:textId="77777777" w:rsidR="00BA2765" w:rsidRPr="00BA2765" w:rsidRDefault="00BA2765" w:rsidP="00134B76">
            <w:pPr>
              <w:spacing w:line="240" w:lineRule="auto"/>
              <w:jc w:val="right"/>
              <w:rPr>
                <w:color w:val="000000"/>
                <w:lang w:val="en-US"/>
              </w:rPr>
            </w:pPr>
            <w:r w:rsidRPr="00BA2765">
              <w:rPr>
                <w:color w:val="000000"/>
                <w:lang w:val="en-US"/>
              </w:rPr>
              <w:t>-7.64</w:t>
            </w:r>
          </w:p>
        </w:tc>
        <w:tc>
          <w:tcPr>
            <w:tcW w:w="1080" w:type="dxa"/>
            <w:tcBorders>
              <w:top w:val="nil"/>
              <w:left w:val="nil"/>
              <w:bottom w:val="single" w:sz="4" w:space="0" w:color="auto"/>
              <w:right w:val="single" w:sz="4" w:space="0" w:color="auto"/>
            </w:tcBorders>
            <w:noWrap/>
            <w:vAlign w:val="bottom"/>
            <w:hideMark/>
          </w:tcPr>
          <w:p w14:paraId="63F3E5DC" w14:textId="77777777" w:rsidR="00BA2765" w:rsidRPr="00BA2765" w:rsidRDefault="00BA2765" w:rsidP="00134B76">
            <w:pPr>
              <w:spacing w:line="240" w:lineRule="auto"/>
              <w:jc w:val="right"/>
              <w:rPr>
                <w:color w:val="000000"/>
                <w:lang w:val="en-US"/>
              </w:rPr>
            </w:pPr>
            <w:r w:rsidRPr="00BA2765">
              <w:rPr>
                <w:color w:val="000000"/>
                <w:lang w:val="en-US"/>
              </w:rPr>
              <w:t>0.03</w:t>
            </w:r>
          </w:p>
        </w:tc>
        <w:tc>
          <w:tcPr>
            <w:tcW w:w="990" w:type="dxa"/>
            <w:tcBorders>
              <w:top w:val="nil"/>
              <w:left w:val="nil"/>
              <w:bottom w:val="single" w:sz="4" w:space="0" w:color="auto"/>
              <w:right w:val="single" w:sz="4" w:space="0" w:color="auto"/>
            </w:tcBorders>
            <w:noWrap/>
            <w:vAlign w:val="bottom"/>
            <w:hideMark/>
          </w:tcPr>
          <w:p w14:paraId="1EC61499" w14:textId="77777777" w:rsidR="00BA2765" w:rsidRPr="00BA2765" w:rsidRDefault="00BA2765" w:rsidP="00134B76">
            <w:pPr>
              <w:spacing w:line="240" w:lineRule="auto"/>
              <w:jc w:val="right"/>
              <w:rPr>
                <w:color w:val="000000"/>
                <w:lang w:val="en-US"/>
              </w:rPr>
            </w:pPr>
            <w:r w:rsidRPr="00BA2765">
              <w:rPr>
                <w:color w:val="000000"/>
                <w:lang w:val="en-US"/>
              </w:rPr>
              <w:t>0.39</w:t>
            </w:r>
          </w:p>
        </w:tc>
        <w:tc>
          <w:tcPr>
            <w:tcW w:w="990" w:type="dxa"/>
            <w:tcBorders>
              <w:top w:val="nil"/>
              <w:left w:val="nil"/>
              <w:bottom w:val="single" w:sz="4" w:space="0" w:color="auto"/>
              <w:right w:val="single" w:sz="4" w:space="0" w:color="auto"/>
            </w:tcBorders>
            <w:noWrap/>
            <w:vAlign w:val="bottom"/>
            <w:hideMark/>
          </w:tcPr>
          <w:p w14:paraId="3010E5BC" w14:textId="77777777" w:rsidR="00BA2765" w:rsidRPr="00BA2765" w:rsidRDefault="00BA2765" w:rsidP="00134B76">
            <w:pPr>
              <w:spacing w:line="240" w:lineRule="auto"/>
              <w:jc w:val="right"/>
              <w:rPr>
                <w:color w:val="000000"/>
                <w:lang w:val="en-US"/>
              </w:rPr>
            </w:pPr>
            <w:r w:rsidRPr="00BA2765">
              <w:rPr>
                <w:color w:val="000000"/>
                <w:lang w:val="en-US"/>
              </w:rPr>
              <w:t>2.78</w:t>
            </w:r>
          </w:p>
        </w:tc>
      </w:tr>
      <w:tr w:rsidR="00BA2765" w:rsidRPr="00BA2765" w14:paraId="6E4A957B" w14:textId="77777777" w:rsidTr="00134B76">
        <w:trPr>
          <w:trHeight w:val="900"/>
        </w:trPr>
        <w:tc>
          <w:tcPr>
            <w:tcW w:w="2155" w:type="dxa"/>
            <w:tcBorders>
              <w:top w:val="nil"/>
              <w:left w:val="single" w:sz="4" w:space="0" w:color="auto"/>
              <w:bottom w:val="single" w:sz="4" w:space="0" w:color="auto"/>
              <w:right w:val="single" w:sz="4" w:space="0" w:color="auto"/>
            </w:tcBorders>
            <w:noWrap/>
            <w:vAlign w:val="bottom"/>
            <w:hideMark/>
          </w:tcPr>
          <w:p w14:paraId="1DDF31AB" w14:textId="77777777" w:rsidR="00BA2765" w:rsidRPr="00BA2765" w:rsidRDefault="00BA2765" w:rsidP="00134B76">
            <w:pPr>
              <w:spacing w:line="240" w:lineRule="auto"/>
              <w:rPr>
                <w:color w:val="000000"/>
                <w:lang w:val="en-US"/>
              </w:rPr>
            </w:pPr>
            <w:r w:rsidRPr="00BA2765">
              <w:rPr>
                <w:color w:val="000000"/>
                <w:lang w:val="en-US"/>
              </w:rPr>
              <w:t>Book Value per share</w:t>
            </w:r>
          </w:p>
        </w:tc>
        <w:tc>
          <w:tcPr>
            <w:tcW w:w="1980" w:type="dxa"/>
            <w:tcBorders>
              <w:top w:val="nil"/>
              <w:left w:val="nil"/>
              <w:bottom w:val="single" w:sz="4" w:space="0" w:color="auto"/>
              <w:right w:val="single" w:sz="4" w:space="0" w:color="auto"/>
            </w:tcBorders>
            <w:vAlign w:val="bottom"/>
            <w:hideMark/>
          </w:tcPr>
          <w:p w14:paraId="16813EB9" w14:textId="77777777" w:rsidR="00BA2765" w:rsidRPr="00BA2765" w:rsidRDefault="00BA2765" w:rsidP="00134B76">
            <w:pPr>
              <w:spacing w:line="240" w:lineRule="auto"/>
              <w:rPr>
                <w:color w:val="000000"/>
                <w:lang w:val="en-US"/>
              </w:rPr>
            </w:pPr>
            <w:r w:rsidRPr="00BA2765">
              <w:rPr>
                <w:color w:val="000000"/>
                <w:lang w:val="en-US"/>
              </w:rPr>
              <w:t>Shareholders' Equity / No. of Shares Outstanding</w:t>
            </w:r>
          </w:p>
        </w:tc>
        <w:tc>
          <w:tcPr>
            <w:tcW w:w="1170" w:type="dxa"/>
            <w:tcBorders>
              <w:top w:val="nil"/>
              <w:left w:val="nil"/>
              <w:bottom w:val="single" w:sz="4" w:space="0" w:color="auto"/>
              <w:right w:val="single" w:sz="4" w:space="0" w:color="auto"/>
            </w:tcBorders>
            <w:noWrap/>
            <w:vAlign w:val="bottom"/>
            <w:hideMark/>
          </w:tcPr>
          <w:p w14:paraId="774FEB43" w14:textId="77777777" w:rsidR="00BA2765" w:rsidRPr="00BA2765" w:rsidRDefault="00BA2765" w:rsidP="00134B76">
            <w:pPr>
              <w:spacing w:line="240" w:lineRule="auto"/>
              <w:jc w:val="right"/>
              <w:rPr>
                <w:color w:val="000000"/>
                <w:lang w:val="en-US"/>
              </w:rPr>
            </w:pPr>
            <w:r w:rsidRPr="00BA2765">
              <w:rPr>
                <w:color w:val="000000"/>
                <w:lang w:val="en-US"/>
              </w:rPr>
              <w:t>11.81</w:t>
            </w:r>
          </w:p>
        </w:tc>
        <w:tc>
          <w:tcPr>
            <w:tcW w:w="1170" w:type="dxa"/>
            <w:tcBorders>
              <w:top w:val="nil"/>
              <w:left w:val="nil"/>
              <w:bottom w:val="single" w:sz="4" w:space="0" w:color="auto"/>
              <w:right w:val="single" w:sz="4" w:space="0" w:color="auto"/>
            </w:tcBorders>
            <w:noWrap/>
            <w:vAlign w:val="bottom"/>
            <w:hideMark/>
          </w:tcPr>
          <w:p w14:paraId="5001620C" w14:textId="77777777" w:rsidR="00BA2765" w:rsidRPr="00BA2765" w:rsidRDefault="00BA2765" w:rsidP="00134B76">
            <w:pPr>
              <w:spacing w:line="240" w:lineRule="auto"/>
              <w:jc w:val="right"/>
              <w:rPr>
                <w:color w:val="000000"/>
                <w:lang w:val="en-US"/>
              </w:rPr>
            </w:pPr>
            <w:r w:rsidRPr="00BA2765">
              <w:rPr>
                <w:color w:val="000000"/>
                <w:lang w:val="en-US"/>
              </w:rPr>
              <w:t>13.92</w:t>
            </w:r>
          </w:p>
        </w:tc>
        <w:tc>
          <w:tcPr>
            <w:tcW w:w="1080" w:type="dxa"/>
            <w:tcBorders>
              <w:top w:val="nil"/>
              <w:left w:val="nil"/>
              <w:bottom w:val="single" w:sz="4" w:space="0" w:color="auto"/>
              <w:right w:val="single" w:sz="4" w:space="0" w:color="auto"/>
            </w:tcBorders>
            <w:noWrap/>
            <w:vAlign w:val="bottom"/>
            <w:hideMark/>
          </w:tcPr>
          <w:p w14:paraId="601B582C" w14:textId="77777777" w:rsidR="00BA2765" w:rsidRPr="00BA2765" w:rsidRDefault="00BA2765" w:rsidP="00134B76">
            <w:pPr>
              <w:spacing w:line="240" w:lineRule="auto"/>
              <w:jc w:val="right"/>
              <w:rPr>
                <w:color w:val="000000"/>
                <w:lang w:val="en-US"/>
              </w:rPr>
            </w:pPr>
            <w:r w:rsidRPr="00BA2765">
              <w:rPr>
                <w:color w:val="000000"/>
                <w:lang w:val="en-US"/>
              </w:rPr>
              <w:t>21.13</w:t>
            </w:r>
          </w:p>
        </w:tc>
        <w:tc>
          <w:tcPr>
            <w:tcW w:w="990" w:type="dxa"/>
            <w:tcBorders>
              <w:top w:val="nil"/>
              <w:left w:val="nil"/>
              <w:bottom w:val="single" w:sz="4" w:space="0" w:color="auto"/>
              <w:right w:val="single" w:sz="4" w:space="0" w:color="auto"/>
            </w:tcBorders>
            <w:noWrap/>
            <w:vAlign w:val="bottom"/>
            <w:hideMark/>
          </w:tcPr>
          <w:p w14:paraId="14128CD1" w14:textId="77777777" w:rsidR="00BA2765" w:rsidRPr="00BA2765" w:rsidRDefault="00BA2765" w:rsidP="00134B76">
            <w:pPr>
              <w:spacing w:line="240" w:lineRule="auto"/>
              <w:jc w:val="right"/>
              <w:rPr>
                <w:color w:val="000000"/>
                <w:lang w:val="en-US"/>
              </w:rPr>
            </w:pPr>
            <w:r w:rsidRPr="00BA2765">
              <w:rPr>
                <w:color w:val="000000"/>
                <w:lang w:val="en-US"/>
              </w:rPr>
              <w:t>20.49</w:t>
            </w:r>
          </w:p>
        </w:tc>
        <w:tc>
          <w:tcPr>
            <w:tcW w:w="990" w:type="dxa"/>
            <w:tcBorders>
              <w:top w:val="nil"/>
              <w:left w:val="nil"/>
              <w:bottom w:val="single" w:sz="4" w:space="0" w:color="auto"/>
              <w:right w:val="single" w:sz="4" w:space="0" w:color="auto"/>
            </w:tcBorders>
            <w:noWrap/>
            <w:vAlign w:val="bottom"/>
            <w:hideMark/>
          </w:tcPr>
          <w:p w14:paraId="26B0F8EE" w14:textId="77777777" w:rsidR="00BA2765" w:rsidRPr="00BA2765" w:rsidRDefault="00BA2765" w:rsidP="00134B76">
            <w:pPr>
              <w:spacing w:line="240" w:lineRule="auto"/>
              <w:jc w:val="right"/>
              <w:rPr>
                <w:color w:val="000000"/>
                <w:lang w:val="en-US"/>
              </w:rPr>
            </w:pPr>
            <w:r w:rsidRPr="00BA2765">
              <w:rPr>
                <w:color w:val="000000"/>
                <w:lang w:val="en-US"/>
              </w:rPr>
              <w:t>22.55</w:t>
            </w:r>
          </w:p>
        </w:tc>
      </w:tr>
      <w:tr w:rsidR="00BA2765" w:rsidRPr="00BA2765" w14:paraId="3AAC1967" w14:textId="77777777" w:rsidTr="00134B76">
        <w:trPr>
          <w:trHeight w:val="300"/>
        </w:trPr>
        <w:tc>
          <w:tcPr>
            <w:tcW w:w="2155" w:type="dxa"/>
            <w:tcBorders>
              <w:top w:val="nil"/>
              <w:left w:val="single" w:sz="4" w:space="0" w:color="auto"/>
              <w:bottom w:val="single" w:sz="4" w:space="0" w:color="auto"/>
              <w:right w:val="single" w:sz="4" w:space="0" w:color="auto"/>
            </w:tcBorders>
            <w:noWrap/>
            <w:vAlign w:val="bottom"/>
            <w:hideMark/>
          </w:tcPr>
          <w:p w14:paraId="3E55736A" w14:textId="77777777" w:rsidR="00BA2765" w:rsidRPr="00BA2765" w:rsidRDefault="00BA2765" w:rsidP="00134B76">
            <w:pPr>
              <w:spacing w:line="240" w:lineRule="auto"/>
              <w:rPr>
                <w:b/>
                <w:bCs/>
                <w:color w:val="000000"/>
                <w:lang w:val="en-US"/>
              </w:rPr>
            </w:pPr>
            <w:r w:rsidRPr="00BA2765">
              <w:rPr>
                <w:b/>
                <w:bCs/>
                <w:color w:val="000000"/>
                <w:lang w:val="en-US"/>
              </w:rPr>
              <w:t>Cash Flow Ratios</w:t>
            </w:r>
          </w:p>
        </w:tc>
        <w:tc>
          <w:tcPr>
            <w:tcW w:w="1980" w:type="dxa"/>
            <w:tcBorders>
              <w:top w:val="nil"/>
              <w:left w:val="nil"/>
              <w:bottom w:val="single" w:sz="4" w:space="0" w:color="auto"/>
              <w:right w:val="single" w:sz="4" w:space="0" w:color="auto"/>
            </w:tcBorders>
            <w:vAlign w:val="bottom"/>
            <w:hideMark/>
          </w:tcPr>
          <w:p w14:paraId="6F397A5A"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single" w:sz="4" w:space="0" w:color="auto"/>
            </w:tcBorders>
            <w:noWrap/>
            <w:vAlign w:val="bottom"/>
            <w:hideMark/>
          </w:tcPr>
          <w:p w14:paraId="0B17CE87" w14:textId="77777777" w:rsidR="00BA2765" w:rsidRPr="00BA2765" w:rsidRDefault="00BA2765" w:rsidP="00134B76">
            <w:pPr>
              <w:spacing w:line="240" w:lineRule="auto"/>
              <w:rPr>
                <w:color w:val="000000"/>
                <w:lang w:val="en-US"/>
              </w:rPr>
            </w:pPr>
            <w:r w:rsidRPr="00BA2765">
              <w:rPr>
                <w:color w:val="000000"/>
                <w:lang w:val="en-US"/>
              </w:rPr>
              <w:t> </w:t>
            </w:r>
          </w:p>
        </w:tc>
        <w:tc>
          <w:tcPr>
            <w:tcW w:w="1170" w:type="dxa"/>
            <w:tcBorders>
              <w:top w:val="nil"/>
              <w:left w:val="nil"/>
              <w:bottom w:val="single" w:sz="4" w:space="0" w:color="auto"/>
              <w:right w:val="single" w:sz="4" w:space="0" w:color="auto"/>
            </w:tcBorders>
            <w:noWrap/>
            <w:vAlign w:val="bottom"/>
            <w:hideMark/>
          </w:tcPr>
          <w:p w14:paraId="2B5ABFE0" w14:textId="77777777" w:rsidR="00BA2765" w:rsidRPr="00BA2765" w:rsidRDefault="00BA2765" w:rsidP="00134B76">
            <w:pPr>
              <w:spacing w:line="240" w:lineRule="auto"/>
              <w:rPr>
                <w:color w:val="000000"/>
                <w:lang w:val="en-US"/>
              </w:rPr>
            </w:pPr>
            <w:r w:rsidRPr="00BA2765">
              <w:rPr>
                <w:color w:val="000000"/>
                <w:lang w:val="en-US"/>
              </w:rPr>
              <w:t> </w:t>
            </w:r>
          </w:p>
        </w:tc>
        <w:tc>
          <w:tcPr>
            <w:tcW w:w="1080" w:type="dxa"/>
            <w:tcBorders>
              <w:top w:val="nil"/>
              <w:left w:val="nil"/>
              <w:bottom w:val="single" w:sz="4" w:space="0" w:color="auto"/>
              <w:right w:val="single" w:sz="4" w:space="0" w:color="auto"/>
            </w:tcBorders>
            <w:noWrap/>
            <w:vAlign w:val="bottom"/>
            <w:hideMark/>
          </w:tcPr>
          <w:p w14:paraId="537FBC01"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665C6514" w14:textId="77777777" w:rsidR="00BA2765" w:rsidRPr="00BA2765" w:rsidRDefault="00BA2765" w:rsidP="00134B76">
            <w:pPr>
              <w:spacing w:line="240" w:lineRule="auto"/>
              <w:rPr>
                <w:color w:val="000000"/>
                <w:lang w:val="en-US"/>
              </w:rPr>
            </w:pPr>
            <w:r w:rsidRPr="00BA2765">
              <w:rPr>
                <w:color w:val="000000"/>
                <w:lang w:val="en-US"/>
              </w:rPr>
              <w:t> </w:t>
            </w:r>
          </w:p>
        </w:tc>
        <w:tc>
          <w:tcPr>
            <w:tcW w:w="990" w:type="dxa"/>
            <w:tcBorders>
              <w:top w:val="nil"/>
              <w:left w:val="nil"/>
              <w:bottom w:val="single" w:sz="4" w:space="0" w:color="auto"/>
              <w:right w:val="single" w:sz="4" w:space="0" w:color="auto"/>
            </w:tcBorders>
            <w:noWrap/>
            <w:vAlign w:val="bottom"/>
            <w:hideMark/>
          </w:tcPr>
          <w:p w14:paraId="019E8DA1" w14:textId="77777777" w:rsidR="00BA2765" w:rsidRPr="00BA2765" w:rsidRDefault="00BA2765" w:rsidP="00134B76">
            <w:pPr>
              <w:spacing w:line="240" w:lineRule="auto"/>
              <w:rPr>
                <w:color w:val="000000"/>
                <w:lang w:val="en-US"/>
              </w:rPr>
            </w:pPr>
            <w:r w:rsidRPr="00BA2765">
              <w:rPr>
                <w:color w:val="000000"/>
                <w:lang w:val="en-US"/>
              </w:rPr>
              <w:t> </w:t>
            </w:r>
          </w:p>
        </w:tc>
      </w:tr>
      <w:tr w:rsidR="00BA2765" w:rsidRPr="00BA2765" w14:paraId="4C55E526"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77575BEF" w14:textId="77777777" w:rsidR="00BA2765" w:rsidRPr="00BA2765" w:rsidRDefault="00BA2765" w:rsidP="00134B76">
            <w:pPr>
              <w:spacing w:line="240" w:lineRule="auto"/>
              <w:rPr>
                <w:color w:val="000000"/>
                <w:lang w:val="en-US"/>
              </w:rPr>
            </w:pPr>
            <w:r w:rsidRPr="00BA2765">
              <w:rPr>
                <w:color w:val="000000"/>
                <w:lang w:val="en-US"/>
              </w:rPr>
              <w:t>Operating Cash Flow Ratio</w:t>
            </w:r>
          </w:p>
        </w:tc>
        <w:tc>
          <w:tcPr>
            <w:tcW w:w="1980" w:type="dxa"/>
            <w:tcBorders>
              <w:top w:val="nil"/>
              <w:left w:val="nil"/>
              <w:bottom w:val="single" w:sz="4" w:space="0" w:color="auto"/>
              <w:right w:val="single" w:sz="4" w:space="0" w:color="auto"/>
            </w:tcBorders>
            <w:vAlign w:val="bottom"/>
            <w:hideMark/>
          </w:tcPr>
          <w:p w14:paraId="6D6ECB1E" w14:textId="77777777" w:rsidR="00BA2765" w:rsidRPr="00BA2765" w:rsidRDefault="00BA2765" w:rsidP="00134B76">
            <w:pPr>
              <w:spacing w:line="240" w:lineRule="auto"/>
              <w:rPr>
                <w:color w:val="000000"/>
                <w:lang w:val="en-US"/>
              </w:rPr>
            </w:pPr>
            <w:r w:rsidRPr="00BA2765">
              <w:rPr>
                <w:color w:val="000000"/>
                <w:lang w:val="en-US"/>
              </w:rPr>
              <w:t>Operating Cash Flow / Current Liabilities</w:t>
            </w:r>
          </w:p>
        </w:tc>
        <w:tc>
          <w:tcPr>
            <w:tcW w:w="1170" w:type="dxa"/>
            <w:tcBorders>
              <w:top w:val="nil"/>
              <w:left w:val="nil"/>
              <w:bottom w:val="single" w:sz="4" w:space="0" w:color="auto"/>
              <w:right w:val="single" w:sz="4" w:space="0" w:color="auto"/>
            </w:tcBorders>
            <w:noWrap/>
            <w:vAlign w:val="bottom"/>
            <w:hideMark/>
          </w:tcPr>
          <w:p w14:paraId="4E73424C" w14:textId="77777777" w:rsidR="00BA2765" w:rsidRPr="00BA2765" w:rsidRDefault="00BA2765" w:rsidP="00134B76">
            <w:pPr>
              <w:spacing w:line="240" w:lineRule="auto"/>
              <w:jc w:val="right"/>
              <w:rPr>
                <w:color w:val="000000"/>
                <w:lang w:val="en-US"/>
              </w:rPr>
            </w:pPr>
            <w:r w:rsidRPr="00BA2765">
              <w:rPr>
                <w:color w:val="000000"/>
                <w:lang w:val="en-US"/>
              </w:rPr>
              <w:t>0.09</w:t>
            </w:r>
          </w:p>
        </w:tc>
        <w:tc>
          <w:tcPr>
            <w:tcW w:w="1170" w:type="dxa"/>
            <w:tcBorders>
              <w:top w:val="nil"/>
              <w:left w:val="nil"/>
              <w:bottom w:val="single" w:sz="4" w:space="0" w:color="auto"/>
              <w:right w:val="single" w:sz="4" w:space="0" w:color="auto"/>
            </w:tcBorders>
            <w:noWrap/>
            <w:vAlign w:val="bottom"/>
            <w:hideMark/>
          </w:tcPr>
          <w:p w14:paraId="36C335F3" w14:textId="77777777" w:rsidR="00BA2765" w:rsidRPr="00BA2765" w:rsidRDefault="00BA2765" w:rsidP="00134B76">
            <w:pPr>
              <w:spacing w:line="240" w:lineRule="auto"/>
              <w:jc w:val="right"/>
              <w:rPr>
                <w:color w:val="000000"/>
                <w:lang w:val="en-US"/>
              </w:rPr>
            </w:pPr>
            <w:r w:rsidRPr="00BA2765">
              <w:rPr>
                <w:color w:val="000000"/>
                <w:lang w:val="en-US"/>
              </w:rPr>
              <w:t>0.16</w:t>
            </w:r>
          </w:p>
        </w:tc>
        <w:tc>
          <w:tcPr>
            <w:tcW w:w="1080" w:type="dxa"/>
            <w:tcBorders>
              <w:top w:val="nil"/>
              <w:left w:val="nil"/>
              <w:bottom w:val="single" w:sz="4" w:space="0" w:color="auto"/>
              <w:right w:val="single" w:sz="4" w:space="0" w:color="auto"/>
            </w:tcBorders>
            <w:noWrap/>
            <w:vAlign w:val="bottom"/>
            <w:hideMark/>
          </w:tcPr>
          <w:p w14:paraId="79F98B08" w14:textId="77777777" w:rsidR="00BA2765" w:rsidRPr="00BA2765" w:rsidRDefault="00BA2765" w:rsidP="00134B76">
            <w:pPr>
              <w:spacing w:line="240" w:lineRule="auto"/>
              <w:jc w:val="right"/>
              <w:rPr>
                <w:color w:val="000000"/>
                <w:lang w:val="en-US"/>
              </w:rPr>
            </w:pPr>
            <w:r w:rsidRPr="00BA2765">
              <w:rPr>
                <w:color w:val="000000"/>
                <w:lang w:val="en-US"/>
              </w:rPr>
              <w:t>0.05</w:t>
            </w:r>
          </w:p>
        </w:tc>
        <w:tc>
          <w:tcPr>
            <w:tcW w:w="990" w:type="dxa"/>
            <w:tcBorders>
              <w:top w:val="nil"/>
              <w:left w:val="nil"/>
              <w:bottom w:val="single" w:sz="4" w:space="0" w:color="auto"/>
              <w:right w:val="single" w:sz="4" w:space="0" w:color="auto"/>
            </w:tcBorders>
            <w:noWrap/>
            <w:vAlign w:val="bottom"/>
            <w:hideMark/>
          </w:tcPr>
          <w:p w14:paraId="7557B75A" w14:textId="77777777" w:rsidR="00BA2765" w:rsidRPr="00BA2765" w:rsidRDefault="00BA2765" w:rsidP="00134B76">
            <w:pPr>
              <w:spacing w:line="240" w:lineRule="auto"/>
              <w:jc w:val="right"/>
              <w:rPr>
                <w:color w:val="000000"/>
                <w:lang w:val="en-US"/>
              </w:rPr>
            </w:pPr>
            <w:r w:rsidRPr="00BA2765">
              <w:rPr>
                <w:color w:val="000000"/>
                <w:lang w:val="en-US"/>
              </w:rPr>
              <w:t>0.19</w:t>
            </w:r>
          </w:p>
        </w:tc>
        <w:tc>
          <w:tcPr>
            <w:tcW w:w="990" w:type="dxa"/>
            <w:tcBorders>
              <w:top w:val="nil"/>
              <w:left w:val="nil"/>
              <w:bottom w:val="single" w:sz="4" w:space="0" w:color="auto"/>
              <w:right w:val="single" w:sz="4" w:space="0" w:color="auto"/>
            </w:tcBorders>
            <w:noWrap/>
            <w:vAlign w:val="bottom"/>
            <w:hideMark/>
          </w:tcPr>
          <w:p w14:paraId="4121E4DE" w14:textId="77777777" w:rsidR="00BA2765" w:rsidRPr="00BA2765" w:rsidRDefault="00BA2765" w:rsidP="00134B76">
            <w:pPr>
              <w:spacing w:line="240" w:lineRule="auto"/>
              <w:jc w:val="right"/>
              <w:rPr>
                <w:color w:val="000000"/>
                <w:lang w:val="en-US"/>
              </w:rPr>
            </w:pPr>
            <w:r w:rsidRPr="00BA2765">
              <w:rPr>
                <w:color w:val="000000"/>
                <w:lang w:val="en-US"/>
              </w:rPr>
              <w:t>0.41</w:t>
            </w:r>
          </w:p>
        </w:tc>
      </w:tr>
      <w:tr w:rsidR="00BA2765" w:rsidRPr="00BA2765" w14:paraId="748EF505" w14:textId="77777777" w:rsidTr="00134B76">
        <w:trPr>
          <w:trHeight w:val="600"/>
        </w:trPr>
        <w:tc>
          <w:tcPr>
            <w:tcW w:w="2155" w:type="dxa"/>
            <w:tcBorders>
              <w:top w:val="nil"/>
              <w:left w:val="single" w:sz="4" w:space="0" w:color="auto"/>
              <w:bottom w:val="single" w:sz="4" w:space="0" w:color="auto"/>
              <w:right w:val="single" w:sz="4" w:space="0" w:color="auto"/>
            </w:tcBorders>
            <w:noWrap/>
            <w:vAlign w:val="bottom"/>
            <w:hideMark/>
          </w:tcPr>
          <w:p w14:paraId="1644CE1B" w14:textId="77777777" w:rsidR="00BA2765" w:rsidRPr="00BA2765" w:rsidRDefault="00BA2765" w:rsidP="00134B76">
            <w:pPr>
              <w:spacing w:line="240" w:lineRule="auto"/>
              <w:rPr>
                <w:color w:val="000000"/>
                <w:lang w:val="en-US"/>
              </w:rPr>
            </w:pPr>
            <w:r w:rsidRPr="00BA2765">
              <w:rPr>
                <w:color w:val="000000"/>
                <w:lang w:val="en-US"/>
              </w:rPr>
              <w:t>Cash Flow to Debt Ratio</w:t>
            </w:r>
          </w:p>
        </w:tc>
        <w:tc>
          <w:tcPr>
            <w:tcW w:w="1980" w:type="dxa"/>
            <w:tcBorders>
              <w:top w:val="nil"/>
              <w:left w:val="nil"/>
              <w:bottom w:val="single" w:sz="4" w:space="0" w:color="auto"/>
              <w:right w:val="single" w:sz="4" w:space="0" w:color="auto"/>
            </w:tcBorders>
            <w:vAlign w:val="bottom"/>
            <w:hideMark/>
          </w:tcPr>
          <w:p w14:paraId="68A3997A" w14:textId="77777777" w:rsidR="00BA2765" w:rsidRPr="00BA2765" w:rsidRDefault="00BA2765" w:rsidP="00134B76">
            <w:pPr>
              <w:spacing w:line="240" w:lineRule="auto"/>
              <w:rPr>
                <w:color w:val="000000"/>
                <w:lang w:val="en-US"/>
              </w:rPr>
            </w:pPr>
            <w:r w:rsidRPr="00BA2765">
              <w:rPr>
                <w:color w:val="000000"/>
                <w:lang w:val="en-US"/>
              </w:rPr>
              <w:t>Operating Cash Flow / Total Debt</w:t>
            </w:r>
          </w:p>
        </w:tc>
        <w:tc>
          <w:tcPr>
            <w:tcW w:w="1170" w:type="dxa"/>
            <w:tcBorders>
              <w:top w:val="nil"/>
              <w:left w:val="nil"/>
              <w:bottom w:val="single" w:sz="4" w:space="0" w:color="auto"/>
              <w:right w:val="single" w:sz="4" w:space="0" w:color="auto"/>
            </w:tcBorders>
            <w:noWrap/>
            <w:vAlign w:val="bottom"/>
            <w:hideMark/>
          </w:tcPr>
          <w:p w14:paraId="6743DBF2" w14:textId="77777777" w:rsidR="00BA2765" w:rsidRPr="00BA2765" w:rsidRDefault="00BA2765" w:rsidP="00134B76">
            <w:pPr>
              <w:spacing w:line="240" w:lineRule="auto"/>
              <w:jc w:val="right"/>
              <w:rPr>
                <w:color w:val="000000"/>
                <w:lang w:val="en-US"/>
              </w:rPr>
            </w:pPr>
            <w:r w:rsidRPr="00BA2765">
              <w:rPr>
                <w:color w:val="000000"/>
                <w:lang w:val="en-US"/>
              </w:rPr>
              <w:t>0.32</w:t>
            </w:r>
          </w:p>
        </w:tc>
        <w:tc>
          <w:tcPr>
            <w:tcW w:w="1170" w:type="dxa"/>
            <w:tcBorders>
              <w:top w:val="nil"/>
              <w:left w:val="nil"/>
              <w:bottom w:val="single" w:sz="4" w:space="0" w:color="auto"/>
              <w:right w:val="single" w:sz="4" w:space="0" w:color="auto"/>
            </w:tcBorders>
            <w:noWrap/>
            <w:vAlign w:val="bottom"/>
            <w:hideMark/>
          </w:tcPr>
          <w:p w14:paraId="3159D212" w14:textId="77777777" w:rsidR="00BA2765" w:rsidRPr="00BA2765" w:rsidRDefault="00BA2765" w:rsidP="00134B76">
            <w:pPr>
              <w:spacing w:line="240" w:lineRule="auto"/>
              <w:jc w:val="right"/>
              <w:rPr>
                <w:color w:val="000000"/>
                <w:lang w:val="en-US"/>
              </w:rPr>
            </w:pPr>
            <w:r w:rsidRPr="00BA2765">
              <w:rPr>
                <w:color w:val="000000"/>
                <w:lang w:val="en-US"/>
              </w:rPr>
              <w:t>0.37</w:t>
            </w:r>
          </w:p>
        </w:tc>
        <w:tc>
          <w:tcPr>
            <w:tcW w:w="1080" w:type="dxa"/>
            <w:tcBorders>
              <w:top w:val="nil"/>
              <w:left w:val="nil"/>
              <w:bottom w:val="single" w:sz="4" w:space="0" w:color="auto"/>
              <w:right w:val="single" w:sz="4" w:space="0" w:color="auto"/>
            </w:tcBorders>
            <w:noWrap/>
            <w:vAlign w:val="bottom"/>
            <w:hideMark/>
          </w:tcPr>
          <w:p w14:paraId="5DDCB961" w14:textId="77777777" w:rsidR="00BA2765" w:rsidRPr="00BA2765" w:rsidRDefault="00BA2765" w:rsidP="00134B76">
            <w:pPr>
              <w:spacing w:line="240" w:lineRule="auto"/>
              <w:jc w:val="right"/>
              <w:rPr>
                <w:color w:val="000000"/>
                <w:lang w:val="en-US"/>
              </w:rPr>
            </w:pPr>
            <w:r w:rsidRPr="00BA2765">
              <w:rPr>
                <w:color w:val="000000"/>
                <w:lang w:val="en-US"/>
              </w:rPr>
              <w:t>0.11</w:t>
            </w:r>
          </w:p>
        </w:tc>
        <w:tc>
          <w:tcPr>
            <w:tcW w:w="990" w:type="dxa"/>
            <w:tcBorders>
              <w:top w:val="nil"/>
              <w:left w:val="nil"/>
              <w:bottom w:val="single" w:sz="4" w:space="0" w:color="auto"/>
              <w:right w:val="single" w:sz="4" w:space="0" w:color="auto"/>
            </w:tcBorders>
            <w:noWrap/>
            <w:vAlign w:val="bottom"/>
            <w:hideMark/>
          </w:tcPr>
          <w:p w14:paraId="77C0AAF5" w14:textId="77777777" w:rsidR="00BA2765" w:rsidRPr="00BA2765" w:rsidRDefault="00BA2765" w:rsidP="00134B76">
            <w:pPr>
              <w:spacing w:line="240" w:lineRule="auto"/>
              <w:jc w:val="right"/>
              <w:rPr>
                <w:color w:val="000000"/>
                <w:lang w:val="en-US"/>
              </w:rPr>
            </w:pPr>
            <w:r w:rsidRPr="00BA2765">
              <w:rPr>
                <w:color w:val="000000"/>
                <w:lang w:val="en-US"/>
              </w:rPr>
              <w:t>0.57</w:t>
            </w:r>
          </w:p>
        </w:tc>
        <w:tc>
          <w:tcPr>
            <w:tcW w:w="990" w:type="dxa"/>
            <w:tcBorders>
              <w:top w:val="nil"/>
              <w:left w:val="nil"/>
              <w:bottom w:val="single" w:sz="4" w:space="0" w:color="auto"/>
              <w:right w:val="single" w:sz="4" w:space="0" w:color="auto"/>
            </w:tcBorders>
            <w:noWrap/>
            <w:vAlign w:val="bottom"/>
            <w:hideMark/>
          </w:tcPr>
          <w:p w14:paraId="356B6859" w14:textId="77777777" w:rsidR="00BA2765" w:rsidRPr="00BA2765" w:rsidRDefault="00BA2765" w:rsidP="00134B76">
            <w:pPr>
              <w:spacing w:line="240" w:lineRule="auto"/>
              <w:jc w:val="right"/>
              <w:rPr>
                <w:color w:val="000000"/>
                <w:lang w:val="en-US"/>
              </w:rPr>
            </w:pPr>
            <w:r w:rsidRPr="00BA2765">
              <w:rPr>
                <w:color w:val="000000"/>
                <w:lang w:val="en-US"/>
              </w:rPr>
              <w:t>2.14</w:t>
            </w:r>
          </w:p>
        </w:tc>
      </w:tr>
    </w:tbl>
    <w:p w14:paraId="2B5AC717" w14:textId="77777777" w:rsidR="00BA2765" w:rsidRPr="00BA2765" w:rsidRDefault="00BA2765" w:rsidP="00BA2765"/>
    <w:p w14:paraId="54948403" w14:textId="77777777" w:rsidR="00BA2765" w:rsidRPr="00BA2765" w:rsidRDefault="00BA2765" w:rsidP="00BA2765">
      <w:pPr>
        <w:spacing w:before="240" w:line="360" w:lineRule="auto"/>
        <w:rPr>
          <w:b/>
          <w:bCs/>
        </w:rPr>
      </w:pPr>
      <w:r w:rsidRPr="00BA2765">
        <w:rPr>
          <w:b/>
          <w:bCs/>
        </w:rPr>
        <w:t>II. Z-score</w:t>
      </w:r>
    </w:p>
    <w:tbl>
      <w:tblPr>
        <w:tblW w:w="9535" w:type="dxa"/>
        <w:tblLook w:val="04A0" w:firstRow="1" w:lastRow="0" w:firstColumn="1" w:lastColumn="0" w:noHBand="0" w:noVBand="1"/>
      </w:tblPr>
      <w:tblGrid>
        <w:gridCol w:w="1255"/>
        <w:gridCol w:w="2880"/>
        <w:gridCol w:w="1170"/>
        <w:gridCol w:w="1170"/>
        <w:gridCol w:w="1080"/>
        <w:gridCol w:w="990"/>
        <w:gridCol w:w="990"/>
      </w:tblGrid>
      <w:tr w:rsidR="00BA2765" w:rsidRPr="00BA2765" w14:paraId="408C3EA0" w14:textId="77777777" w:rsidTr="00134B76">
        <w:trPr>
          <w:trHeight w:val="300"/>
        </w:trPr>
        <w:tc>
          <w:tcPr>
            <w:tcW w:w="1255" w:type="dxa"/>
            <w:tcBorders>
              <w:top w:val="single" w:sz="4" w:space="0" w:color="auto"/>
              <w:left w:val="single" w:sz="4" w:space="0" w:color="auto"/>
              <w:bottom w:val="single" w:sz="4" w:space="0" w:color="auto"/>
              <w:right w:val="single" w:sz="4" w:space="0" w:color="auto"/>
            </w:tcBorders>
            <w:noWrap/>
            <w:vAlign w:val="bottom"/>
            <w:hideMark/>
          </w:tcPr>
          <w:p w14:paraId="60994BF1" w14:textId="77777777" w:rsidR="00BA2765" w:rsidRPr="00BA2765" w:rsidRDefault="00BA2765" w:rsidP="00134B76">
            <w:pPr>
              <w:spacing w:before="240" w:line="360" w:lineRule="auto"/>
              <w:rPr>
                <w:color w:val="000000"/>
                <w:lang w:val="en-US"/>
              </w:rPr>
            </w:pPr>
            <w:r w:rsidRPr="00BA2765">
              <w:rPr>
                <w:color w:val="000000"/>
                <w:lang w:val="en-US"/>
              </w:rPr>
              <w:t> Particular</w:t>
            </w:r>
          </w:p>
        </w:tc>
        <w:tc>
          <w:tcPr>
            <w:tcW w:w="2880" w:type="dxa"/>
            <w:tcBorders>
              <w:top w:val="single" w:sz="4" w:space="0" w:color="auto"/>
              <w:left w:val="nil"/>
              <w:bottom w:val="single" w:sz="4" w:space="0" w:color="auto"/>
              <w:right w:val="single" w:sz="4" w:space="0" w:color="auto"/>
            </w:tcBorders>
            <w:noWrap/>
            <w:vAlign w:val="bottom"/>
            <w:hideMark/>
          </w:tcPr>
          <w:p w14:paraId="7403491E" w14:textId="77777777" w:rsidR="00BA2765" w:rsidRPr="00BA2765" w:rsidRDefault="00BA2765" w:rsidP="00134B76">
            <w:pPr>
              <w:spacing w:before="240" w:line="360" w:lineRule="auto"/>
              <w:jc w:val="center"/>
              <w:rPr>
                <w:b/>
                <w:bCs/>
                <w:color w:val="000000"/>
                <w:lang w:val="en-US"/>
              </w:rPr>
            </w:pPr>
            <w:r w:rsidRPr="00BA2765">
              <w:rPr>
                <w:b/>
                <w:bCs/>
                <w:color w:val="000000"/>
                <w:lang w:val="en-US"/>
              </w:rPr>
              <w:t>Formula</w:t>
            </w:r>
          </w:p>
        </w:tc>
        <w:tc>
          <w:tcPr>
            <w:tcW w:w="1170" w:type="dxa"/>
            <w:tcBorders>
              <w:top w:val="single" w:sz="4" w:space="0" w:color="auto"/>
              <w:left w:val="nil"/>
              <w:bottom w:val="single" w:sz="4" w:space="0" w:color="auto"/>
              <w:right w:val="single" w:sz="4" w:space="0" w:color="auto"/>
            </w:tcBorders>
            <w:noWrap/>
            <w:vAlign w:val="bottom"/>
            <w:hideMark/>
          </w:tcPr>
          <w:p w14:paraId="3D190BAB" w14:textId="77777777" w:rsidR="00BA2765" w:rsidRPr="00BA2765" w:rsidRDefault="00BA2765" w:rsidP="00134B76">
            <w:pPr>
              <w:spacing w:before="240" w:line="360" w:lineRule="auto"/>
              <w:jc w:val="right"/>
              <w:rPr>
                <w:b/>
                <w:bCs/>
                <w:color w:val="000000"/>
                <w:lang w:val="en-US"/>
              </w:rPr>
            </w:pPr>
            <w:r w:rsidRPr="00BA2765">
              <w:rPr>
                <w:b/>
                <w:bCs/>
                <w:color w:val="000000"/>
                <w:lang w:val="en-US"/>
              </w:rPr>
              <w:t>2024</w:t>
            </w:r>
          </w:p>
        </w:tc>
        <w:tc>
          <w:tcPr>
            <w:tcW w:w="1170" w:type="dxa"/>
            <w:tcBorders>
              <w:top w:val="single" w:sz="4" w:space="0" w:color="auto"/>
              <w:left w:val="nil"/>
              <w:bottom w:val="single" w:sz="4" w:space="0" w:color="auto"/>
              <w:right w:val="single" w:sz="4" w:space="0" w:color="auto"/>
            </w:tcBorders>
            <w:noWrap/>
            <w:vAlign w:val="bottom"/>
            <w:hideMark/>
          </w:tcPr>
          <w:p w14:paraId="04E17E0F" w14:textId="77777777" w:rsidR="00BA2765" w:rsidRPr="00BA2765" w:rsidRDefault="00BA2765" w:rsidP="00134B76">
            <w:pPr>
              <w:spacing w:before="240" w:line="360" w:lineRule="auto"/>
              <w:jc w:val="right"/>
              <w:rPr>
                <w:b/>
                <w:bCs/>
                <w:color w:val="000000"/>
                <w:lang w:val="en-US"/>
              </w:rPr>
            </w:pPr>
            <w:r w:rsidRPr="00BA2765">
              <w:rPr>
                <w:b/>
                <w:bCs/>
                <w:color w:val="000000"/>
                <w:lang w:val="en-US"/>
              </w:rPr>
              <w:t>2023</w:t>
            </w:r>
          </w:p>
        </w:tc>
        <w:tc>
          <w:tcPr>
            <w:tcW w:w="1080" w:type="dxa"/>
            <w:tcBorders>
              <w:top w:val="single" w:sz="4" w:space="0" w:color="auto"/>
              <w:left w:val="nil"/>
              <w:bottom w:val="single" w:sz="4" w:space="0" w:color="auto"/>
              <w:right w:val="single" w:sz="4" w:space="0" w:color="auto"/>
            </w:tcBorders>
            <w:noWrap/>
            <w:vAlign w:val="bottom"/>
            <w:hideMark/>
          </w:tcPr>
          <w:p w14:paraId="59ADBE3E" w14:textId="77777777" w:rsidR="00BA2765" w:rsidRPr="00BA2765" w:rsidRDefault="00BA2765" w:rsidP="00134B76">
            <w:pPr>
              <w:spacing w:before="240" w:line="360" w:lineRule="auto"/>
              <w:jc w:val="right"/>
              <w:rPr>
                <w:b/>
                <w:bCs/>
                <w:color w:val="000000"/>
                <w:lang w:val="en-US"/>
              </w:rPr>
            </w:pPr>
            <w:r w:rsidRPr="00BA2765">
              <w:rPr>
                <w:b/>
                <w:bCs/>
                <w:color w:val="000000"/>
                <w:lang w:val="en-US"/>
              </w:rPr>
              <w:t>2022</w:t>
            </w:r>
          </w:p>
        </w:tc>
        <w:tc>
          <w:tcPr>
            <w:tcW w:w="990" w:type="dxa"/>
            <w:tcBorders>
              <w:top w:val="single" w:sz="4" w:space="0" w:color="auto"/>
              <w:left w:val="nil"/>
              <w:bottom w:val="single" w:sz="4" w:space="0" w:color="auto"/>
              <w:right w:val="single" w:sz="4" w:space="0" w:color="auto"/>
            </w:tcBorders>
            <w:noWrap/>
            <w:vAlign w:val="bottom"/>
            <w:hideMark/>
          </w:tcPr>
          <w:p w14:paraId="79684496" w14:textId="77777777" w:rsidR="00BA2765" w:rsidRPr="00BA2765" w:rsidRDefault="00BA2765" w:rsidP="00134B76">
            <w:pPr>
              <w:spacing w:before="240" w:line="360" w:lineRule="auto"/>
              <w:jc w:val="right"/>
              <w:rPr>
                <w:b/>
                <w:bCs/>
                <w:color w:val="000000"/>
                <w:lang w:val="en-US"/>
              </w:rPr>
            </w:pPr>
            <w:r w:rsidRPr="00BA2765">
              <w:rPr>
                <w:b/>
                <w:bCs/>
                <w:color w:val="000000"/>
                <w:lang w:val="en-US"/>
              </w:rPr>
              <w:t>2021</w:t>
            </w:r>
          </w:p>
        </w:tc>
        <w:tc>
          <w:tcPr>
            <w:tcW w:w="990" w:type="dxa"/>
            <w:tcBorders>
              <w:top w:val="single" w:sz="4" w:space="0" w:color="auto"/>
              <w:left w:val="nil"/>
              <w:bottom w:val="single" w:sz="4" w:space="0" w:color="auto"/>
              <w:right w:val="single" w:sz="4" w:space="0" w:color="auto"/>
            </w:tcBorders>
            <w:noWrap/>
            <w:vAlign w:val="bottom"/>
            <w:hideMark/>
          </w:tcPr>
          <w:p w14:paraId="301C1632" w14:textId="77777777" w:rsidR="00BA2765" w:rsidRPr="00BA2765" w:rsidRDefault="00BA2765" w:rsidP="00134B76">
            <w:pPr>
              <w:spacing w:before="240" w:line="360" w:lineRule="auto"/>
              <w:jc w:val="right"/>
              <w:rPr>
                <w:b/>
                <w:bCs/>
                <w:color w:val="000000"/>
                <w:lang w:val="en-US"/>
              </w:rPr>
            </w:pPr>
            <w:r w:rsidRPr="00BA2765">
              <w:rPr>
                <w:b/>
                <w:bCs/>
                <w:color w:val="000000"/>
                <w:lang w:val="en-US"/>
              </w:rPr>
              <w:t>2020</w:t>
            </w:r>
          </w:p>
        </w:tc>
      </w:tr>
      <w:tr w:rsidR="00BA2765" w:rsidRPr="00BA2765" w14:paraId="42FEA221" w14:textId="77777777" w:rsidTr="00134B76">
        <w:trPr>
          <w:trHeight w:val="915"/>
        </w:trPr>
        <w:tc>
          <w:tcPr>
            <w:tcW w:w="1255" w:type="dxa"/>
            <w:tcBorders>
              <w:top w:val="nil"/>
              <w:left w:val="single" w:sz="4" w:space="0" w:color="auto"/>
              <w:bottom w:val="single" w:sz="4" w:space="0" w:color="auto"/>
              <w:right w:val="single" w:sz="4" w:space="0" w:color="auto"/>
            </w:tcBorders>
            <w:noWrap/>
            <w:vAlign w:val="center"/>
            <w:hideMark/>
          </w:tcPr>
          <w:p w14:paraId="5F4B5E62" w14:textId="77777777" w:rsidR="00BA2765" w:rsidRPr="00BA2765" w:rsidRDefault="00BA2765" w:rsidP="00134B76">
            <w:pPr>
              <w:spacing w:line="240" w:lineRule="auto"/>
              <w:jc w:val="center"/>
              <w:rPr>
                <w:color w:val="000000"/>
                <w:lang w:val="en-US"/>
              </w:rPr>
            </w:pPr>
            <w:r w:rsidRPr="00BA2765">
              <w:rPr>
                <w:color w:val="000000"/>
                <w:lang w:val="en-US"/>
              </w:rPr>
              <w:t>Z score</w:t>
            </w:r>
          </w:p>
        </w:tc>
        <w:tc>
          <w:tcPr>
            <w:tcW w:w="2880" w:type="dxa"/>
            <w:tcBorders>
              <w:top w:val="nil"/>
              <w:left w:val="nil"/>
              <w:bottom w:val="single" w:sz="4" w:space="0" w:color="auto"/>
              <w:right w:val="single" w:sz="4" w:space="0" w:color="auto"/>
            </w:tcBorders>
            <w:vAlign w:val="bottom"/>
            <w:hideMark/>
          </w:tcPr>
          <w:p w14:paraId="6970C2C5" w14:textId="77777777" w:rsidR="00BA2765" w:rsidRPr="00BA2765" w:rsidRDefault="00BA2765" w:rsidP="00134B76">
            <w:pPr>
              <w:spacing w:line="240" w:lineRule="auto"/>
              <w:rPr>
                <w:color w:val="000000"/>
                <w:lang w:val="en-US"/>
              </w:rPr>
            </w:pPr>
            <w:r w:rsidRPr="00BA2765">
              <w:rPr>
                <w:color w:val="000000"/>
                <w:lang w:val="en-US"/>
              </w:rPr>
              <w:t>0.717*A + 0.847*B + 3.107*C + 0.420*D + 0.998*E</w:t>
            </w:r>
          </w:p>
        </w:tc>
        <w:tc>
          <w:tcPr>
            <w:tcW w:w="1170" w:type="dxa"/>
            <w:tcBorders>
              <w:top w:val="nil"/>
              <w:left w:val="nil"/>
              <w:bottom w:val="single" w:sz="4" w:space="0" w:color="auto"/>
              <w:right w:val="single" w:sz="4" w:space="0" w:color="auto"/>
            </w:tcBorders>
            <w:noWrap/>
            <w:vAlign w:val="bottom"/>
            <w:hideMark/>
          </w:tcPr>
          <w:p w14:paraId="25ECF25C" w14:textId="77777777" w:rsidR="00BA2765" w:rsidRPr="00BA2765" w:rsidRDefault="00BA2765" w:rsidP="00134B76">
            <w:pPr>
              <w:spacing w:line="240" w:lineRule="auto"/>
              <w:jc w:val="right"/>
              <w:rPr>
                <w:color w:val="000000"/>
                <w:lang w:val="en-US"/>
              </w:rPr>
            </w:pPr>
            <w:r w:rsidRPr="00BA2765">
              <w:rPr>
                <w:color w:val="000000"/>
                <w:lang w:val="en-US"/>
              </w:rPr>
              <w:t>2.182</w:t>
            </w:r>
          </w:p>
        </w:tc>
        <w:tc>
          <w:tcPr>
            <w:tcW w:w="1170" w:type="dxa"/>
            <w:tcBorders>
              <w:top w:val="nil"/>
              <w:left w:val="nil"/>
              <w:bottom w:val="single" w:sz="4" w:space="0" w:color="auto"/>
              <w:right w:val="single" w:sz="4" w:space="0" w:color="auto"/>
            </w:tcBorders>
            <w:noWrap/>
            <w:vAlign w:val="bottom"/>
            <w:hideMark/>
          </w:tcPr>
          <w:p w14:paraId="0E1A7164" w14:textId="77777777" w:rsidR="00BA2765" w:rsidRPr="00BA2765" w:rsidRDefault="00BA2765" w:rsidP="00134B76">
            <w:pPr>
              <w:spacing w:line="240" w:lineRule="auto"/>
              <w:jc w:val="right"/>
              <w:rPr>
                <w:color w:val="000000"/>
                <w:lang w:val="en-US"/>
              </w:rPr>
            </w:pPr>
            <w:r w:rsidRPr="00BA2765">
              <w:rPr>
                <w:color w:val="000000"/>
                <w:lang w:val="en-US"/>
              </w:rPr>
              <w:t>1.609</w:t>
            </w:r>
          </w:p>
        </w:tc>
        <w:tc>
          <w:tcPr>
            <w:tcW w:w="1080" w:type="dxa"/>
            <w:tcBorders>
              <w:top w:val="nil"/>
              <w:left w:val="nil"/>
              <w:bottom w:val="single" w:sz="4" w:space="0" w:color="auto"/>
              <w:right w:val="single" w:sz="4" w:space="0" w:color="auto"/>
            </w:tcBorders>
            <w:noWrap/>
            <w:vAlign w:val="bottom"/>
            <w:hideMark/>
          </w:tcPr>
          <w:p w14:paraId="277CC51F" w14:textId="77777777" w:rsidR="00BA2765" w:rsidRPr="00BA2765" w:rsidRDefault="00BA2765" w:rsidP="00134B76">
            <w:pPr>
              <w:spacing w:line="240" w:lineRule="auto"/>
              <w:jc w:val="right"/>
              <w:rPr>
                <w:color w:val="000000"/>
                <w:lang w:val="en-US"/>
              </w:rPr>
            </w:pPr>
            <w:r w:rsidRPr="00BA2765">
              <w:rPr>
                <w:color w:val="000000"/>
                <w:lang w:val="en-US"/>
              </w:rPr>
              <w:t>2.371</w:t>
            </w:r>
          </w:p>
        </w:tc>
        <w:tc>
          <w:tcPr>
            <w:tcW w:w="990" w:type="dxa"/>
            <w:tcBorders>
              <w:top w:val="nil"/>
              <w:left w:val="nil"/>
              <w:bottom w:val="single" w:sz="4" w:space="0" w:color="auto"/>
              <w:right w:val="single" w:sz="4" w:space="0" w:color="auto"/>
            </w:tcBorders>
            <w:noWrap/>
            <w:vAlign w:val="bottom"/>
            <w:hideMark/>
          </w:tcPr>
          <w:p w14:paraId="78A30E26" w14:textId="77777777" w:rsidR="00BA2765" w:rsidRPr="00BA2765" w:rsidRDefault="00BA2765" w:rsidP="00134B76">
            <w:pPr>
              <w:spacing w:line="240" w:lineRule="auto"/>
              <w:jc w:val="right"/>
              <w:rPr>
                <w:color w:val="000000"/>
                <w:lang w:val="en-US"/>
              </w:rPr>
            </w:pPr>
            <w:r w:rsidRPr="00BA2765">
              <w:rPr>
                <w:color w:val="000000"/>
                <w:lang w:val="en-US"/>
              </w:rPr>
              <w:t>2.530</w:t>
            </w:r>
          </w:p>
        </w:tc>
        <w:tc>
          <w:tcPr>
            <w:tcW w:w="990" w:type="dxa"/>
            <w:tcBorders>
              <w:top w:val="nil"/>
              <w:left w:val="nil"/>
              <w:bottom w:val="single" w:sz="4" w:space="0" w:color="auto"/>
              <w:right w:val="single" w:sz="4" w:space="0" w:color="auto"/>
            </w:tcBorders>
            <w:noWrap/>
            <w:vAlign w:val="bottom"/>
            <w:hideMark/>
          </w:tcPr>
          <w:p w14:paraId="2262CA7B" w14:textId="77777777" w:rsidR="00BA2765" w:rsidRPr="00BA2765" w:rsidRDefault="00BA2765" w:rsidP="00134B76">
            <w:pPr>
              <w:spacing w:line="240" w:lineRule="auto"/>
              <w:jc w:val="right"/>
              <w:rPr>
                <w:color w:val="000000"/>
                <w:lang w:val="en-US"/>
              </w:rPr>
            </w:pPr>
            <w:r w:rsidRPr="00BA2765">
              <w:rPr>
                <w:color w:val="000000"/>
                <w:lang w:val="en-US"/>
              </w:rPr>
              <w:t>2.844</w:t>
            </w:r>
          </w:p>
        </w:tc>
      </w:tr>
      <w:tr w:rsidR="00BA2765" w:rsidRPr="00BA2765" w14:paraId="4D52D98B" w14:textId="77777777" w:rsidTr="00134B76">
        <w:trPr>
          <w:trHeight w:val="300"/>
        </w:trPr>
        <w:tc>
          <w:tcPr>
            <w:tcW w:w="1255" w:type="dxa"/>
            <w:tcBorders>
              <w:top w:val="nil"/>
              <w:left w:val="single" w:sz="4" w:space="0" w:color="auto"/>
              <w:bottom w:val="single" w:sz="4" w:space="0" w:color="auto"/>
              <w:right w:val="nil"/>
            </w:tcBorders>
            <w:noWrap/>
            <w:vAlign w:val="bottom"/>
            <w:hideMark/>
          </w:tcPr>
          <w:p w14:paraId="3D9EB6D6" w14:textId="77777777" w:rsidR="00BA2765" w:rsidRPr="00BA2765" w:rsidRDefault="00BA2765" w:rsidP="00134B76">
            <w:pPr>
              <w:spacing w:line="240" w:lineRule="auto"/>
              <w:rPr>
                <w:b/>
                <w:bCs/>
                <w:color w:val="000000"/>
                <w:lang w:val="en-US"/>
              </w:rPr>
            </w:pPr>
            <w:r w:rsidRPr="00BA2765">
              <w:rPr>
                <w:b/>
                <w:bCs/>
                <w:color w:val="000000"/>
                <w:lang w:val="en-US"/>
              </w:rPr>
              <w:t>Variables</w:t>
            </w:r>
          </w:p>
        </w:tc>
        <w:tc>
          <w:tcPr>
            <w:tcW w:w="2880" w:type="dxa"/>
            <w:tcBorders>
              <w:top w:val="nil"/>
              <w:left w:val="nil"/>
              <w:bottom w:val="single" w:sz="4" w:space="0" w:color="auto"/>
              <w:right w:val="nil"/>
            </w:tcBorders>
            <w:noWrap/>
            <w:vAlign w:val="bottom"/>
            <w:hideMark/>
          </w:tcPr>
          <w:p w14:paraId="0CD90A55"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nil"/>
            </w:tcBorders>
            <w:noWrap/>
            <w:vAlign w:val="bottom"/>
            <w:hideMark/>
          </w:tcPr>
          <w:p w14:paraId="7D6E2981"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nil"/>
            </w:tcBorders>
            <w:noWrap/>
            <w:vAlign w:val="bottom"/>
            <w:hideMark/>
          </w:tcPr>
          <w:p w14:paraId="063B36C6"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080" w:type="dxa"/>
            <w:tcBorders>
              <w:top w:val="nil"/>
              <w:left w:val="nil"/>
              <w:bottom w:val="single" w:sz="4" w:space="0" w:color="auto"/>
              <w:right w:val="nil"/>
            </w:tcBorders>
            <w:noWrap/>
            <w:vAlign w:val="bottom"/>
            <w:hideMark/>
          </w:tcPr>
          <w:p w14:paraId="28B0F59D"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990" w:type="dxa"/>
            <w:tcBorders>
              <w:top w:val="nil"/>
              <w:left w:val="nil"/>
              <w:bottom w:val="single" w:sz="4" w:space="0" w:color="auto"/>
              <w:right w:val="nil"/>
            </w:tcBorders>
            <w:noWrap/>
            <w:vAlign w:val="bottom"/>
            <w:hideMark/>
          </w:tcPr>
          <w:p w14:paraId="27CB5DE8"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990" w:type="dxa"/>
            <w:tcBorders>
              <w:top w:val="nil"/>
              <w:left w:val="nil"/>
              <w:bottom w:val="single" w:sz="4" w:space="0" w:color="auto"/>
              <w:right w:val="single" w:sz="4" w:space="0" w:color="auto"/>
            </w:tcBorders>
            <w:noWrap/>
            <w:vAlign w:val="bottom"/>
            <w:hideMark/>
          </w:tcPr>
          <w:p w14:paraId="3FDE46E7" w14:textId="77777777" w:rsidR="00BA2765" w:rsidRPr="00BA2765" w:rsidRDefault="00BA2765" w:rsidP="00134B76">
            <w:pPr>
              <w:spacing w:line="240" w:lineRule="auto"/>
              <w:rPr>
                <w:b/>
                <w:bCs/>
                <w:color w:val="000000"/>
                <w:lang w:val="en-US"/>
              </w:rPr>
            </w:pPr>
            <w:r w:rsidRPr="00BA2765">
              <w:rPr>
                <w:b/>
                <w:bCs/>
                <w:color w:val="000000"/>
                <w:lang w:val="en-US"/>
              </w:rPr>
              <w:t> </w:t>
            </w:r>
          </w:p>
        </w:tc>
      </w:tr>
      <w:tr w:rsidR="00BA2765" w:rsidRPr="00BA2765" w14:paraId="5C54A262" w14:textId="77777777" w:rsidTr="00134B76">
        <w:trPr>
          <w:trHeight w:val="593"/>
        </w:trPr>
        <w:tc>
          <w:tcPr>
            <w:tcW w:w="1255" w:type="dxa"/>
            <w:tcBorders>
              <w:top w:val="nil"/>
              <w:left w:val="single" w:sz="4" w:space="0" w:color="auto"/>
              <w:bottom w:val="single" w:sz="4" w:space="0" w:color="auto"/>
              <w:right w:val="single" w:sz="4" w:space="0" w:color="auto"/>
            </w:tcBorders>
            <w:noWrap/>
            <w:vAlign w:val="bottom"/>
            <w:hideMark/>
          </w:tcPr>
          <w:p w14:paraId="7E708A3A" w14:textId="77777777" w:rsidR="00BA2765" w:rsidRPr="00BA2765" w:rsidRDefault="00BA2765" w:rsidP="00134B76">
            <w:pPr>
              <w:spacing w:line="240" w:lineRule="auto"/>
              <w:rPr>
                <w:color w:val="000000"/>
                <w:lang w:val="en-US"/>
              </w:rPr>
            </w:pPr>
            <w:r w:rsidRPr="00BA2765">
              <w:rPr>
                <w:color w:val="000000"/>
                <w:lang w:val="en-US"/>
              </w:rPr>
              <w:t>A</w:t>
            </w:r>
          </w:p>
        </w:tc>
        <w:tc>
          <w:tcPr>
            <w:tcW w:w="2880" w:type="dxa"/>
            <w:tcBorders>
              <w:top w:val="nil"/>
              <w:left w:val="nil"/>
              <w:bottom w:val="single" w:sz="4" w:space="0" w:color="auto"/>
              <w:right w:val="single" w:sz="4" w:space="0" w:color="auto"/>
            </w:tcBorders>
            <w:vAlign w:val="bottom"/>
            <w:hideMark/>
          </w:tcPr>
          <w:p w14:paraId="3E73C004" w14:textId="77777777" w:rsidR="00BA2765" w:rsidRPr="00BA2765" w:rsidRDefault="00BA2765" w:rsidP="00134B76">
            <w:pPr>
              <w:spacing w:line="240" w:lineRule="auto"/>
              <w:rPr>
                <w:color w:val="000000"/>
                <w:lang w:val="en-US"/>
              </w:rPr>
            </w:pPr>
            <w:r w:rsidRPr="00BA2765">
              <w:rPr>
                <w:color w:val="000000"/>
                <w:lang w:val="en-US"/>
              </w:rPr>
              <w:t>(Current Assets – Current Liabilities) / Total Assets</w:t>
            </w:r>
          </w:p>
        </w:tc>
        <w:tc>
          <w:tcPr>
            <w:tcW w:w="1170" w:type="dxa"/>
            <w:tcBorders>
              <w:top w:val="nil"/>
              <w:left w:val="nil"/>
              <w:bottom w:val="single" w:sz="4" w:space="0" w:color="auto"/>
              <w:right w:val="single" w:sz="4" w:space="0" w:color="auto"/>
            </w:tcBorders>
            <w:noWrap/>
            <w:vAlign w:val="bottom"/>
            <w:hideMark/>
          </w:tcPr>
          <w:p w14:paraId="799A3756" w14:textId="77777777" w:rsidR="00BA2765" w:rsidRPr="00BA2765" w:rsidRDefault="00BA2765" w:rsidP="00134B76">
            <w:pPr>
              <w:spacing w:line="240" w:lineRule="auto"/>
              <w:jc w:val="right"/>
              <w:rPr>
                <w:color w:val="000000"/>
                <w:lang w:val="en-US"/>
              </w:rPr>
            </w:pPr>
            <w:r w:rsidRPr="00BA2765">
              <w:rPr>
                <w:color w:val="000000"/>
                <w:lang w:val="en-US"/>
              </w:rPr>
              <w:t>0.2604</w:t>
            </w:r>
          </w:p>
        </w:tc>
        <w:tc>
          <w:tcPr>
            <w:tcW w:w="1170" w:type="dxa"/>
            <w:tcBorders>
              <w:top w:val="nil"/>
              <w:left w:val="nil"/>
              <w:bottom w:val="single" w:sz="4" w:space="0" w:color="auto"/>
              <w:right w:val="single" w:sz="4" w:space="0" w:color="auto"/>
            </w:tcBorders>
            <w:noWrap/>
            <w:vAlign w:val="bottom"/>
            <w:hideMark/>
          </w:tcPr>
          <w:p w14:paraId="2C49CEF0" w14:textId="77777777" w:rsidR="00BA2765" w:rsidRPr="00BA2765" w:rsidRDefault="00BA2765" w:rsidP="00134B76">
            <w:pPr>
              <w:spacing w:line="240" w:lineRule="auto"/>
              <w:jc w:val="right"/>
              <w:rPr>
                <w:color w:val="000000"/>
                <w:lang w:val="en-US"/>
              </w:rPr>
            </w:pPr>
            <w:r w:rsidRPr="00BA2765">
              <w:rPr>
                <w:color w:val="000000"/>
                <w:lang w:val="en-US"/>
              </w:rPr>
              <w:t>0.2745</w:t>
            </w:r>
          </w:p>
        </w:tc>
        <w:tc>
          <w:tcPr>
            <w:tcW w:w="1080" w:type="dxa"/>
            <w:tcBorders>
              <w:top w:val="nil"/>
              <w:left w:val="nil"/>
              <w:bottom w:val="single" w:sz="4" w:space="0" w:color="auto"/>
              <w:right w:val="single" w:sz="4" w:space="0" w:color="auto"/>
            </w:tcBorders>
            <w:noWrap/>
            <w:vAlign w:val="bottom"/>
            <w:hideMark/>
          </w:tcPr>
          <w:p w14:paraId="269487DC" w14:textId="77777777" w:rsidR="00BA2765" w:rsidRPr="00BA2765" w:rsidRDefault="00BA2765" w:rsidP="00134B76">
            <w:pPr>
              <w:spacing w:line="240" w:lineRule="auto"/>
              <w:jc w:val="right"/>
              <w:rPr>
                <w:color w:val="000000"/>
                <w:lang w:val="en-US"/>
              </w:rPr>
            </w:pPr>
            <w:r w:rsidRPr="00BA2765">
              <w:rPr>
                <w:color w:val="000000"/>
                <w:lang w:val="en-US"/>
              </w:rPr>
              <w:t>0.2411</w:t>
            </w:r>
          </w:p>
        </w:tc>
        <w:tc>
          <w:tcPr>
            <w:tcW w:w="990" w:type="dxa"/>
            <w:tcBorders>
              <w:top w:val="nil"/>
              <w:left w:val="nil"/>
              <w:bottom w:val="single" w:sz="4" w:space="0" w:color="auto"/>
              <w:right w:val="single" w:sz="4" w:space="0" w:color="auto"/>
            </w:tcBorders>
            <w:noWrap/>
            <w:vAlign w:val="bottom"/>
            <w:hideMark/>
          </w:tcPr>
          <w:p w14:paraId="2B2CBF04" w14:textId="77777777" w:rsidR="00BA2765" w:rsidRPr="00BA2765" w:rsidRDefault="00BA2765" w:rsidP="00134B76">
            <w:pPr>
              <w:spacing w:line="240" w:lineRule="auto"/>
              <w:jc w:val="right"/>
              <w:rPr>
                <w:color w:val="000000"/>
                <w:lang w:val="en-US"/>
              </w:rPr>
            </w:pPr>
            <w:r w:rsidRPr="00BA2765">
              <w:rPr>
                <w:color w:val="000000"/>
                <w:lang w:val="en-US"/>
              </w:rPr>
              <w:t>0.2358</w:t>
            </w:r>
          </w:p>
        </w:tc>
        <w:tc>
          <w:tcPr>
            <w:tcW w:w="990" w:type="dxa"/>
            <w:tcBorders>
              <w:top w:val="nil"/>
              <w:left w:val="nil"/>
              <w:bottom w:val="single" w:sz="4" w:space="0" w:color="auto"/>
              <w:right w:val="single" w:sz="4" w:space="0" w:color="auto"/>
            </w:tcBorders>
            <w:noWrap/>
            <w:vAlign w:val="bottom"/>
            <w:hideMark/>
          </w:tcPr>
          <w:p w14:paraId="6EA8C9DA" w14:textId="77777777" w:rsidR="00BA2765" w:rsidRPr="00BA2765" w:rsidRDefault="00BA2765" w:rsidP="00134B76">
            <w:pPr>
              <w:spacing w:line="240" w:lineRule="auto"/>
              <w:jc w:val="right"/>
              <w:rPr>
                <w:color w:val="000000"/>
                <w:lang w:val="en-US"/>
              </w:rPr>
            </w:pPr>
            <w:r w:rsidRPr="00BA2765">
              <w:rPr>
                <w:color w:val="000000"/>
                <w:lang w:val="en-US"/>
              </w:rPr>
              <w:t>0.2887</w:t>
            </w:r>
          </w:p>
        </w:tc>
      </w:tr>
      <w:tr w:rsidR="00BA2765" w:rsidRPr="00BA2765" w14:paraId="55BDE861" w14:textId="77777777" w:rsidTr="00134B76">
        <w:trPr>
          <w:trHeight w:val="600"/>
        </w:trPr>
        <w:tc>
          <w:tcPr>
            <w:tcW w:w="1255" w:type="dxa"/>
            <w:tcBorders>
              <w:top w:val="nil"/>
              <w:left w:val="single" w:sz="4" w:space="0" w:color="auto"/>
              <w:bottom w:val="single" w:sz="4" w:space="0" w:color="auto"/>
              <w:right w:val="single" w:sz="4" w:space="0" w:color="auto"/>
            </w:tcBorders>
            <w:noWrap/>
            <w:vAlign w:val="bottom"/>
            <w:hideMark/>
          </w:tcPr>
          <w:p w14:paraId="35E682E9" w14:textId="77777777" w:rsidR="00BA2765" w:rsidRPr="00BA2765" w:rsidRDefault="00BA2765" w:rsidP="00134B76">
            <w:pPr>
              <w:spacing w:line="240" w:lineRule="auto"/>
              <w:rPr>
                <w:color w:val="000000"/>
                <w:lang w:val="en-US"/>
              </w:rPr>
            </w:pPr>
            <w:r w:rsidRPr="00BA2765">
              <w:rPr>
                <w:color w:val="000000"/>
                <w:lang w:val="en-US"/>
              </w:rPr>
              <w:t>B</w:t>
            </w:r>
          </w:p>
        </w:tc>
        <w:tc>
          <w:tcPr>
            <w:tcW w:w="2880" w:type="dxa"/>
            <w:tcBorders>
              <w:top w:val="nil"/>
              <w:left w:val="nil"/>
              <w:bottom w:val="single" w:sz="4" w:space="0" w:color="auto"/>
              <w:right w:val="single" w:sz="4" w:space="0" w:color="auto"/>
            </w:tcBorders>
            <w:vAlign w:val="bottom"/>
            <w:hideMark/>
          </w:tcPr>
          <w:p w14:paraId="67390167" w14:textId="77777777" w:rsidR="00BA2765" w:rsidRPr="00BA2765" w:rsidRDefault="00BA2765" w:rsidP="00134B76">
            <w:pPr>
              <w:spacing w:line="240" w:lineRule="auto"/>
              <w:rPr>
                <w:color w:val="000000"/>
                <w:lang w:val="en-US"/>
              </w:rPr>
            </w:pPr>
            <w:r w:rsidRPr="00BA2765">
              <w:rPr>
                <w:color w:val="000000"/>
                <w:lang w:val="en-US"/>
              </w:rPr>
              <w:t>Retained Earnings / Total Assets</w:t>
            </w:r>
          </w:p>
        </w:tc>
        <w:tc>
          <w:tcPr>
            <w:tcW w:w="1170" w:type="dxa"/>
            <w:tcBorders>
              <w:top w:val="nil"/>
              <w:left w:val="nil"/>
              <w:bottom w:val="single" w:sz="4" w:space="0" w:color="auto"/>
              <w:right w:val="single" w:sz="4" w:space="0" w:color="auto"/>
            </w:tcBorders>
            <w:noWrap/>
            <w:vAlign w:val="bottom"/>
            <w:hideMark/>
          </w:tcPr>
          <w:p w14:paraId="10F7C7AE" w14:textId="77777777" w:rsidR="00BA2765" w:rsidRPr="00BA2765" w:rsidRDefault="00BA2765" w:rsidP="00134B76">
            <w:pPr>
              <w:spacing w:line="240" w:lineRule="auto"/>
              <w:jc w:val="right"/>
              <w:rPr>
                <w:color w:val="000000"/>
                <w:lang w:val="en-US"/>
              </w:rPr>
            </w:pPr>
            <w:r w:rsidRPr="00BA2765">
              <w:rPr>
                <w:color w:val="000000"/>
                <w:lang w:val="en-US"/>
              </w:rPr>
              <w:t>0.6446</w:t>
            </w:r>
          </w:p>
        </w:tc>
        <w:tc>
          <w:tcPr>
            <w:tcW w:w="1170" w:type="dxa"/>
            <w:tcBorders>
              <w:top w:val="nil"/>
              <w:left w:val="nil"/>
              <w:bottom w:val="single" w:sz="4" w:space="0" w:color="auto"/>
              <w:right w:val="single" w:sz="4" w:space="0" w:color="auto"/>
            </w:tcBorders>
            <w:noWrap/>
            <w:vAlign w:val="bottom"/>
            <w:hideMark/>
          </w:tcPr>
          <w:p w14:paraId="0CB409F9" w14:textId="77777777" w:rsidR="00BA2765" w:rsidRPr="00BA2765" w:rsidRDefault="00BA2765" w:rsidP="00134B76">
            <w:pPr>
              <w:spacing w:line="240" w:lineRule="auto"/>
              <w:jc w:val="right"/>
              <w:rPr>
                <w:color w:val="000000"/>
                <w:lang w:val="en-US"/>
              </w:rPr>
            </w:pPr>
            <w:r w:rsidRPr="00BA2765">
              <w:rPr>
                <w:color w:val="000000"/>
                <w:lang w:val="en-US"/>
              </w:rPr>
              <w:t>0.6532</w:t>
            </w:r>
          </w:p>
        </w:tc>
        <w:tc>
          <w:tcPr>
            <w:tcW w:w="1080" w:type="dxa"/>
            <w:tcBorders>
              <w:top w:val="nil"/>
              <w:left w:val="nil"/>
              <w:bottom w:val="single" w:sz="4" w:space="0" w:color="auto"/>
              <w:right w:val="single" w:sz="4" w:space="0" w:color="auto"/>
            </w:tcBorders>
            <w:noWrap/>
            <w:vAlign w:val="bottom"/>
            <w:hideMark/>
          </w:tcPr>
          <w:p w14:paraId="71EF4BED" w14:textId="77777777" w:rsidR="00BA2765" w:rsidRPr="00BA2765" w:rsidRDefault="00BA2765" w:rsidP="00134B76">
            <w:pPr>
              <w:spacing w:line="240" w:lineRule="auto"/>
              <w:jc w:val="right"/>
              <w:rPr>
                <w:color w:val="000000"/>
                <w:lang w:val="en-US"/>
              </w:rPr>
            </w:pPr>
            <w:r w:rsidRPr="00BA2765">
              <w:rPr>
                <w:color w:val="000000"/>
                <w:lang w:val="en-US"/>
              </w:rPr>
              <w:t>0.6559</w:t>
            </w:r>
          </w:p>
        </w:tc>
        <w:tc>
          <w:tcPr>
            <w:tcW w:w="990" w:type="dxa"/>
            <w:tcBorders>
              <w:top w:val="nil"/>
              <w:left w:val="nil"/>
              <w:bottom w:val="single" w:sz="4" w:space="0" w:color="auto"/>
              <w:right w:val="single" w:sz="4" w:space="0" w:color="auto"/>
            </w:tcBorders>
            <w:noWrap/>
            <w:vAlign w:val="bottom"/>
            <w:hideMark/>
          </w:tcPr>
          <w:p w14:paraId="0440C554" w14:textId="77777777" w:rsidR="00BA2765" w:rsidRPr="00BA2765" w:rsidRDefault="00BA2765" w:rsidP="00134B76">
            <w:pPr>
              <w:spacing w:line="240" w:lineRule="auto"/>
              <w:jc w:val="right"/>
              <w:rPr>
                <w:color w:val="000000"/>
                <w:lang w:val="en-US"/>
              </w:rPr>
            </w:pPr>
            <w:r w:rsidRPr="00BA2765">
              <w:rPr>
                <w:color w:val="000000"/>
                <w:lang w:val="en-US"/>
              </w:rPr>
              <w:t>0.6472</w:t>
            </w:r>
          </w:p>
        </w:tc>
        <w:tc>
          <w:tcPr>
            <w:tcW w:w="990" w:type="dxa"/>
            <w:tcBorders>
              <w:top w:val="nil"/>
              <w:left w:val="nil"/>
              <w:bottom w:val="single" w:sz="4" w:space="0" w:color="auto"/>
              <w:right w:val="single" w:sz="4" w:space="0" w:color="auto"/>
            </w:tcBorders>
            <w:noWrap/>
            <w:vAlign w:val="bottom"/>
            <w:hideMark/>
          </w:tcPr>
          <w:p w14:paraId="43DECF27" w14:textId="77777777" w:rsidR="00BA2765" w:rsidRPr="00BA2765" w:rsidRDefault="00BA2765" w:rsidP="00134B76">
            <w:pPr>
              <w:spacing w:line="240" w:lineRule="auto"/>
              <w:jc w:val="right"/>
              <w:rPr>
                <w:color w:val="000000"/>
                <w:lang w:val="en-US"/>
              </w:rPr>
            </w:pPr>
            <w:r w:rsidRPr="00BA2765">
              <w:rPr>
                <w:color w:val="000000"/>
                <w:lang w:val="en-US"/>
              </w:rPr>
              <w:t>0.6369</w:t>
            </w:r>
          </w:p>
        </w:tc>
      </w:tr>
      <w:tr w:rsidR="00BA2765" w:rsidRPr="00BA2765" w14:paraId="3B2A57E2" w14:textId="77777777" w:rsidTr="00134B76">
        <w:trPr>
          <w:trHeight w:val="300"/>
        </w:trPr>
        <w:tc>
          <w:tcPr>
            <w:tcW w:w="1255" w:type="dxa"/>
            <w:tcBorders>
              <w:top w:val="nil"/>
              <w:left w:val="single" w:sz="4" w:space="0" w:color="auto"/>
              <w:bottom w:val="single" w:sz="4" w:space="0" w:color="auto"/>
              <w:right w:val="single" w:sz="4" w:space="0" w:color="auto"/>
            </w:tcBorders>
            <w:noWrap/>
            <w:vAlign w:val="bottom"/>
            <w:hideMark/>
          </w:tcPr>
          <w:p w14:paraId="7188A993" w14:textId="77777777" w:rsidR="00BA2765" w:rsidRPr="00BA2765" w:rsidRDefault="00BA2765" w:rsidP="00134B76">
            <w:pPr>
              <w:spacing w:line="240" w:lineRule="auto"/>
              <w:rPr>
                <w:color w:val="000000"/>
                <w:lang w:val="en-US"/>
              </w:rPr>
            </w:pPr>
            <w:r w:rsidRPr="00BA2765">
              <w:rPr>
                <w:color w:val="000000"/>
                <w:lang w:val="en-US"/>
              </w:rPr>
              <w:t>C</w:t>
            </w:r>
          </w:p>
        </w:tc>
        <w:tc>
          <w:tcPr>
            <w:tcW w:w="2880" w:type="dxa"/>
            <w:tcBorders>
              <w:top w:val="nil"/>
              <w:left w:val="nil"/>
              <w:bottom w:val="single" w:sz="4" w:space="0" w:color="auto"/>
              <w:right w:val="single" w:sz="4" w:space="0" w:color="auto"/>
            </w:tcBorders>
            <w:vAlign w:val="bottom"/>
            <w:hideMark/>
          </w:tcPr>
          <w:p w14:paraId="22DE7287" w14:textId="77777777" w:rsidR="00BA2765" w:rsidRPr="00BA2765" w:rsidRDefault="00BA2765" w:rsidP="00134B76">
            <w:pPr>
              <w:spacing w:line="240" w:lineRule="auto"/>
              <w:rPr>
                <w:color w:val="000000"/>
                <w:lang w:val="en-US"/>
              </w:rPr>
            </w:pPr>
            <w:r w:rsidRPr="00BA2765">
              <w:rPr>
                <w:color w:val="000000"/>
                <w:lang w:val="en-US"/>
              </w:rPr>
              <w:t>EBIT / Total Assets</w:t>
            </w:r>
          </w:p>
        </w:tc>
        <w:tc>
          <w:tcPr>
            <w:tcW w:w="1170" w:type="dxa"/>
            <w:tcBorders>
              <w:top w:val="nil"/>
              <w:left w:val="nil"/>
              <w:bottom w:val="single" w:sz="4" w:space="0" w:color="auto"/>
              <w:right w:val="single" w:sz="4" w:space="0" w:color="auto"/>
            </w:tcBorders>
            <w:noWrap/>
            <w:vAlign w:val="bottom"/>
            <w:hideMark/>
          </w:tcPr>
          <w:p w14:paraId="4ADC5DC3" w14:textId="77777777" w:rsidR="00BA2765" w:rsidRPr="00BA2765" w:rsidRDefault="00BA2765" w:rsidP="00134B76">
            <w:pPr>
              <w:spacing w:line="240" w:lineRule="auto"/>
              <w:jc w:val="right"/>
              <w:rPr>
                <w:color w:val="000000"/>
                <w:lang w:val="en-US"/>
              </w:rPr>
            </w:pPr>
            <w:r w:rsidRPr="00BA2765">
              <w:rPr>
                <w:color w:val="000000"/>
                <w:lang w:val="en-US"/>
              </w:rPr>
              <w:t>-0.0473</w:t>
            </w:r>
          </w:p>
        </w:tc>
        <w:tc>
          <w:tcPr>
            <w:tcW w:w="1170" w:type="dxa"/>
            <w:tcBorders>
              <w:top w:val="nil"/>
              <w:left w:val="nil"/>
              <w:bottom w:val="single" w:sz="4" w:space="0" w:color="auto"/>
              <w:right w:val="single" w:sz="4" w:space="0" w:color="auto"/>
            </w:tcBorders>
            <w:noWrap/>
            <w:vAlign w:val="bottom"/>
            <w:hideMark/>
          </w:tcPr>
          <w:p w14:paraId="0305EEF1" w14:textId="77777777" w:rsidR="00BA2765" w:rsidRPr="00BA2765" w:rsidRDefault="00BA2765" w:rsidP="00134B76">
            <w:pPr>
              <w:spacing w:line="240" w:lineRule="auto"/>
              <w:jc w:val="right"/>
              <w:rPr>
                <w:color w:val="000000"/>
                <w:lang w:val="en-US"/>
              </w:rPr>
            </w:pPr>
            <w:r w:rsidRPr="00BA2765">
              <w:rPr>
                <w:color w:val="000000"/>
                <w:lang w:val="en-US"/>
              </w:rPr>
              <w:t>-0.2397</w:t>
            </w:r>
          </w:p>
        </w:tc>
        <w:tc>
          <w:tcPr>
            <w:tcW w:w="1080" w:type="dxa"/>
            <w:tcBorders>
              <w:top w:val="nil"/>
              <w:left w:val="nil"/>
              <w:bottom w:val="single" w:sz="4" w:space="0" w:color="auto"/>
              <w:right w:val="single" w:sz="4" w:space="0" w:color="auto"/>
            </w:tcBorders>
            <w:noWrap/>
            <w:vAlign w:val="bottom"/>
            <w:hideMark/>
          </w:tcPr>
          <w:p w14:paraId="15AC32A6" w14:textId="77777777" w:rsidR="00BA2765" w:rsidRPr="00BA2765" w:rsidRDefault="00BA2765" w:rsidP="00134B76">
            <w:pPr>
              <w:spacing w:line="240" w:lineRule="auto"/>
              <w:jc w:val="right"/>
              <w:rPr>
                <w:color w:val="000000"/>
                <w:lang w:val="en-US"/>
              </w:rPr>
            </w:pPr>
            <w:r w:rsidRPr="00BA2765">
              <w:rPr>
                <w:color w:val="000000"/>
                <w:lang w:val="en-US"/>
              </w:rPr>
              <w:t>0.0289</w:t>
            </w:r>
          </w:p>
        </w:tc>
        <w:tc>
          <w:tcPr>
            <w:tcW w:w="990" w:type="dxa"/>
            <w:tcBorders>
              <w:top w:val="nil"/>
              <w:left w:val="nil"/>
              <w:bottom w:val="single" w:sz="4" w:space="0" w:color="auto"/>
              <w:right w:val="single" w:sz="4" w:space="0" w:color="auto"/>
            </w:tcBorders>
            <w:noWrap/>
            <w:vAlign w:val="bottom"/>
            <w:hideMark/>
          </w:tcPr>
          <w:p w14:paraId="0A1FCC66" w14:textId="77777777" w:rsidR="00BA2765" w:rsidRPr="00BA2765" w:rsidRDefault="00BA2765" w:rsidP="00134B76">
            <w:pPr>
              <w:spacing w:line="240" w:lineRule="auto"/>
              <w:jc w:val="right"/>
              <w:rPr>
                <w:color w:val="000000"/>
                <w:lang w:val="en-US"/>
              </w:rPr>
            </w:pPr>
            <w:r w:rsidRPr="00BA2765">
              <w:rPr>
                <w:color w:val="000000"/>
                <w:lang w:val="en-US"/>
              </w:rPr>
              <w:t>0.0456</w:t>
            </w:r>
          </w:p>
        </w:tc>
        <w:tc>
          <w:tcPr>
            <w:tcW w:w="990" w:type="dxa"/>
            <w:tcBorders>
              <w:top w:val="nil"/>
              <w:left w:val="nil"/>
              <w:bottom w:val="single" w:sz="4" w:space="0" w:color="auto"/>
              <w:right w:val="single" w:sz="4" w:space="0" w:color="auto"/>
            </w:tcBorders>
            <w:noWrap/>
            <w:vAlign w:val="bottom"/>
            <w:hideMark/>
          </w:tcPr>
          <w:p w14:paraId="00F1111E" w14:textId="77777777" w:rsidR="00BA2765" w:rsidRPr="00BA2765" w:rsidRDefault="00BA2765" w:rsidP="00134B76">
            <w:pPr>
              <w:spacing w:line="240" w:lineRule="auto"/>
              <w:jc w:val="right"/>
              <w:rPr>
                <w:color w:val="000000"/>
                <w:lang w:val="en-US"/>
              </w:rPr>
            </w:pPr>
            <w:r w:rsidRPr="00BA2765">
              <w:rPr>
                <w:color w:val="000000"/>
                <w:lang w:val="en-US"/>
              </w:rPr>
              <w:t>0.0730</w:t>
            </w:r>
          </w:p>
        </w:tc>
      </w:tr>
      <w:tr w:rsidR="00BA2765" w:rsidRPr="00BA2765" w14:paraId="37A6D3A6" w14:textId="77777777" w:rsidTr="00134B76">
        <w:trPr>
          <w:trHeight w:val="600"/>
        </w:trPr>
        <w:tc>
          <w:tcPr>
            <w:tcW w:w="1255" w:type="dxa"/>
            <w:tcBorders>
              <w:top w:val="nil"/>
              <w:left w:val="single" w:sz="4" w:space="0" w:color="auto"/>
              <w:bottom w:val="single" w:sz="4" w:space="0" w:color="auto"/>
              <w:right w:val="single" w:sz="4" w:space="0" w:color="auto"/>
            </w:tcBorders>
            <w:noWrap/>
            <w:vAlign w:val="bottom"/>
            <w:hideMark/>
          </w:tcPr>
          <w:p w14:paraId="627A447B" w14:textId="77777777" w:rsidR="00BA2765" w:rsidRPr="00BA2765" w:rsidRDefault="00BA2765" w:rsidP="00134B76">
            <w:pPr>
              <w:spacing w:line="240" w:lineRule="auto"/>
              <w:rPr>
                <w:color w:val="000000"/>
                <w:lang w:val="en-US"/>
              </w:rPr>
            </w:pPr>
            <w:r w:rsidRPr="00BA2765">
              <w:rPr>
                <w:color w:val="000000"/>
                <w:lang w:val="en-US"/>
              </w:rPr>
              <w:t>D</w:t>
            </w:r>
          </w:p>
        </w:tc>
        <w:tc>
          <w:tcPr>
            <w:tcW w:w="2880" w:type="dxa"/>
            <w:tcBorders>
              <w:top w:val="nil"/>
              <w:left w:val="nil"/>
              <w:bottom w:val="single" w:sz="4" w:space="0" w:color="auto"/>
              <w:right w:val="single" w:sz="4" w:space="0" w:color="auto"/>
            </w:tcBorders>
            <w:vAlign w:val="center"/>
            <w:hideMark/>
          </w:tcPr>
          <w:p w14:paraId="07A1FDA6" w14:textId="77777777" w:rsidR="00BA2765" w:rsidRPr="00BA2765" w:rsidRDefault="00BA2765" w:rsidP="00134B76">
            <w:pPr>
              <w:spacing w:line="240" w:lineRule="auto"/>
              <w:rPr>
                <w:color w:val="000000"/>
                <w:lang w:val="en-US"/>
              </w:rPr>
            </w:pPr>
            <w:r w:rsidRPr="00BA2765">
              <w:rPr>
                <w:color w:val="000000"/>
                <w:lang w:val="en-US"/>
              </w:rPr>
              <w:t>Book Value of Equity / Total Liabilities</w:t>
            </w:r>
          </w:p>
        </w:tc>
        <w:tc>
          <w:tcPr>
            <w:tcW w:w="1170" w:type="dxa"/>
            <w:tcBorders>
              <w:top w:val="nil"/>
              <w:left w:val="nil"/>
              <w:bottom w:val="single" w:sz="4" w:space="0" w:color="auto"/>
              <w:right w:val="single" w:sz="4" w:space="0" w:color="auto"/>
            </w:tcBorders>
            <w:noWrap/>
            <w:vAlign w:val="bottom"/>
            <w:hideMark/>
          </w:tcPr>
          <w:p w14:paraId="6C8C9069" w14:textId="77777777" w:rsidR="00BA2765" w:rsidRPr="00BA2765" w:rsidRDefault="00BA2765" w:rsidP="00134B76">
            <w:pPr>
              <w:spacing w:line="240" w:lineRule="auto"/>
              <w:jc w:val="right"/>
              <w:rPr>
                <w:color w:val="000000"/>
                <w:lang w:val="en-US"/>
              </w:rPr>
            </w:pPr>
            <w:r w:rsidRPr="00BA2765">
              <w:rPr>
                <w:color w:val="000000"/>
                <w:lang w:val="en-US"/>
              </w:rPr>
              <w:t>0.8993</w:t>
            </w:r>
          </w:p>
        </w:tc>
        <w:tc>
          <w:tcPr>
            <w:tcW w:w="1170" w:type="dxa"/>
            <w:tcBorders>
              <w:top w:val="nil"/>
              <w:left w:val="nil"/>
              <w:bottom w:val="single" w:sz="4" w:space="0" w:color="auto"/>
              <w:right w:val="single" w:sz="4" w:space="0" w:color="auto"/>
            </w:tcBorders>
            <w:noWrap/>
            <w:vAlign w:val="bottom"/>
            <w:hideMark/>
          </w:tcPr>
          <w:p w14:paraId="678CF471" w14:textId="77777777" w:rsidR="00BA2765" w:rsidRPr="00BA2765" w:rsidRDefault="00BA2765" w:rsidP="00134B76">
            <w:pPr>
              <w:spacing w:line="240" w:lineRule="auto"/>
              <w:jc w:val="right"/>
              <w:rPr>
                <w:color w:val="000000"/>
                <w:lang w:val="en-US"/>
              </w:rPr>
            </w:pPr>
            <w:r w:rsidRPr="00BA2765">
              <w:rPr>
                <w:color w:val="000000"/>
                <w:lang w:val="en-US"/>
              </w:rPr>
              <w:t>1.0111</w:t>
            </w:r>
          </w:p>
        </w:tc>
        <w:tc>
          <w:tcPr>
            <w:tcW w:w="1080" w:type="dxa"/>
            <w:tcBorders>
              <w:top w:val="nil"/>
              <w:left w:val="nil"/>
              <w:bottom w:val="single" w:sz="4" w:space="0" w:color="auto"/>
              <w:right w:val="single" w:sz="4" w:space="0" w:color="auto"/>
            </w:tcBorders>
            <w:noWrap/>
            <w:vAlign w:val="bottom"/>
            <w:hideMark/>
          </w:tcPr>
          <w:p w14:paraId="258A8D43" w14:textId="77777777" w:rsidR="00BA2765" w:rsidRPr="00BA2765" w:rsidRDefault="00BA2765" w:rsidP="00134B76">
            <w:pPr>
              <w:spacing w:line="240" w:lineRule="auto"/>
              <w:jc w:val="right"/>
              <w:rPr>
                <w:color w:val="000000"/>
                <w:lang w:val="en-US"/>
              </w:rPr>
            </w:pPr>
            <w:r w:rsidRPr="00BA2765">
              <w:rPr>
                <w:color w:val="000000"/>
                <w:lang w:val="en-US"/>
              </w:rPr>
              <w:t>1.1385</w:t>
            </w:r>
          </w:p>
        </w:tc>
        <w:tc>
          <w:tcPr>
            <w:tcW w:w="990" w:type="dxa"/>
            <w:tcBorders>
              <w:top w:val="nil"/>
              <w:left w:val="nil"/>
              <w:bottom w:val="single" w:sz="4" w:space="0" w:color="auto"/>
              <w:right w:val="single" w:sz="4" w:space="0" w:color="auto"/>
            </w:tcBorders>
            <w:noWrap/>
            <w:vAlign w:val="bottom"/>
            <w:hideMark/>
          </w:tcPr>
          <w:p w14:paraId="4F5A00A1" w14:textId="77777777" w:rsidR="00BA2765" w:rsidRPr="00BA2765" w:rsidRDefault="00BA2765" w:rsidP="00134B76">
            <w:pPr>
              <w:spacing w:line="240" w:lineRule="auto"/>
              <w:jc w:val="right"/>
              <w:rPr>
                <w:color w:val="000000"/>
                <w:lang w:val="en-US"/>
              </w:rPr>
            </w:pPr>
            <w:r w:rsidRPr="00BA2765">
              <w:rPr>
                <w:color w:val="000000"/>
                <w:lang w:val="en-US"/>
              </w:rPr>
              <w:t>1.1773</w:t>
            </w:r>
          </w:p>
        </w:tc>
        <w:tc>
          <w:tcPr>
            <w:tcW w:w="990" w:type="dxa"/>
            <w:tcBorders>
              <w:top w:val="nil"/>
              <w:left w:val="nil"/>
              <w:bottom w:val="single" w:sz="4" w:space="0" w:color="auto"/>
              <w:right w:val="single" w:sz="4" w:space="0" w:color="auto"/>
            </w:tcBorders>
            <w:noWrap/>
            <w:vAlign w:val="bottom"/>
            <w:hideMark/>
          </w:tcPr>
          <w:p w14:paraId="4AD710A8" w14:textId="77777777" w:rsidR="00BA2765" w:rsidRPr="00BA2765" w:rsidRDefault="00BA2765" w:rsidP="00134B76">
            <w:pPr>
              <w:spacing w:line="240" w:lineRule="auto"/>
              <w:jc w:val="right"/>
              <w:rPr>
                <w:color w:val="000000"/>
                <w:lang w:val="en-US"/>
              </w:rPr>
            </w:pPr>
            <w:r w:rsidRPr="00BA2765">
              <w:rPr>
                <w:color w:val="000000"/>
                <w:lang w:val="en-US"/>
              </w:rPr>
              <w:t>1.5904</w:t>
            </w:r>
          </w:p>
        </w:tc>
      </w:tr>
      <w:tr w:rsidR="00BA2765" w:rsidRPr="00BA2765" w14:paraId="5030755D" w14:textId="77777777" w:rsidTr="00134B76">
        <w:trPr>
          <w:trHeight w:val="350"/>
        </w:trPr>
        <w:tc>
          <w:tcPr>
            <w:tcW w:w="1255" w:type="dxa"/>
            <w:tcBorders>
              <w:top w:val="nil"/>
              <w:left w:val="single" w:sz="4" w:space="0" w:color="auto"/>
              <w:bottom w:val="single" w:sz="4" w:space="0" w:color="auto"/>
              <w:right w:val="single" w:sz="4" w:space="0" w:color="auto"/>
            </w:tcBorders>
            <w:noWrap/>
            <w:vAlign w:val="bottom"/>
            <w:hideMark/>
          </w:tcPr>
          <w:p w14:paraId="1612603F" w14:textId="77777777" w:rsidR="00BA2765" w:rsidRPr="00BA2765" w:rsidRDefault="00BA2765" w:rsidP="00134B76">
            <w:pPr>
              <w:spacing w:line="240" w:lineRule="auto"/>
              <w:rPr>
                <w:color w:val="000000"/>
                <w:lang w:val="en-US"/>
              </w:rPr>
            </w:pPr>
            <w:r w:rsidRPr="00BA2765">
              <w:rPr>
                <w:color w:val="000000"/>
                <w:lang w:val="en-US"/>
              </w:rPr>
              <w:t>E</w:t>
            </w:r>
          </w:p>
        </w:tc>
        <w:tc>
          <w:tcPr>
            <w:tcW w:w="2880" w:type="dxa"/>
            <w:tcBorders>
              <w:top w:val="nil"/>
              <w:left w:val="nil"/>
              <w:bottom w:val="single" w:sz="4" w:space="0" w:color="auto"/>
              <w:right w:val="single" w:sz="4" w:space="0" w:color="auto"/>
            </w:tcBorders>
            <w:vAlign w:val="bottom"/>
            <w:hideMark/>
          </w:tcPr>
          <w:p w14:paraId="5A031BAA" w14:textId="77777777" w:rsidR="00BA2765" w:rsidRPr="00BA2765" w:rsidRDefault="00BA2765" w:rsidP="00134B76">
            <w:pPr>
              <w:spacing w:line="240" w:lineRule="auto"/>
              <w:rPr>
                <w:color w:val="000000"/>
                <w:lang w:val="en-US"/>
              </w:rPr>
            </w:pPr>
            <w:r w:rsidRPr="00BA2765">
              <w:rPr>
                <w:color w:val="000000"/>
                <w:lang w:val="en-US"/>
              </w:rPr>
              <w:t>Sales / Total Assets</w:t>
            </w:r>
          </w:p>
        </w:tc>
        <w:tc>
          <w:tcPr>
            <w:tcW w:w="1170" w:type="dxa"/>
            <w:tcBorders>
              <w:top w:val="nil"/>
              <w:left w:val="nil"/>
              <w:bottom w:val="single" w:sz="4" w:space="0" w:color="auto"/>
              <w:right w:val="single" w:sz="4" w:space="0" w:color="auto"/>
            </w:tcBorders>
            <w:noWrap/>
            <w:vAlign w:val="bottom"/>
            <w:hideMark/>
          </w:tcPr>
          <w:p w14:paraId="44492D3D" w14:textId="77777777" w:rsidR="00BA2765" w:rsidRPr="00BA2765" w:rsidRDefault="00BA2765" w:rsidP="00134B76">
            <w:pPr>
              <w:spacing w:line="240" w:lineRule="auto"/>
              <w:jc w:val="right"/>
              <w:rPr>
                <w:color w:val="000000"/>
                <w:lang w:val="en-US"/>
              </w:rPr>
            </w:pPr>
            <w:r w:rsidRPr="00BA2765">
              <w:rPr>
                <w:color w:val="000000"/>
                <w:lang w:val="en-US"/>
              </w:rPr>
              <w:t>1.2212</w:t>
            </w:r>
          </w:p>
        </w:tc>
        <w:tc>
          <w:tcPr>
            <w:tcW w:w="1170" w:type="dxa"/>
            <w:tcBorders>
              <w:top w:val="nil"/>
              <w:left w:val="nil"/>
              <w:bottom w:val="single" w:sz="4" w:space="0" w:color="auto"/>
              <w:right w:val="single" w:sz="4" w:space="0" w:color="auto"/>
            </w:tcBorders>
            <w:noWrap/>
            <w:vAlign w:val="bottom"/>
            <w:hideMark/>
          </w:tcPr>
          <w:p w14:paraId="465946E4" w14:textId="77777777" w:rsidR="00BA2765" w:rsidRPr="00BA2765" w:rsidRDefault="00BA2765" w:rsidP="00134B76">
            <w:pPr>
              <w:spacing w:line="240" w:lineRule="auto"/>
              <w:jc w:val="right"/>
              <w:rPr>
                <w:color w:val="000000"/>
                <w:lang w:val="en-US"/>
              </w:rPr>
            </w:pPr>
            <w:r w:rsidRPr="00BA2765">
              <w:rPr>
                <w:color w:val="000000"/>
                <w:lang w:val="en-US"/>
              </w:rPr>
              <w:t>1.1815</w:t>
            </w:r>
          </w:p>
        </w:tc>
        <w:tc>
          <w:tcPr>
            <w:tcW w:w="1080" w:type="dxa"/>
            <w:tcBorders>
              <w:top w:val="nil"/>
              <w:left w:val="nil"/>
              <w:bottom w:val="single" w:sz="4" w:space="0" w:color="auto"/>
              <w:right w:val="single" w:sz="4" w:space="0" w:color="auto"/>
            </w:tcBorders>
            <w:noWrap/>
            <w:vAlign w:val="bottom"/>
            <w:hideMark/>
          </w:tcPr>
          <w:p w14:paraId="6A01687A" w14:textId="77777777" w:rsidR="00BA2765" w:rsidRPr="00BA2765" w:rsidRDefault="00BA2765" w:rsidP="00134B76">
            <w:pPr>
              <w:spacing w:line="240" w:lineRule="auto"/>
              <w:jc w:val="right"/>
              <w:rPr>
                <w:color w:val="000000"/>
                <w:lang w:val="en-US"/>
              </w:rPr>
            </w:pPr>
            <w:r w:rsidRPr="00BA2765">
              <w:rPr>
                <w:color w:val="000000"/>
                <w:lang w:val="en-US"/>
              </w:rPr>
              <w:t>1.0765</w:t>
            </w:r>
          </w:p>
        </w:tc>
        <w:tc>
          <w:tcPr>
            <w:tcW w:w="990" w:type="dxa"/>
            <w:tcBorders>
              <w:top w:val="nil"/>
              <w:left w:val="nil"/>
              <w:bottom w:val="single" w:sz="4" w:space="0" w:color="auto"/>
              <w:right w:val="single" w:sz="4" w:space="0" w:color="auto"/>
            </w:tcBorders>
            <w:noWrap/>
            <w:vAlign w:val="bottom"/>
            <w:hideMark/>
          </w:tcPr>
          <w:p w14:paraId="5311ED61" w14:textId="77777777" w:rsidR="00BA2765" w:rsidRPr="00BA2765" w:rsidRDefault="00BA2765" w:rsidP="00134B76">
            <w:pPr>
              <w:spacing w:line="240" w:lineRule="auto"/>
              <w:jc w:val="right"/>
              <w:rPr>
                <w:color w:val="000000"/>
                <w:lang w:val="en-US"/>
              </w:rPr>
            </w:pPr>
            <w:r w:rsidRPr="00BA2765">
              <w:rPr>
                <w:color w:val="000000"/>
                <w:lang w:val="en-US"/>
              </w:rPr>
              <w:t>1.1788</w:t>
            </w:r>
          </w:p>
        </w:tc>
        <w:tc>
          <w:tcPr>
            <w:tcW w:w="990" w:type="dxa"/>
            <w:tcBorders>
              <w:top w:val="nil"/>
              <w:left w:val="nil"/>
              <w:bottom w:val="single" w:sz="4" w:space="0" w:color="auto"/>
              <w:right w:val="single" w:sz="4" w:space="0" w:color="auto"/>
            </w:tcBorders>
            <w:noWrap/>
            <w:vAlign w:val="bottom"/>
            <w:hideMark/>
          </w:tcPr>
          <w:p w14:paraId="71CC9301" w14:textId="77777777" w:rsidR="00BA2765" w:rsidRPr="00BA2765" w:rsidRDefault="00BA2765" w:rsidP="00134B76">
            <w:pPr>
              <w:spacing w:line="240" w:lineRule="auto"/>
              <w:jc w:val="right"/>
              <w:rPr>
                <w:color w:val="000000"/>
                <w:lang w:val="en-US"/>
              </w:rPr>
            </w:pPr>
            <w:r w:rsidRPr="00BA2765">
              <w:rPr>
                <w:color w:val="000000"/>
                <w:lang w:val="en-US"/>
              </w:rPr>
              <w:t>1.2046</w:t>
            </w:r>
          </w:p>
        </w:tc>
      </w:tr>
    </w:tbl>
    <w:p w14:paraId="6E134F1E" w14:textId="77777777" w:rsidR="00BA2765" w:rsidRPr="00BA2765" w:rsidRDefault="00BA2765" w:rsidP="00BA2765">
      <w:pPr>
        <w:spacing w:before="240" w:line="360" w:lineRule="auto"/>
        <w:rPr>
          <w:b/>
          <w:bCs/>
        </w:rPr>
      </w:pPr>
    </w:p>
    <w:p w14:paraId="75CF2609" w14:textId="77777777" w:rsidR="00BA2765" w:rsidRPr="00BA2765" w:rsidRDefault="00BA2765" w:rsidP="00BA2765">
      <w:pPr>
        <w:rPr>
          <w:b/>
          <w:bCs/>
        </w:rPr>
      </w:pPr>
      <w:r w:rsidRPr="00BA2765">
        <w:rPr>
          <w:b/>
          <w:bCs/>
        </w:rPr>
        <w:br w:type="page"/>
      </w:r>
    </w:p>
    <w:p w14:paraId="26F315F1" w14:textId="77777777" w:rsidR="00BA2765" w:rsidRPr="00BA2765" w:rsidRDefault="00BA2765" w:rsidP="00BA2765">
      <w:pPr>
        <w:spacing w:before="240" w:after="240" w:line="360" w:lineRule="auto"/>
        <w:rPr>
          <w:b/>
          <w:bCs/>
        </w:rPr>
      </w:pPr>
      <w:r w:rsidRPr="00BA2765">
        <w:rPr>
          <w:b/>
          <w:bCs/>
        </w:rPr>
        <w:t>III. Cash Operating Cycle</w:t>
      </w:r>
    </w:p>
    <w:tbl>
      <w:tblPr>
        <w:tblW w:w="9535" w:type="dxa"/>
        <w:tblLayout w:type="fixed"/>
        <w:tblLook w:val="04A0" w:firstRow="1" w:lastRow="0" w:firstColumn="1" w:lastColumn="0" w:noHBand="0" w:noVBand="1"/>
      </w:tblPr>
      <w:tblGrid>
        <w:gridCol w:w="1615"/>
        <w:gridCol w:w="3600"/>
        <w:gridCol w:w="1170"/>
        <w:gridCol w:w="990"/>
        <w:gridCol w:w="990"/>
        <w:gridCol w:w="1170"/>
      </w:tblGrid>
      <w:tr w:rsidR="00BA2765" w:rsidRPr="00BA2765" w14:paraId="149DC1B0" w14:textId="77777777" w:rsidTr="00134B76">
        <w:trPr>
          <w:trHeight w:val="300"/>
        </w:trPr>
        <w:tc>
          <w:tcPr>
            <w:tcW w:w="1615" w:type="dxa"/>
            <w:tcBorders>
              <w:top w:val="single" w:sz="4" w:space="0" w:color="auto"/>
              <w:left w:val="single" w:sz="4" w:space="0" w:color="auto"/>
              <w:bottom w:val="single" w:sz="4" w:space="0" w:color="auto"/>
              <w:right w:val="single" w:sz="4" w:space="0" w:color="auto"/>
            </w:tcBorders>
            <w:noWrap/>
            <w:vAlign w:val="bottom"/>
            <w:hideMark/>
          </w:tcPr>
          <w:p w14:paraId="569D7CF7" w14:textId="77777777" w:rsidR="00BA2765" w:rsidRPr="00BA2765" w:rsidRDefault="00BA2765" w:rsidP="00134B76">
            <w:pPr>
              <w:spacing w:after="240" w:line="240" w:lineRule="auto"/>
              <w:rPr>
                <w:color w:val="000000"/>
                <w:lang w:val="en-US"/>
              </w:rPr>
            </w:pPr>
            <w:r w:rsidRPr="00BA2765">
              <w:rPr>
                <w:color w:val="000000"/>
                <w:lang w:val="en-US"/>
              </w:rPr>
              <w:t> </w:t>
            </w:r>
          </w:p>
        </w:tc>
        <w:tc>
          <w:tcPr>
            <w:tcW w:w="3600" w:type="dxa"/>
            <w:tcBorders>
              <w:top w:val="single" w:sz="4" w:space="0" w:color="auto"/>
              <w:left w:val="nil"/>
              <w:bottom w:val="single" w:sz="4" w:space="0" w:color="auto"/>
              <w:right w:val="single" w:sz="4" w:space="0" w:color="auto"/>
            </w:tcBorders>
            <w:noWrap/>
            <w:vAlign w:val="bottom"/>
            <w:hideMark/>
          </w:tcPr>
          <w:p w14:paraId="72CFF555" w14:textId="77777777" w:rsidR="00BA2765" w:rsidRPr="00BA2765" w:rsidRDefault="00BA2765" w:rsidP="00134B76">
            <w:pPr>
              <w:spacing w:after="240" w:line="240" w:lineRule="auto"/>
              <w:jc w:val="center"/>
              <w:rPr>
                <w:b/>
                <w:bCs/>
                <w:color w:val="000000"/>
                <w:lang w:val="en-US"/>
              </w:rPr>
            </w:pPr>
            <w:r w:rsidRPr="00BA2765">
              <w:rPr>
                <w:b/>
                <w:bCs/>
                <w:color w:val="000000"/>
                <w:lang w:val="en-US"/>
              </w:rPr>
              <w:t>Formula</w:t>
            </w:r>
          </w:p>
        </w:tc>
        <w:tc>
          <w:tcPr>
            <w:tcW w:w="1170" w:type="dxa"/>
            <w:tcBorders>
              <w:top w:val="single" w:sz="4" w:space="0" w:color="auto"/>
              <w:left w:val="nil"/>
              <w:bottom w:val="single" w:sz="4" w:space="0" w:color="auto"/>
              <w:right w:val="single" w:sz="4" w:space="0" w:color="auto"/>
            </w:tcBorders>
            <w:noWrap/>
            <w:vAlign w:val="bottom"/>
            <w:hideMark/>
          </w:tcPr>
          <w:p w14:paraId="2F03A368" w14:textId="77777777" w:rsidR="00BA2765" w:rsidRPr="00BA2765" w:rsidRDefault="00BA2765" w:rsidP="00134B76">
            <w:pPr>
              <w:spacing w:after="240" w:line="240" w:lineRule="auto"/>
              <w:jc w:val="right"/>
              <w:rPr>
                <w:b/>
                <w:bCs/>
                <w:color w:val="000000"/>
                <w:lang w:val="en-US"/>
              </w:rPr>
            </w:pPr>
            <w:r w:rsidRPr="00BA2765">
              <w:rPr>
                <w:b/>
                <w:bCs/>
                <w:color w:val="000000"/>
                <w:lang w:val="en-US"/>
              </w:rPr>
              <w:t>2024</w:t>
            </w:r>
          </w:p>
        </w:tc>
        <w:tc>
          <w:tcPr>
            <w:tcW w:w="990" w:type="dxa"/>
            <w:tcBorders>
              <w:top w:val="single" w:sz="4" w:space="0" w:color="auto"/>
              <w:left w:val="nil"/>
              <w:bottom w:val="single" w:sz="4" w:space="0" w:color="auto"/>
              <w:right w:val="single" w:sz="4" w:space="0" w:color="auto"/>
            </w:tcBorders>
            <w:noWrap/>
            <w:vAlign w:val="bottom"/>
            <w:hideMark/>
          </w:tcPr>
          <w:p w14:paraId="39A0AB6B" w14:textId="77777777" w:rsidR="00BA2765" w:rsidRPr="00BA2765" w:rsidRDefault="00BA2765" w:rsidP="00134B76">
            <w:pPr>
              <w:spacing w:after="240" w:line="240" w:lineRule="auto"/>
              <w:jc w:val="right"/>
              <w:rPr>
                <w:b/>
                <w:bCs/>
                <w:color w:val="000000"/>
                <w:lang w:val="en-US"/>
              </w:rPr>
            </w:pPr>
            <w:r w:rsidRPr="00BA2765">
              <w:rPr>
                <w:b/>
                <w:bCs/>
                <w:color w:val="000000"/>
                <w:lang w:val="en-US"/>
              </w:rPr>
              <w:t>2023</w:t>
            </w:r>
          </w:p>
        </w:tc>
        <w:tc>
          <w:tcPr>
            <w:tcW w:w="990" w:type="dxa"/>
            <w:tcBorders>
              <w:top w:val="single" w:sz="4" w:space="0" w:color="auto"/>
              <w:left w:val="nil"/>
              <w:bottom w:val="single" w:sz="4" w:space="0" w:color="auto"/>
              <w:right w:val="single" w:sz="4" w:space="0" w:color="auto"/>
            </w:tcBorders>
            <w:noWrap/>
            <w:vAlign w:val="bottom"/>
            <w:hideMark/>
          </w:tcPr>
          <w:p w14:paraId="63DCEB28" w14:textId="77777777" w:rsidR="00BA2765" w:rsidRPr="00BA2765" w:rsidRDefault="00BA2765" w:rsidP="00134B76">
            <w:pPr>
              <w:spacing w:after="240" w:line="240" w:lineRule="auto"/>
              <w:jc w:val="right"/>
              <w:rPr>
                <w:b/>
                <w:bCs/>
                <w:color w:val="000000"/>
                <w:lang w:val="en-US"/>
              </w:rPr>
            </w:pPr>
            <w:r w:rsidRPr="00BA2765">
              <w:rPr>
                <w:b/>
                <w:bCs/>
                <w:color w:val="000000"/>
                <w:lang w:val="en-US"/>
              </w:rPr>
              <w:t>2022</w:t>
            </w:r>
          </w:p>
        </w:tc>
        <w:tc>
          <w:tcPr>
            <w:tcW w:w="1170" w:type="dxa"/>
            <w:tcBorders>
              <w:top w:val="single" w:sz="4" w:space="0" w:color="auto"/>
              <w:left w:val="nil"/>
              <w:bottom w:val="single" w:sz="4" w:space="0" w:color="auto"/>
              <w:right w:val="single" w:sz="4" w:space="0" w:color="auto"/>
            </w:tcBorders>
            <w:noWrap/>
            <w:vAlign w:val="bottom"/>
            <w:hideMark/>
          </w:tcPr>
          <w:p w14:paraId="2D363BB8" w14:textId="77777777" w:rsidR="00BA2765" w:rsidRPr="00BA2765" w:rsidRDefault="00BA2765" w:rsidP="00134B76">
            <w:pPr>
              <w:spacing w:after="240" w:line="240" w:lineRule="auto"/>
              <w:jc w:val="right"/>
              <w:rPr>
                <w:b/>
                <w:bCs/>
                <w:color w:val="000000"/>
                <w:lang w:val="en-US"/>
              </w:rPr>
            </w:pPr>
            <w:r w:rsidRPr="00BA2765">
              <w:rPr>
                <w:b/>
                <w:bCs/>
                <w:color w:val="000000"/>
                <w:lang w:val="en-US"/>
              </w:rPr>
              <w:t>2021</w:t>
            </w:r>
          </w:p>
        </w:tc>
      </w:tr>
      <w:tr w:rsidR="00BA2765" w:rsidRPr="00BA2765" w14:paraId="5672FDB2" w14:textId="77777777" w:rsidTr="00134B76">
        <w:trPr>
          <w:trHeight w:val="660"/>
        </w:trPr>
        <w:tc>
          <w:tcPr>
            <w:tcW w:w="1615" w:type="dxa"/>
            <w:tcBorders>
              <w:top w:val="nil"/>
              <w:left w:val="single" w:sz="4" w:space="0" w:color="auto"/>
              <w:bottom w:val="single" w:sz="4" w:space="0" w:color="auto"/>
              <w:right w:val="single" w:sz="4" w:space="0" w:color="auto"/>
            </w:tcBorders>
            <w:noWrap/>
            <w:vAlign w:val="bottom"/>
            <w:hideMark/>
          </w:tcPr>
          <w:p w14:paraId="031C2720" w14:textId="77777777" w:rsidR="00BA2765" w:rsidRPr="00BA2765" w:rsidRDefault="00BA2765" w:rsidP="00134B76">
            <w:pPr>
              <w:spacing w:line="240" w:lineRule="auto"/>
              <w:rPr>
                <w:color w:val="000000"/>
                <w:lang w:val="en-US"/>
              </w:rPr>
            </w:pPr>
            <w:r w:rsidRPr="00BA2765">
              <w:rPr>
                <w:color w:val="000000"/>
                <w:lang w:val="en-US"/>
              </w:rPr>
              <w:t>Cash operating Cycle</w:t>
            </w:r>
          </w:p>
        </w:tc>
        <w:tc>
          <w:tcPr>
            <w:tcW w:w="3600" w:type="dxa"/>
            <w:tcBorders>
              <w:top w:val="nil"/>
              <w:left w:val="nil"/>
              <w:bottom w:val="single" w:sz="4" w:space="0" w:color="auto"/>
              <w:right w:val="single" w:sz="4" w:space="0" w:color="auto"/>
            </w:tcBorders>
            <w:vAlign w:val="bottom"/>
            <w:hideMark/>
          </w:tcPr>
          <w:p w14:paraId="6A15B437" w14:textId="77777777" w:rsidR="00BA2765" w:rsidRPr="00BA2765" w:rsidRDefault="00BA2765" w:rsidP="00134B76">
            <w:pPr>
              <w:spacing w:line="240" w:lineRule="auto"/>
              <w:rPr>
                <w:color w:val="000000"/>
                <w:lang w:val="en-US"/>
              </w:rPr>
            </w:pPr>
            <w:r w:rsidRPr="00BA2765">
              <w:rPr>
                <w:color w:val="000000"/>
                <w:lang w:val="en-US"/>
              </w:rPr>
              <w:t>Inventory Days+Receivables Days−Payables Days</w:t>
            </w:r>
          </w:p>
        </w:tc>
        <w:tc>
          <w:tcPr>
            <w:tcW w:w="1170" w:type="dxa"/>
            <w:tcBorders>
              <w:top w:val="nil"/>
              <w:left w:val="nil"/>
              <w:bottom w:val="single" w:sz="4" w:space="0" w:color="auto"/>
              <w:right w:val="single" w:sz="4" w:space="0" w:color="auto"/>
            </w:tcBorders>
            <w:noWrap/>
            <w:vAlign w:val="bottom"/>
            <w:hideMark/>
          </w:tcPr>
          <w:p w14:paraId="5DAF87A9" w14:textId="77777777" w:rsidR="00BA2765" w:rsidRPr="00BA2765" w:rsidRDefault="00BA2765" w:rsidP="00134B76">
            <w:pPr>
              <w:spacing w:line="240" w:lineRule="auto"/>
              <w:jc w:val="right"/>
              <w:rPr>
                <w:color w:val="000000"/>
                <w:lang w:val="en-US"/>
              </w:rPr>
            </w:pPr>
            <w:r w:rsidRPr="00BA2765">
              <w:rPr>
                <w:color w:val="000000"/>
                <w:lang w:val="en-US"/>
              </w:rPr>
              <w:t>129.87</w:t>
            </w:r>
          </w:p>
        </w:tc>
        <w:tc>
          <w:tcPr>
            <w:tcW w:w="990" w:type="dxa"/>
            <w:tcBorders>
              <w:top w:val="nil"/>
              <w:left w:val="nil"/>
              <w:bottom w:val="single" w:sz="4" w:space="0" w:color="auto"/>
              <w:right w:val="single" w:sz="4" w:space="0" w:color="auto"/>
            </w:tcBorders>
            <w:noWrap/>
            <w:vAlign w:val="bottom"/>
            <w:hideMark/>
          </w:tcPr>
          <w:p w14:paraId="31F43B88" w14:textId="77777777" w:rsidR="00BA2765" w:rsidRPr="00BA2765" w:rsidRDefault="00BA2765" w:rsidP="00134B76">
            <w:pPr>
              <w:spacing w:line="240" w:lineRule="auto"/>
              <w:jc w:val="right"/>
              <w:rPr>
                <w:color w:val="000000"/>
                <w:lang w:val="en-US"/>
              </w:rPr>
            </w:pPr>
            <w:r w:rsidRPr="00BA2765">
              <w:rPr>
                <w:color w:val="000000"/>
                <w:lang w:val="en-US"/>
              </w:rPr>
              <w:t>154.18</w:t>
            </w:r>
          </w:p>
        </w:tc>
        <w:tc>
          <w:tcPr>
            <w:tcW w:w="990" w:type="dxa"/>
            <w:tcBorders>
              <w:top w:val="nil"/>
              <w:left w:val="nil"/>
              <w:bottom w:val="single" w:sz="4" w:space="0" w:color="auto"/>
              <w:right w:val="single" w:sz="4" w:space="0" w:color="auto"/>
            </w:tcBorders>
            <w:noWrap/>
            <w:vAlign w:val="bottom"/>
            <w:hideMark/>
          </w:tcPr>
          <w:p w14:paraId="019CA1C8" w14:textId="77777777" w:rsidR="00BA2765" w:rsidRPr="00BA2765" w:rsidRDefault="00BA2765" w:rsidP="00134B76">
            <w:pPr>
              <w:spacing w:line="240" w:lineRule="auto"/>
              <w:jc w:val="right"/>
              <w:rPr>
                <w:color w:val="000000"/>
                <w:lang w:val="en-US"/>
              </w:rPr>
            </w:pPr>
            <w:r w:rsidRPr="00BA2765">
              <w:rPr>
                <w:color w:val="000000"/>
                <w:lang w:val="en-US"/>
              </w:rPr>
              <w:t>132.91</w:t>
            </w:r>
          </w:p>
        </w:tc>
        <w:tc>
          <w:tcPr>
            <w:tcW w:w="1170" w:type="dxa"/>
            <w:tcBorders>
              <w:top w:val="nil"/>
              <w:left w:val="nil"/>
              <w:bottom w:val="single" w:sz="4" w:space="0" w:color="auto"/>
              <w:right w:val="single" w:sz="4" w:space="0" w:color="auto"/>
            </w:tcBorders>
            <w:noWrap/>
            <w:vAlign w:val="bottom"/>
            <w:hideMark/>
          </w:tcPr>
          <w:p w14:paraId="70F7332B" w14:textId="77777777" w:rsidR="00BA2765" w:rsidRPr="00BA2765" w:rsidRDefault="00BA2765" w:rsidP="00134B76">
            <w:pPr>
              <w:spacing w:line="240" w:lineRule="auto"/>
              <w:jc w:val="right"/>
              <w:rPr>
                <w:color w:val="000000"/>
                <w:lang w:val="en-US"/>
              </w:rPr>
            </w:pPr>
            <w:r w:rsidRPr="00BA2765">
              <w:rPr>
                <w:color w:val="000000"/>
                <w:lang w:val="en-US"/>
              </w:rPr>
              <w:t>112.09</w:t>
            </w:r>
          </w:p>
        </w:tc>
      </w:tr>
      <w:tr w:rsidR="00BA2765" w:rsidRPr="00BA2765" w14:paraId="5DD64084" w14:textId="77777777" w:rsidTr="00134B76">
        <w:trPr>
          <w:trHeight w:val="300"/>
        </w:trPr>
        <w:tc>
          <w:tcPr>
            <w:tcW w:w="9535" w:type="dxa"/>
            <w:gridSpan w:val="6"/>
            <w:tcBorders>
              <w:top w:val="single" w:sz="4" w:space="0" w:color="auto"/>
              <w:left w:val="nil"/>
              <w:bottom w:val="single" w:sz="4" w:space="0" w:color="auto"/>
              <w:right w:val="nil"/>
            </w:tcBorders>
            <w:noWrap/>
            <w:vAlign w:val="bottom"/>
            <w:hideMark/>
          </w:tcPr>
          <w:p w14:paraId="147B6B76" w14:textId="77777777" w:rsidR="00BA2765" w:rsidRPr="00BA2765" w:rsidRDefault="00BA2765" w:rsidP="00134B76">
            <w:pPr>
              <w:spacing w:line="240" w:lineRule="auto"/>
              <w:jc w:val="center"/>
              <w:rPr>
                <w:color w:val="000000"/>
                <w:lang w:val="en-US"/>
              </w:rPr>
            </w:pPr>
            <w:r w:rsidRPr="00BA2765">
              <w:rPr>
                <w:color w:val="000000"/>
                <w:lang w:val="en-US"/>
              </w:rPr>
              <w:t> </w:t>
            </w:r>
          </w:p>
        </w:tc>
      </w:tr>
      <w:tr w:rsidR="00BA2765" w:rsidRPr="00BA2765" w14:paraId="384D93AD" w14:textId="77777777" w:rsidTr="00134B76">
        <w:trPr>
          <w:trHeight w:val="300"/>
        </w:trPr>
        <w:tc>
          <w:tcPr>
            <w:tcW w:w="1615" w:type="dxa"/>
            <w:tcBorders>
              <w:top w:val="nil"/>
              <w:left w:val="single" w:sz="4" w:space="0" w:color="auto"/>
              <w:bottom w:val="single" w:sz="4" w:space="0" w:color="auto"/>
              <w:right w:val="nil"/>
            </w:tcBorders>
            <w:noWrap/>
            <w:vAlign w:val="bottom"/>
            <w:hideMark/>
          </w:tcPr>
          <w:p w14:paraId="7F76000F" w14:textId="77777777" w:rsidR="00BA2765" w:rsidRPr="00BA2765" w:rsidRDefault="00BA2765" w:rsidP="00134B76">
            <w:pPr>
              <w:spacing w:line="240" w:lineRule="auto"/>
              <w:rPr>
                <w:b/>
                <w:bCs/>
                <w:color w:val="000000"/>
                <w:lang w:val="en-US"/>
              </w:rPr>
            </w:pPr>
            <w:r w:rsidRPr="00BA2765">
              <w:rPr>
                <w:b/>
                <w:bCs/>
                <w:color w:val="000000"/>
                <w:lang w:val="en-US"/>
              </w:rPr>
              <w:t>Components</w:t>
            </w:r>
          </w:p>
        </w:tc>
        <w:tc>
          <w:tcPr>
            <w:tcW w:w="3600" w:type="dxa"/>
            <w:tcBorders>
              <w:top w:val="nil"/>
              <w:left w:val="nil"/>
              <w:bottom w:val="single" w:sz="4" w:space="0" w:color="auto"/>
              <w:right w:val="nil"/>
            </w:tcBorders>
            <w:noWrap/>
            <w:vAlign w:val="bottom"/>
            <w:hideMark/>
          </w:tcPr>
          <w:p w14:paraId="6CED462B"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nil"/>
            </w:tcBorders>
            <w:noWrap/>
            <w:vAlign w:val="bottom"/>
            <w:hideMark/>
          </w:tcPr>
          <w:p w14:paraId="65A9D016"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990" w:type="dxa"/>
            <w:tcBorders>
              <w:top w:val="nil"/>
              <w:left w:val="nil"/>
              <w:bottom w:val="single" w:sz="4" w:space="0" w:color="auto"/>
              <w:right w:val="nil"/>
            </w:tcBorders>
            <w:noWrap/>
            <w:vAlign w:val="bottom"/>
            <w:hideMark/>
          </w:tcPr>
          <w:p w14:paraId="3EA0CE8F"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990" w:type="dxa"/>
            <w:tcBorders>
              <w:top w:val="nil"/>
              <w:left w:val="nil"/>
              <w:bottom w:val="single" w:sz="4" w:space="0" w:color="auto"/>
              <w:right w:val="nil"/>
            </w:tcBorders>
            <w:noWrap/>
            <w:vAlign w:val="bottom"/>
            <w:hideMark/>
          </w:tcPr>
          <w:p w14:paraId="3A211360" w14:textId="77777777" w:rsidR="00BA2765" w:rsidRPr="00BA2765" w:rsidRDefault="00BA2765" w:rsidP="00134B76">
            <w:pPr>
              <w:spacing w:line="240" w:lineRule="auto"/>
              <w:rPr>
                <w:b/>
                <w:bCs/>
                <w:color w:val="000000"/>
                <w:lang w:val="en-US"/>
              </w:rPr>
            </w:pPr>
            <w:r w:rsidRPr="00BA2765">
              <w:rPr>
                <w:b/>
                <w:bCs/>
                <w:color w:val="000000"/>
                <w:lang w:val="en-US"/>
              </w:rPr>
              <w:t> </w:t>
            </w:r>
          </w:p>
        </w:tc>
        <w:tc>
          <w:tcPr>
            <w:tcW w:w="1170" w:type="dxa"/>
            <w:tcBorders>
              <w:top w:val="nil"/>
              <w:left w:val="nil"/>
              <w:bottom w:val="single" w:sz="4" w:space="0" w:color="auto"/>
              <w:right w:val="nil"/>
            </w:tcBorders>
            <w:noWrap/>
            <w:vAlign w:val="bottom"/>
            <w:hideMark/>
          </w:tcPr>
          <w:p w14:paraId="21F11208" w14:textId="77777777" w:rsidR="00BA2765" w:rsidRPr="00BA2765" w:rsidRDefault="00BA2765" w:rsidP="00134B76">
            <w:pPr>
              <w:spacing w:line="240" w:lineRule="auto"/>
              <w:rPr>
                <w:b/>
                <w:bCs/>
                <w:color w:val="000000"/>
                <w:lang w:val="en-US"/>
              </w:rPr>
            </w:pPr>
            <w:r w:rsidRPr="00BA2765">
              <w:rPr>
                <w:b/>
                <w:bCs/>
                <w:color w:val="000000"/>
                <w:lang w:val="en-US"/>
              </w:rPr>
              <w:t> </w:t>
            </w:r>
          </w:p>
        </w:tc>
      </w:tr>
      <w:tr w:rsidR="00BA2765" w:rsidRPr="00BA2765" w14:paraId="5ACFCA3A" w14:textId="77777777" w:rsidTr="00134B76">
        <w:trPr>
          <w:trHeight w:val="465"/>
        </w:trPr>
        <w:tc>
          <w:tcPr>
            <w:tcW w:w="1615" w:type="dxa"/>
            <w:tcBorders>
              <w:top w:val="nil"/>
              <w:left w:val="single" w:sz="4" w:space="0" w:color="auto"/>
              <w:bottom w:val="single" w:sz="4" w:space="0" w:color="auto"/>
              <w:right w:val="single" w:sz="4" w:space="0" w:color="auto"/>
            </w:tcBorders>
            <w:noWrap/>
            <w:vAlign w:val="bottom"/>
            <w:hideMark/>
          </w:tcPr>
          <w:p w14:paraId="1327145D" w14:textId="77777777" w:rsidR="00BA2765" w:rsidRPr="00BA2765" w:rsidRDefault="00BA2765" w:rsidP="00134B76">
            <w:pPr>
              <w:spacing w:line="240" w:lineRule="auto"/>
              <w:rPr>
                <w:color w:val="000000"/>
                <w:lang w:val="en-US"/>
              </w:rPr>
            </w:pPr>
            <w:r w:rsidRPr="00BA2765">
              <w:rPr>
                <w:color w:val="000000"/>
                <w:lang w:val="en-US"/>
              </w:rPr>
              <w:t>Inventory days</w:t>
            </w:r>
          </w:p>
        </w:tc>
        <w:tc>
          <w:tcPr>
            <w:tcW w:w="3600" w:type="dxa"/>
            <w:tcBorders>
              <w:top w:val="nil"/>
              <w:left w:val="nil"/>
              <w:bottom w:val="single" w:sz="4" w:space="0" w:color="auto"/>
              <w:right w:val="single" w:sz="4" w:space="0" w:color="auto"/>
            </w:tcBorders>
            <w:vAlign w:val="bottom"/>
            <w:hideMark/>
          </w:tcPr>
          <w:p w14:paraId="5D44F652" w14:textId="77777777" w:rsidR="00BA2765" w:rsidRPr="00BA2765" w:rsidRDefault="00BA2765" w:rsidP="00134B76">
            <w:pPr>
              <w:spacing w:line="240" w:lineRule="auto"/>
              <w:rPr>
                <w:color w:val="000000"/>
                <w:lang w:val="en-US"/>
              </w:rPr>
            </w:pPr>
            <w:r w:rsidRPr="00BA2765">
              <w:rPr>
                <w:color w:val="000000"/>
                <w:lang w:val="en-US"/>
              </w:rPr>
              <w:t>365 / Inventory Turnover</w:t>
            </w:r>
          </w:p>
        </w:tc>
        <w:tc>
          <w:tcPr>
            <w:tcW w:w="1170" w:type="dxa"/>
            <w:tcBorders>
              <w:top w:val="nil"/>
              <w:left w:val="nil"/>
              <w:bottom w:val="single" w:sz="4" w:space="0" w:color="auto"/>
              <w:right w:val="single" w:sz="4" w:space="0" w:color="auto"/>
            </w:tcBorders>
            <w:noWrap/>
            <w:vAlign w:val="bottom"/>
            <w:hideMark/>
          </w:tcPr>
          <w:p w14:paraId="39AA8D05" w14:textId="77777777" w:rsidR="00BA2765" w:rsidRPr="00BA2765" w:rsidRDefault="00BA2765" w:rsidP="00134B76">
            <w:pPr>
              <w:spacing w:line="240" w:lineRule="auto"/>
              <w:jc w:val="right"/>
              <w:rPr>
                <w:color w:val="000000"/>
                <w:lang w:val="en-US"/>
              </w:rPr>
            </w:pPr>
            <w:r w:rsidRPr="00BA2765">
              <w:rPr>
                <w:color w:val="000000"/>
                <w:lang w:val="en-US"/>
              </w:rPr>
              <w:t>108.91</w:t>
            </w:r>
          </w:p>
        </w:tc>
        <w:tc>
          <w:tcPr>
            <w:tcW w:w="990" w:type="dxa"/>
            <w:tcBorders>
              <w:top w:val="nil"/>
              <w:left w:val="nil"/>
              <w:bottom w:val="single" w:sz="4" w:space="0" w:color="auto"/>
              <w:right w:val="single" w:sz="4" w:space="0" w:color="auto"/>
            </w:tcBorders>
            <w:noWrap/>
            <w:vAlign w:val="bottom"/>
            <w:hideMark/>
          </w:tcPr>
          <w:p w14:paraId="5EF0BB80" w14:textId="77777777" w:rsidR="00BA2765" w:rsidRPr="00BA2765" w:rsidRDefault="00BA2765" w:rsidP="00134B76">
            <w:pPr>
              <w:spacing w:line="240" w:lineRule="auto"/>
              <w:jc w:val="right"/>
              <w:rPr>
                <w:color w:val="000000"/>
                <w:lang w:val="en-US"/>
              </w:rPr>
            </w:pPr>
            <w:r w:rsidRPr="00BA2765">
              <w:rPr>
                <w:color w:val="000000"/>
                <w:lang w:val="en-US"/>
              </w:rPr>
              <w:t>129.12</w:t>
            </w:r>
          </w:p>
        </w:tc>
        <w:tc>
          <w:tcPr>
            <w:tcW w:w="990" w:type="dxa"/>
            <w:tcBorders>
              <w:top w:val="nil"/>
              <w:left w:val="nil"/>
              <w:bottom w:val="single" w:sz="4" w:space="0" w:color="auto"/>
              <w:right w:val="single" w:sz="4" w:space="0" w:color="auto"/>
            </w:tcBorders>
            <w:noWrap/>
            <w:vAlign w:val="bottom"/>
            <w:hideMark/>
          </w:tcPr>
          <w:p w14:paraId="545610AA" w14:textId="77777777" w:rsidR="00BA2765" w:rsidRPr="00BA2765" w:rsidRDefault="00BA2765" w:rsidP="00134B76">
            <w:pPr>
              <w:spacing w:line="240" w:lineRule="auto"/>
              <w:jc w:val="right"/>
              <w:rPr>
                <w:color w:val="000000"/>
                <w:lang w:val="en-US"/>
              </w:rPr>
            </w:pPr>
            <w:r w:rsidRPr="00BA2765">
              <w:rPr>
                <w:color w:val="000000"/>
                <w:lang w:val="en-US"/>
              </w:rPr>
              <w:t>128.37</w:t>
            </w:r>
          </w:p>
        </w:tc>
        <w:tc>
          <w:tcPr>
            <w:tcW w:w="1170" w:type="dxa"/>
            <w:tcBorders>
              <w:top w:val="nil"/>
              <w:left w:val="nil"/>
              <w:bottom w:val="single" w:sz="4" w:space="0" w:color="auto"/>
              <w:right w:val="single" w:sz="4" w:space="0" w:color="auto"/>
            </w:tcBorders>
            <w:noWrap/>
            <w:vAlign w:val="bottom"/>
            <w:hideMark/>
          </w:tcPr>
          <w:p w14:paraId="04CA2A92" w14:textId="77777777" w:rsidR="00BA2765" w:rsidRPr="00BA2765" w:rsidRDefault="00BA2765" w:rsidP="00134B76">
            <w:pPr>
              <w:spacing w:line="240" w:lineRule="auto"/>
              <w:jc w:val="right"/>
              <w:rPr>
                <w:color w:val="000000"/>
                <w:lang w:val="en-US"/>
              </w:rPr>
            </w:pPr>
            <w:r w:rsidRPr="00BA2765">
              <w:rPr>
                <w:color w:val="000000"/>
                <w:lang w:val="en-US"/>
              </w:rPr>
              <w:t>108.54</w:t>
            </w:r>
          </w:p>
        </w:tc>
      </w:tr>
      <w:tr w:rsidR="00BA2765" w:rsidRPr="00BA2765" w14:paraId="46C59237" w14:textId="77777777" w:rsidTr="00134B76">
        <w:trPr>
          <w:trHeight w:val="615"/>
        </w:trPr>
        <w:tc>
          <w:tcPr>
            <w:tcW w:w="1615" w:type="dxa"/>
            <w:tcBorders>
              <w:top w:val="nil"/>
              <w:left w:val="single" w:sz="4" w:space="0" w:color="auto"/>
              <w:bottom w:val="single" w:sz="4" w:space="0" w:color="auto"/>
              <w:right w:val="single" w:sz="4" w:space="0" w:color="auto"/>
            </w:tcBorders>
            <w:noWrap/>
            <w:vAlign w:val="bottom"/>
            <w:hideMark/>
          </w:tcPr>
          <w:p w14:paraId="708DECD5" w14:textId="77777777" w:rsidR="00BA2765" w:rsidRPr="00BA2765" w:rsidRDefault="00BA2765" w:rsidP="00134B76">
            <w:pPr>
              <w:spacing w:line="240" w:lineRule="auto"/>
              <w:rPr>
                <w:color w:val="000000"/>
                <w:lang w:val="en-US"/>
              </w:rPr>
            </w:pPr>
            <w:r w:rsidRPr="00BA2765">
              <w:rPr>
                <w:color w:val="000000"/>
                <w:lang w:val="en-US"/>
              </w:rPr>
              <w:t>Receivables days</w:t>
            </w:r>
          </w:p>
        </w:tc>
        <w:tc>
          <w:tcPr>
            <w:tcW w:w="3600" w:type="dxa"/>
            <w:tcBorders>
              <w:top w:val="nil"/>
              <w:left w:val="nil"/>
              <w:bottom w:val="single" w:sz="4" w:space="0" w:color="auto"/>
              <w:right w:val="single" w:sz="4" w:space="0" w:color="auto"/>
            </w:tcBorders>
            <w:vAlign w:val="bottom"/>
            <w:hideMark/>
          </w:tcPr>
          <w:p w14:paraId="0FC39873" w14:textId="77777777" w:rsidR="00BA2765" w:rsidRPr="00BA2765" w:rsidRDefault="00BA2765" w:rsidP="00134B76">
            <w:pPr>
              <w:spacing w:line="240" w:lineRule="auto"/>
              <w:rPr>
                <w:color w:val="000000"/>
                <w:lang w:val="en-US"/>
              </w:rPr>
            </w:pPr>
            <w:r w:rsidRPr="00BA2765">
              <w:rPr>
                <w:color w:val="000000"/>
                <w:lang w:val="en-US"/>
              </w:rPr>
              <w:t>365 / Receivables Turnover</w:t>
            </w:r>
          </w:p>
        </w:tc>
        <w:tc>
          <w:tcPr>
            <w:tcW w:w="1170" w:type="dxa"/>
            <w:tcBorders>
              <w:top w:val="nil"/>
              <w:left w:val="nil"/>
              <w:bottom w:val="single" w:sz="4" w:space="0" w:color="auto"/>
              <w:right w:val="single" w:sz="4" w:space="0" w:color="auto"/>
            </w:tcBorders>
            <w:noWrap/>
            <w:vAlign w:val="bottom"/>
            <w:hideMark/>
          </w:tcPr>
          <w:p w14:paraId="5DBC2AFF" w14:textId="77777777" w:rsidR="00BA2765" w:rsidRPr="00BA2765" w:rsidRDefault="00BA2765" w:rsidP="00134B76">
            <w:pPr>
              <w:spacing w:line="240" w:lineRule="auto"/>
              <w:jc w:val="right"/>
              <w:rPr>
                <w:color w:val="000000"/>
                <w:lang w:val="en-US"/>
              </w:rPr>
            </w:pPr>
            <w:r w:rsidRPr="00BA2765">
              <w:rPr>
                <w:color w:val="000000"/>
                <w:lang w:val="en-US"/>
              </w:rPr>
              <w:t>104.81</w:t>
            </w:r>
          </w:p>
        </w:tc>
        <w:tc>
          <w:tcPr>
            <w:tcW w:w="990" w:type="dxa"/>
            <w:tcBorders>
              <w:top w:val="nil"/>
              <w:left w:val="nil"/>
              <w:bottom w:val="single" w:sz="4" w:space="0" w:color="auto"/>
              <w:right w:val="single" w:sz="4" w:space="0" w:color="auto"/>
            </w:tcBorders>
            <w:noWrap/>
            <w:vAlign w:val="bottom"/>
            <w:hideMark/>
          </w:tcPr>
          <w:p w14:paraId="16CA73D2" w14:textId="77777777" w:rsidR="00BA2765" w:rsidRPr="00BA2765" w:rsidRDefault="00BA2765" w:rsidP="00134B76">
            <w:pPr>
              <w:spacing w:line="240" w:lineRule="auto"/>
              <w:jc w:val="right"/>
              <w:rPr>
                <w:color w:val="000000"/>
                <w:lang w:val="en-US"/>
              </w:rPr>
            </w:pPr>
            <w:r w:rsidRPr="00BA2765">
              <w:rPr>
                <w:color w:val="000000"/>
                <w:lang w:val="en-US"/>
              </w:rPr>
              <w:t>97.64</w:t>
            </w:r>
          </w:p>
        </w:tc>
        <w:tc>
          <w:tcPr>
            <w:tcW w:w="990" w:type="dxa"/>
            <w:tcBorders>
              <w:top w:val="nil"/>
              <w:left w:val="nil"/>
              <w:bottom w:val="single" w:sz="4" w:space="0" w:color="auto"/>
              <w:right w:val="single" w:sz="4" w:space="0" w:color="auto"/>
            </w:tcBorders>
            <w:noWrap/>
            <w:vAlign w:val="bottom"/>
            <w:hideMark/>
          </w:tcPr>
          <w:p w14:paraId="6FCA0A71" w14:textId="77777777" w:rsidR="00BA2765" w:rsidRPr="00BA2765" w:rsidRDefault="00BA2765" w:rsidP="00134B76">
            <w:pPr>
              <w:spacing w:line="240" w:lineRule="auto"/>
              <w:jc w:val="right"/>
              <w:rPr>
                <w:color w:val="000000"/>
                <w:lang w:val="en-US"/>
              </w:rPr>
            </w:pPr>
            <w:r w:rsidRPr="00BA2765">
              <w:rPr>
                <w:color w:val="000000"/>
                <w:lang w:val="en-US"/>
              </w:rPr>
              <w:t>81.22</w:t>
            </w:r>
          </w:p>
        </w:tc>
        <w:tc>
          <w:tcPr>
            <w:tcW w:w="1170" w:type="dxa"/>
            <w:tcBorders>
              <w:top w:val="nil"/>
              <w:left w:val="nil"/>
              <w:bottom w:val="single" w:sz="4" w:space="0" w:color="auto"/>
              <w:right w:val="single" w:sz="4" w:space="0" w:color="auto"/>
            </w:tcBorders>
            <w:noWrap/>
            <w:vAlign w:val="bottom"/>
            <w:hideMark/>
          </w:tcPr>
          <w:p w14:paraId="34FF7202" w14:textId="77777777" w:rsidR="00BA2765" w:rsidRPr="00BA2765" w:rsidRDefault="00BA2765" w:rsidP="00134B76">
            <w:pPr>
              <w:spacing w:line="240" w:lineRule="auto"/>
              <w:jc w:val="right"/>
              <w:rPr>
                <w:color w:val="000000"/>
                <w:lang w:val="en-US"/>
              </w:rPr>
            </w:pPr>
            <w:r w:rsidRPr="00BA2765">
              <w:rPr>
                <w:color w:val="000000"/>
                <w:lang w:val="en-US"/>
              </w:rPr>
              <w:t>78.46</w:t>
            </w:r>
          </w:p>
        </w:tc>
      </w:tr>
      <w:tr w:rsidR="00BA2765" w:rsidRPr="00BA2765" w14:paraId="149AA49D" w14:textId="77777777" w:rsidTr="00134B76">
        <w:trPr>
          <w:trHeight w:val="575"/>
        </w:trPr>
        <w:tc>
          <w:tcPr>
            <w:tcW w:w="1615" w:type="dxa"/>
            <w:tcBorders>
              <w:top w:val="nil"/>
              <w:left w:val="single" w:sz="4" w:space="0" w:color="auto"/>
              <w:bottom w:val="single" w:sz="4" w:space="0" w:color="auto"/>
              <w:right w:val="single" w:sz="4" w:space="0" w:color="auto"/>
            </w:tcBorders>
            <w:noWrap/>
            <w:vAlign w:val="bottom"/>
            <w:hideMark/>
          </w:tcPr>
          <w:p w14:paraId="24871981" w14:textId="77777777" w:rsidR="00BA2765" w:rsidRPr="00BA2765" w:rsidRDefault="00BA2765" w:rsidP="00134B76">
            <w:pPr>
              <w:spacing w:line="240" w:lineRule="auto"/>
              <w:rPr>
                <w:color w:val="000000"/>
                <w:lang w:val="en-US"/>
              </w:rPr>
            </w:pPr>
            <w:r w:rsidRPr="00BA2765">
              <w:rPr>
                <w:color w:val="000000"/>
                <w:lang w:val="en-US"/>
              </w:rPr>
              <w:t>Payables days</w:t>
            </w:r>
          </w:p>
        </w:tc>
        <w:tc>
          <w:tcPr>
            <w:tcW w:w="3600" w:type="dxa"/>
            <w:tcBorders>
              <w:top w:val="nil"/>
              <w:left w:val="nil"/>
              <w:bottom w:val="single" w:sz="4" w:space="0" w:color="auto"/>
              <w:right w:val="single" w:sz="4" w:space="0" w:color="auto"/>
            </w:tcBorders>
            <w:vAlign w:val="bottom"/>
            <w:hideMark/>
          </w:tcPr>
          <w:p w14:paraId="6DEA3550" w14:textId="77777777" w:rsidR="00BA2765" w:rsidRPr="00BA2765" w:rsidRDefault="00BA2765" w:rsidP="00134B76">
            <w:pPr>
              <w:spacing w:line="240" w:lineRule="auto"/>
              <w:rPr>
                <w:color w:val="000000"/>
                <w:lang w:val="en-US"/>
              </w:rPr>
            </w:pPr>
            <w:r w:rsidRPr="00BA2765">
              <w:rPr>
                <w:color w:val="000000"/>
                <w:lang w:val="en-US"/>
              </w:rPr>
              <w:t>365 / Payables Turnover</w:t>
            </w:r>
          </w:p>
        </w:tc>
        <w:tc>
          <w:tcPr>
            <w:tcW w:w="1170" w:type="dxa"/>
            <w:tcBorders>
              <w:top w:val="nil"/>
              <w:left w:val="nil"/>
              <w:bottom w:val="single" w:sz="4" w:space="0" w:color="auto"/>
              <w:right w:val="single" w:sz="4" w:space="0" w:color="auto"/>
            </w:tcBorders>
            <w:noWrap/>
            <w:vAlign w:val="bottom"/>
            <w:hideMark/>
          </w:tcPr>
          <w:p w14:paraId="4D0C3AE4" w14:textId="77777777" w:rsidR="00BA2765" w:rsidRPr="00BA2765" w:rsidRDefault="00BA2765" w:rsidP="00134B76">
            <w:pPr>
              <w:spacing w:line="240" w:lineRule="auto"/>
              <w:jc w:val="right"/>
              <w:rPr>
                <w:color w:val="000000"/>
                <w:lang w:val="en-US"/>
              </w:rPr>
            </w:pPr>
            <w:r w:rsidRPr="00BA2765">
              <w:rPr>
                <w:color w:val="000000"/>
                <w:lang w:val="en-US"/>
              </w:rPr>
              <w:t>83.86</w:t>
            </w:r>
          </w:p>
        </w:tc>
        <w:tc>
          <w:tcPr>
            <w:tcW w:w="990" w:type="dxa"/>
            <w:tcBorders>
              <w:top w:val="nil"/>
              <w:left w:val="nil"/>
              <w:bottom w:val="single" w:sz="4" w:space="0" w:color="auto"/>
              <w:right w:val="single" w:sz="4" w:space="0" w:color="auto"/>
            </w:tcBorders>
            <w:noWrap/>
            <w:vAlign w:val="bottom"/>
            <w:hideMark/>
          </w:tcPr>
          <w:p w14:paraId="693C2E31" w14:textId="77777777" w:rsidR="00BA2765" w:rsidRPr="00BA2765" w:rsidRDefault="00BA2765" w:rsidP="00134B76">
            <w:pPr>
              <w:spacing w:line="240" w:lineRule="auto"/>
              <w:jc w:val="right"/>
              <w:rPr>
                <w:color w:val="000000"/>
                <w:lang w:val="en-US"/>
              </w:rPr>
            </w:pPr>
            <w:r w:rsidRPr="00BA2765">
              <w:rPr>
                <w:color w:val="000000"/>
                <w:lang w:val="en-US"/>
              </w:rPr>
              <w:t>72.57</w:t>
            </w:r>
          </w:p>
        </w:tc>
        <w:tc>
          <w:tcPr>
            <w:tcW w:w="990" w:type="dxa"/>
            <w:tcBorders>
              <w:top w:val="nil"/>
              <w:left w:val="nil"/>
              <w:bottom w:val="single" w:sz="4" w:space="0" w:color="auto"/>
              <w:right w:val="single" w:sz="4" w:space="0" w:color="auto"/>
            </w:tcBorders>
            <w:noWrap/>
            <w:vAlign w:val="bottom"/>
            <w:hideMark/>
          </w:tcPr>
          <w:p w14:paraId="44C5072F" w14:textId="77777777" w:rsidR="00BA2765" w:rsidRPr="00BA2765" w:rsidRDefault="00BA2765" w:rsidP="00134B76">
            <w:pPr>
              <w:spacing w:line="240" w:lineRule="auto"/>
              <w:jc w:val="right"/>
              <w:rPr>
                <w:color w:val="000000"/>
                <w:lang w:val="en-US"/>
              </w:rPr>
            </w:pPr>
            <w:r w:rsidRPr="00BA2765">
              <w:rPr>
                <w:color w:val="000000"/>
                <w:lang w:val="en-US"/>
              </w:rPr>
              <w:t>76.69</w:t>
            </w:r>
          </w:p>
        </w:tc>
        <w:tc>
          <w:tcPr>
            <w:tcW w:w="1170" w:type="dxa"/>
            <w:tcBorders>
              <w:top w:val="nil"/>
              <w:left w:val="nil"/>
              <w:bottom w:val="single" w:sz="4" w:space="0" w:color="auto"/>
              <w:right w:val="single" w:sz="4" w:space="0" w:color="auto"/>
            </w:tcBorders>
            <w:noWrap/>
            <w:vAlign w:val="bottom"/>
            <w:hideMark/>
          </w:tcPr>
          <w:p w14:paraId="55B179CE" w14:textId="77777777" w:rsidR="00BA2765" w:rsidRPr="00BA2765" w:rsidRDefault="00BA2765" w:rsidP="00134B76">
            <w:pPr>
              <w:spacing w:line="240" w:lineRule="auto"/>
              <w:jc w:val="right"/>
              <w:rPr>
                <w:color w:val="000000"/>
                <w:lang w:val="en-US"/>
              </w:rPr>
            </w:pPr>
            <w:r w:rsidRPr="00BA2765">
              <w:rPr>
                <w:color w:val="000000"/>
                <w:lang w:val="en-US"/>
              </w:rPr>
              <w:t>74.92</w:t>
            </w:r>
          </w:p>
        </w:tc>
      </w:tr>
    </w:tbl>
    <w:p w14:paraId="0BA9C72C" w14:textId="77777777" w:rsidR="00BA2765" w:rsidRPr="00BA2765" w:rsidRDefault="00BA2765" w:rsidP="00BA2765"/>
    <w:p w14:paraId="0B4A95F0" w14:textId="77777777" w:rsidR="00BA2765" w:rsidRPr="00BA2765" w:rsidRDefault="00BA2765" w:rsidP="00BA2765">
      <w:pPr>
        <w:rPr>
          <w:b/>
          <w:bCs/>
        </w:rPr>
      </w:pPr>
      <w:r w:rsidRPr="00BA2765">
        <w:rPr>
          <w:b/>
          <w:bCs/>
        </w:rPr>
        <w:t>IV. Investment Appraisal Calculations</w:t>
      </w:r>
    </w:p>
    <w:p w14:paraId="4766DF72" w14:textId="77777777" w:rsidR="00BA2765" w:rsidRPr="00BA2765" w:rsidRDefault="00BA2765" w:rsidP="00BA2765">
      <w:pPr>
        <w:rPr>
          <w:b/>
          <w:bCs/>
        </w:rPr>
      </w:pPr>
    </w:p>
    <w:tbl>
      <w:tblPr>
        <w:tblW w:w="5360" w:type="dxa"/>
        <w:tblLook w:val="04A0" w:firstRow="1" w:lastRow="0" w:firstColumn="1" w:lastColumn="0" w:noHBand="0" w:noVBand="1"/>
      </w:tblPr>
      <w:tblGrid>
        <w:gridCol w:w="1260"/>
        <w:gridCol w:w="1340"/>
        <w:gridCol w:w="1420"/>
        <w:gridCol w:w="1340"/>
      </w:tblGrid>
      <w:tr w:rsidR="00BA2765" w:rsidRPr="00BA2765" w14:paraId="485A2A7C" w14:textId="77777777" w:rsidTr="00134B76">
        <w:trPr>
          <w:trHeight w:val="300"/>
        </w:trPr>
        <w:tc>
          <w:tcPr>
            <w:tcW w:w="5360" w:type="dxa"/>
            <w:gridSpan w:val="4"/>
            <w:tcBorders>
              <w:top w:val="nil"/>
              <w:left w:val="nil"/>
              <w:bottom w:val="single" w:sz="4" w:space="0" w:color="auto"/>
              <w:right w:val="nil"/>
            </w:tcBorders>
            <w:noWrap/>
            <w:vAlign w:val="bottom"/>
            <w:hideMark/>
          </w:tcPr>
          <w:p w14:paraId="5096E849" w14:textId="77777777" w:rsidR="00BA2765" w:rsidRPr="00BA2765" w:rsidRDefault="00BA2765" w:rsidP="00134B76">
            <w:pPr>
              <w:spacing w:line="240" w:lineRule="auto"/>
              <w:jc w:val="center"/>
              <w:rPr>
                <w:b/>
                <w:bCs/>
                <w:color w:val="000000"/>
                <w:sz w:val="22"/>
                <w:szCs w:val="22"/>
                <w:lang w:val="en-US"/>
              </w:rPr>
            </w:pPr>
            <w:r w:rsidRPr="00BA2765">
              <w:rPr>
                <w:b/>
                <w:bCs/>
                <w:color w:val="000000"/>
                <w:lang w:val="en-US"/>
              </w:rPr>
              <w:t>In (£m)</w:t>
            </w:r>
          </w:p>
        </w:tc>
      </w:tr>
      <w:tr w:rsidR="00BA2765" w:rsidRPr="00BA2765" w14:paraId="6562AC0C"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461CBB73" w14:textId="77777777" w:rsidR="00BA2765" w:rsidRPr="00BA2765" w:rsidRDefault="00BA2765" w:rsidP="00134B76">
            <w:pPr>
              <w:spacing w:line="240" w:lineRule="auto"/>
              <w:jc w:val="center"/>
              <w:rPr>
                <w:b/>
                <w:bCs/>
                <w:color w:val="000000"/>
                <w:lang w:val="en-US"/>
              </w:rPr>
            </w:pPr>
            <w:r w:rsidRPr="00BA2765">
              <w:rPr>
                <w:b/>
                <w:bCs/>
                <w:color w:val="000000"/>
                <w:lang w:val="en-US"/>
              </w:rPr>
              <w:t>Year</w:t>
            </w:r>
          </w:p>
        </w:tc>
        <w:tc>
          <w:tcPr>
            <w:tcW w:w="1340" w:type="dxa"/>
            <w:tcBorders>
              <w:top w:val="nil"/>
              <w:left w:val="nil"/>
              <w:bottom w:val="single" w:sz="4" w:space="0" w:color="auto"/>
              <w:right w:val="single" w:sz="4" w:space="0" w:color="auto"/>
            </w:tcBorders>
            <w:vAlign w:val="center"/>
            <w:hideMark/>
          </w:tcPr>
          <w:p w14:paraId="575013E7"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420" w:type="dxa"/>
            <w:tcBorders>
              <w:top w:val="nil"/>
              <w:left w:val="nil"/>
              <w:bottom w:val="single" w:sz="4" w:space="0" w:color="auto"/>
              <w:right w:val="single" w:sz="4" w:space="0" w:color="auto"/>
            </w:tcBorders>
            <w:vAlign w:val="center"/>
            <w:hideMark/>
          </w:tcPr>
          <w:p w14:paraId="361858B0"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1340" w:type="dxa"/>
            <w:tcBorders>
              <w:top w:val="nil"/>
              <w:left w:val="nil"/>
              <w:bottom w:val="single" w:sz="4" w:space="0" w:color="auto"/>
              <w:right w:val="single" w:sz="4" w:space="0" w:color="auto"/>
            </w:tcBorders>
            <w:vAlign w:val="center"/>
            <w:hideMark/>
          </w:tcPr>
          <w:p w14:paraId="5F0F349F"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r>
      <w:tr w:rsidR="00BA2765" w:rsidRPr="00BA2765" w14:paraId="02381A8D"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156F44F8"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340" w:type="dxa"/>
            <w:tcBorders>
              <w:top w:val="nil"/>
              <w:left w:val="nil"/>
              <w:bottom w:val="single" w:sz="4" w:space="0" w:color="auto"/>
              <w:right w:val="single" w:sz="4" w:space="0" w:color="auto"/>
            </w:tcBorders>
            <w:vAlign w:val="center"/>
            <w:hideMark/>
          </w:tcPr>
          <w:p w14:paraId="68B59431" w14:textId="77777777" w:rsidR="00BA2765" w:rsidRPr="00BA2765" w:rsidRDefault="00BA2765" w:rsidP="00134B76">
            <w:pPr>
              <w:spacing w:line="240" w:lineRule="auto"/>
              <w:jc w:val="right"/>
              <w:rPr>
                <w:color w:val="000000"/>
                <w:lang w:val="en-US"/>
              </w:rPr>
            </w:pPr>
            <w:r w:rsidRPr="00BA2765">
              <w:rPr>
                <w:color w:val="000000"/>
                <w:lang w:val="en-US"/>
              </w:rPr>
              <w:t>-40</w:t>
            </w:r>
          </w:p>
        </w:tc>
        <w:tc>
          <w:tcPr>
            <w:tcW w:w="1420" w:type="dxa"/>
            <w:tcBorders>
              <w:top w:val="nil"/>
              <w:left w:val="nil"/>
              <w:bottom w:val="single" w:sz="4" w:space="0" w:color="auto"/>
              <w:right w:val="single" w:sz="4" w:space="0" w:color="auto"/>
            </w:tcBorders>
            <w:vAlign w:val="center"/>
            <w:hideMark/>
          </w:tcPr>
          <w:p w14:paraId="1902FB30" w14:textId="77777777" w:rsidR="00BA2765" w:rsidRPr="00BA2765" w:rsidRDefault="00BA2765" w:rsidP="00134B76">
            <w:pPr>
              <w:spacing w:line="240" w:lineRule="auto"/>
              <w:jc w:val="right"/>
              <w:rPr>
                <w:color w:val="000000"/>
                <w:lang w:val="en-US"/>
              </w:rPr>
            </w:pPr>
            <w:r w:rsidRPr="00BA2765">
              <w:rPr>
                <w:color w:val="000000"/>
                <w:lang w:val="en-US"/>
              </w:rPr>
              <w:t>-30</w:t>
            </w:r>
          </w:p>
        </w:tc>
        <w:tc>
          <w:tcPr>
            <w:tcW w:w="1340" w:type="dxa"/>
            <w:tcBorders>
              <w:top w:val="nil"/>
              <w:left w:val="nil"/>
              <w:bottom w:val="single" w:sz="4" w:space="0" w:color="auto"/>
              <w:right w:val="single" w:sz="4" w:space="0" w:color="auto"/>
            </w:tcBorders>
            <w:vAlign w:val="center"/>
            <w:hideMark/>
          </w:tcPr>
          <w:p w14:paraId="226B1CAF" w14:textId="77777777" w:rsidR="00BA2765" w:rsidRPr="00BA2765" w:rsidRDefault="00BA2765" w:rsidP="00134B76">
            <w:pPr>
              <w:spacing w:line="240" w:lineRule="auto"/>
              <w:jc w:val="right"/>
              <w:rPr>
                <w:color w:val="000000"/>
                <w:lang w:val="en-US"/>
              </w:rPr>
            </w:pPr>
            <w:r w:rsidRPr="00BA2765">
              <w:rPr>
                <w:color w:val="000000"/>
                <w:lang w:val="en-US"/>
              </w:rPr>
              <w:t>-50</w:t>
            </w:r>
          </w:p>
        </w:tc>
      </w:tr>
      <w:tr w:rsidR="00BA2765" w:rsidRPr="00BA2765" w14:paraId="57F4E89A"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3D5F56CF" w14:textId="77777777" w:rsidR="00BA2765" w:rsidRPr="00BA2765" w:rsidRDefault="00BA2765" w:rsidP="00134B76">
            <w:pPr>
              <w:spacing w:line="240" w:lineRule="auto"/>
              <w:jc w:val="right"/>
              <w:rPr>
                <w:color w:val="000000"/>
                <w:lang w:val="en-US"/>
              </w:rPr>
            </w:pPr>
            <w:r w:rsidRPr="00BA2765">
              <w:rPr>
                <w:color w:val="000000"/>
                <w:lang w:val="en-US"/>
              </w:rPr>
              <w:t>1</w:t>
            </w:r>
          </w:p>
        </w:tc>
        <w:tc>
          <w:tcPr>
            <w:tcW w:w="1340" w:type="dxa"/>
            <w:tcBorders>
              <w:top w:val="nil"/>
              <w:left w:val="nil"/>
              <w:bottom w:val="single" w:sz="4" w:space="0" w:color="auto"/>
              <w:right w:val="single" w:sz="4" w:space="0" w:color="auto"/>
            </w:tcBorders>
            <w:vAlign w:val="center"/>
            <w:hideMark/>
          </w:tcPr>
          <w:p w14:paraId="0D9216E6" w14:textId="77777777" w:rsidR="00BA2765" w:rsidRPr="00BA2765" w:rsidRDefault="00BA2765" w:rsidP="00134B76">
            <w:pPr>
              <w:spacing w:line="240" w:lineRule="auto"/>
              <w:jc w:val="right"/>
              <w:rPr>
                <w:color w:val="000000"/>
                <w:lang w:val="en-US"/>
              </w:rPr>
            </w:pPr>
            <w:r w:rsidRPr="00BA2765">
              <w:rPr>
                <w:color w:val="000000"/>
                <w:lang w:val="en-US"/>
              </w:rPr>
              <w:t>10</w:t>
            </w:r>
          </w:p>
        </w:tc>
        <w:tc>
          <w:tcPr>
            <w:tcW w:w="1420" w:type="dxa"/>
            <w:tcBorders>
              <w:top w:val="nil"/>
              <w:left w:val="nil"/>
              <w:bottom w:val="single" w:sz="4" w:space="0" w:color="auto"/>
              <w:right w:val="single" w:sz="4" w:space="0" w:color="auto"/>
            </w:tcBorders>
            <w:vAlign w:val="center"/>
            <w:hideMark/>
          </w:tcPr>
          <w:p w14:paraId="38853BEA"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340" w:type="dxa"/>
            <w:tcBorders>
              <w:top w:val="nil"/>
              <w:left w:val="nil"/>
              <w:bottom w:val="single" w:sz="4" w:space="0" w:color="auto"/>
              <w:right w:val="single" w:sz="4" w:space="0" w:color="auto"/>
            </w:tcBorders>
            <w:vAlign w:val="center"/>
            <w:hideMark/>
          </w:tcPr>
          <w:p w14:paraId="6A5848FC" w14:textId="77777777" w:rsidR="00BA2765" w:rsidRPr="00BA2765" w:rsidRDefault="00BA2765" w:rsidP="00134B76">
            <w:pPr>
              <w:spacing w:line="240" w:lineRule="auto"/>
              <w:jc w:val="right"/>
              <w:rPr>
                <w:color w:val="000000"/>
                <w:lang w:val="en-US"/>
              </w:rPr>
            </w:pPr>
            <w:r w:rsidRPr="00BA2765">
              <w:rPr>
                <w:color w:val="000000"/>
                <w:lang w:val="en-US"/>
              </w:rPr>
              <w:t>5</w:t>
            </w:r>
          </w:p>
        </w:tc>
      </w:tr>
      <w:tr w:rsidR="00BA2765" w:rsidRPr="00BA2765" w14:paraId="43F43BAF"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698C3BDA" w14:textId="77777777" w:rsidR="00BA2765" w:rsidRPr="00BA2765" w:rsidRDefault="00BA2765" w:rsidP="00134B76">
            <w:pPr>
              <w:spacing w:line="240" w:lineRule="auto"/>
              <w:jc w:val="right"/>
              <w:rPr>
                <w:color w:val="000000"/>
                <w:lang w:val="en-US"/>
              </w:rPr>
            </w:pPr>
            <w:r w:rsidRPr="00BA2765">
              <w:rPr>
                <w:color w:val="000000"/>
                <w:lang w:val="en-US"/>
              </w:rPr>
              <w:t>2</w:t>
            </w:r>
          </w:p>
        </w:tc>
        <w:tc>
          <w:tcPr>
            <w:tcW w:w="1340" w:type="dxa"/>
            <w:tcBorders>
              <w:top w:val="nil"/>
              <w:left w:val="nil"/>
              <w:bottom w:val="single" w:sz="4" w:space="0" w:color="auto"/>
              <w:right w:val="single" w:sz="4" w:space="0" w:color="auto"/>
            </w:tcBorders>
            <w:vAlign w:val="center"/>
            <w:hideMark/>
          </w:tcPr>
          <w:p w14:paraId="43E10737" w14:textId="77777777" w:rsidR="00BA2765" w:rsidRPr="00BA2765" w:rsidRDefault="00BA2765" w:rsidP="00134B76">
            <w:pPr>
              <w:spacing w:line="240" w:lineRule="auto"/>
              <w:jc w:val="right"/>
              <w:rPr>
                <w:color w:val="000000"/>
                <w:lang w:val="en-US"/>
              </w:rPr>
            </w:pPr>
            <w:r w:rsidRPr="00BA2765">
              <w:rPr>
                <w:color w:val="000000"/>
                <w:lang w:val="en-US"/>
              </w:rPr>
              <w:t>12</w:t>
            </w:r>
          </w:p>
        </w:tc>
        <w:tc>
          <w:tcPr>
            <w:tcW w:w="1420" w:type="dxa"/>
            <w:tcBorders>
              <w:top w:val="nil"/>
              <w:left w:val="nil"/>
              <w:bottom w:val="single" w:sz="4" w:space="0" w:color="auto"/>
              <w:right w:val="single" w:sz="4" w:space="0" w:color="auto"/>
            </w:tcBorders>
            <w:vAlign w:val="center"/>
            <w:hideMark/>
          </w:tcPr>
          <w:p w14:paraId="2ADEADD6"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340" w:type="dxa"/>
            <w:tcBorders>
              <w:top w:val="nil"/>
              <w:left w:val="nil"/>
              <w:bottom w:val="single" w:sz="4" w:space="0" w:color="auto"/>
              <w:right w:val="single" w:sz="4" w:space="0" w:color="auto"/>
            </w:tcBorders>
            <w:vAlign w:val="center"/>
            <w:hideMark/>
          </w:tcPr>
          <w:p w14:paraId="3BBFB0F3" w14:textId="77777777" w:rsidR="00BA2765" w:rsidRPr="00BA2765" w:rsidRDefault="00BA2765" w:rsidP="00134B76">
            <w:pPr>
              <w:spacing w:line="240" w:lineRule="auto"/>
              <w:jc w:val="right"/>
              <w:rPr>
                <w:color w:val="000000"/>
                <w:lang w:val="en-US"/>
              </w:rPr>
            </w:pPr>
            <w:r w:rsidRPr="00BA2765">
              <w:rPr>
                <w:color w:val="000000"/>
                <w:lang w:val="en-US"/>
              </w:rPr>
              <w:t>10</w:t>
            </w:r>
          </w:p>
        </w:tc>
      </w:tr>
      <w:tr w:rsidR="00BA2765" w:rsidRPr="00BA2765" w14:paraId="37758233"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0BA28783" w14:textId="77777777" w:rsidR="00BA2765" w:rsidRPr="00BA2765" w:rsidRDefault="00BA2765" w:rsidP="00134B76">
            <w:pPr>
              <w:spacing w:line="240" w:lineRule="auto"/>
              <w:jc w:val="right"/>
              <w:rPr>
                <w:color w:val="000000"/>
                <w:lang w:val="en-US"/>
              </w:rPr>
            </w:pPr>
            <w:r w:rsidRPr="00BA2765">
              <w:rPr>
                <w:color w:val="000000"/>
                <w:lang w:val="en-US"/>
              </w:rPr>
              <w:t>3</w:t>
            </w:r>
          </w:p>
        </w:tc>
        <w:tc>
          <w:tcPr>
            <w:tcW w:w="1340" w:type="dxa"/>
            <w:tcBorders>
              <w:top w:val="nil"/>
              <w:left w:val="nil"/>
              <w:bottom w:val="single" w:sz="4" w:space="0" w:color="auto"/>
              <w:right w:val="single" w:sz="4" w:space="0" w:color="auto"/>
            </w:tcBorders>
            <w:vAlign w:val="center"/>
            <w:hideMark/>
          </w:tcPr>
          <w:p w14:paraId="75356562" w14:textId="77777777" w:rsidR="00BA2765" w:rsidRPr="00BA2765" w:rsidRDefault="00BA2765" w:rsidP="00134B76">
            <w:pPr>
              <w:spacing w:line="240" w:lineRule="auto"/>
              <w:jc w:val="right"/>
              <w:rPr>
                <w:color w:val="000000"/>
                <w:lang w:val="en-US"/>
              </w:rPr>
            </w:pPr>
            <w:r w:rsidRPr="00BA2765">
              <w:rPr>
                <w:color w:val="000000"/>
                <w:lang w:val="en-US"/>
              </w:rPr>
              <w:t>14</w:t>
            </w:r>
          </w:p>
        </w:tc>
        <w:tc>
          <w:tcPr>
            <w:tcW w:w="1420" w:type="dxa"/>
            <w:tcBorders>
              <w:top w:val="nil"/>
              <w:left w:val="nil"/>
              <w:bottom w:val="single" w:sz="4" w:space="0" w:color="auto"/>
              <w:right w:val="single" w:sz="4" w:space="0" w:color="auto"/>
            </w:tcBorders>
            <w:vAlign w:val="center"/>
            <w:hideMark/>
          </w:tcPr>
          <w:p w14:paraId="1C7F54AB"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340" w:type="dxa"/>
            <w:tcBorders>
              <w:top w:val="nil"/>
              <w:left w:val="nil"/>
              <w:bottom w:val="single" w:sz="4" w:space="0" w:color="auto"/>
              <w:right w:val="single" w:sz="4" w:space="0" w:color="auto"/>
            </w:tcBorders>
            <w:vAlign w:val="center"/>
            <w:hideMark/>
          </w:tcPr>
          <w:p w14:paraId="5BDFE588" w14:textId="77777777" w:rsidR="00BA2765" w:rsidRPr="00BA2765" w:rsidRDefault="00BA2765" w:rsidP="00134B76">
            <w:pPr>
              <w:spacing w:line="240" w:lineRule="auto"/>
              <w:jc w:val="right"/>
              <w:rPr>
                <w:color w:val="000000"/>
                <w:lang w:val="en-US"/>
              </w:rPr>
            </w:pPr>
            <w:r w:rsidRPr="00BA2765">
              <w:rPr>
                <w:color w:val="000000"/>
                <w:lang w:val="en-US"/>
              </w:rPr>
              <w:t>20</w:t>
            </w:r>
          </w:p>
        </w:tc>
      </w:tr>
      <w:tr w:rsidR="00BA2765" w:rsidRPr="00BA2765" w14:paraId="5F6C02EA"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3210B8AB" w14:textId="77777777" w:rsidR="00BA2765" w:rsidRPr="00BA2765" w:rsidRDefault="00BA2765" w:rsidP="00134B76">
            <w:pPr>
              <w:spacing w:line="240" w:lineRule="auto"/>
              <w:jc w:val="right"/>
              <w:rPr>
                <w:color w:val="000000"/>
                <w:lang w:val="en-US"/>
              </w:rPr>
            </w:pPr>
            <w:r w:rsidRPr="00BA2765">
              <w:rPr>
                <w:color w:val="000000"/>
                <w:lang w:val="en-US"/>
              </w:rPr>
              <w:t>4</w:t>
            </w:r>
          </w:p>
        </w:tc>
        <w:tc>
          <w:tcPr>
            <w:tcW w:w="1340" w:type="dxa"/>
            <w:tcBorders>
              <w:top w:val="nil"/>
              <w:left w:val="nil"/>
              <w:bottom w:val="single" w:sz="4" w:space="0" w:color="auto"/>
              <w:right w:val="single" w:sz="4" w:space="0" w:color="auto"/>
            </w:tcBorders>
            <w:vAlign w:val="center"/>
            <w:hideMark/>
          </w:tcPr>
          <w:p w14:paraId="46893F4E" w14:textId="77777777" w:rsidR="00BA2765" w:rsidRPr="00BA2765" w:rsidRDefault="00BA2765" w:rsidP="00134B76">
            <w:pPr>
              <w:spacing w:line="240" w:lineRule="auto"/>
              <w:jc w:val="right"/>
              <w:rPr>
                <w:color w:val="000000"/>
                <w:lang w:val="en-US"/>
              </w:rPr>
            </w:pPr>
            <w:r w:rsidRPr="00BA2765">
              <w:rPr>
                <w:color w:val="000000"/>
                <w:lang w:val="en-US"/>
              </w:rPr>
              <w:t>10</w:t>
            </w:r>
          </w:p>
        </w:tc>
        <w:tc>
          <w:tcPr>
            <w:tcW w:w="1420" w:type="dxa"/>
            <w:tcBorders>
              <w:top w:val="nil"/>
              <w:left w:val="nil"/>
              <w:bottom w:val="single" w:sz="4" w:space="0" w:color="auto"/>
              <w:right w:val="single" w:sz="4" w:space="0" w:color="auto"/>
            </w:tcBorders>
            <w:vAlign w:val="center"/>
            <w:hideMark/>
          </w:tcPr>
          <w:p w14:paraId="1A4E5C3E"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340" w:type="dxa"/>
            <w:tcBorders>
              <w:top w:val="nil"/>
              <w:left w:val="nil"/>
              <w:bottom w:val="single" w:sz="4" w:space="0" w:color="auto"/>
              <w:right w:val="single" w:sz="4" w:space="0" w:color="auto"/>
            </w:tcBorders>
            <w:vAlign w:val="center"/>
            <w:hideMark/>
          </w:tcPr>
          <w:p w14:paraId="4B35863F" w14:textId="77777777" w:rsidR="00BA2765" w:rsidRPr="00BA2765" w:rsidRDefault="00BA2765" w:rsidP="00134B76">
            <w:pPr>
              <w:spacing w:line="240" w:lineRule="auto"/>
              <w:jc w:val="right"/>
              <w:rPr>
                <w:color w:val="000000"/>
                <w:lang w:val="en-US"/>
              </w:rPr>
            </w:pPr>
            <w:r w:rsidRPr="00BA2765">
              <w:rPr>
                <w:color w:val="000000"/>
                <w:lang w:val="en-US"/>
              </w:rPr>
              <w:t>25</w:t>
            </w:r>
          </w:p>
        </w:tc>
      </w:tr>
      <w:tr w:rsidR="00BA2765" w:rsidRPr="00BA2765" w14:paraId="3DB95C7A" w14:textId="77777777" w:rsidTr="00134B76">
        <w:trPr>
          <w:trHeight w:val="300"/>
        </w:trPr>
        <w:tc>
          <w:tcPr>
            <w:tcW w:w="1260" w:type="dxa"/>
            <w:tcBorders>
              <w:top w:val="nil"/>
              <w:left w:val="single" w:sz="4" w:space="0" w:color="auto"/>
              <w:bottom w:val="single" w:sz="4" w:space="0" w:color="auto"/>
              <w:right w:val="single" w:sz="4" w:space="0" w:color="auto"/>
            </w:tcBorders>
            <w:vAlign w:val="center"/>
            <w:hideMark/>
          </w:tcPr>
          <w:p w14:paraId="4DB8B7A7" w14:textId="77777777" w:rsidR="00BA2765" w:rsidRPr="00BA2765" w:rsidRDefault="00BA2765" w:rsidP="00134B76">
            <w:pPr>
              <w:spacing w:line="240" w:lineRule="auto"/>
              <w:jc w:val="right"/>
              <w:rPr>
                <w:color w:val="000000"/>
                <w:lang w:val="en-US"/>
              </w:rPr>
            </w:pPr>
            <w:r w:rsidRPr="00BA2765">
              <w:rPr>
                <w:color w:val="000000"/>
                <w:lang w:val="en-US"/>
              </w:rPr>
              <w:t>5</w:t>
            </w:r>
          </w:p>
        </w:tc>
        <w:tc>
          <w:tcPr>
            <w:tcW w:w="1340" w:type="dxa"/>
            <w:tcBorders>
              <w:top w:val="nil"/>
              <w:left w:val="nil"/>
              <w:bottom w:val="single" w:sz="4" w:space="0" w:color="auto"/>
              <w:right w:val="single" w:sz="4" w:space="0" w:color="auto"/>
            </w:tcBorders>
            <w:vAlign w:val="center"/>
            <w:hideMark/>
          </w:tcPr>
          <w:p w14:paraId="426A6A0B" w14:textId="77777777" w:rsidR="00BA2765" w:rsidRPr="00BA2765" w:rsidRDefault="00BA2765" w:rsidP="00134B76">
            <w:pPr>
              <w:spacing w:line="240" w:lineRule="auto"/>
              <w:jc w:val="right"/>
              <w:rPr>
                <w:color w:val="000000"/>
                <w:lang w:val="en-US"/>
              </w:rPr>
            </w:pPr>
            <w:r w:rsidRPr="00BA2765">
              <w:rPr>
                <w:color w:val="000000"/>
                <w:lang w:val="en-US"/>
              </w:rPr>
              <w:t>8</w:t>
            </w:r>
          </w:p>
        </w:tc>
        <w:tc>
          <w:tcPr>
            <w:tcW w:w="1420" w:type="dxa"/>
            <w:tcBorders>
              <w:top w:val="nil"/>
              <w:left w:val="nil"/>
              <w:bottom w:val="single" w:sz="4" w:space="0" w:color="auto"/>
              <w:right w:val="single" w:sz="4" w:space="0" w:color="auto"/>
            </w:tcBorders>
            <w:vAlign w:val="center"/>
            <w:hideMark/>
          </w:tcPr>
          <w:p w14:paraId="077302D0"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340" w:type="dxa"/>
            <w:tcBorders>
              <w:top w:val="nil"/>
              <w:left w:val="nil"/>
              <w:bottom w:val="single" w:sz="4" w:space="0" w:color="auto"/>
              <w:right w:val="single" w:sz="4" w:space="0" w:color="auto"/>
            </w:tcBorders>
            <w:vAlign w:val="center"/>
            <w:hideMark/>
          </w:tcPr>
          <w:p w14:paraId="623F9EBB" w14:textId="77777777" w:rsidR="00BA2765" w:rsidRPr="00BA2765" w:rsidRDefault="00BA2765" w:rsidP="00134B76">
            <w:pPr>
              <w:spacing w:line="240" w:lineRule="auto"/>
              <w:jc w:val="right"/>
              <w:rPr>
                <w:color w:val="000000"/>
                <w:lang w:val="en-US"/>
              </w:rPr>
            </w:pPr>
            <w:r w:rsidRPr="00BA2765">
              <w:rPr>
                <w:color w:val="000000"/>
                <w:lang w:val="en-US"/>
              </w:rPr>
              <w:t>15</w:t>
            </w:r>
          </w:p>
        </w:tc>
      </w:tr>
    </w:tbl>
    <w:p w14:paraId="0B1D876B" w14:textId="77777777" w:rsidR="00BA2765" w:rsidRPr="00BA2765" w:rsidRDefault="00BA2765" w:rsidP="00BA2765">
      <w:pPr>
        <w:rPr>
          <w:b/>
          <w:bCs/>
        </w:rPr>
      </w:pPr>
    </w:p>
    <w:p w14:paraId="06E0D836" w14:textId="77777777" w:rsidR="00BA2765" w:rsidRPr="00BA2765" w:rsidRDefault="00BA2765" w:rsidP="00BA2765">
      <w:pPr>
        <w:rPr>
          <w:b/>
          <w:bCs/>
        </w:rPr>
      </w:pPr>
    </w:p>
    <w:tbl>
      <w:tblPr>
        <w:tblW w:w="9535" w:type="dxa"/>
        <w:tblLayout w:type="fixed"/>
        <w:tblLook w:val="04A0" w:firstRow="1" w:lastRow="0" w:firstColumn="1" w:lastColumn="0" w:noHBand="0" w:noVBand="1"/>
      </w:tblPr>
      <w:tblGrid>
        <w:gridCol w:w="805"/>
        <w:gridCol w:w="1440"/>
        <w:gridCol w:w="1530"/>
        <w:gridCol w:w="1440"/>
        <w:gridCol w:w="1440"/>
        <w:gridCol w:w="1440"/>
        <w:gridCol w:w="1440"/>
      </w:tblGrid>
      <w:tr w:rsidR="00BA2765" w:rsidRPr="00BA2765" w14:paraId="56789DCC" w14:textId="77777777" w:rsidTr="00134B76">
        <w:trPr>
          <w:trHeight w:val="735"/>
        </w:trPr>
        <w:tc>
          <w:tcPr>
            <w:tcW w:w="805" w:type="dxa"/>
            <w:tcBorders>
              <w:top w:val="single" w:sz="4" w:space="0" w:color="auto"/>
              <w:left w:val="single" w:sz="4" w:space="0" w:color="auto"/>
              <w:bottom w:val="single" w:sz="4" w:space="0" w:color="auto"/>
              <w:right w:val="single" w:sz="4" w:space="0" w:color="auto"/>
            </w:tcBorders>
            <w:vAlign w:val="center"/>
            <w:hideMark/>
          </w:tcPr>
          <w:p w14:paraId="7AD335E7" w14:textId="77777777" w:rsidR="00BA2765" w:rsidRPr="00BA2765" w:rsidRDefault="00BA2765" w:rsidP="00134B76">
            <w:pPr>
              <w:spacing w:line="240" w:lineRule="auto"/>
              <w:jc w:val="center"/>
              <w:rPr>
                <w:b/>
                <w:bCs/>
                <w:color w:val="000000"/>
                <w:lang w:val="en-US"/>
              </w:rPr>
            </w:pPr>
            <w:r w:rsidRPr="00BA2765">
              <w:rPr>
                <w:b/>
                <w:bCs/>
                <w:color w:val="000000"/>
                <w:lang w:val="en-US"/>
              </w:rPr>
              <w:t>Year</w:t>
            </w:r>
          </w:p>
        </w:tc>
        <w:tc>
          <w:tcPr>
            <w:tcW w:w="1440" w:type="dxa"/>
            <w:tcBorders>
              <w:top w:val="single" w:sz="4" w:space="0" w:color="auto"/>
              <w:left w:val="nil"/>
              <w:bottom w:val="single" w:sz="4" w:space="0" w:color="auto"/>
              <w:right w:val="single" w:sz="4" w:space="0" w:color="auto"/>
            </w:tcBorders>
            <w:vAlign w:val="center"/>
            <w:hideMark/>
          </w:tcPr>
          <w:p w14:paraId="13C7D828"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530" w:type="dxa"/>
            <w:tcBorders>
              <w:top w:val="single" w:sz="4" w:space="0" w:color="auto"/>
              <w:left w:val="nil"/>
              <w:bottom w:val="single" w:sz="4" w:space="0" w:color="auto"/>
              <w:right w:val="single" w:sz="4" w:space="0" w:color="auto"/>
            </w:tcBorders>
            <w:vAlign w:val="center"/>
            <w:hideMark/>
          </w:tcPr>
          <w:p w14:paraId="74BC25F5" w14:textId="77777777" w:rsidR="00BA2765" w:rsidRPr="00BA2765" w:rsidRDefault="00BA2765" w:rsidP="00134B76">
            <w:pPr>
              <w:spacing w:line="240" w:lineRule="auto"/>
              <w:jc w:val="center"/>
              <w:rPr>
                <w:b/>
                <w:bCs/>
                <w:color w:val="000000"/>
                <w:lang w:val="en-US"/>
              </w:rPr>
            </w:pPr>
            <w:r w:rsidRPr="00BA2765">
              <w:rPr>
                <w:b/>
                <w:bCs/>
                <w:color w:val="000000"/>
                <w:lang w:val="en-US"/>
              </w:rPr>
              <w:t>Cumulative Cash Flow</w:t>
            </w:r>
          </w:p>
        </w:tc>
        <w:tc>
          <w:tcPr>
            <w:tcW w:w="1440" w:type="dxa"/>
            <w:tcBorders>
              <w:top w:val="single" w:sz="4" w:space="0" w:color="auto"/>
              <w:left w:val="nil"/>
              <w:bottom w:val="single" w:sz="4" w:space="0" w:color="auto"/>
              <w:right w:val="single" w:sz="4" w:space="0" w:color="auto"/>
            </w:tcBorders>
            <w:vAlign w:val="center"/>
            <w:hideMark/>
          </w:tcPr>
          <w:p w14:paraId="71092761"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1440" w:type="dxa"/>
            <w:tcBorders>
              <w:top w:val="single" w:sz="4" w:space="0" w:color="auto"/>
              <w:left w:val="nil"/>
              <w:bottom w:val="single" w:sz="4" w:space="0" w:color="auto"/>
              <w:right w:val="single" w:sz="4" w:space="0" w:color="auto"/>
            </w:tcBorders>
            <w:vAlign w:val="center"/>
            <w:hideMark/>
          </w:tcPr>
          <w:p w14:paraId="0738AC5A" w14:textId="77777777" w:rsidR="00BA2765" w:rsidRPr="00BA2765" w:rsidRDefault="00BA2765" w:rsidP="00134B76">
            <w:pPr>
              <w:spacing w:line="240" w:lineRule="auto"/>
              <w:jc w:val="center"/>
              <w:rPr>
                <w:b/>
                <w:bCs/>
                <w:color w:val="000000"/>
                <w:lang w:val="en-US"/>
              </w:rPr>
            </w:pPr>
            <w:r w:rsidRPr="00BA2765">
              <w:rPr>
                <w:b/>
                <w:bCs/>
                <w:color w:val="000000"/>
                <w:lang w:val="en-US"/>
              </w:rPr>
              <w:t>Cumulative Cash Flow</w:t>
            </w:r>
          </w:p>
        </w:tc>
        <w:tc>
          <w:tcPr>
            <w:tcW w:w="1440" w:type="dxa"/>
            <w:tcBorders>
              <w:top w:val="single" w:sz="4" w:space="0" w:color="auto"/>
              <w:left w:val="nil"/>
              <w:bottom w:val="single" w:sz="4" w:space="0" w:color="auto"/>
              <w:right w:val="single" w:sz="4" w:space="0" w:color="auto"/>
            </w:tcBorders>
            <w:vAlign w:val="center"/>
            <w:hideMark/>
          </w:tcPr>
          <w:p w14:paraId="2438B2C4"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c>
          <w:tcPr>
            <w:tcW w:w="1440" w:type="dxa"/>
            <w:tcBorders>
              <w:top w:val="single" w:sz="4" w:space="0" w:color="auto"/>
              <w:left w:val="nil"/>
              <w:bottom w:val="single" w:sz="4" w:space="0" w:color="auto"/>
              <w:right w:val="single" w:sz="4" w:space="0" w:color="auto"/>
            </w:tcBorders>
            <w:vAlign w:val="center"/>
            <w:hideMark/>
          </w:tcPr>
          <w:p w14:paraId="2E2EDA47" w14:textId="77777777" w:rsidR="00BA2765" w:rsidRPr="00BA2765" w:rsidRDefault="00BA2765" w:rsidP="00134B76">
            <w:pPr>
              <w:spacing w:line="240" w:lineRule="auto"/>
              <w:jc w:val="center"/>
              <w:rPr>
                <w:b/>
                <w:bCs/>
                <w:color w:val="000000"/>
                <w:lang w:val="en-US"/>
              </w:rPr>
            </w:pPr>
            <w:r w:rsidRPr="00BA2765">
              <w:rPr>
                <w:b/>
                <w:bCs/>
                <w:color w:val="000000"/>
                <w:lang w:val="en-US"/>
              </w:rPr>
              <w:t>Cumulative Cash Flow</w:t>
            </w:r>
          </w:p>
        </w:tc>
      </w:tr>
      <w:tr w:rsidR="00BA2765" w:rsidRPr="00BA2765" w14:paraId="6800B694" w14:textId="77777777" w:rsidTr="00134B76">
        <w:trPr>
          <w:trHeight w:val="300"/>
        </w:trPr>
        <w:tc>
          <w:tcPr>
            <w:tcW w:w="805" w:type="dxa"/>
            <w:tcBorders>
              <w:top w:val="nil"/>
              <w:left w:val="single" w:sz="4" w:space="0" w:color="auto"/>
              <w:bottom w:val="single" w:sz="4" w:space="0" w:color="auto"/>
              <w:right w:val="single" w:sz="4" w:space="0" w:color="auto"/>
            </w:tcBorders>
            <w:vAlign w:val="center"/>
            <w:hideMark/>
          </w:tcPr>
          <w:p w14:paraId="6C4A8A4D"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440" w:type="dxa"/>
            <w:tcBorders>
              <w:top w:val="nil"/>
              <w:left w:val="nil"/>
              <w:bottom w:val="single" w:sz="4" w:space="0" w:color="auto"/>
              <w:right w:val="single" w:sz="4" w:space="0" w:color="auto"/>
            </w:tcBorders>
            <w:vAlign w:val="center"/>
            <w:hideMark/>
          </w:tcPr>
          <w:p w14:paraId="02A89B18" w14:textId="77777777" w:rsidR="00BA2765" w:rsidRPr="00BA2765" w:rsidRDefault="00BA2765" w:rsidP="00134B76">
            <w:pPr>
              <w:spacing w:line="240" w:lineRule="auto"/>
              <w:jc w:val="right"/>
              <w:rPr>
                <w:color w:val="000000"/>
                <w:lang w:val="en-US"/>
              </w:rPr>
            </w:pPr>
            <w:r w:rsidRPr="00BA2765">
              <w:rPr>
                <w:color w:val="000000"/>
                <w:lang w:val="en-US"/>
              </w:rPr>
              <w:t>-40,000,000</w:t>
            </w:r>
          </w:p>
        </w:tc>
        <w:tc>
          <w:tcPr>
            <w:tcW w:w="1530" w:type="dxa"/>
            <w:tcBorders>
              <w:top w:val="nil"/>
              <w:left w:val="nil"/>
              <w:bottom w:val="single" w:sz="4" w:space="0" w:color="auto"/>
              <w:right w:val="single" w:sz="4" w:space="0" w:color="auto"/>
            </w:tcBorders>
            <w:vAlign w:val="center"/>
            <w:hideMark/>
          </w:tcPr>
          <w:p w14:paraId="1952A995" w14:textId="77777777" w:rsidR="00BA2765" w:rsidRPr="00BA2765" w:rsidRDefault="00BA2765" w:rsidP="00134B76">
            <w:pPr>
              <w:spacing w:line="240" w:lineRule="auto"/>
              <w:jc w:val="right"/>
              <w:rPr>
                <w:color w:val="000000"/>
                <w:lang w:val="en-US"/>
              </w:rPr>
            </w:pPr>
            <w:r w:rsidRPr="00BA2765">
              <w:rPr>
                <w:color w:val="000000"/>
                <w:lang w:val="en-US"/>
              </w:rPr>
              <w:t>-40,000,000</w:t>
            </w:r>
          </w:p>
        </w:tc>
        <w:tc>
          <w:tcPr>
            <w:tcW w:w="1440" w:type="dxa"/>
            <w:tcBorders>
              <w:top w:val="nil"/>
              <w:left w:val="nil"/>
              <w:bottom w:val="single" w:sz="4" w:space="0" w:color="auto"/>
              <w:right w:val="single" w:sz="4" w:space="0" w:color="auto"/>
            </w:tcBorders>
            <w:vAlign w:val="center"/>
            <w:hideMark/>
          </w:tcPr>
          <w:p w14:paraId="13408603" w14:textId="77777777" w:rsidR="00BA2765" w:rsidRPr="00BA2765" w:rsidRDefault="00BA2765" w:rsidP="00134B76">
            <w:pPr>
              <w:spacing w:line="240" w:lineRule="auto"/>
              <w:jc w:val="right"/>
              <w:rPr>
                <w:color w:val="000000"/>
                <w:lang w:val="en-US"/>
              </w:rPr>
            </w:pPr>
            <w:r w:rsidRPr="00BA2765">
              <w:rPr>
                <w:color w:val="000000"/>
                <w:lang w:val="en-US"/>
              </w:rPr>
              <w:t>-30,000,000</w:t>
            </w:r>
          </w:p>
        </w:tc>
        <w:tc>
          <w:tcPr>
            <w:tcW w:w="1440" w:type="dxa"/>
            <w:tcBorders>
              <w:top w:val="nil"/>
              <w:left w:val="nil"/>
              <w:bottom w:val="single" w:sz="4" w:space="0" w:color="auto"/>
              <w:right w:val="single" w:sz="4" w:space="0" w:color="auto"/>
            </w:tcBorders>
            <w:vAlign w:val="center"/>
            <w:hideMark/>
          </w:tcPr>
          <w:p w14:paraId="2D61D325" w14:textId="77777777" w:rsidR="00BA2765" w:rsidRPr="00BA2765" w:rsidRDefault="00BA2765" w:rsidP="00134B76">
            <w:pPr>
              <w:spacing w:line="240" w:lineRule="auto"/>
              <w:jc w:val="right"/>
              <w:rPr>
                <w:color w:val="000000"/>
                <w:lang w:val="en-US"/>
              </w:rPr>
            </w:pPr>
            <w:r w:rsidRPr="00BA2765">
              <w:rPr>
                <w:color w:val="000000"/>
                <w:lang w:val="en-US"/>
              </w:rPr>
              <w:t>-30,000,000</w:t>
            </w:r>
          </w:p>
        </w:tc>
        <w:tc>
          <w:tcPr>
            <w:tcW w:w="1440" w:type="dxa"/>
            <w:tcBorders>
              <w:top w:val="nil"/>
              <w:left w:val="nil"/>
              <w:bottom w:val="single" w:sz="4" w:space="0" w:color="auto"/>
              <w:right w:val="single" w:sz="4" w:space="0" w:color="auto"/>
            </w:tcBorders>
            <w:vAlign w:val="center"/>
            <w:hideMark/>
          </w:tcPr>
          <w:p w14:paraId="1CEDF2CF" w14:textId="77777777" w:rsidR="00BA2765" w:rsidRPr="00BA2765" w:rsidRDefault="00BA2765" w:rsidP="00134B76">
            <w:pPr>
              <w:spacing w:line="240" w:lineRule="auto"/>
              <w:jc w:val="right"/>
              <w:rPr>
                <w:color w:val="000000"/>
                <w:lang w:val="en-US"/>
              </w:rPr>
            </w:pPr>
            <w:r w:rsidRPr="00BA2765">
              <w:rPr>
                <w:color w:val="000000"/>
                <w:lang w:val="en-US"/>
              </w:rPr>
              <w:t>-50,000,000</w:t>
            </w:r>
          </w:p>
        </w:tc>
        <w:tc>
          <w:tcPr>
            <w:tcW w:w="1440" w:type="dxa"/>
            <w:tcBorders>
              <w:top w:val="nil"/>
              <w:left w:val="nil"/>
              <w:bottom w:val="single" w:sz="4" w:space="0" w:color="auto"/>
              <w:right w:val="single" w:sz="4" w:space="0" w:color="auto"/>
            </w:tcBorders>
            <w:noWrap/>
            <w:vAlign w:val="bottom"/>
            <w:hideMark/>
          </w:tcPr>
          <w:p w14:paraId="6F88A3CC" w14:textId="77777777" w:rsidR="00BA2765" w:rsidRPr="00BA2765" w:rsidRDefault="00BA2765" w:rsidP="00134B76">
            <w:pPr>
              <w:spacing w:line="240" w:lineRule="auto"/>
              <w:jc w:val="right"/>
              <w:rPr>
                <w:color w:val="000000"/>
                <w:lang w:val="en-US"/>
              </w:rPr>
            </w:pPr>
            <w:r w:rsidRPr="00BA2765">
              <w:rPr>
                <w:color w:val="000000"/>
              </w:rPr>
              <w:t>-50,000,000</w:t>
            </w:r>
          </w:p>
        </w:tc>
      </w:tr>
      <w:tr w:rsidR="00BA2765" w:rsidRPr="00BA2765" w14:paraId="2D8C2334" w14:textId="77777777" w:rsidTr="00134B76">
        <w:trPr>
          <w:trHeight w:val="300"/>
        </w:trPr>
        <w:tc>
          <w:tcPr>
            <w:tcW w:w="805" w:type="dxa"/>
            <w:tcBorders>
              <w:top w:val="nil"/>
              <w:left w:val="single" w:sz="4" w:space="0" w:color="auto"/>
              <w:bottom w:val="single" w:sz="4" w:space="0" w:color="auto"/>
              <w:right w:val="single" w:sz="4" w:space="0" w:color="auto"/>
            </w:tcBorders>
            <w:vAlign w:val="center"/>
            <w:hideMark/>
          </w:tcPr>
          <w:p w14:paraId="7E693423" w14:textId="77777777" w:rsidR="00BA2765" w:rsidRPr="00BA2765" w:rsidRDefault="00BA2765" w:rsidP="00134B76">
            <w:pPr>
              <w:spacing w:line="240" w:lineRule="auto"/>
              <w:jc w:val="right"/>
              <w:rPr>
                <w:color w:val="000000"/>
                <w:lang w:val="en-US"/>
              </w:rPr>
            </w:pPr>
            <w:r w:rsidRPr="00BA2765">
              <w:rPr>
                <w:color w:val="000000"/>
                <w:lang w:val="en-US"/>
              </w:rPr>
              <w:t>1</w:t>
            </w:r>
          </w:p>
        </w:tc>
        <w:tc>
          <w:tcPr>
            <w:tcW w:w="1440" w:type="dxa"/>
            <w:tcBorders>
              <w:top w:val="nil"/>
              <w:left w:val="nil"/>
              <w:bottom w:val="single" w:sz="4" w:space="0" w:color="auto"/>
              <w:right w:val="single" w:sz="4" w:space="0" w:color="auto"/>
            </w:tcBorders>
            <w:vAlign w:val="center"/>
            <w:hideMark/>
          </w:tcPr>
          <w:p w14:paraId="250223E5" w14:textId="77777777" w:rsidR="00BA2765" w:rsidRPr="00BA2765" w:rsidRDefault="00BA2765" w:rsidP="00134B76">
            <w:pPr>
              <w:spacing w:line="240" w:lineRule="auto"/>
              <w:jc w:val="right"/>
              <w:rPr>
                <w:color w:val="000000"/>
                <w:lang w:val="en-US"/>
              </w:rPr>
            </w:pPr>
            <w:r w:rsidRPr="00BA2765">
              <w:rPr>
                <w:color w:val="000000"/>
                <w:lang w:val="en-US"/>
              </w:rPr>
              <w:t>10,000,000</w:t>
            </w:r>
          </w:p>
        </w:tc>
        <w:tc>
          <w:tcPr>
            <w:tcW w:w="1530" w:type="dxa"/>
            <w:tcBorders>
              <w:top w:val="nil"/>
              <w:left w:val="nil"/>
              <w:bottom w:val="single" w:sz="4" w:space="0" w:color="auto"/>
              <w:right w:val="single" w:sz="4" w:space="0" w:color="auto"/>
            </w:tcBorders>
            <w:vAlign w:val="center"/>
            <w:hideMark/>
          </w:tcPr>
          <w:p w14:paraId="5E27C15C" w14:textId="77777777" w:rsidR="00BA2765" w:rsidRPr="00BA2765" w:rsidRDefault="00BA2765" w:rsidP="00134B76">
            <w:pPr>
              <w:spacing w:line="240" w:lineRule="auto"/>
              <w:jc w:val="right"/>
              <w:rPr>
                <w:color w:val="000000"/>
                <w:lang w:val="en-US"/>
              </w:rPr>
            </w:pPr>
            <w:r w:rsidRPr="00BA2765">
              <w:rPr>
                <w:color w:val="000000"/>
                <w:lang w:val="en-US"/>
              </w:rPr>
              <w:t>-30,000,000</w:t>
            </w:r>
          </w:p>
        </w:tc>
        <w:tc>
          <w:tcPr>
            <w:tcW w:w="1440" w:type="dxa"/>
            <w:tcBorders>
              <w:top w:val="nil"/>
              <w:left w:val="nil"/>
              <w:bottom w:val="single" w:sz="4" w:space="0" w:color="auto"/>
              <w:right w:val="single" w:sz="4" w:space="0" w:color="auto"/>
            </w:tcBorders>
            <w:vAlign w:val="center"/>
            <w:hideMark/>
          </w:tcPr>
          <w:p w14:paraId="3631D6F7"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311094D4" w14:textId="77777777" w:rsidR="00BA2765" w:rsidRPr="00BA2765" w:rsidRDefault="00BA2765" w:rsidP="00134B76">
            <w:pPr>
              <w:spacing w:line="240" w:lineRule="auto"/>
              <w:jc w:val="right"/>
              <w:rPr>
                <w:color w:val="000000"/>
                <w:lang w:val="en-US"/>
              </w:rPr>
            </w:pPr>
            <w:r w:rsidRPr="00BA2765">
              <w:rPr>
                <w:color w:val="000000"/>
                <w:lang w:val="en-US"/>
              </w:rPr>
              <w:t>-24,000,000</w:t>
            </w:r>
          </w:p>
        </w:tc>
        <w:tc>
          <w:tcPr>
            <w:tcW w:w="1440" w:type="dxa"/>
            <w:tcBorders>
              <w:top w:val="nil"/>
              <w:left w:val="nil"/>
              <w:bottom w:val="single" w:sz="4" w:space="0" w:color="auto"/>
              <w:right w:val="single" w:sz="4" w:space="0" w:color="auto"/>
            </w:tcBorders>
            <w:vAlign w:val="center"/>
            <w:hideMark/>
          </w:tcPr>
          <w:p w14:paraId="642A4D59" w14:textId="77777777" w:rsidR="00BA2765" w:rsidRPr="00BA2765" w:rsidRDefault="00BA2765" w:rsidP="00134B76">
            <w:pPr>
              <w:spacing w:line="240" w:lineRule="auto"/>
              <w:jc w:val="right"/>
              <w:rPr>
                <w:color w:val="000000"/>
                <w:lang w:val="en-US"/>
              </w:rPr>
            </w:pPr>
            <w:r w:rsidRPr="00BA2765">
              <w:rPr>
                <w:color w:val="000000"/>
                <w:lang w:val="en-US"/>
              </w:rPr>
              <w:t>5,000,000</w:t>
            </w:r>
          </w:p>
        </w:tc>
        <w:tc>
          <w:tcPr>
            <w:tcW w:w="1440" w:type="dxa"/>
            <w:tcBorders>
              <w:top w:val="nil"/>
              <w:left w:val="nil"/>
              <w:bottom w:val="single" w:sz="4" w:space="0" w:color="auto"/>
              <w:right w:val="single" w:sz="4" w:space="0" w:color="auto"/>
            </w:tcBorders>
            <w:noWrap/>
            <w:vAlign w:val="bottom"/>
            <w:hideMark/>
          </w:tcPr>
          <w:p w14:paraId="45E64259" w14:textId="77777777" w:rsidR="00BA2765" w:rsidRPr="00BA2765" w:rsidRDefault="00BA2765" w:rsidP="00134B76">
            <w:pPr>
              <w:spacing w:line="240" w:lineRule="auto"/>
              <w:jc w:val="right"/>
              <w:rPr>
                <w:color w:val="000000"/>
                <w:lang w:val="en-US"/>
              </w:rPr>
            </w:pPr>
            <w:r w:rsidRPr="00BA2765">
              <w:rPr>
                <w:color w:val="000000"/>
              </w:rPr>
              <w:t>-45,000,000</w:t>
            </w:r>
          </w:p>
        </w:tc>
      </w:tr>
      <w:tr w:rsidR="00BA2765" w:rsidRPr="00BA2765" w14:paraId="7A52EEE5" w14:textId="77777777" w:rsidTr="00134B76">
        <w:trPr>
          <w:trHeight w:val="300"/>
        </w:trPr>
        <w:tc>
          <w:tcPr>
            <w:tcW w:w="805" w:type="dxa"/>
            <w:tcBorders>
              <w:top w:val="nil"/>
              <w:left w:val="single" w:sz="4" w:space="0" w:color="auto"/>
              <w:bottom w:val="single" w:sz="4" w:space="0" w:color="auto"/>
              <w:right w:val="single" w:sz="4" w:space="0" w:color="auto"/>
            </w:tcBorders>
            <w:vAlign w:val="center"/>
            <w:hideMark/>
          </w:tcPr>
          <w:p w14:paraId="742F57AE" w14:textId="77777777" w:rsidR="00BA2765" w:rsidRPr="00BA2765" w:rsidRDefault="00BA2765" w:rsidP="00134B76">
            <w:pPr>
              <w:spacing w:line="240" w:lineRule="auto"/>
              <w:jc w:val="right"/>
              <w:rPr>
                <w:color w:val="000000"/>
                <w:lang w:val="en-US"/>
              </w:rPr>
            </w:pPr>
            <w:r w:rsidRPr="00BA2765">
              <w:rPr>
                <w:color w:val="000000"/>
                <w:lang w:val="en-US"/>
              </w:rPr>
              <w:t>2</w:t>
            </w:r>
          </w:p>
        </w:tc>
        <w:tc>
          <w:tcPr>
            <w:tcW w:w="1440" w:type="dxa"/>
            <w:tcBorders>
              <w:top w:val="nil"/>
              <w:left w:val="nil"/>
              <w:bottom w:val="single" w:sz="4" w:space="0" w:color="auto"/>
              <w:right w:val="single" w:sz="4" w:space="0" w:color="auto"/>
            </w:tcBorders>
            <w:vAlign w:val="center"/>
            <w:hideMark/>
          </w:tcPr>
          <w:p w14:paraId="5743AD97" w14:textId="77777777" w:rsidR="00BA2765" w:rsidRPr="00BA2765" w:rsidRDefault="00BA2765" w:rsidP="00134B76">
            <w:pPr>
              <w:spacing w:line="240" w:lineRule="auto"/>
              <w:jc w:val="right"/>
              <w:rPr>
                <w:color w:val="000000"/>
                <w:lang w:val="en-US"/>
              </w:rPr>
            </w:pPr>
            <w:r w:rsidRPr="00BA2765">
              <w:rPr>
                <w:color w:val="000000"/>
                <w:lang w:val="en-US"/>
              </w:rPr>
              <w:t>12,000,000</w:t>
            </w:r>
          </w:p>
        </w:tc>
        <w:tc>
          <w:tcPr>
            <w:tcW w:w="1530" w:type="dxa"/>
            <w:tcBorders>
              <w:top w:val="nil"/>
              <w:left w:val="nil"/>
              <w:bottom w:val="single" w:sz="4" w:space="0" w:color="auto"/>
              <w:right w:val="single" w:sz="4" w:space="0" w:color="auto"/>
            </w:tcBorders>
            <w:vAlign w:val="center"/>
            <w:hideMark/>
          </w:tcPr>
          <w:p w14:paraId="5A674B9A" w14:textId="77777777" w:rsidR="00BA2765" w:rsidRPr="00BA2765" w:rsidRDefault="00BA2765" w:rsidP="00134B76">
            <w:pPr>
              <w:spacing w:line="240" w:lineRule="auto"/>
              <w:jc w:val="right"/>
              <w:rPr>
                <w:color w:val="000000"/>
                <w:lang w:val="en-US"/>
              </w:rPr>
            </w:pPr>
            <w:r w:rsidRPr="00BA2765">
              <w:rPr>
                <w:color w:val="000000"/>
                <w:lang w:val="en-US"/>
              </w:rPr>
              <w:t>-18,000,000</w:t>
            </w:r>
          </w:p>
        </w:tc>
        <w:tc>
          <w:tcPr>
            <w:tcW w:w="1440" w:type="dxa"/>
            <w:tcBorders>
              <w:top w:val="nil"/>
              <w:left w:val="nil"/>
              <w:bottom w:val="single" w:sz="4" w:space="0" w:color="auto"/>
              <w:right w:val="single" w:sz="4" w:space="0" w:color="auto"/>
            </w:tcBorders>
            <w:vAlign w:val="center"/>
            <w:hideMark/>
          </w:tcPr>
          <w:p w14:paraId="47CC334E"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7FD90170" w14:textId="77777777" w:rsidR="00BA2765" w:rsidRPr="00BA2765" w:rsidRDefault="00BA2765" w:rsidP="00134B76">
            <w:pPr>
              <w:spacing w:line="240" w:lineRule="auto"/>
              <w:jc w:val="right"/>
              <w:rPr>
                <w:color w:val="000000"/>
                <w:lang w:val="en-US"/>
              </w:rPr>
            </w:pPr>
            <w:r w:rsidRPr="00BA2765">
              <w:rPr>
                <w:color w:val="000000"/>
                <w:lang w:val="en-US"/>
              </w:rPr>
              <w:t>-18,000,000</w:t>
            </w:r>
          </w:p>
        </w:tc>
        <w:tc>
          <w:tcPr>
            <w:tcW w:w="1440" w:type="dxa"/>
            <w:tcBorders>
              <w:top w:val="nil"/>
              <w:left w:val="nil"/>
              <w:bottom w:val="single" w:sz="4" w:space="0" w:color="auto"/>
              <w:right w:val="single" w:sz="4" w:space="0" w:color="auto"/>
            </w:tcBorders>
            <w:vAlign w:val="center"/>
            <w:hideMark/>
          </w:tcPr>
          <w:p w14:paraId="4319182E" w14:textId="77777777" w:rsidR="00BA2765" w:rsidRPr="00BA2765" w:rsidRDefault="00BA2765" w:rsidP="00134B76">
            <w:pPr>
              <w:spacing w:line="240" w:lineRule="auto"/>
              <w:jc w:val="right"/>
              <w:rPr>
                <w:color w:val="000000"/>
                <w:lang w:val="en-US"/>
              </w:rPr>
            </w:pPr>
            <w:r w:rsidRPr="00BA2765">
              <w:rPr>
                <w:color w:val="000000"/>
                <w:lang w:val="en-US"/>
              </w:rPr>
              <w:t>10,000,000</w:t>
            </w:r>
          </w:p>
        </w:tc>
        <w:tc>
          <w:tcPr>
            <w:tcW w:w="1440" w:type="dxa"/>
            <w:tcBorders>
              <w:top w:val="nil"/>
              <w:left w:val="nil"/>
              <w:bottom w:val="single" w:sz="4" w:space="0" w:color="auto"/>
              <w:right w:val="single" w:sz="4" w:space="0" w:color="auto"/>
            </w:tcBorders>
            <w:noWrap/>
            <w:vAlign w:val="bottom"/>
            <w:hideMark/>
          </w:tcPr>
          <w:p w14:paraId="34C1652B" w14:textId="77777777" w:rsidR="00BA2765" w:rsidRPr="00BA2765" w:rsidRDefault="00BA2765" w:rsidP="00134B76">
            <w:pPr>
              <w:spacing w:line="240" w:lineRule="auto"/>
              <w:jc w:val="right"/>
              <w:rPr>
                <w:color w:val="000000"/>
                <w:lang w:val="en-US"/>
              </w:rPr>
            </w:pPr>
            <w:r w:rsidRPr="00BA2765">
              <w:rPr>
                <w:color w:val="000000"/>
              </w:rPr>
              <w:t>-35,000,000</w:t>
            </w:r>
          </w:p>
        </w:tc>
      </w:tr>
      <w:tr w:rsidR="00BA2765" w:rsidRPr="00BA2765" w14:paraId="31AE4141" w14:textId="77777777" w:rsidTr="00134B76">
        <w:trPr>
          <w:trHeight w:val="300"/>
        </w:trPr>
        <w:tc>
          <w:tcPr>
            <w:tcW w:w="805" w:type="dxa"/>
            <w:tcBorders>
              <w:top w:val="nil"/>
              <w:left w:val="single" w:sz="4" w:space="0" w:color="auto"/>
              <w:bottom w:val="single" w:sz="4" w:space="0" w:color="auto"/>
              <w:right w:val="single" w:sz="4" w:space="0" w:color="auto"/>
            </w:tcBorders>
            <w:vAlign w:val="center"/>
            <w:hideMark/>
          </w:tcPr>
          <w:p w14:paraId="5AA3C3F2" w14:textId="77777777" w:rsidR="00BA2765" w:rsidRPr="00BA2765" w:rsidRDefault="00BA2765" w:rsidP="00134B76">
            <w:pPr>
              <w:spacing w:line="240" w:lineRule="auto"/>
              <w:jc w:val="right"/>
              <w:rPr>
                <w:color w:val="000000"/>
                <w:lang w:val="en-US"/>
              </w:rPr>
            </w:pPr>
            <w:r w:rsidRPr="00BA2765">
              <w:rPr>
                <w:color w:val="000000"/>
                <w:lang w:val="en-US"/>
              </w:rPr>
              <w:t>3</w:t>
            </w:r>
          </w:p>
        </w:tc>
        <w:tc>
          <w:tcPr>
            <w:tcW w:w="1440" w:type="dxa"/>
            <w:tcBorders>
              <w:top w:val="nil"/>
              <w:left w:val="nil"/>
              <w:bottom w:val="single" w:sz="4" w:space="0" w:color="auto"/>
              <w:right w:val="single" w:sz="4" w:space="0" w:color="auto"/>
            </w:tcBorders>
            <w:vAlign w:val="center"/>
            <w:hideMark/>
          </w:tcPr>
          <w:p w14:paraId="57A10563" w14:textId="77777777" w:rsidR="00BA2765" w:rsidRPr="00BA2765" w:rsidRDefault="00BA2765" w:rsidP="00134B76">
            <w:pPr>
              <w:spacing w:line="240" w:lineRule="auto"/>
              <w:jc w:val="right"/>
              <w:rPr>
                <w:color w:val="000000"/>
                <w:lang w:val="en-US"/>
              </w:rPr>
            </w:pPr>
            <w:r w:rsidRPr="00BA2765">
              <w:rPr>
                <w:color w:val="000000"/>
                <w:lang w:val="en-US"/>
              </w:rPr>
              <w:t>14,000,000</w:t>
            </w:r>
          </w:p>
        </w:tc>
        <w:tc>
          <w:tcPr>
            <w:tcW w:w="1530" w:type="dxa"/>
            <w:tcBorders>
              <w:top w:val="nil"/>
              <w:left w:val="nil"/>
              <w:bottom w:val="single" w:sz="4" w:space="0" w:color="auto"/>
              <w:right w:val="single" w:sz="4" w:space="0" w:color="auto"/>
            </w:tcBorders>
            <w:vAlign w:val="center"/>
            <w:hideMark/>
          </w:tcPr>
          <w:p w14:paraId="57588513" w14:textId="77777777" w:rsidR="00BA2765" w:rsidRPr="00BA2765" w:rsidRDefault="00BA2765" w:rsidP="00134B76">
            <w:pPr>
              <w:spacing w:line="240" w:lineRule="auto"/>
              <w:jc w:val="right"/>
              <w:rPr>
                <w:color w:val="000000"/>
                <w:lang w:val="en-US"/>
              </w:rPr>
            </w:pPr>
            <w:r w:rsidRPr="00BA2765">
              <w:rPr>
                <w:color w:val="000000"/>
                <w:lang w:val="en-US"/>
              </w:rPr>
              <w:t>-4,000,000</w:t>
            </w:r>
          </w:p>
        </w:tc>
        <w:tc>
          <w:tcPr>
            <w:tcW w:w="1440" w:type="dxa"/>
            <w:tcBorders>
              <w:top w:val="nil"/>
              <w:left w:val="nil"/>
              <w:bottom w:val="single" w:sz="4" w:space="0" w:color="auto"/>
              <w:right w:val="single" w:sz="4" w:space="0" w:color="auto"/>
            </w:tcBorders>
            <w:vAlign w:val="center"/>
            <w:hideMark/>
          </w:tcPr>
          <w:p w14:paraId="79F60922"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6EC95862" w14:textId="77777777" w:rsidR="00BA2765" w:rsidRPr="00BA2765" w:rsidRDefault="00BA2765" w:rsidP="00134B76">
            <w:pPr>
              <w:spacing w:line="240" w:lineRule="auto"/>
              <w:jc w:val="right"/>
              <w:rPr>
                <w:color w:val="000000"/>
                <w:lang w:val="en-US"/>
              </w:rPr>
            </w:pPr>
            <w:r w:rsidRPr="00BA2765">
              <w:rPr>
                <w:color w:val="000000"/>
                <w:lang w:val="en-US"/>
              </w:rPr>
              <w:t>-12,000,000</w:t>
            </w:r>
          </w:p>
        </w:tc>
        <w:tc>
          <w:tcPr>
            <w:tcW w:w="1440" w:type="dxa"/>
            <w:tcBorders>
              <w:top w:val="nil"/>
              <w:left w:val="nil"/>
              <w:bottom w:val="single" w:sz="4" w:space="0" w:color="auto"/>
              <w:right w:val="single" w:sz="4" w:space="0" w:color="auto"/>
            </w:tcBorders>
            <w:vAlign w:val="center"/>
            <w:hideMark/>
          </w:tcPr>
          <w:p w14:paraId="3D508B2F" w14:textId="77777777" w:rsidR="00BA2765" w:rsidRPr="00BA2765" w:rsidRDefault="00BA2765" w:rsidP="00134B76">
            <w:pPr>
              <w:spacing w:line="240" w:lineRule="auto"/>
              <w:jc w:val="right"/>
              <w:rPr>
                <w:color w:val="000000"/>
                <w:lang w:val="en-US"/>
              </w:rPr>
            </w:pPr>
            <w:r w:rsidRPr="00BA2765">
              <w:rPr>
                <w:color w:val="000000"/>
                <w:lang w:val="en-US"/>
              </w:rPr>
              <w:t>20,000,000</w:t>
            </w:r>
          </w:p>
        </w:tc>
        <w:tc>
          <w:tcPr>
            <w:tcW w:w="1440" w:type="dxa"/>
            <w:tcBorders>
              <w:top w:val="nil"/>
              <w:left w:val="nil"/>
              <w:bottom w:val="single" w:sz="4" w:space="0" w:color="auto"/>
              <w:right w:val="single" w:sz="4" w:space="0" w:color="auto"/>
            </w:tcBorders>
            <w:noWrap/>
            <w:vAlign w:val="bottom"/>
            <w:hideMark/>
          </w:tcPr>
          <w:p w14:paraId="55F84CFC" w14:textId="77777777" w:rsidR="00BA2765" w:rsidRPr="00BA2765" w:rsidRDefault="00BA2765" w:rsidP="00134B76">
            <w:pPr>
              <w:spacing w:line="240" w:lineRule="auto"/>
              <w:jc w:val="right"/>
              <w:rPr>
                <w:color w:val="000000"/>
                <w:lang w:val="en-US"/>
              </w:rPr>
            </w:pPr>
            <w:r w:rsidRPr="00BA2765">
              <w:rPr>
                <w:color w:val="000000"/>
              </w:rPr>
              <w:t>-15,000,000</w:t>
            </w:r>
          </w:p>
        </w:tc>
      </w:tr>
      <w:tr w:rsidR="00BA2765" w:rsidRPr="00BA2765" w14:paraId="222E7BD4" w14:textId="77777777" w:rsidTr="00134B76">
        <w:trPr>
          <w:trHeight w:val="300"/>
        </w:trPr>
        <w:tc>
          <w:tcPr>
            <w:tcW w:w="805" w:type="dxa"/>
            <w:tcBorders>
              <w:top w:val="nil"/>
              <w:left w:val="single" w:sz="4" w:space="0" w:color="auto"/>
              <w:bottom w:val="single" w:sz="4" w:space="0" w:color="auto"/>
              <w:right w:val="single" w:sz="4" w:space="0" w:color="auto"/>
            </w:tcBorders>
            <w:vAlign w:val="center"/>
            <w:hideMark/>
          </w:tcPr>
          <w:p w14:paraId="050A2F10" w14:textId="77777777" w:rsidR="00BA2765" w:rsidRPr="00BA2765" w:rsidRDefault="00BA2765" w:rsidP="00134B76">
            <w:pPr>
              <w:spacing w:line="240" w:lineRule="auto"/>
              <w:jc w:val="right"/>
              <w:rPr>
                <w:color w:val="000000"/>
                <w:lang w:val="en-US"/>
              </w:rPr>
            </w:pPr>
            <w:r w:rsidRPr="00BA2765">
              <w:rPr>
                <w:color w:val="000000"/>
                <w:lang w:val="en-US"/>
              </w:rPr>
              <w:t>4</w:t>
            </w:r>
          </w:p>
        </w:tc>
        <w:tc>
          <w:tcPr>
            <w:tcW w:w="1440" w:type="dxa"/>
            <w:tcBorders>
              <w:top w:val="nil"/>
              <w:left w:val="nil"/>
              <w:bottom w:val="single" w:sz="4" w:space="0" w:color="auto"/>
              <w:right w:val="single" w:sz="4" w:space="0" w:color="auto"/>
            </w:tcBorders>
            <w:vAlign w:val="center"/>
            <w:hideMark/>
          </w:tcPr>
          <w:p w14:paraId="72BC211F" w14:textId="77777777" w:rsidR="00BA2765" w:rsidRPr="00BA2765" w:rsidRDefault="00BA2765" w:rsidP="00134B76">
            <w:pPr>
              <w:spacing w:line="240" w:lineRule="auto"/>
              <w:jc w:val="right"/>
              <w:rPr>
                <w:color w:val="000000"/>
                <w:lang w:val="en-US"/>
              </w:rPr>
            </w:pPr>
            <w:r w:rsidRPr="00BA2765">
              <w:rPr>
                <w:color w:val="000000"/>
                <w:lang w:val="en-US"/>
              </w:rPr>
              <w:t>10,000,000</w:t>
            </w:r>
          </w:p>
        </w:tc>
        <w:tc>
          <w:tcPr>
            <w:tcW w:w="1530" w:type="dxa"/>
            <w:tcBorders>
              <w:top w:val="nil"/>
              <w:left w:val="nil"/>
              <w:bottom w:val="single" w:sz="4" w:space="0" w:color="auto"/>
              <w:right w:val="single" w:sz="4" w:space="0" w:color="auto"/>
            </w:tcBorders>
            <w:vAlign w:val="center"/>
            <w:hideMark/>
          </w:tcPr>
          <w:p w14:paraId="364F97D3"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26805358"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240A1AB5"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32AF4D06" w14:textId="77777777" w:rsidR="00BA2765" w:rsidRPr="00BA2765" w:rsidRDefault="00BA2765" w:rsidP="00134B76">
            <w:pPr>
              <w:spacing w:line="240" w:lineRule="auto"/>
              <w:jc w:val="right"/>
              <w:rPr>
                <w:color w:val="000000"/>
                <w:lang w:val="en-US"/>
              </w:rPr>
            </w:pPr>
            <w:r w:rsidRPr="00BA2765">
              <w:rPr>
                <w:color w:val="000000"/>
                <w:lang w:val="en-US"/>
              </w:rPr>
              <w:t>25,000,000</w:t>
            </w:r>
          </w:p>
        </w:tc>
        <w:tc>
          <w:tcPr>
            <w:tcW w:w="1440" w:type="dxa"/>
            <w:tcBorders>
              <w:top w:val="nil"/>
              <w:left w:val="nil"/>
              <w:bottom w:val="single" w:sz="4" w:space="0" w:color="auto"/>
              <w:right w:val="single" w:sz="4" w:space="0" w:color="auto"/>
            </w:tcBorders>
            <w:noWrap/>
            <w:vAlign w:val="bottom"/>
            <w:hideMark/>
          </w:tcPr>
          <w:p w14:paraId="0A2AACA9" w14:textId="77777777" w:rsidR="00BA2765" w:rsidRPr="00BA2765" w:rsidRDefault="00BA2765" w:rsidP="00134B76">
            <w:pPr>
              <w:spacing w:line="240" w:lineRule="auto"/>
              <w:jc w:val="right"/>
              <w:rPr>
                <w:color w:val="000000"/>
                <w:lang w:val="en-US"/>
              </w:rPr>
            </w:pPr>
            <w:r w:rsidRPr="00BA2765">
              <w:rPr>
                <w:color w:val="000000"/>
              </w:rPr>
              <w:t>10,000,000</w:t>
            </w:r>
          </w:p>
        </w:tc>
      </w:tr>
      <w:tr w:rsidR="00BA2765" w:rsidRPr="00BA2765" w14:paraId="05FA94E2" w14:textId="77777777" w:rsidTr="00134B76">
        <w:trPr>
          <w:trHeight w:val="300"/>
        </w:trPr>
        <w:tc>
          <w:tcPr>
            <w:tcW w:w="805" w:type="dxa"/>
            <w:tcBorders>
              <w:top w:val="nil"/>
              <w:left w:val="single" w:sz="4" w:space="0" w:color="auto"/>
              <w:bottom w:val="single" w:sz="4" w:space="0" w:color="auto"/>
              <w:right w:val="single" w:sz="4" w:space="0" w:color="auto"/>
            </w:tcBorders>
            <w:vAlign w:val="center"/>
            <w:hideMark/>
          </w:tcPr>
          <w:p w14:paraId="6C5142D6" w14:textId="77777777" w:rsidR="00BA2765" w:rsidRPr="00BA2765" w:rsidRDefault="00BA2765" w:rsidP="00134B76">
            <w:pPr>
              <w:spacing w:line="240" w:lineRule="auto"/>
              <w:jc w:val="right"/>
              <w:rPr>
                <w:color w:val="000000"/>
                <w:lang w:val="en-US"/>
              </w:rPr>
            </w:pPr>
            <w:r w:rsidRPr="00BA2765">
              <w:rPr>
                <w:color w:val="000000"/>
                <w:lang w:val="en-US"/>
              </w:rPr>
              <w:t>5</w:t>
            </w:r>
          </w:p>
        </w:tc>
        <w:tc>
          <w:tcPr>
            <w:tcW w:w="1440" w:type="dxa"/>
            <w:tcBorders>
              <w:top w:val="nil"/>
              <w:left w:val="nil"/>
              <w:bottom w:val="single" w:sz="4" w:space="0" w:color="auto"/>
              <w:right w:val="single" w:sz="4" w:space="0" w:color="auto"/>
            </w:tcBorders>
            <w:vAlign w:val="center"/>
            <w:hideMark/>
          </w:tcPr>
          <w:p w14:paraId="047E0F3F" w14:textId="77777777" w:rsidR="00BA2765" w:rsidRPr="00BA2765" w:rsidRDefault="00BA2765" w:rsidP="00134B76">
            <w:pPr>
              <w:spacing w:line="240" w:lineRule="auto"/>
              <w:jc w:val="right"/>
              <w:rPr>
                <w:color w:val="000000"/>
                <w:lang w:val="en-US"/>
              </w:rPr>
            </w:pPr>
            <w:r w:rsidRPr="00BA2765">
              <w:rPr>
                <w:color w:val="000000"/>
                <w:lang w:val="en-US"/>
              </w:rPr>
              <w:t>8,000,000</w:t>
            </w:r>
          </w:p>
        </w:tc>
        <w:tc>
          <w:tcPr>
            <w:tcW w:w="1530" w:type="dxa"/>
            <w:tcBorders>
              <w:top w:val="nil"/>
              <w:left w:val="nil"/>
              <w:bottom w:val="single" w:sz="4" w:space="0" w:color="auto"/>
              <w:right w:val="single" w:sz="4" w:space="0" w:color="auto"/>
            </w:tcBorders>
            <w:vAlign w:val="center"/>
            <w:hideMark/>
          </w:tcPr>
          <w:p w14:paraId="731B8EF8" w14:textId="77777777" w:rsidR="00BA2765" w:rsidRPr="00BA2765" w:rsidRDefault="00BA2765" w:rsidP="00134B76">
            <w:pPr>
              <w:spacing w:line="240" w:lineRule="auto"/>
              <w:jc w:val="right"/>
              <w:rPr>
                <w:color w:val="000000"/>
                <w:lang w:val="en-US"/>
              </w:rPr>
            </w:pPr>
            <w:r w:rsidRPr="00BA2765">
              <w:rPr>
                <w:color w:val="000000"/>
                <w:lang w:val="en-US"/>
              </w:rPr>
              <w:t>14,000,000</w:t>
            </w:r>
          </w:p>
        </w:tc>
        <w:tc>
          <w:tcPr>
            <w:tcW w:w="1440" w:type="dxa"/>
            <w:tcBorders>
              <w:top w:val="nil"/>
              <w:left w:val="nil"/>
              <w:bottom w:val="single" w:sz="4" w:space="0" w:color="auto"/>
              <w:right w:val="single" w:sz="4" w:space="0" w:color="auto"/>
            </w:tcBorders>
            <w:vAlign w:val="center"/>
            <w:hideMark/>
          </w:tcPr>
          <w:p w14:paraId="0348AAF2" w14:textId="77777777" w:rsidR="00BA2765" w:rsidRPr="00BA2765" w:rsidRDefault="00BA2765" w:rsidP="00134B76">
            <w:pPr>
              <w:spacing w:line="240" w:lineRule="auto"/>
              <w:jc w:val="right"/>
              <w:rPr>
                <w:color w:val="000000"/>
                <w:lang w:val="en-US"/>
              </w:rPr>
            </w:pPr>
            <w:r w:rsidRPr="00BA2765">
              <w:rPr>
                <w:color w:val="000000"/>
                <w:lang w:val="en-US"/>
              </w:rPr>
              <w:t>6,000,000</w:t>
            </w:r>
          </w:p>
        </w:tc>
        <w:tc>
          <w:tcPr>
            <w:tcW w:w="1440" w:type="dxa"/>
            <w:tcBorders>
              <w:top w:val="nil"/>
              <w:left w:val="nil"/>
              <w:bottom w:val="single" w:sz="4" w:space="0" w:color="auto"/>
              <w:right w:val="single" w:sz="4" w:space="0" w:color="auto"/>
            </w:tcBorders>
            <w:vAlign w:val="center"/>
            <w:hideMark/>
          </w:tcPr>
          <w:p w14:paraId="15D2BA24"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440" w:type="dxa"/>
            <w:tcBorders>
              <w:top w:val="nil"/>
              <w:left w:val="nil"/>
              <w:bottom w:val="single" w:sz="4" w:space="0" w:color="auto"/>
              <w:right w:val="single" w:sz="4" w:space="0" w:color="auto"/>
            </w:tcBorders>
            <w:vAlign w:val="center"/>
            <w:hideMark/>
          </w:tcPr>
          <w:p w14:paraId="503BC1B5" w14:textId="77777777" w:rsidR="00BA2765" w:rsidRPr="00BA2765" w:rsidRDefault="00BA2765" w:rsidP="00134B76">
            <w:pPr>
              <w:spacing w:line="240" w:lineRule="auto"/>
              <w:jc w:val="right"/>
              <w:rPr>
                <w:color w:val="000000"/>
                <w:lang w:val="en-US"/>
              </w:rPr>
            </w:pPr>
            <w:r w:rsidRPr="00BA2765">
              <w:rPr>
                <w:color w:val="000000"/>
                <w:lang w:val="en-US"/>
              </w:rPr>
              <w:t>15,000,000</w:t>
            </w:r>
          </w:p>
        </w:tc>
        <w:tc>
          <w:tcPr>
            <w:tcW w:w="1440" w:type="dxa"/>
            <w:tcBorders>
              <w:top w:val="nil"/>
              <w:left w:val="nil"/>
              <w:bottom w:val="single" w:sz="4" w:space="0" w:color="auto"/>
              <w:right w:val="single" w:sz="4" w:space="0" w:color="auto"/>
            </w:tcBorders>
            <w:noWrap/>
            <w:vAlign w:val="bottom"/>
            <w:hideMark/>
          </w:tcPr>
          <w:p w14:paraId="1F832A4D" w14:textId="77777777" w:rsidR="00BA2765" w:rsidRPr="00BA2765" w:rsidRDefault="00BA2765" w:rsidP="00134B76">
            <w:pPr>
              <w:spacing w:line="240" w:lineRule="auto"/>
              <w:jc w:val="right"/>
              <w:rPr>
                <w:color w:val="000000"/>
                <w:lang w:val="en-US"/>
              </w:rPr>
            </w:pPr>
            <w:r w:rsidRPr="00BA2765">
              <w:rPr>
                <w:color w:val="000000"/>
              </w:rPr>
              <w:t>25,000,000</w:t>
            </w:r>
          </w:p>
        </w:tc>
      </w:tr>
    </w:tbl>
    <w:p w14:paraId="792E4B75" w14:textId="77777777" w:rsidR="00BA2765" w:rsidRPr="00BA2765" w:rsidRDefault="00BA2765" w:rsidP="00BA2765">
      <w:pPr>
        <w:rPr>
          <w:b/>
          <w:bCs/>
        </w:rPr>
      </w:pPr>
    </w:p>
    <w:tbl>
      <w:tblPr>
        <w:tblW w:w="9590" w:type="dxa"/>
        <w:tblLook w:val="04A0" w:firstRow="1" w:lastRow="0" w:firstColumn="1" w:lastColumn="0" w:noHBand="0" w:noVBand="1"/>
      </w:tblPr>
      <w:tblGrid>
        <w:gridCol w:w="5305"/>
        <w:gridCol w:w="1350"/>
        <w:gridCol w:w="1440"/>
        <w:gridCol w:w="1495"/>
      </w:tblGrid>
      <w:tr w:rsidR="00BA2765" w:rsidRPr="00BA2765" w14:paraId="2A1C0F51" w14:textId="77777777" w:rsidTr="00134B76">
        <w:trPr>
          <w:trHeight w:val="300"/>
        </w:trPr>
        <w:tc>
          <w:tcPr>
            <w:tcW w:w="5305" w:type="dxa"/>
            <w:tcBorders>
              <w:top w:val="single" w:sz="4" w:space="0" w:color="auto"/>
              <w:left w:val="single" w:sz="4" w:space="0" w:color="auto"/>
              <w:bottom w:val="single" w:sz="4" w:space="0" w:color="auto"/>
              <w:right w:val="single" w:sz="4" w:space="0" w:color="auto"/>
            </w:tcBorders>
            <w:noWrap/>
            <w:vAlign w:val="bottom"/>
            <w:hideMark/>
          </w:tcPr>
          <w:p w14:paraId="0011D1E7" w14:textId="77777777" w:rsidR="00BA2765" w:rsidRPr="00BA2765" w:rsidRDefault="00BA2765" w:rsidP="00134B76">
            <w:pPr>
              <w:spacing w:line="240" w:lineRule="auto"/>
              <w:rPr>
                <w:b/>
                <w:bCs/>
                <w:color w:val="000000"/>
                <w:lang w:val="en-US"/>
              </w:rPr>
            </w:pPr>
            <w:r w:rsidRPr="00BA2765">
              <w:rPr>
                <w:b/>
                <w:bCs/>
                <w:color w:val="000000"/>
                <w:lang w:val="en-US"/>
              </w:rPr>
              <w:t>PBP</w:t>
            </w:r>
          </w:p>
        </w:tc>
        <w:tc>
          <w:tcPr>
            <w:tcW w:w="1350" w:type="dxa"/>
            <w:tcBorders>
              <w:top w:val="single" w:sz="4" w:space="0" w:color="auto"/>
              <w:left w:val="nil"/>
              <w:bottom w:val="single" w:sz="4" w:space="0" w:color="auto"/>
              <w:right w:val="single" w:sz="4" w:space="0" w:color="auto"/>
            </w:tcBorders>
            <w:noWrap/>
            <w:vAlign w:val="bottom"/>
            <w:hideMark/>
          </w:tcPr>
          <w:p w14:paraId="46AE2AEA"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440" w:type="dxa"/>
            <w:tcBorders>
              <w:top w:val="single" w:sz="4" w:space="0" w:color="auto"/>
              <w:left w:val="nil"/>
              <w:bottom w:val="single" w:sz="4" w:space="0" w:color="auto"/>
              <w:right w:val="single" w:sz="4" w:space="0" w:color="auto"/>
            </w:tcBorders>
            <w:noWrap/>
            <w:vAlign w:val="bottom"/>
            <w:hideMark/>
          </w:tcPr>
          <w:p w14:paraId="22B11BFE"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1495" w:type="dxa"/>
            <w:tcBorders>
              <w:top w:val="single" w:sz="4" w:space="0" w:color="auto"/>
              <w:left w:val="nil"/>
              <w:bottom w:val="single" w:sz="4" w:space="0" w:color="auto"/>
              <w:right w:val="single" w:sz="4" w:space="0" w:color="auto"/>
            </w:tcBorders>
            <w:noWrap/>
            <w:vAlign w:val="bottom"/>
            <w:hideMark/>
          </w:tcPr>
          <w:p w14:paraId="7F8B9D3C"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r>
      <w:tr w:rsidR="00BA2765" w:rsidRPr="00BA2765" w14:paraId="14C9729F" w14:textId="77777777" w:rsidTr="00134B76">
        <w:trPr>
          <w:trHeight w:val="458"/>
        </w:trPr>
        <w:tc>
          <w:tcPr>
            <w:tcW w:w="5305" w:type="dxa"/>
            <w:tcBorders>
              <w:top w:val="nil"/>
              <w:left w:val="single" w:sz="4" w:space="0" w:color="auto"/>
              <w:bottom w:val="single" w:sz="4" w:space="0" w:color="auto"/>
              <w:right w:val="single" w:sz="4" w:space="0" w:color="auto"/>
            </w:tcBorders>
            <w:vAlign w:val="bottom"/>
            <w:hideMark/>
          </w:tcPr>
          <w:p w14:paraId="11846E52" w14:textId="77777777" w:rsidR="00BA2765" w:rsidRPr="00BA2765" w:rsidRDefault="00BA2765" w:rsidP="00134B76">
            <w:pPr>
              <w:spacing w:line="240" w:lineRule="auto"/>
              <w:rPr>
                <w:lang w:val="en-US"/>
              </w:rPr>
            </w:pPr>
            <w:r w:rsidRPr="00BA2765">
              <w:rPr>
                <w:lang w:val="en-US"/>
              </w:rPr>
              <w:t>Formula = Years before full recovery + (Unrecovered Amount / Cash Inflow in Recovery Year)</w:t>
            </w:r>
          </w:p>
        </w:tc>
        <w:tc>
          <w:tcPr>
            <w:tcW w:w="1350" w:type="dxa"/>
            <w:tcBorders>
              <w:top w:val="nil"/>
              <w:left w:val="nil"/>
              <w:bottom w:val="single" w:sz="4" w:space="0" w:color="auto"/>
              <w:right w:val="single" w:sz="4" w:space="0" w:color="auto"/>
            </w:tcBorders>
            <w:noWrap/>
            <w:vAlign w:val="bottom"/>
            <w:hideMark/>
          </w:tcPr>
          <w:p w14:paraId="2088F5BD" w14:textId="77777777" w:rsidR="00BA2765" w:rsidRPr="00BA2765" w:rsidRDefault="00BA2765" w:rsidP="00134B76">
            <w:pPr>
              <w:spacing w:line="240" w:lineRule="auto"/>
              <w:jc w:val="center"/>
              <w:rPr>
                <w:color w:val="000000"/>
                <w:lang w:val="en-US"/>
              </w:rPr>
            </w:pPr>
            <w:r w:rsidRPr="00BA2765">
              <w:rPr>
                <w:color w:val="000000"/>
                <w:lang w:val="en-US"/>
              </w:rPr>
              <w:t>3.4</w:t>
            </w:r>
          </w:p>
        </w:tc>
        <w:tc>
          <w:tcPr>
            <w:tcW w:w="1440" w:type="dxa"/>
            <w:tcBorders>
              <w:top w:val="nil"/>
              <w:left w:val="nil"/>
              <w:bottom w:val="single" w:sz="4" w:space="0" w:color="auto"/>
              <w:right w:val="single" w:sz="4" w:space="0" w:color="auto"/>
            </w:tcBorders>
            <w:noWrap/>
            <w:vAlign w:val="bottom"/>
            <w:hideMark/>
          </w:tcPr>
          <w:p w14:paraId="4148251C" w14:textId="77777777" w:rsidR="00BA2765" w:rsidRPr="00BA2765" w:rsidRDefault="00BA2765" w:rsidP="00134B76">
            <w:pPr>
              <w:spacing w:line="240" w:lineRule="auto"/>
              <w:jc w:val="center"/>
              <w:rPr>
                <w:color w:val="000000"/>
                <w:lang w:val="en-US"/>
              </w:rPr>
            </w:pPr>
            <w:r w:rsidRPr="00BA2765">
              <w:rPr>
                <w:color w:val="000000"/>
                <w:lang w:val="en-US"/>
              </w:rPr>
              <w:t>5</w:t>
            </w:r>
          </w:p>
        </w:tc>
        <w:tc>
          <w:tcPr>
            <w:tcW w:w="1495" w:type="dxa"/>
            <w:tcBorders>
              <w:top w:val="nil"/>
              <w:left w:val="nil"/>
              <w:bottom w:val="single" w:sz="4" w:space="0" w:color="auto"/>
              <w:right w:val="single" w:sz="4" w:space="0" w:color="auto"/>
            </w:tcBorders>
            <w:noWrap/>
            <w:vAlign w:val="bottom"/>
            <w:hideMark/>
          </w:tcPr>
          <w:p w14:paraId="07C467A9" w14:textId="77777777" w:rsidR="00BA2765" w:rsidRPr="00BA2765" w:rsidRDefault="00BA2765" w:rsidP="00134B76">
            <w:pPr>
              <w:spacing w:line="240" w:lineRule="auto"/>
              <w:jc w:val="center"/>
              <w:rPr>
                <w:color w:val="000000"/>
                <w:lang w:val="en-US"/>
              </w:rPr>
            </w:pPr>
            <w:r w:rsidRPr="00BA2765">
              <w:rPr>
                <w:color w:val="000000"/>
                <w:lang w:val="en-US"/>
              </w:rPr>
              <w:t>3.6</w:t>
            </w:r>
          </w:p>
        </w:tc>
      </w:tr>
    </w:tbl>
    <w:p w14:paraId="0F3F0865" w14:textId="77777777" w:rsidR="00BA2765" w:rsidRPr="00BA2765" w:rsidRDefault="00BA2765" w:rsidP="00BA2765">
      <w:pPr>
        <w:rPr>
          <w:b/>
          <w:bCs/>
        </w:rPr>
      </w:pPr>
    </w:p>
    <w:p w14:paraId="0031BAE0" w14:textId="77777777" w:rsidR="00BA2765" w:rsidRPr="00BA2765" w:rsidRDefault="00BA2765" w:rsidP="00BA2765">
      <w:pPr>
        <w:rPr>
          <w:b/>
          <w:bCs/>
        </w:rPr>
      </w:pPr>
    </w:p>
    <w:tbl>
      <w:tblPr>
        <w:tblW w:w="9450" w:type="dxa"/>
        <w:tblInd w:w="85" w:type="dxa"/>
        <w:tblLook w:val="04A0" w:firstRow="1" w:lastRow="0" w:firstColumn="1" w:lastColumn="0" w:noHBand="0" w:noVBand="1"/>
      </w:tblPr>
      <w:tblGrid>
        <w:gridCol w:w="4680"/>
        <w:gridCol w:w="1530"/>
        <w:gridCol w:w="1620"/>
        <w:gridCol w:w="1620"/>
      </w:tblGrid>
      <w:tr w:rsidR="00BA2765" w:rsidRPr="00BA2765" w14:paraId="66F2BF8F" w14:textId="77777777" w:rsidTr="00134B76">
        <w:trPr>
          <w:trHeight w:val="300"/>
        </w:trPr>
        <w:tc>
          <w:tcPr>
            <w:tcW w:w="4680" w:type="dxa"/>
            <w:tcBorders>
              <w:top w:val="single" w:sz="4" w:space="0" w:color="auto"/>
              <w:left w:val="single" w:sz="4" w:space="0" w:color="auto"/>
              <w:bottom w:val="single" w:sz="4" w:space="0" w:color="auto"/>
              <w:right w:val="single" w:sz="4" w:space="0" w:color="auto"/>
            </w:tcBorders>
            <w:noWrap/>
            <w:vAlign w:val="bottom"/>
            <w:hideMark/>
          </w:tcPr>
          <w:p w14:paraId="0EDACEFD" w14:textId="77777777" w:rsidR="00BA2765" w:rsidRPr="00BA2765" w:rsidRDefault="00BA2765" w:rsidP="00134B76">
            <w:pPr>
              <w:spacing w:line="240" w:lineRule="auto"/>
              <w:rPr>
                <w:b/>
                <w:bCs/>
                <w:color w:val="000000"/>
                <w:lang w:val="en-US"/>
              </w:rPr>
            </w:pPr>
            <w:r w:rsidRPr="00BA2765">
              <w:rPr>
                <w:b/>
                <w:bCs/>
                <w:color w:val="000000"/>
                <w:lang w:val="en-US"/>
              </w:rPr>
              <w:t>Depreciation</w:t>
            </w:r>
          </w:p>
        </w:tc>
        <w:tc>
          <w:tcPr>
            <w:tcW w:w="1530" w:type="dxa"/>
            <w:tcBorders>
              <w:top w:val="single" w:sz="4" w:space="0" w:color="auto"/>
              <w:left w:val="nil"/>
              <w:bottom w:val="single" w:sz="4" w:space="0" w:color="auto"/>
              <w:right w:val="single" w:sz="4" w:space="0" w:color="auto"/>
            </w:tcBorders>
            <w:vAlign w:val="center"/>
            <w:hideMark/>
          </w:tcPr>
          <w:p w14:paraId="7B436872"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620" w:type="dxa"/>
            <w:tcBorders>
              <w:top w:val="single" w:sz="4" w:space="0" w:color="auto"/>
              <w:left w:val="nil"/>
              <w:bottom w:val="single" w:sz="4" w:space="0" w:color="auto"/>
              <w:right w:val="single" w:sz="4" w:space="0" w:color="auto"/>
            </w:tcBorders>
            <w:vAlign w:val="center"/>
            <w:hideMark/>
          </w:tcPr>
          <w:p w14:paraId="640ACFE2"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1620" w:type="dxa"/>
            <w:tcBorders>
              <w:top w:val="single" w:sz="4" w:space="0" w:color="auto"/>
              <w:left w:val="nil"/>
              <w:bottom w:val="single" w:sz="4" w:space="0" w:color="auto"/>
              <w:right w:val="single" w:sz="4" w:space="0" w:color="auto"/>
            </w:tcBorders>
            <w:vAlign w:val="center"/>
            <w:hideMark/>
          </w:tcPr>
          <w:p w14:paraId="0DD607B7"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r>
      <w:tr w:rsidR="00BA2765" w:rsidRPr="00BA2765" w14:paraId="0EF00518" w14:textId="77777777" w:rsidTr="00134B76">
        <w:trPr>
          <w:trHeight w:val="422"/>
        </w:trPr>
        <w:tc>
          <w:tcPr>
            <w:tcW w:w="4680" w:type="dxa"/>
            <w:tcBorders>
              <w:top w:val="nil"/>
              <w:left w:val="single" w:sz="4" w:space="0" w:color="auto"/>
              <w:bottom w:val="single" w:sz="4" w:space="0" w:color="auto"/>
              <w:right w:val="single" w:sz="4" w:space="0" w:color="auto"/>
            </w:tcBorders>
            <w:vAlign w:val="bottom"/>
            <w:hideMark/>
          </w:tcPr>
          <w:p w14:paraId="09ABC71D" w14:textId="77777777" w:rsidR="00BA2765" w:rsidRPr="00BA2765" w:rsidRDefault="00BA2765" w:rsidP="00134B76">
            <w:pPr>
              <w:spacing w:line="240" w:lineRule="auto"/>
              <w:rPr>
                <w:color w:val="000000"/>
                <w:lang w:val="en-US"/>
              </w:rPr>
            </w:pPr>
            <w:r w:rsidRPr="00BA2765">
              <w:rPr>
                <w:color w:val="000000"/>
                <w:lang w:val="en-US"/>
              </w:rPr>
              <w:t>Formula = Initial Investment / No. of years</w:t>
            </w:r>
          </w:p>
        </w:tc>
        <w:tc>
          <w:tcPr>
            <w:tcW w:w="1530" w:type="dxa"/>
            <w:tcBorders>
              <w:top w:val="nil"/>
              <w:left w:val="nil"/>
              <w:bottom w:val="single" w:sz="4" w:space="0" w:color="auto"/>
              <w:right w:val="single" w:sz="4" w:space="0" w:color="auto"/>
            </w:tcBorders>
            <w:vAlign w:val="center"/>
            <w:hideMark/>
          </w:tcPr>
          <w:p w14:paraId="1E02682C" w14:textId="77777777" w:rsidR="00BA2765" w:rsidRPr="00BA2765" w:rsidRDefault="00BA2765" w:rsidP="00134B76">
            <w:pPr>
              <w:spacing w:line="240" w:lineRule="auto"/>
              <w:jc w:val="right"/>
              <w:rPr>
                <w:color w:val="000000"/>
                <w:lang w:val="en-US"/>
              </w:rPr>
            </w:pPr>
            <w:r w:rsidRPr="00BA2765">
              <w:rPr>
                <w:color w:val="000000"/>
                <w:lang w:val="en-US"/>
              </w:rPr>
              <w:t>8</w:t>
            </w:r>
          </w:p>
        </w:tc>
        <w:tc>
          <w:tcPr>
            <w:tcW w:w="1620" w:type="dxa"/>
            <w:tcBorders>
              <w:top w:val="nil"/>
              <w:left w:val="nil"/>
              <w:bottom w:val="single" w:sz="4" w:space="0" w:color="auto"/>
              <w:right w:val="single" w:sz="4" w:space="0" w:color="auto"/>
            </w:tcBorders>
            <w:vAlign w:val="center"/>
            <w:hideMark/>
          </w:tcPr>
          <w:p w14:paraId="5D632225"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620" w:type="dxa"/>
            <w:tcBorders>
              <w:top w:val="nil"/>
              <w:left w:val="nil"/>
              <w:bottom w:val="single" w:sz="4" w:space="0" w:color="auto"/>
              <w:right w:val="single" w:sz="4" w:space="0" w:color="auto"/>
            </w:tcBorders>
            <w:vAlign w:val="center"/>
            <w:hideMark/>
          </w:tcPr>
          <w:p w14:paraId="3F21CE31" w14:textId="77777777" w:rsidR="00BA2765" w:rsidRPr="00BA2765" w:rsidRDefault="00BA2765" w:rsidP="00134B76">
            <w:pPr>
              <w:spacing w:line="240" w:lineRule="auto"/>
              <w:jc w:val="right"/>
              <w:rPr>
                <w:color w:val="000000"/>
                <w:lang w:val="en-US"/>
              </w:rPr>
            </w:pPr>
            <w:r w:rsidRPr="00BA2765">
              <w:rPr>
                <w:color w:val="000000"/>
                <w:lang w:val="en-US"/>
              </w:rPr>
              <w:t>10</w:t>
            </w:r>
          </w:p>
        </w:tc>
      </w:tr>
      <w:tr w:rsidR="00BA2765" w:rsidRPr="00BA2765" w14:paraId="2F129504" w14:textId="77777777" w:rsidTr="00134B76">
        <w:trPr>
          <w:trHeight w:val="300"/>
        </w:trPr>
        <w:tc>
          <w:tcPr>
            <w:tcW w:w="4680" w:type="dxa"/>
            <w:tcBorders>
              <w:top w:val="nil"/>
              <w:left w:val="nil"/>
              <w:bottom w:val="nil"/>
              <w:right w:val="nil"/>
            </w:tcBorders>
            <w:noWrap/>
            <w:vAlign w:val="bottom"/>
            <w:hideMark/>
          </w:tcPr>
          <w:p w14:paraId="290034A6" w14:textId="77777777" w:rsidR="00BA2765" w:rsidRPr="00BA2765" w:rsidRDefault="00BA2765" w:rsidP="00134B76">
            <w:pPr>
              <w:spacing w:line="240" w:lineRule="auto"/>
              <w:jc w:val="right"/>
              <w:rPr>
                <w:color w:val="000000"/>
                <w:lang w:val="en-US"/>
              </w:rPr>
            </w:pPr>
          </w:p>
        </w:tc>
        <w:tc>
          <w:tcPr>
            <w:tcW w:w="1530" w:type="dxa"/>
            <w:tcBorders>
              <w:top w:val="nil"/>
              <w:left w:val="nil"/>
              <w:bottom w:val="nil"/>
              <w:right w:val="nil"/>
            </w:tcBorders>
            <w:noWrap/>
            <w:vAlign w:val="bottom"/>
            <w:hideMark/>
          </w:tcPr>
          <w:p w14:paraId="07F0905C" w14:textId="77777777" w:rsidR="00BA2765" w:rsidRPr="00BA2765" w:rsidRDefault="00BA2765" w:rsidP="00134B76">
            <w:pPr>
              <w:spacing w:line="240" w:lineRule="auto"/>
              <w:rPr>
                <w:lang w:val="en-US"/>
              </w:rPr>
            </w:pPr>
          </w:p>
        </w:tc>
        <w:tc>
          <w:tcPr>
            <w:tcW w:w="1620" w:type="dxa"/>
            <w:tcBorders>
              <w:top w:val="nil"/>
              <w:left w:val="nil"/>
              <w:bottom w:val="nil"/>
              <w:right w:val="nil"/>
            </w:tcBorders>
            <w:noWrap/>
            <w:vAlign w:val="bottom"/>
            <w:hideMark/>
          </w:tcPr>
          <w:p w14:paraId="32DEDAE9" w14:textId="77777777" w:rsidR="00BA2765" w:rsidRPr="00BA2765" w:rsidRDefault="00BA2765" w:rsidP="00134B76">
            <w:pPr>
              <w:spacing w:line="240" w:lineRule="auto"/>
              <w:rPr>
                <w:lang w:val="en-US"/>
              </w:rPr>
            </w:pPr>
          </w:p>
        </w:tc>
        <w:tc>
          <w:tcPr>
            <w:tcW w:w="1620" w:type="dxa"/>
            <w:tcBorders>
              <w:top w:val="nil"/>
              <w:left w:val="nil"/>
              <w:bottom w:val="nil"/>
              <w:right w:val="nil"/>
            </w:tcBorders>
            <w:noWrap/>
            <w:vAlign w:val="bottom"/>
            <w:hideMark/>
          </w:tcPr>
          <w:p w14:paraId="2A80ED0B" w14:textId="77777777" w:rsidR="00BA2765" w:rsidRPr="00BA2765" w:rsidRDefault="00BA2765" w:rsidP="00134B76">
            <w:pPr>
              <w:spacing w:line="240" w:lineRule="auto"/>
              <w:rPr>
                <w:lang w:val="en-US"/>
              </w:rPr>
            </w:pPr>
          </w:p>
        </w:tc>
      </w:tr>
      <w:tr w:rsidR="00BA2765" w:rsidRPr="00BA2765" w14:paraId="64E546E4" w14:textId="77777777" w:rsidTr="00134B76">
        <w:trPr>
          <w:trHeight w:val="300"/>
        </w:trPr>
        <w:tc>
          <w:tcPr>
            <w:tcW w:w="4680" w:type="dxa"/>
            <w:tcBorders>
              <w:top w:val="nil"/>
              <w:left w:val="nil"/>
              <w:bottom w:val="nil"/>
              <w:right w:val="nil"/>
            </w:tcBorders>
            <w:noWrap/>
            <w:vAlign w:val="bottom"/>
            <w:hideMark/>
          </w:tcPr>
          <w:p w14:paraId="76EB8202" w14:textId="77777777" w:rsidR="00BA2765" w:rsidRPr="00BA2765" w:rsidRDefault="00BA2765" w:rsidP="00134B76">
            <w:pPr>
              <w:spacing w:line="360" w:lineRule="auto"/>
              <w:rPr>
                <w:b/>
                <w:bCs/>
                <w:color w:val="000000"/>
                <w:lang w:val="en-US"/>
              </w:rPr>
            </w:pPr>
            <w:r w:rsidRPr="00BA2765">
              <w:rPr>
                <w:b/>
                <w:bCs/>
                <w:color w:val="000000"/>
                <w:lang w:val="en-US"/>
              </w:rPr>
              <w:t>Accounting profit</w:t>
            </w:r>
          </w:p>
        </w:tc>
        <w:tc>
          <w:tcPr>
            <w:tcW w:w="1530" w:type="dxa"/>
            <w:tcBorders>
              <w:top w:val="nil"/>
              <w:left w:val="nil"/>
              <w:bottom w:val="nil"/>
              <w:right w:val="nil"/>
            </w:tcBorders>
            <w:noWrap/>
            <w:vAlign w:val="bottom"/>
            <w:hideMark/>
          </w:tcPr>
          <w:p w14:paraId="43E77279" w14:textId="77777777" w:rsidR="00BA2765" w:rsidRPr="00BA2765" w:rsidRDefault="00BA2765" w:rsidP="00134B76">
            <w:pPr>
              <w:spacing w:line="360" w:lineRule="auto"/>
              <w:rPr>
                <w:b/>
                <w:bCs/>
                <w:color w:val="000000"/>
                <w:lang w:val="en-US"/>
              </w:rPr>
            </w:pPr>
          </w:p>
        </w:tc>
        <w:tc>
          <w:tcPr>
            <w:tcW w:w="1620" w:type="dxa"/>
            <w:tcBorders>
              <w:top w:val="nil"/>
              <w:left w:val="nil"/>
              <w:bottom w:val="nil"/>
              <w:right w:val="nil"/>
            </w:tcBorders>
            <w:noWrap/>
            <w:vAlign w:val="bottom"/>
            <w:hideMark/>
          </w:tcPr>
          <w:p w14:paraId="211F6D71" w14:textId="77777777" w:rsidR="00BA2765" w:rsidRPr="00BA2765" w:rsidRDefault="00BA2765" w:rsidP="00134B76">
            <w:pPr>
              <w:spacing w:line="360" w:lineRule="auto"/>
              <w:rPr>
                <w:lang w:val="en-US"/>
              </w:rPr>
            </w:pPr>
          </w:p>
        </w:tc>
        <w:tc>
          <w:tcPr>
            <w:tcW w:w="1620" w:type="dxa"/>
            <w:tcBorders>
              <w:top w:val="nil"/>
              <w:left w:val="nil"/>
              <w:bottom w:val="nil"/>
              <w:right w:val="nil"/>
            </w:tcBorders>
            <w:noWrap/>
            <w:vAlign w:val="bottom"/>
            <w:hideMark/>
          </w:tcPr>
          <w:p w14:paraId="4DB64797" w14:textId="77777777" w:rsidR="00BA2765" w:rsidRPr="00BA2765" w:rsidRDefault="00BA2765" w:rsidP="00134B76">
            <w:pPr>
              <w:spacing w:line="360" w:lineRule="auto"/>
              <w:rPr>
                <w:lang w:val="en-US"/>
              </w:rPr>
            </w:pPr>
          </w:p>
        </w:tc>
      </w:tr>
      <w:tr w:rsidR="00BA2765" w:rsidRPr="00BA2765" w14:paraId="3C2C615F" w14:textId="77777777" w:rsidTr="00134B76">
        <w:trPr>
          <w:trHeight w:val="300"/>
        </w:trPr>
        <w:tc>
          <w:tcPr>
            <w:tcW w:w="4680" w:type="dxa"/>
            <w:tcBorders>
              <w:top w:val="nil"/>
              <w:left w:val="nil"/>
              <w:bottom w:val="nil"/>
              <w:right w:val="nil"/>
            </w:tcBorders>
            <w:noWrap/>
            <w:vAlign w:val="bottom"/>
            <w:hideMark/>
          </w:tcPr>
          <w:p w14:paraId="4ADD8D44" w14:textId="77777777" w:rsidR="00BA2765" w:rsidRPr="00BA2765" w:rsidRDefault="00BA2765" w:rsidP="00134B76">
            <w:pPr>
              <w:spacing w:line="360" w:lineRule="auto"/>
              <w:rPr>
                <w:lang w:val="en-US"/>
              </w:rPr>
            </w:pPr>
            <w:r w:rsidRPr="00BA2765">
              <w:rPr>
                <w:lang w:val="en-US"/>
              </w:rPr>
              <w:t>Formula= Annual Cash Flow - Depreciation</w:t>
            </w:r>
          </w:p>
        </w:tc>
        <w:tc>
          <w:tcPr>
            <w:tcW w:w="1530" w:type="dxa"/>
            <w:tcBorders>
              <w:top w:val="nil"/>
              <w:left w:val="nil"/>
              <w:bottom w:val="nil"/>
              <w:right w:val="nil"/>
            </w:tcBorders>
            <w:noWrap/>
            <w:vAlign w:val="bottom"/>
            <w:hideMark/>
          </w:tcPr>
          <w:p w14:paraId="30814DE2" w14:textId="77777777" w:rsidR="00BA2765" w:rsidRPr="00BA2765" w:rsidRDefault="00BA2765" w:rsidP="00134B76">
            <w:pPr>
              <w:spacing w:line="360" w:lineRule="auto"/>
              <w:rPr>
                <w:color w:val="FF0000"/>
                <w:lang w:val="en-US"/>
              </w:rPr>
            </w:pPr>
          </w:p>
        </w:tc>
        <w:tc>
          <w:tcPr>
            <w:tcW w:w="1620" w:type="dxa"/>
            <w:tcBorders>
              <w:top w:val="nil"/>
              <w:left w:val="nil"/>
              <w:bottom w:val="nil"/>
              <w:right w:val="nil"/>
            </w:tcBorders>
            <w:noWrap/>
            <w:vAlign w:val="bottom"/>
            <w:hideMark/>
          </w:tcPr>
          <w:p w14:paraId="6B95AB52" w14:textId="77777777" w:rsidR="00BA2765" w:rsidRPr="00BA2765" w:rsidRDefault="00BA2765" w:rsidP="00134B76">
            <w:pPr>
              <w:spacing w:line="360" w:lineRule="auto"/>
              <w:rPr>
                <w:lang w:val="en-US"/>
              </w:rPr>
            </w:pPr>
          </w:p>
        </w:tc>
        <w:tc>
          <w:tcPr>
            <w:tcW w:w="1620" w:type="dxa"/>
            <w:tcBorders>
              <w:top w:val="nil"/>
              <w:left w:val="nil"/>
              <w:bottom w:val="nil"/>
              <w:right w:val="nil"/>
            </w:tcBorders>
            <w:noWrap/>
            <w:vAlign w:val="bottom"/>
            <w:hideMark/>
          </w:tcPr>
          <w:p w14:paraId="67DA48EC" w14:textId="77777777" w:rsidR="00BA2765" w:rsidRPr="00BA2765" w:rsidRDefault="00BA2765" w:rsidP="00134B76">
            <w:pPr>
              <w:spacing w:line="360" w:lineRule="auto"/>
              <w:rPr>
                <w:lang w:val="en-US"/>
              </w:rPr>
            </w:pPr>
          </w:p>
        </w:tc>
      </w:tr>
      <w:tr w:rsidR="00BA2765" w:rsidRPr="00BA2765" w14:paraId="3B20A9DA" w14:textId="77777777" w:rsidTr="00134B76">
        <w:trPr>
          <w:trHeight w:val="300"/>
        </w:trPr>
        <w:tc>
          <w:tcPr>
            <w:tcW w:w="4680" w:type="dxa"/>
            <w:tcBorders>
              <w:top w:val="single" w:sz="4" w:space="0" w:color="auto"/>
              <w:left w:val="single" w:sz="4" w:space="0" w:color="auto"/>
              <w:bottom w:val="single" w:sz="4" w:space="0" w:color="auto"/>
              <w:right w:val="single" w:sz="4" w:space="0" w:color="auto"/>
            </w:tcBorders>
            <w:vAlign w:val="center"/>
            <w:hideMark/>
          </w:tcPr>
          <w:p w14:paraId="0DA058F9" w14:textId="77777777" w:rsidR="00BA2765" w:rsidRPr="00BA2765" w:rsidRDefault="00BA2765" w:rsidP="00134B76">
            <w:pPr>
              <w:spacing w:line="360" w:lineRule="auto"/>
              <w:jc w:val="center"/>
              <w:rPr>
                <w:b/>
                <w:bCs/>
                <w:color w:val="000000"/>
                <w:lang w:val="en-US"/>
              </w:rPr>
            </w:pPr>
            <w:r w:rsidRPr="00BA2765">
              <w:rPr>
                <w:b/>
                <w:bCs/>
                <w:color w:val="000000"/>
                <w:lang w:val="en-US"/>
              </w:rPr>
              <w:t>Year</w:t>
            </w:r>
          </w:p>
        </w:tc>
        <w:tc>
          <w:tcPr>
            <w:tcW w:w="1530" w:type="dxa"/>
            <w:tcBorders>
              <w:top w:val="single" w:sz="4" w:space="0" w:color="auto"/>
              <w:left w:val="nil"/>
              <w:bottom w:val="single" w:sz="4" w:space="0" w:color="auto"/>
              <w:right w:val="single" w:sz="4" w:space="0" w:color="auto"/>
            </w:tcBorders>
            <w:vAlign w:val="center"/>
            <w:hideMark/>
          </w:tcPr>
          <w:p w14:paraId="5B820BAB" w14:textId="77777777" w:rsidR="00BA2765" w:rsidRPr="00BA2765" w:rsidRDefault="00BA2765" w:rsidP="00134B76">
            <w:pPr>
              <w:spacing w:line="360" w:lineRule="auto"/>
              <w:jc w:val="center"/>
              <w:rPr>
                <w:b/>
                <w:bCs/>
                <w:color w:val="000000"/>
                <w:lang w:val="en-US"/>
              </w:rPr>
            </w:pPr>
            <w:r w:rsidRPr="00BA2765">
              <w:rPr>
                <w:b/>
                <w:bCs/>
                <w:color w:val="000000"/>
                <w:lang w:val="en-US"/>
              </w:rPr>
              <w:t>Project A</w:t>
            </w:r>
          </w:p>
        </w:tc>
        <w:tc>
          <w:tcPr>
            <w:tcW w:w="1620" w:type="dxa"/>
            <w:tcBorders>
              <w:top w:val="single" w:sz="4" w:space="0" w:color="auto"/>
              <w:left w:val="nil"/>
              <w:bottom w:val="single" w:sz="4" w:space="0" w:color="auto"/>
              <w:right w:val="single" w:sz="4" w:space="0" w:color="auto"/>
            </w:tcBorders>
            <w:vAlign w:val="center"/>
            <w:hideMark/>
          </w:tcPr>
          <w:p w14:paraId="27067657" w14:textId="77777777" w:rsidR="00BA2765" w:rsidRPr="00BA2765" w:rsidRDefault="00BA2765" w:rsidP="00134B76">
            <w:pPr>
              <w:spacing w:line="360" w:lineRule="auto"/>
              <w:jc w:val="center"/>
              <w:rPr>
                <w:b/>
                <w:bCs/>
                <w:color w:val="000000"/>
                <w:lang w:val="en-US"/>
              </w:rPr>
            </w:pPr>
            <w:r w:rsidRPr="00BA2765">
              <w:rPr>
                <w:b/>
                <w:bCs/>
                <w:color w:val="000000"/>
                <w:lang w:val="en-US"/>
              </w:rPr>
              <w:t>Project B</w:t>
            </w:r>
          </w:p>
        </w:tc>
        <w:tc>
          <w:tcPr>
            <w:tcW w:w="1620" w:type="dxa"/>
            <w:tcBorders>
              <w:top w:val="single" w:sz="4" w:space="0" w:color="auto"/>
              <w:left w:val="nil"/>
              <w:bottom w:val="single" w:sz="4" w:space="0" w:color="auto"/>
              <w:right w:val="single" w:sz="4" w:space="0" w:color="auto"/>
            </w:tcBorders>
            <w:vAlign w:val="center"/>
            <w:hideMark/>
          </w:tcPr>
          <w:p w14:paraId="3DF6AB91" w14:textId="77777777" w:rsidR="00BA2765" w:rsidRPr="00BA2765" w:rsidRDefault="00BA2765" w:rsidP="00134B76">
            <w:pPr>
              <w:spacing w:line="360" w:lineRule="auto"/>
              <w:jc w:val="center"/>
              <w:rPr>
                <w:b/>
                <w:bCs/>
                <w:color w:val="000000"/>
                <w:lang w:val="en-US"/>
              </w:rPr>
            </w:pPr>
            <w:r w:rsidRPr="00BA2765">
              <w:rPr>
                <w:b/>
                <w:bCs/>
                <w:color w:val="000000"/>
                <w:lang w:val="en-US"/>
              </w:rPr>
              <w:t>Project C</w:t>
            </w:r>
          </w:p>
        </w:tc>
      </w:tr>
      <w:tr w:rsidR="00BA2765" w:rsidRPr="00BA2765" w14:paraId="2AA75F47" w14:textId="77777777" w:rsidTr="00134B76">
        <w:trPr>
          <w:trHeight w:val="300"/>
        </w:trPr>
        <w:tc>
          <w:tcPr>
            <w:tcW w:w="4680" w:type="dxa"/>
            <w:tcBorders>
              <w:top w:val="nil"/>
              <w:left w:val="single" w:sz="4" w:space="0" w:color="auto"/>
              <w:bottom w:val="single" w:sz="4" w:space="0" w:color="auto"/>
              <w:right w:val="single" w:sz="4" w:space="0" w:color="auto"/>
            </w:tcBorders>
            <w:vAlign w:val="center"/>
            <w:hideMark/>
          </w:tcPr>
          <w:p w14:paraId="6F20D14E" w14:textId="77777777" w:rsidR="00BA2765" w:rsidRPr="00BA2765" w:rsidRDefault="00BA2765" w:rsidP="00134B76">
            <w:pPr>
              <w:spacing w:line="240" w:lineRule="auto"/>
              <w:jc w:val="right"/>
              <w:rPr>
                <w:color w:val="000000"/>
                <w:lang w:val="en-US"/>
              </w:rPr>
            </w:pPr>
            <w:r w:rsidRPr="00BA2765">
              <w:rPr>
                <w:color w:val="000000"/>
                <w:lang w:val="en-US"/>
              </w:rPr>
              <w:t>1</w:t>
            </w:r>
          </w:p>
        </w:tc>
        <w:tc>
          <w:tcPr>
            <w:tcW w:w="1530" w:type="dxa"/>
            <w:tcBorders>
              <w:top w:val="nil"/>
              <w:left w:val="nil"/>
              <w:bottom w:val="single" w:sz="4" w:space="0" w:color="auto"/>
              <w:right w:val="single" w:sz="4" w:space="0" w:color="auto"/>
            </w:tcBorders>
            <w:noWrap/>
            <w:vAlign w:val="bottom"/>
            <w:hideMark/>
          </w:tcPr>
          <w:p w14:paraId="590A979E" w14:textId="77777777" w:rsidR="00BA2765" w:rsidRPr="00BA2765" w:rsidRDefault="00BA2765" w:rsidP="00134B76">
            <w:pPr>
              <w:spacing w:line="240" w:lineRule="auto"/>
              <w:jc w:val="right"/>
              <w:rPr>
                <w:color w:val="000000"/>
                <w:lang w:val="en-US"/>
              </w:rPr>
            </w:pPr>
            <w:r w:rsidRPr="00BA2765">
              <w:rPr>
                <w:color w:val="000000"/>
                <w:lang w:val="en-US"/>
              </w:rPr>
              <w:t>2</w:t>
            </w:r>
          </w:p>
        </w:tc>
        <w:tc>
          <w:tcPr>
            <w:tcW w:w="1620" w:type="dxa"/>
            <w:tcBorders>
              <w:top w:val="nil"/>
              <w:left w:val="nil"/>
              <w:bottom w:val="single" w:sz="4" w:space="0" w:color="auto"/>
              <w:right w:val="single" w:sz="4" w:space="0" w:color="auto"/>
            </w:tcBorders>
            <w:noWrap/>
            <w:vAlign w:val="bottom"/>
            <w:hideMark/>
          </w:tcPr>
          <w:p w14:paraId="06677306"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49B472DD" w14:textId="77777777" w:rsidR="00BA2765" w:rsidRPr="00BA2765" w:rsidRDefault="00BA2765" w:rsidP="00134B76">
            <w:pPr>
              <w:spacing w:line="240" w:lineRule="auto"/>
              <w:jc w:val="right"/>
              <w:rPr>
                <w:color w:val="000000"/>
                <w:lang w:val="en-US"/>
              </w:rPr>
            </w:pPr>
            <w:r w:rsidRPr="00BA2765">
              <w:rPr>
                <w:color w:val="000000"/>
                <w:lang w:val="en-US"/>
              </w:rPr>
              <w:t>-5</w:t>
            </w:r>
          </w:p>
        </w:tc>
      </w:tr>
      <w:tr w:rsidR="00BA2765" w:rsidRPr="00BA2765" w14:paraId="4739C813" w14:textId="77777777" w:rsidTr="00134B76">
        <w:trPr>
          <w:trHeight w:val="300"/>
        </w:trPr>
        <w:tc>
          <w:tcPr>
            <w:tcW w:w="4680" w:type="dxa"/>
            <w:tcBorders>
              <w:top w:val="nil"/>
              <w:left w:val="single" w:sz="4" w:space="0" w:color="auto"/>
              <w:bottom w:val="single" w:sz="4" w:space="0" w:color="auto"/>
              <w:right w:val="single" w:sz="4" w:space="0" w:color="auto"/>
            </w:tcBorders>
            <w:vAlign w:val="center"/>
            <w:hideMark/>
          </w:tcPr>
          <w:p w14:paraId="71FEFC35" w14:textId="77777777" w:rsidR="00BA2765" w:rsidRPr="00BA2765" w:rsidRDefault="00BA2765" w:rsidP="00134B76">
            <w:pPr>
              <w:spacing w:line="240" w:lineRule="auto"/>
              <w:jc w:val="right"/>
              <w:rPr>
                <w:color w:val="000000"/>
                <w:lang w:val="en-US"/>
              </w:rPr>
            </w:pPr>
            <w:r w:rsidRPr="00BA2765">
              <w:rPr>
                <w:color w:val="000000"/>
                <w:lang w:val="en-US"/>
              </w:rPr>
              <w:t>2</w:t>
            </w:r>
          </w:p>
        </w:tc>
        <w:tc>
          <w:tcPr>
            <w:tcW w:w="1530" w:type="dxa"/>
            <w:tcBorders>
              <w:top w:val="nil"/>
              <w:left w:val="nil"/>
              <w:bottom w:val="single" w:sz="4" w:space="0" w:color="auto"/>
              <w:right w:val="single" w:sz="4" w:space="0" w:color="auto"/>
            </w:tcBorders>
            <w:noWrap/>
            <w:vAlign w:val="bottom"/>
            <w:hideMark/>
          </w:tcPr>
          <w:p w14:paraId="5E1E8027" w14:textId="77777777" w:rsidR="00BA2765" w:rsidRPr="00BA2765" w:rsidRDefault="00BA2765" w:rsidP="00134B76">
            <w:pPr>
              <w:spacing w:line="240" w:lineRule="auto"/>
              <w:jc w:val="right"/>
              <w:rPr>
                <w:color w:val="000000"/>
                <w:lang w:val="en-US"/>
              </w:rPr>
            </w:pPr>
            <w:r w:rsidRPr="00BA2765">
              <w:rPr>
                <w:color w:val="000000"/>
                <w:lang w:val="en-US"/>
              </w:rPr>
              <w:t>4</w:t>
            </w:r>
          </w:p>
        </w:tc>
        <w:tc>
          <w:tcPr>
            <w:tcW w:w="1620" w:type="dxa"/>
            <w:tcBorders>
              <w:top w:val="nil"/>
              <w:left w:val="nil"/>
              <w:bottom w:val="single" w:sz="4" w:space="0" w:color="auto"/>
              <w:right w:val="single" w:sz="4" w:space="0" w:color="auto"/>
            </w:tcBorders>
            <w:noWrap/>
            <w:vAlign w:val="bottom"/>
            <w:hideMark/>
          </w:tcPr>
          <w:p w14:paraId="53273E98"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239932AC" w14:textId="77777777" w:rsidR="00BA2765" w:rsidRPr="00BA2765" w:rsidRDefault="00BA2765" w:rsidP="00134B76">
            <w:pPr>
              <w:spacing w:line="240" w:lineRule="auto"/>
              <w:jc w:val="right"/>
              <w:rPr>
                <w:color w:val="000000"/>
                <w:lang w:val="en-US"/>
              </w:rPr>
            </w:pPr>
            <w:r w:rsidRPr="00BA2765">
              <w:rPr>
                <w:color w:val="000000"/>
                <w:lang w:val="en-US"/>
              </w:rPr>
              <w:t>0</w:t>
            </w:r>
          </w:p>
        </w:tc>
      </w:tr>
      <w:tr w:rsidR="00BA2765" w:rsidRPr="00BA2765" w14:paraId="59DF60A6" w14:textId="77777777" w:rsidTr="00134B76">
        <w:trPr>
          <w:trHeight w:val="300"/>
        </w:trPr>
        <w:tc>
          <w:tcPr>
            <w:tcW w:w="4680" w:type="dxa"/>
            <w:tcBorders>
              <w:top w:val="nil"/>
              <w:left w:val="single" w:sz="4" w:space="0" w:color="auto"/>
              <w:bottom w:val="single" w:sz="4" w:space="0" w:color="auto"/>
              <w:right w:val="single" w:sz="4" w:space="0" w:color="auto"/>
            </w:tcBorders>
            <w:vAlign w:val="center"/>
            <w:hideMark/>
          </w:tcPr>
          <w:p w14:paraId="0EBD67B5" w14:textId="77777777" w:rsidR="00BA2765" w:rsidRPr="00BA2765" w:rsidRDefault="00BA2765" w:rsidP="00134B76">
            <w:pPr>
              <w:spacing w:line="240" w:lineRule="auto"/>
              <w:jc w:val="right"/>
              <w:rPr>
                <w:color w:val="000000"/>
                <w:lang w:val="en-US"/>
              </w:rPr>
            </w:pPr>
            <w:r w:rsidRPr="00BA2765">
              <w:rPr>
                <w:color w:val="000000"/>
                <w:lang w:val="en-US"/>
              </w:rPr>
              <w:t>3</w:t>
            </w:r>
          </w:p>
        </w:tc>
        <w:tc>
          <w:tcPr>
            <w:tcW w:w="1530" w:type="dxa"/>
            <w:tcBorders>
              <w:top w:val="nil"/>
              <w:left w:val="nil"/>
              <w:bottom w:val="single" w:sz="4" w:space="0" w:color="auto"/>
              <w:right w:val="single" w:sz="4" w:space="0" w:color="auto"/>
            </w:tcBorders>
            <w:noWrap/>
            <w:vAlign w:val="bottom"/>
            <w:hideMark/>
          </w:tcPr>
          <w:p w14:paraId="13404653" w14:textId="77777777" w:rsidR="00BA2765" w:rsidRPr="00BA2765" w:rsidRDefault="00BA2765" w:rsidP="00134B76">
            <w:pPr>
              <w:spacing w:line="240" w:lineRule="auto"/>
              <w:jc w:val="right"/>
              <w:rPr>
                <w:color w:val="000000"/>
                <w:lang w:val="en-US"/>
              </w:rPr>
            </w:pPr>
            <w:r w:rsidRPr="00BA2765">
              <w:rPr>
                <w:color w:val="000000"/>
                <w:lang w:val="en-US"/>
              </w:rPr>
              <w:t>6</w:t>
            </w:r>
          </w:p>
        </w:tc>
        <w:tc>
          <w:tcPr>
            <w:tcW w:w="1620" w:type="dxa"/>
            <w:tcBorders>
              <w:top w:val="nil"/>
              <w:left w:val="nil"/>
              <w:bottom w:val="single" w:sz="4" w:space="0" w:color="auto"/>
              <w:right w:val="single" w:sz="4" w:space="0" w:color="auto"/>
            </w:tcBorders>
            <w:noWrap/>
            <w:vAlign w:val="bottom"/>
            <w:hideMark/>
          </w:tcPr>
          <w:p w14:paraId="23D6A124"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7BF0A463" w14:textId="77777777" w:rsidR="00BA2765" w:rsidRPr="00BA2765" w:rsidRDefault="00BA2765" w:rsidP="00134B76">
            <w:pPr>
              <w:spacing w:line="240" w:lineRule="auto"/>
              <w:jc w:val="right"/>
              <w:rPr>
                <w:color w:val="000000"/>
                <w:lang w:val="en-US"/>
              </w:rPr>
            </w:pPr>
            <w:r w:rsidRPr="00BA2765">
              <w:rPr>
                <w:color w:val="000000"/>
                <w:lang w:val="en-US"/>
              </w:rPr>
              <w:t>10</w:t>
            </w:r>
          </w:p>
        </w:tc>
      </w:tr>
      <w:tr w:rsidR="00BA2765" w:rsidRPr="00BA2765" w14:paraId="4CA7A1B2" w14:textId="77777777" w:rsidTr="00134B76">
        <w:trPr>
          <w:trHeight w:val="300"/>
        </w:trPr>
        <w:tc>
          <w:tcPr>
            <w:tcW w:w="4680" w:type="dxa"/>
            <w:tcBorders>
              <w:top w:val="nil"/>
              <w:left w:val="single" w:sz="4" w:space="0" w:color="auto"/>
              <w:bottom w:val="single" w:sz="4" w:space="0" w:color="auto"/>
              <w:right w:val="single" w:sz="4" w:space="0" w:color="auto"/>
            </w:tcBorders>
            <w:vAlign w:val="center"/>
            <w:hideMark/>
          </w:tcPr>
          <w:p w14:paraId="698BB5B7" w14:textId="77777777" w:rsidR="00BA2765" w:rsidRPr="00BA2765" w:rsidRDefault="00BA2765" w:rsidP="00134B76">
            <w:pPr>
              <w:spacing w:line="240" w:lineRule="auto"/>
              <w:jc w:val="right"/>
              <w:rPr>
                <w:color w:val="000000"/>
                <w:lang w:val="en-US"/>
              </w:rPr>
            </w:pPr>
            <w:r w:rsidRPr="00BA2765">
              <w:rPr>
                <w:color w:val="000000"/>
                <w:lang w:val="en-US"/>
              </w:rPr>
              <w:t>4</w:t>
            </w:r>
          </w:p>
        </w:tc>
        <w:tc>
          <w:tcPr>
            <w:tcW w:w="1530" w:type="dxa"/>
            <w:tcBorders>
              <w:top w:val="nil"/>
              <w:left w:val="nil"/>
              <w:bottom w:val="single" w:sz="4" w:space="0" w:color="auto"/>
              <w:right w:val="single" w:sz="4" w:space="0" w:color="auto"/>
            </w:tcBorders>
            <w:noWrap/>
            <w:vAlign w:val="bottom"/>
            <w:hideMark/>
          </w:tcPr>
          <w:p w14:paraId="2FC71F86" w14:textId="77777777" w:rsidR="00BA2765" w:rsidRPr="00BA2765" w:rsidRDefault="00BA2765" w:rsidP="00134B76">
            <w:pPr>
              <w:spacing w:line="240" w:lineRule="auto"/>
              <w:jc w:val="right"/>
              <w:rPr>
                <w:color w:val="000000"/>
                <w:lang w:val="en-US"/>
              </w:rPr>
            </w:pPr>
            <w:r w:rsidRPr="00BA2765">
              <w:rPr>
                <w:color w:val="000000"/>
                <w:lang w:val="en-US"/>
              </w:rPr>
              <w:t>2</w:t>
            </w:r>
          </w:p>
        </w:tc>
        <w:tc>
          <w:tcPr>
            <w:tcW w:w="1620" w:type="dxa"/>
            <w:tcBorders>
              <w:top w:val="nil"/>
              <w:left w:val="nil"/>
              <w:bottom w:val="single" w:sz="4" w:space="0" w:color="auto"/>
              <w:right w:val="single" w:sz="4" w:space="0" w:color="auto"/>
            </w:tcBorders>
            <w:noWrap/>
            <w:vAlign w:val="bottom"/>
            <w:hideMark/>
          </w:tcPr>
          <w:p w14:paraId="05111CB1"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7C8670F0" w14:textId="77777777" w:rsidR="00BA2765" w:rsidRPr="00BA2765" w:rsidRDefault="00BA2765" w:rsidP="00134B76">
            <w:pPr>
              <w:spacing w:line="240" w:lineRule="auto"/>
              <w:jc w:val="right"/>
              <w:rPr>
                <w:color w:val="000000"/>
                <w:lang w:val="en-US"/>
              </w:rPr>
            </w:pPr>
            <w:r w:rsidRPr="00BA2765">
              <w:rPr>
                <w:color w:val="000000"/>
                <w:lang w:val="en-US"/>
              </w:rPr>
              <w:t>15</w:t>
            </w:r>
          </w:p>
        </w:tc>
      </w:tr>
      <w:tr w:rsidR="00BA2765" w:rsidRPr="00BA2765" w14:paraId="25BC5710" w14:textId="77777777" w:rsidTr="00134B76">
        <w:trPr>
          <w:trHeight w:val="300"/>
        </w:trPr>
        <w:tc>
          <w:tcPr>
            <w:tcW w:w="4680" w:type="dxa"/>
            <w:tcBorders>
              <w:top w:val="nil"/>
              <w:left w:val="single" w:sz="4" w:space="0" w:color="auto"/>
              <w:bottom w:val="single" w:sz="4" w:space="0" w:color="auto"/>
              <w:right w:val="single" w:sz="4" w:space="0" w:color="auto"/>
            </w:tcBorders>
            <w:vAlign w:val="center"/>
            <w:hideMark/>
          </w:tcPr>
          <w:p w14:paraId="55F302E7" w14:textId="77777777" w:rsidR="00BA2765" w:rsidRPr="00BA2765" w:rsidRDefault="00BA2765" w:rsidP="00134B76">
            <w:pPr>
              <w:spacing w:line="240" w:lineRule="auto"/>
              <w:jc w:val="right"/>
              <w:rPr>
                <w:color w:val="000000"/>
                <w:lang w:val="en-US"/>
              </w:rPr>
            </w:pPr>
            <w:r w:rsidRPr="00BA2765">
              <w:rPr>
                <w:color w:val="000000"/>
                <w:lang w:val="en-US"/>
              </w:rPr>
              <w:t>5</w:t>
            </w:r>
          </w:p>
        </w:tc>
        <w:tc>
          <w:tcPr>
            <w:tcW w:w="1530" w:type="dxa"/>
            <w:tcBorders>
              <w:top w:val="nil"/>
              <w:left w:val="nil"/>
              <w:bottom w:val="single" w:sz="4" w:space="0" w:color="auto"/>
              <w:right w:val="single" w:sz="4" w:space="0" w:color="auto"/>
            </w:tcBorders>
            <w:noWrap/>
            <w:vAlign w:val="bottom"/>
            <w:hideMark/>
          </w:tcPr>
          <w:p w14:paraId="66C33E91"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6B443B08"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33999380" w14:textId="77777777" w:rsidR="00BA2765" w:rsidRPr="00BA2765" w:rsidRDefault="00BA2765" w:rsidP="00134B76">
            <w:pPr>
              <w:spacing w:line="240" w:lineRule="auto"/>
              <w:jc w:val="right"/>
              <w:rPr>
                <w:color w:val="000000"/>
                <w:lang w:val="en-US"/>
              </w:rPr>
            </w:pPr>
            <w:r w:rsidRPr="00BA2765">
              <w:rPr>
                <w:color w:val="000000"/>
                <w:lang w:val="en-US"/>
              </w:rPr>
              <w:t>5</w:t>
            </w:r>
          </w:p>
        </w:tc>
      </w:tr>
      <w:tr w:rsidR="00BA2765" w:rsidRPr="00BA2765" w14:paraId="51483EEF" w14:textId="77777777" w:rsidTr="00134B76">
        <w:trPr>
          <w:trHeight w:val="300"/>
        </w:trPr>
        <w:tc>
          <w:tcPr>
            <w:tcW w:w="4680" w:type="dxa"/>
            <w:tcBorders>
              <w:top w:val="nil"/>
              <w:left w:val="single" w:sz="4" w:space="0" w:color="auto"/>
              <w:bottom w:val="single" w:sz="4" w:space="0" w:color="auto"/>
              <w:right w:val="single" w:sz="4" w:space="0" w:color="auto"/>
            </w:tcBorders>
            <w:noWrap/>
            <w:vAlign w:val="bottom"/>
            <w:hideMark/>
          </w:tcPr>
          <w:p w14:paraId="4564D82E" w14:textId="77777777" w:rsidR="00BA2765" w:rsidRPr="00BA2765" w:rsidRDefault="00BA2765" w:rsidP="00134B76">
            <w:pPr>
              <w:spacing w:line="240" w:lineRule="auto"/>
              <w:rPr>
                <w:b/>
                <w:bCs/>
                <w:color w:val="000000"/>
                <w:lang w:val="en-US"/>
              </w:rPr>
            </w:pPr>
            <w:r w:rsidRPr="00BA2765">
              <w:rPr>
                <w:b/>
                <w:bCs/>
                <w:color w:val="000000"/>
                <w:lang w:val="en-US"/>
              </w:rPr>
              <w:t>Total</w:t>
            </w:r>
          </w:p>
        </w:tc>
        <w:tc>
          <w:tcPr>
            <w:tcW w:w="1530" w:type="dxa"/>
            <w:tcBorders>
              <w:top w:val="nil"/>
              <w:left w:val="nil"/>
              <w:bottom w:val="single" w:sz="4" w:space="0" w:color="auto"/>
              <w:right w:val="single" w:sz="4" w:space="0" w:color="auto"/>
            </w:tcBorders>
            <w:noWrap/>
            <w:vAlign w:val="bottom"/>
            <w:hideMark/>
          </w:tcPr>
          <w:p w14:paraId="48C62E9B" w14:textId="77777777" w:rsidR="00BA2765" w:rsidRPr="00BA2765" w:rsidRDefault="00BA2765" w:rsidP="00134B76">
            <w:pPr>
              <w:spacing w:line="240" w:lineRule="auto"/>
              <w:jc w:val="right"/>
              <w:rPr>
                <w:color w:val="000000"/>
                <w:lang w:val="en-US"/>
              </w:rPr>
            </w:pPr>
            <w:r w:rsidRPr="00BA2765">
              <w:rPr>
                <w:color w:val="000000"/>
                <w:lang w:val="en-US"/>
              </w:rPr>
              <w:t>14</w:t>
            </w:r>
          </w:p>
        </w:tc>
        <w:tc>
          <w:tcPr>
            <w:tcW w:w="1620" w:type="dxa"/>
            <w:tcBorders>
              <w:top w:val="nil"/>
              <w:left w:val="nil"/>
              <w:bottom w:val="single" w:sz="4" w:space="0" w:color="auto"/>
              <w:right w:val="single" w:sz="4" w:space="0" w:color="auto"/>
            </w:tcBorders>
            <w:noWrap/>
            <w:vAlign w:val="bottom"/>
            <w:hideMark/>
          </w:tcPr>
          <w:p w14:paraId="75F6DE9A" w14:textId="77777777" w:rsidR="00BA2765" w:rsidRPr="00BA2765" w:rsidRDefault="00BA2765" w:rsidP="00134B76">
            <w:pPr>
              <w:spacing w:line="240" w:lineRule="auto"/>
              <w:jc w:val="right"/>
              <w:rPr>
                <w:color w:val="000000"/>
                <w:lang w:val="en-US"/>
              </w:rPr>
            </w:pPr>
            <w:r w:rsidRPr="00BA2765">
              <w:rPr>
                <w:color w:val="000000"/>
                <w:lang w:val="en-US"/>
              </w:rPr>
              <w:t>0</w:t>
            </w:r>
          </w:p>
        </w:tc>
        <w:tc>
          <w:tcPr>
            <w:tcW w:w="1620" w:type="dxa"/>
            <w:tcBorders>
              <w:top w:val="nil"/>
              <w:left w:val="nil"/>
              <w:bottom w:val="single" w:sz="4" w:space="0" w:color="auto"/>
              <w:right w:val="single" w:sz="4" w:space="0" w:color="auto"/>
            </w:tcBorders>
            <w:noWrap/>
            <w:vAlign w:val="bottom"/>
            <w:hideMark/>
          </w:tcPr>
          <w:p w14:paraId="1AC6A22C" w14:textId="77777777" w:rsidR="00BA2765" w:rsidRPr="00BA2765" w:rsidRDefault="00BA2765" w:rsidP="00134B76">
            <w:pPr>
              <w:spacing w:line="240" w:lineRule="auto"/>
              <w:jc w:val="right"/>
              <w:rPr>
                <w:color w:val="000000"/>
                <w:lang w:val="en-US"/>
              </w:rPr>
            </w:pPr>
            <w:r w:rsidRPr="00BA2765">
              <w:rPr>
                <w:color w:val="000000"/>
                <w:lang w:val="en-US"/>
              </w:rPr>
              <w:t>25</w:t>
            </w:r>
          </w:p>
        </w:tc>
      </w:tr>
      <w:tr w:rsidR="00BA2765" w:rsidRPr="00BA2765" w14:paraId="2CAE2770" w14:textId="77777777" w:rsidTr="00134B76">
        <w:trPr>
          <w:trHeight w:val="350"/>
        </w:trPr>
        <w:tc>
          <w:tcPr>
            <w:tcW w:w="4680" w:type="dxa"/>
            <w:tcBorders>
              <w:top w:val="nil"/>
              <w:left w:val="single" w:sz="4" w:space="0" w:color="auto"/>
              <w:bottom w:val="single" w:sz="4" w:space="0" w:color="auto"/>
              <w:right w:val="single" w:sz="4" w:space="0" w:color="auto"/>
            </w:tcBorders>
            <w:vAlign w:val="bottom"/>
            <w:hideMark/>
          </w:tcPr>
          <w:p w14:paraId="5BA34591" w14:textId="77777777" w:rsidR="00BA2765" w:rsidRPr="00BA2765" w:rsidRDefault="00BA2765" w:rsidP="00134B76">
            <w:pPr>
              <w:spacing w:line="240" w:lineRule="auto"/>
              <w:rPr>
                <w:b/>
                <w:bCs/>
                <w:color w:val="000000"/>
                <w:lang w:val="en-US"/>
              </w:rPr>
            </w:pPr>
            <w:r w:rsidRPr="00BA2765">
              <w:rPr>
                <w:b/>
                <w:bCs/>
                <w:color w:val="000000"/>
                <w:lang w:val="en-US"/>
              </w:rPr>
              <w:t>Average Annual Profit</w:t>
            </w:r>
          </w:p>
        </w:tc>
        <w:tc>
          <w:tcPr>
            <w:tcW w:w="1530" w:type="dxa"/>
            <w:tcBorders>
              <w:top w:val="nil"/>
              <w:left w:val="nil"/>
              <w:bottom w:val="single" w:sz="4" w:space="0" w:color="auto"/>
              <w:right w:val="single" w:sz="4" w:space="0" w:color="auto"/>
            </w:tcBorders>
            <w:noWrap/>
            <w:vAlign w:val="bottom"/>
            <w:hideMark/>
          </w:tcPr>
          <w:p w14:paraId="21B0B75A" w14:textId="77777777" w:rsidR="00BA2765" w:rsidRPr="00BA2765" w:rsidRDefault="00BA2765" w:rsidP="00134B76">
            <w:pPr>
              <w:spacing w:line="240" w:lineRule="auto"/>
              <w:jc w:val="right"/>
              <w:rPr>
                <w:color w:val="000000"/>
                <w:lang w:val="en-US"/>
              </w:rPr>
            </w:pPr>
            <w:r w:rsidRPr="00BA2765">
              <w:rPr>
                <w:color w:val="000000"/>
                <w:lang w:val="en-US"/>
              </w:rPr>
              <w:t>2.8</w:t>
            </w:r>
          </w:p>
        </w:tc>
        <w:tc>
          <w:tcPr>
            <w:tcW w:w="1620" w:type="dxa"/>
            <w:tcBorders>
              <w:top w:val="nil"/>
              <w:left w:val="nil"/>
              <w:bottom w:val="single" w:sz="4" w:space="0" w:color="auto"/>
              <w:right w:val="single" w:sz="4" w:space="0" w:color="auto"/>
            </w:tcBorders>
            <w:noWrap/>
            <w:vAlign w:val="bottom"/>
            <w:hideMark/>
          </w:tcPr>
          <w:p w14:paraId="1376ABD9" w14:textId="77777777" w:rsidR="00BA2765" w:rsidRPr="00BA2765" w:rsidRDefault="00BA2765" w:rsidP="00134B76">
            <w:pPr>
              <w:spacing w:line="240" w:lineRule="auto"/>
              <w:jc w:val="right"/>
              <w:rPr>
                <w:color w:val="000000"/>
                <w:lang w:val="en-US"/>
              </w:rPr>
            </w:pPr>
            <w:r w:rsidRPr="00BA2765">
              <w:rPr>
                <w:color w:val="000000"/>
                <w:lang w:val="en-US"/>
              </w:rPr>
              <w:t>0.0</w:t>
            </w:r>
          </w:p>
        </w:tc>
        <w:tc>
          <w:tcPr>
            <w:tcW w:w="1620" w:type="dxa"/>
            <w:tcBorders>
              <w:top w:val="nil"/>
              <w:left w:val="nil"/>
              <w:bottom w:val="single" w:sz="4" w:space="0" w:color="auto"/>
              <w:right w:val="single" w:sz="4" w:space="0" w:color="auto"/>
            </w:tcBorders>
            <w:noWrap/>
            <w:vAlign w:val="bottom"/>
            <w:hideMark/>
          </w:tcPr>
          <w:p w14:paraId="4AAB677E" w14:textId="77777777" w:rsidR="00BA2765" w:rsidRPr="00BA2765" w:rsidRDefault="00BA2765" w:rsidP="00134B76">
            <w:pPr>
              <w:spacing w:line="240" w:lineRule="auto"/>
              <w:jc w:val="right"/>
              <w:rPr>
                <w:color w:val="000000"/>
                <w:lang w:val="en-US"/>
              </w:rPr>
            </w:pPr>
            <w:r w:rsidRPr="00BA2765">
              <w:rPr>
                <w:color w:val="000000"/>
                <w:lang w:val="en-US"/>
              </w:rPr>
              <w:t>5.0</w:t>
            </w:r>
          </w:p>
        </w:tc>
      </w:tr>
      <w:tr w:rsidR="00BA2765" w:rsidRPr="00BA2765" w14:paraId="570BE052" w14:textId="77777777" w:rsidTr="00134B76">
        <w:trPr>
          <w:trHeight w:val="350"/>
        </w:trPr>
        <w:tc>
          <w:tcPr>
            <w:tcW w:w="4680" w:type="dxa"/>
            <w:tcBorders>
              <w:top w:val="nil"/>
              <w:left w:val="single" w:sz="4" w:space="0" w:color="auto"/>
              <w:bottom w:val="single" w:sz="4" w:space="0" w:color="auto"/>
              <w:right w:val="single" w:sz="4" w:space="0" w:color="auto"/>
            </w:tcBorders>
            <w:vAlign w:val="bottom"/>
            <w:hideMark/>
          </w:tcPr>
          <w:p w14:paraId="302BC549" w14:textId="77777777" w:rsidR="00BA2765" w:rsidRPr="00BA2765" w:rsidRDefault="00BA2765" w:rsidP="00134B76">
            <w:pPr>
              <w:spacing w:line="240" w:lineRule="auto"/>
              <w:rPr>
                <w:b/>
                <w:bCs/>
                <w:color w:val="000000"/>
                <w:lang w:val="en-US"/>
              </w:rPr>
            </w:pPr>
            <w:r w:rsidRPr="00BA2765">
              <w:rPr>
                <w:b/>
                <w:bCs/>
                <w:color w:val="000000"/>
                <w:lang w:val="en-US"/>
              </w:rPr>
              <w:t>Average Investment</w:t>
            </w:r>
          </w:p>
        </w:tc>
        <w:tc>
          <w:tcPr>
            <w:tcW w:w="1530" w:type="dxa"/>
            <w:tcBorders>
              <w:top w:val="nil"/>
              <w:left w:val="nil"/>
              <w:bottom w:val="single" w:sz="4" w:space="0" w:color="auto"/>
              <w:right w:val="single" w:sz="4" w:space="0" w:color="auto"/>
            </w:tcBorders>
            <w:vAlign w:val="center"/>
            <w:hideMark/>
          </w:tcPr>
          <w:p w14:paraId="1A3C53F1" w14:textId="77777777" w:rsidR="00BA2765" w:rsidRPr="00BA2765" w:rsidRDefault="00BA2765" w:rsidP="00134B76">
            <w:pPr>
              <w:spacing w:line="240" w:lineRule="auto"/>
              <w:jc w:val="right"/>
              <w:rPr>
                <w:color w:val="000000"/>
                <w:lang w:val="en-US"/>
              </w:rPr>
            </w:pPr>
            <w:r w:rsidRPr="00BA2765">
              <w:rPr>
                <w:color w:val="000000"/>
                <w:lang w:val="en-US"/>
              </w:rPr>
              <w:t>20</w:t>
            </w:r>
          </w:p>
        </w:tc>
        <w:tc>
          <w:tcPr>
            <w:tcW w:w="1620" w:type="dxa"/>
            <w:tcBorders>
              <w:top w:val="nil"/>
              <w:left w:val="nil"/>
              <w:bottom w:val="single" w:sz="4" w:space="0" w:color="auto"/>
              <w:right w:val="single" w:sz="4" w:space="0" w:color="auto"/>
            </w:tcBorders>
            <w:vAlign w:val="center"/>
            <w:hideMark/>
          </w:tcPr>
          <w:p w14:paraId="176D16E6" w14:textId="77777777" w:rsidR="00BA2765" w:rsidRPr="00BA2765" w:rsidRDefault="00BA2765" w:rsidP="00134B76">
            <w:pPr>
              <w:spacing w:line="240" w:lineRule="auto"/>
              <w:jc w:val="right"/>
              <w:rPr>
                <w:color w:val="000000"/>
                <w:lang w:val="en-US"/>
              </w:rPr>
            </w:pPr>
            <w:r w:rsidRPr="00BA2765">
              <w:rPr>
                <w:color w:val="000000"/>
                <w:lang w:val="en-US"/>
              </w:rPr>
              <w:t>15</w:t>
            </w:r>
          </w:p>
        </w:tc>
        <w:tc>
          <w:tcPr>
            <w:tcW w:w="1620" w:type="dxa"/>
            <w:tcBorders>
              <w:top w:val="nil"/>
              <w:left w:val="nil"/>
              <w:bottom w:val="single" w:sz="4" w:space="0" w:color="auto"/>
              <w:right w:val="single" w:sz="4" w:space="0" w:color="auto"/>
            </w:tcBorders>
            <w:vAlign w:val="center"/>
            <w:hideMark/>
          </w:tcPr>
          <w:p w14:paraId="4F1440EF" w14:textId="77777777" w:rsidR="00BA2765" w:rsidRPr="00BA2765" w:rsidRDefault="00BA2765" w:rsidP="00134B76">
            <w:pPr>
              <w:spacing w:line="240" w:lineRule="auto"/>
              <w:jc w:val="right"/>
              <w:rPr>
                <w:color w:val="000000"/>
                <w:lang w:val="en-US"/>
              </w:rPr>
            </w:pPr>
            <w:r w:rsidRPr="00BA2765">
              <w:rPr>
                <w:color w:val="000000"/>
                <w:lang w:val="en-US"/>
              </w:rPr>
              <w:t>25</w:t>
            </w:r>
          </w:p>
        </w:tc>
      </w:tr>
      <w:tr w:rsidR="00BA2765" w:rsidRPr="00BA2765" w14:paraId="446E4523" w14:textId="77777777" w:rsidTr="00134B76">
        <w:trPr>
          <w:trHeight w:val="300"/>
        </w:trPr>
        <w:tc>
          <w:tcPr>
            <w:tcW w:w="4680" w:type="dxa"/>
            <w:tcBorders>
              <w:top w:val="nil"/>
              <w:left w:val="single" w:sz="4" w:space="0" w:color="auto"/>
              <w:bottom w:val="single" w:sz="4" w:space="0" w:color="auto"/>
              <w:right w:val="single" w:sz="4" w:space="0" w:color="auto"/>
            </w:tcBorders>
            <w:noWrap/>
            <w:vAlign w:val="bottom"/>
            <w:hideMark/>
          </w:tcPr>
          <w:p w14:paraId="7DA99F46" w14:textId="77777777" w:rsidR="00BA2765" w:rsidRPr="00BA2765" w:rsidRDefault="00BA2765" w:rsidP="00134B76">
            <w:pPr>
              <w:spacing w:line="240" w:lineRule="auto"/>
              <w:rPr>
                <w:b/>
                <w:bCs/>
                <w:color w:val="000000"/>
                <w:lang w:val="en-US"/>
              </w:rPr>
            </w:pPr>
            <w:r w:rsidRPr="00BA2765">
              <w:rPr>
                <w:b/>
                <w:bCs/>
                <w:color w:val="000000"/>
                <w:lang w:val="en-US"/>
              </w:rPr>
              <w:t>ARR</w:t>
            </w:r>
          </w:p>
        </w:tc>
        <w:tc>
          <w:tcPr>
            <w:tcW w:w="1530" w:type="dxa"/>
            <w:tcBorders>
              <w:top w:val="nil"/>
              <w:left w:val="nil"/>
              <w:bottom w:val="single" w:sz="4" w:space="0" w:color="auto"/>
              <w:right w:val="single" w:sz="4" w:space="0" w:color="auto"/>
            </w:tcBorders>
            <w:noWrap/>
            <w:vAlign w:val="bottom"/>
            <w:hideMark/>
          </w:tcPr>
          <w:p w14:paraId="6F503970" w14:textId="77777777" w:rsidR="00BA2765" w:rsidRPr="00BA2765" w:rsidRDefault="00BA2765" w:rsidP="00134B76">
            <w:pPr>
              <w:spacing w:line="240" w:lineRule="auto"/>
              <w:jc w:val="right"/>
              <w:rPr>
                <w:b/>
                <w:bCs/>
                <w:color w:val="000000"/>
                <w:lang w:val="en-US"/>
              </w:rPr>
            </w:pPr>
            <w:r w:rsidRPr="00BA2765">
              <w:rPr>
                <w:b/>
                <w:bCs/>
                <w:color w:val="000000"/>
                <w:lang w:val="en-US"/>
              </w:rPr>
              <w:t>14%</w:t>
            </w:r>
          </w:p>
        </w:tc>
        <w:tc>
          <w:tcPr>
            <w:tcW w:w="1620" w:type="dxa"/>
            <w:tcBorders>
              <w:top w:val="nil"/>
              <w:left w:val="nil"/>
              <w:bottom w:val="single" w:sz="4" w:space="0" w:color="auto"/>
              <w:right w:val="single" w:sz="4" w:space="0" w:color="auto"/>
            </w:tcBorders>
            <w:noWrap/>
            <w:vAlign w:val="bottom"/>
            <w:hideMark/>
          </w:tcPr>
          <w:p w14:paraId="73B86503" w14:textId="77777777" w:rsidR="00BA2765" w:rsidRPr="00BA2765" w:rsidRDefault="00BA2765" w:rsidP="00134B76">
            <w:pPr>
              <w:spacing w:line="240" w:lineRule="auto"/>
              <w:jc w:val="right"/>
              <w:rPr>
                <w:b/>
                <w:bCs/>
                <w:color w:val="000000"/>
                <w:lang w:val="en-US"/>
              </w:rPr>
            </w:pPr>
            <w:r w:rsidRPr="00BA2765">
              <w:rPr>
                <w:b/>
                <w:bCs/>
                <w:color w:val="000000"/>
                <w:lang w:val="en-US"/>
              </w:rPr>
              <w:t>0%</w:t>
            </w:r>
          </w:p>
        </w:tc>
        <w:tc>
          <w:tcPr>
            <w:tcW w:w="1620" w:type="dxa"/>
            <w:tcBorders>
              <w:top w:val="nil"/>
              <w:left w:val="nil"/>
              <w:bottom w:val="single" w:sz="4" w:space="0" w:color="auto"/>
              <w:right w:val="single" w:sz="4" w:space="0" w:color="auto"/>
            </w:tcBorders>
            <w:noWrap/>
            <w:vAlign w:val="bottom"/>
            <w:hideMark/>
          </w:tcPr>
          <w:p w14:paraId="04081084" w14:textId="77777777" w:rsidR="00BA2765" w:rsidRPr="00BA2765" w:rsidRDefault="00BA2765" w:rsidP="00134B76">
            <w:pPr>
              <w:spacing w:line="240" w:lineRule="auto"/>
              <w:jc w:val="right"/>
              <w:rPr>
                <w:b/>
                <w:bCs/>
                <w:color w:val="000000"/>
                <w:lang w:val="en-US"/>
              </w:rPr>
            </w:pPr>
            <w:r w:rsidRPr="00BA2765">
              <w:rPr>
                <w:b/>
                <w:bCs/>
                <w:color w:val="000000"/>
                <w:lang w:val="en-US"/>
              </w:rPr>
              <w:t>20%</w:t>
            </w:r>
          </w:p>
        </w:tc>
      </w:tr>
    </w:tbl>
    <w:p w14:paraId="555F177F" w14:textId="77777777" w:rsidR="00BA2765" w:rsidRPr="00BA2765" w:rsidRDefault="00BA2765" w:rsidP="00BA2765">
      <w:pPr>
        <w:rPr>
          <w:b/>
          <w:bCs/>
        </w:rPr>
      </w:pPr>
    </w:p>
    <w:p w14:paraId="3C153D6D" w14:textId="77777777" w:rsidR="00BA2765" w:rsidRPr="00BA2765" w:rsidRDefault="00BA2765" w:rsidP="00BA2765"/>
    <w:tbl>
      <w:tblPr>
        <w:tblW w:w="9360" w:type="dxa"/>
        <w:tblInd w:w="85" w:type="dxa"/>
        <w:tblLook w:val="04A0" w:firstRow="1" w:lastRow="0" w:firstColumn="1" w:lastColumn="0" w:noHBand="0" w:noVBand="1"/>
      </w:tblPr>
      <w:tblGrid>
        <w:gridCol w:w="3690"/>
        <w:gridCol w:w="1596"/>
        <w:gridCol w:w="1980"/>
        <w:gridCol w:w="2094"/>
      </w:tblGrid>
      <w:tr w:rsidR="00BA2765" w:rsidRPr="00BA2765" w14:paraId="341E91E4" w14:textId="77777777" w:rsidTr="00134B76">
        <w:trPr>
          <w:trHeight w:val="300"/>
        </w:trPr>
        <w:tc>
          <w:tcPr>
            <w:tcW w:w="3690" w:type="dxa"/>
            <w:tcBorders>
              <w:top w:val="single" w:sz="4" w:space="0" w:color="auto"/>
              <w:left w:val="single" w:sz="4" w:space="0" w:color="auto"/>
              <w:bottom w:val="single" w:sz="4" w:space="0" w:color="auto"/>
              <w:right w:val="single" w:sz="4" w:space="0" w:color="auto"/>
            </w:tcBorders>
            <w:noWrap/>
            <w:vAlign w:val="bottom"/>
            <w:hideMark/>
          </w:tcPr>
          <w:p w14:paraId="15E253B8" w14:textId="77777777" w:rsidR="00BA2765" w:rsidRPr="00BA2765" w:rsidRDefault="00BA2765" w:rsidP="00134B76">
            <w:pPr>
              <w:spacing w:line="240" w:lineRule="auto"/>
              <w:rPr>
                <w:b/>
                <w:bCs/>
                <w:color w:val="000000"/>
                <w:lang w:val="en-US"/>
              </w:rPr>
            </w:pPr>
            <w:r w:rsidRPr="00BA2765">
              <w:rPr>
                <w:b/>
                <w:bCs/>
                <w:color w:val="000000"/>
                <w:lang w:val="en-US"/>
              </w:rPr>
              <w:t>NPV</w:t>
            </w:r>
          </w:p>
        </w:tc>
        <w:tc>
          <w:tcPr>
            <w:tcW w:w="1596" w:type="dxa"/>
            <w:tcBorders>
              <w:top w:val="single" w:sz="4" w:space="0" w:color="auto"/>
              <w:left w:val="nil"/>
              <w:bottom w:val="single" w:sz="4" w:space="0" w:color="auto"/>
              <w:right w:val="single" w:sz="4" w:space="0" w:color="auto"/>
            </w:tcBorders>
            <w:vAlign w:val="center"/>
            <w:hideMark/>
          </w:tcPr>
          <w:p w14:paraId="26B27A82"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980" w:type="dxa"/>
            <w:tcBorders>
              <w:top w:val="single" w:sz="4" w:space="0" w:color="auto"/>
              <w:left w:val="nil"/>
              <w:bottom w:val="single" w:sz="4" w:space="0" w:color="auto"/>
              <w:right w:val="single" w:sz="4" w:space="0" w:color="auto"/>
            </w:tcBorders>
            <w:vAlign w:val="center"/>
            <w:hideMark/>
          </w:tcPr>
          <w:p w14:paraId="28129DB4"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2094" w:type="dxa"/>
            <w:tcBorders>
              <w:top w:val="single" w:sz="4" w:space="0" w:color="auto"/>
              <w:left w:val="nil"/>
              <w:bottom w:val="single" w:sz="4" w:space="0" w:color="auto"/>
              <w:right w:val="single" w:sz="4" w:space="0" w:color="auto"/>
            </w:tcBorders>
            <w:vAlign w:val="center"/>
            <w:hideMark/>
          </w:tcPr>
          <w:p w14:paraId="6D38B903"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r>
      <w:tr w:rsidR="00BA2765" w:rsidRPr="00BA2765" w14:paraId="7FDEB169" w14:textId="77777777" w:rsidTr="00134B76">
        <w:trPr>
          <w:trHeight w:val="800"/>
        </w:trPr>
        <w:tc>
          <w:tcPr>
            <w:tcW w:w="3690" w:type="dxa"/>
            <w:tcBorders>
              <w:top w:val="nil"/>
              <w:left w:val="single" w:sz="4" w:space="0" w:color="auto"/>
              <w:bottom w:val="single" w:sz="4" w:space="0" w:color="auto"/>
              <w:right w:val="single" w:sz="4" w:space="0" w:color="auto"/>
            </w:tcBorders>
            <w:noWrap/>
            <w:vAlign w:val="bottom"/>
            <w:hideMark/>
          </w:tcPr>
          <w:p w14:paraId="13CF9D97" w14:textId="77777777" w:rsidR="00BA2765" w:rsidRPr="00BA2765" w:rsidRDefault="00BA2765" w:rsidP="00134B76">
            <w:pPr>
              <w:spacing w:line="240" w:lineRule="auto"/>
              <w:rPr>
                <w:color w:val="FF0000"/>
                <w:lang w:val="en-US"/>
              </w:rPr>
            </w:pPr>
            <w:r w:rsidRPr="00BA2765">
              <w:rPr>
                <w:lang w:val="en-US"/>
              </w:rPr>
              <w:t> </w:t>
            </w:r>
            <m:oMath>
              <m:r>
                <w:rPr>
                  <w:rFonts w:ascii="Cambria Math" w:hAnsi="Cambria Math"/>
                  <w:lang w:val="en-US"/>
                </w:rPr>
                <m:t>∑</m:t>
              </m:r>
              <m:f>
                <m:fPr>
                  <m:ctrlPr>
                    <w:rPr>
                      <w:rFonts w:ascii="Cambria Math" w:hAnsi="Cambria Math"/>
                      <w:i/>
                      <w:lang w:val="en-US"/>
                    </w:rPr>
                  </m:ctrlPr>
                </m:fPr>
                <m:num>
                  <m:r>
                    <w:rPr>
                      <w:rFonts w:ascii="Cambria Math" w:hAnsi="Cambria Math"/>
                      <w:lang w:val="en-US"/>
                    </w:rPr>
                    <m:t>CFt</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lang w:val="en-US"/>
                            </w:rPr>
                            <m:t>!+r</m:t>
                          </m:r>
                        </m:e>
                      </m:d>
                    </m:e>
                    <m:sup>
                      <m:r>
                        <w:rPr>
                          <w:rFonts w:ascii="Cambria Math" w:hAnsi="Cambria Math"/>
                          <w:lang w:val="en-US"/>
                        </w:rPr>
                        <m:t>t</m:t>
                      </m:r>
                    </m:sup>
                  </m:sSup>
                </m:den>
              </m:f>
              <m:r>
                <w:rPr>
                  <w:rFonts w:ascii="Cambria Math" w:hAnsi="Cambria Math"/>
                  <w:lang w:val="en-US"/>
                </w:rPr>
                <m:t>-Initial Investment</m:t>
              </m:r>
            </m:oMath>
          </w:p>
        </w:tc>
        <w:tc>
          <w:tcPr>
            <w:tcW w:w="1596" w:type="dxa"/>
            <w:tcBorders>
              <w:top w:val="nil"/>
              <w:left w:val="nil"/>
              <w:bottom w:val="single" w:sz="4" w:space="0" w:color="auto"/>
              <w:right w:val="single" w:sz="4" w:space="0" w:color="auto"/>
            </w:tcBorders>
            <w:noWrap/>
            <w:vAlign w:val="bottom"/>
            <w:hideMark/>
          </w:tcPr>
          <w:p w14:paraId="1EDD6174" w14:textId="77777777" w:rsidR="00BA2765" w:rsidRPr="00BA2765" w:rsidRDefault="00BA2765" w:rsidP="00134B76">
            <w:pPr>
              <w:spacing w:line="240" w:lineRule="auto"/>
              <w:jc w:val="right"/>
              <w:rPr>
                <w:color w:val="000000"/>
                <w:lang w:val="en-US"/>
              </w:rPr>
            </w:pPr>
            <w:r w:rsidRPr="00BA2765">
              <w:rPr>
                <w:color w:val="000000"/>
                <w:lang w:val="en-US"/>
              </w:rPr>
              <w:t>1,324,176.814</w:t>
            </w:r>
          </w:p>
        </w:tc>
        <w:tc>
          <w:tcPr>
            <w:tcW w:w="1980" w:type="dxa"/>
            <w:tcBorders>
              <w:top w:val="nil"/>
              <w:left w:val="nil"/>
              <w:bottom w:val="single" w:sz="4" w:space="0" w:color="auto"/>
              <w:right w:val="single" w:sz="4" w:space="0" w:color="auto"/>
            </w:tcBorders>
            <w:noWrap/>
            <w:vAlign w:val="bottom"/>
            <w:hideMark/>
          </w:tcPr>
          <w:p w14:paraId="2DF07070" w14:textId="77777777" w:rsidR="00BA2765" w:rsidRPr="00BA2765" w:rsidRDefault="00BA2765" w:rsidP="00134B76">
            <w:pPr>
              <w:spacing w:line="240" w:lineRule="auto"/>
              <w:jc w:val="right"/>
              <w:rPr>
                <w:color w:val="000000"/>
                <w:lang w:val="en-US"/>
              </w:rPr>
            </w:pPr>
            <w:r w:rsidRPr="00BA2765">
              <w:rPr>
                <w:color w:val="000000"/>
                <w:lang w:val="en-US"/>
              </w:rPr>
              <w:t>-7,255,279.384</w:t>
            </w:r>
          </w:p>
        </w:tc>
        <w:tc>
          <w:tcPr>
            <w:tcW w:w="2094" w:type="dxa"/>
            <w:tcBorders>
              <w:top w:val="nil"/>
              <w:left w:val="nil"/>
              <w:bottom w:val="single" w:sz="4" w:space="0" w:color="auto"/>
              <w:right w:val="single" w:sz="4" w:space="0" w:color="auto"/>
            </w:tcBorders>
            <w:noWrap/>
            <w:vAlign w:val="bottom"/>
            <w:hideMark/>
          </w:tcPr>
          <w:p w14:paraId="7C165598" w14:textId="77777777" w:rsidR="00BA2765" w:rsidRPr="00BA2765" w:rsidRDefault="00BA2765" w:rsidP="00134B76">
            <w:pPr>
              <w:spacing w:line="240" w:lineRule="auto"/>
              <w:jc w:val="right"/>
              <w:rPr>
                <w:color w:val="000000"/>
                <w:lang w:val="en-US"/>
              </w:rPr>
            </w:pPr>
            <w:r w:rsidRPr="00BA2765">
              <w:rPr>
                <w:color w:val="000000"/>
                <w:lang w:val="en-US"/>
              </w:rPr>
              <w:t>4,225,369.603</w:t>
            </w:r>
          </w:p>
        </w:tc>
      </w:tr>
      <w:tr w:rsidR="00BA2765" w:rsidRPr="00BA2765" w14:paraId="2171B556" w14:textId="77777777" w:rsidTr="00134B76">
        <w:trPr>
          <w:trHeight w:val="300"/>
        </w:trPr>
        <w:tc>
          <w:tcPr>
            <w:tcW w:w="3690" w:type="dxa"/>
            <w:tcBorders>
              <w:top w:val="nil"/>
              <w:left w:val="nil"/>
              <w:bottom w:val="nil"/>
              <w:right w:val="nil"/>
            </w:tcBorders>
            <w:noWrap/>
            <w:vAlign w:val="bottom"/>
            <w:hideMark/>
          </w:tcPr>
          <w:p w14:paraId="1D48F977" w14:textId="77777777" w:rsidR="00BA2765" w:rsidRPr="00BA2765" w:rsidRDefault="00BA2765" w:rsidP="00134B76">
            <w:pPr>
              <w:spacing w:line="240" w:lineRule="auto"/>
              <w:jc w:val="right"/>
              <w:rPr>
                <w:color w:val="000000"/>
                <w:lang w:val="en-US"/>
              </w:rPr>
            </w:pPr>
          </w:p>
        </w:tc>
        <w:tc>
          <w:tcPr>
            <w:tcW w:w="1596" w:type="dxa"/>
            <w:tcBorders>
              <w:top w:val="nil"/>
              <w:left w:val="nil"/>
              <w:bottom w:val="nil"/>
              <w:right w:val="nil"/>
            </w:tcBorders>
            <w:noWrap/>
            <w:vAlign w:val="bottom"/>
            <w:hideMark/>
          </w:tcPr>
          <w:p w14:paraId="13970880" w14:textId="77777777" w:rsidR="00BA2765" w:rsidRPr="00BA2765" w:rsidRDefault="00BA2765" w:rsidP="00134B76">
            <w:pPr>
              <w:spacing w:line="240" w:lineRule="auto"/>
              <w:rPr>
                <w:lang w:val="en-US"/>
              </w:rPr>
            </w:pPr>
          </w:p>
        </w:tc>
        <w:tc>
          <w:tcPr>
            <w:tcW w:w="1980" w:type="dxa"/>
            <w:tcBorders>
              <w:top w:val="nil"/>
              <w:left w:val="nil"/>
              <w:bottom w:val="nil"/>
              <w:right w:val="nil"/>
            </w:tcBorders>
            <w:noWrap/>
            <w:vAlign w:val="bottom"/>
            <w:hideMark/>
          </w:tcPr>
          <w:p w14:paraId="242DC7CE" w14:textId="77777777" w:rsidR="00BA2765" w:rsidRPr="00BA2765" w:rsidRDefault="00BA2765" w:rsidP="00134B76">
            <w:pPr>
              <w:spacing w:line="240" w:lineRule="auto"/>
              <w:rPr>
                <w:lang w:val="en-US"/>
              </w:rPr>
            </w:pPr>
          </w:p>
        </w:tc>
        <w:tc>
          <w:tcPr>
            <w:tcW w:w="2094" w:type="dxa"/>
            <w:tcBorders>
              <w:top w:val="nil"/>
              <w:left w:val="nil"/>
              <w:bottom w:val="nil"/>
              <w:right w:val="nil"/>
            </w:tcBorders>
            <w:noWrap/>
            <w:vAlign w:val="bottom"/>
            <w:hideMark/>
          </w:tcPr>
          <w:p w14:paraId="0B56F13F" w14:textId="77777777" w:rsidR="00BA2765" w:rsidRPr="00BA2765" w:rsidRDefault="00BA2765" w:rsidP="00134B76">
            <w:pPr>
              <w:spacing w:line="240" w:lineRule="auto"/>
              <w:rPr>
                <w:lang w:val="en-US"/>
              </w:rPr>
            </w:pPr>
          </w:p>
        </w:tc>
      </w:tr>
      <w:tr w:rsidR="00BA2765" w:rsidRPr="00BA2765" w14:paraId="793F6522" w14:textId="77777777" w:rsidTr="00134B76">
        <w:trPr>
          <w:trHeight w:val="300"/>
        </w:trPr>
        <w:tc>
          <w:tcPr>
            <w:tcW w:w="3690" w:type="dxa"/>
            <w:tcBorders>
              <w:top w:val="nil"/>
              <w:left w:val="nil"/>
              <w:bottom w:val="nil"/>
              <w:right w:val="nil"/>
            </w:tcBorders>
            <w:noWrap/>
            <w:vAlign w:val="bottom"/>
          </w:tcPr>
          <w:p w14:paraId="2246679B" w14:textId="77777777" w:rsidR="00BA2765" w:rsidRPr="00BA2765" w:rsidRDefault="00BA2765" w:rsidP="00134B76">
            <w:pPr>
              <w:spacing w:line="240" w:lineRule="auto"/>
              <w:jc w:val="right"/>
              <w:rPr>
                <w:color w:val="000000"/>
                <w:lang w:val="en-US"/>
              </w:rPr>
            </w:pPr>
          </w:p>
        </w:tc>
        <w:tc>
          <w:tcPr>
            <w:tcW w:w="1596" w:type="dxa"/>
            <w:tcBorders>
              <w:top w:val="nil"/>
              <w:left w:val="nil"/>
              <w:bottom w:val="nil"/>
              <w:right w:val="nil"/>
            </w:tcBorders>
            <w:noWrap/>
            <w:vAlign w:val="bottom"/>
          </w:tcPr>
          <w:p w14:paraId="0201641A" w14:textId="77777777" w:rsidR="00BA2765" w:rsidRPr="00BA2765" w:rsidRDefault="00BA2765" w:rsidP="00134B76">
            <w:pPr>
              <w:spacing w:line="240" w:lineRule="auto"/>
              <w:rPr>
                <w:lang w:val="en-US"/>
              </w:rPr>
            </w:pPr>
          </w:p>
        </w:tc>
        <w:tc>
          <w:tcPr>
            <w:tcW w:w="1980" w:type="dxa"/>
            <w:tcBorders>
              <w:top w:val="nil"/>
              <w:left w:val="nil"/>
              <w:bottom w:val="nil"/>
              <w:right w:val="nil"/>
            </w:tcBorders>
            <w:noWrap/>
            <w:vAlign w:val="bottom"/>
          </w:tcPr>
          <w:p w14:paraId="0A69F52B" w14:textId="77777777" w:rsidR="00BA2765" w:rsidRPr="00BA2765" w:rsidRDefault="00BA2765" w:rsidP="00134B76">
            <w:pPr>
              <w:spacing w:line="240" w:lineRule="auto"/>
              <w:rPr>
                <w:lang w:val="en-US"/>
              </w:rPr>
            </w:pPr>
          </w:p>
        </w:tc>
        <w:tc>
          <w:tcPr>
            <w:tcW w:w="2094" w:type="dxa"/>
            <w:tcBorders>
              <w:top w:val="nil"/>
              <w:left w:val="nil"/>
              <w:bottom w:val="nil"/>
              <w:right w:val="nil"/>
            </w:tcBorders>
            <w:noWrap/>
            <w:vAlign w:val="bottom"/>
          </w:tcPr>
          <w:p w14:paraId="1DEF1D2F" w14:textId="77777777" w:rsidR="00BA2765" w:rsidRPr="00BA2765" w:rsidRDefault="00BA2765" w:rsidP="00134B76">
            <w:pPr>
              <w:spacing w:line="240" w:lineRule="auto"/>
              <w:rPr>
                <w:lang w:val="en-US"/>
              </w:rPr>
            </w:pPr>
          </w:p>
        </w:tc>
      </w:tr>
      <w:tr w:rsidR="00BA2765" w:rsidRPr="00BA2765" w14:paraId="3389753F" w14:textId="77777777" w:rsidTr="00134B76">
        <w:trPr>
          <w:trHeight w:val="300"/>
        </w:trPr>
        <w:tc>
          <w:tcPr>
            <w:tcW w:w="3690" w:type="dxa"/>
            <w:tcBorders>
              <w:top w:val="nil"/>
              <w:left w:val="nil"/>
              <w:bottom w:val="nil"/>
              <w:right w:val="nil"/>
            </w:tcBorders>
            <w:noWrap/>
            <w:vAlign w:val="bottom"/>
          </w:tcPr>
          <w:p w14:paraId="1017CED7" w14:textId="77777777" w:rsidR="00BA2765" w:rsidRPr="00BA2765" w:rsidRDefault="00BA2765" w:rsidP="00134B76">
            <w:pPr>
              <w:spacing w:line="240" w:lineRule="auto"/>
              <w:jc w:val="right"/>
              <w:rPr>
                <w:color w:val="000000"/>
                <w:lang w:val="en-US"/>
              </w:rPr>
            </w:pPr>
          </w:p>
        </w:tc>
        <w:tc>
          <w:tcPr>
            <w:tcW w:w="1596" w:type="dxa"/>
            <w:tcBorders>
              <w:top w:val="nil"/>
              <w:left w:val="nil"/>
              <w:bottom w:val="nil"/>
              <w:right w:val="nil"/>
            </w:tcBorders>
            <w:noWrap/>
            <w:vAlign w:val="bottom"/>
          </w:tcPr>
          <w:p w14:paraId="7C66C52D" w14:textId="77777777" w:rsidR="00BA2765" w:rsidRPr="00BA2765" w:rsidRDefault="00BA2765" w:rsidP="00134B76">
            <w:pPr>
              <w:spacing w:line="240" w:lineRule="auto"/>
              <w:rPr>
                <w:lang w:val="en-US"/>
              </w:rPr>
            </w:pPr>
          </w:p>
        </w:tc>
        <w:tc>
          <w:tcPr>
            <w:tcW w:w="1980" w:type="dxa"/>
            <w:tcBorders>
              <w:top w:val="nil"/>
              <w:left w:val="nil"/>
              <w:bottom w:val="nil"/>
              <w:right w:val="nil"/>
            </w:tcBorders>
            <w:noWrap/>
            <w:vAlign w:val="bottom"/>
          </w:tcPr>
          <w:p w14:paraId="0DA73C99" w14:textId="77777777" w:rsidR="00BA2765" w:rsidRPr="00BA2765" w:rsidRDefault="00BA2765" w:rsidP="00134B76">
            <w:pPr>
              <w:spacing w:line="240" w:lineRule="auto"/>
              <w:rPr>
                <w:lang w:val="en-US"/>
              </w:rPr>
            </w:pPr>
          </w:p>
        </w:tc>
        <w:tc>
          <w:tcPr>
            <w:tcW w:w="2094" w:type="dxa"/>
            <w:tcBorders>
              <w:top w:val="nil"/>
              <w:left w:val="nil"/>
              <w:bottom w:val="nil"/>
              <w:right w:val="nil"/>
            </w:tcBorders>
            <w:noWrap/>
            <w:vAlign w:val="bottom"/>
          </w:tcPr>
          <w:p w14:paraId="63CC669D" w14:textId="77777777" w:rsidR="00BA2765" w:rsidRPr="00BA2765" w:rsidRDefault="00BA2765" w:rsidP="00134B76">
            <w:pPr>
              <w:spacing w:line="240" w:lineRule="auto"/>
              <w:rPr>
                <w:lang w:val="en-US"/>
              </w:rPr>
            </w:pPr>
          </w:p>
        </w:tc>
      </w:tr>
      <w:tr w:rsidR="00BA2765" w:rsidRPr="00BA2765" w14:paraId="473B314C" w14:textId="77777777" w:rsidTr="00134B76">
        <w:trPr>
          <w:trHeight w:val="300"/>
        </w:trPr>
        <w:tc>
          <w:tcPr>
            <w:tcW w:w="3690" w:type="dxa"/>
            <w:tcBorders>
              <w:top w:val="single" w:sz="4" w:space="0" w:color="auto"/>
              <w:left w:val="single" w:sz="4" w:space="0" w:color="auto"/>
              <w:bottom w:val="single" w:sz="4" w:space="0" w:color="auto"/>
              <w:right w:val="single" w:sz="4" w:space="0" w:color="auto"/>
            </w:tcBorders>
            <w:noWrap/>
            <w:vAlign w:val="bottom"/>
            <w:hideMark/>
          </w:tcPr>
          <w:p w14:paraId="3B63AE0E" w14:textId="77777777" w:rsidR="00BA2765" w:rsidRPr="00BA2765" w:rsidRDefault="00BA2765" w:rsidP="00134B76">
            <w:pPr>
              <w:spacing w:line="240" w:lineRule="auto"/>
              <w:rPr>
                <w:b/>
                <w:bCs/>
                <w:color w:val="000000"/>
                <w:lang w:val="en-US"/>
              </w:rPr>
            </w:pPr>
            <w:r w:rsidRPr="00BA2765">
              <w:rPr>
                <w:b/>
                <w:bCs/>
                <w:color w:val="000000"/>
                <w:lang w:val="en-US"/>
              </w:rPr>
              <w:t>PI</w:t>
            </w:r>
          </w:p>
        </w:tc>
        <w:tc>
          <w:tcPr>
            <w:tcW w:w="1596" w:type="dxa"/>
            <w:tcBorders>
              <w:top w:val="single" w:sz="4" w:space="0" w:color="auto"/>
              <w:left w:val="nil"/>
              <w:bottom w:val="single" w:sz="4" w:space="0" w:color="auto"/>
              <w:right w:val="single" w:sz="4" w:space="0" w:color="auto"/>
            </w:tcBorders>
            <w:vAlign w:val="center"/>
            <w:hideMark/>
          </w:tcPr>
          <w:p w14:paraId="7A192374"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980" w:type="dxa"/>
            <w:tcBorders>
              <w:top w:val="single" w:sz="4" w:space="0" w:color="auto"/>
              <w:left w:val="nil"/>
              <w:bottom w:val="single" w:sz="4" w:space="0" w:color="auto"/>
              <w:right w:val="single" w:sz="4" w:space="0" w:color="auto"/>
            </w:tcBorders>
            <w:vAlign w:val="center"/>
            <w:hideMark/>
          </w:tcPr>
          <w:p w14:paraId="31720736"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2094" w:type="dxa"/>
            <w:tcBorders>
              <w:top w:val="single" w:sz="4" w:space="0" w:color="auto"/>
              <w:left w:val="nil"/>
              <w:bottom w:val="single" w:sz="4" w:space="0" w:color="auto"/>
              <w:right w:val="single" w:sz="4" w:space="0" w:color="auto"/>
            </w:tcBorders>
            <w:vAlign w:val="center"/>
            <w:hideMark/>
          </w:tcPr>
          <w:p w14:paraId="7E8B7602"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r>
      <w:tr w:rsidR="00BA2765" w:rsidRPr="00BA2765" w14:paraId="6861B263" w14:textId="77777777" w:rsidTr="00134B76">
        <w:trPr>
          <w:trHeight w:val="915"/>
        </w:trPr>
        <w:tc>
          <w:tcPr>
            <w:tcW w:w="3690" w:type="dxa"/>
            <w:tcBorders>
              <w:top w:val="nil"/>
              <w:left w:val="single" w:sz="4" w:space="0" w:color="auto"/>
              <w:bottom w:val="single" w:sz="4" w:space="0" w:color="auto"/>
              <w:right w:val="single" w:sz="4" w:space="0" w:color="auto"/>
            </w:tcBorders>
            <w:vAlign w:val="bottom"/>
            <w:hideMark/>
          </w:tcPr>
          <w:p w14:paraId="44DF1324" w14:textId="77777777" w:rsidR="00BA2765" w:rsidRPr="00BA2765" w:rsidRDefault="00BA2765" w:rsidP="00134B76">
            <w:pPr>
              <w:spacing w:line="240" w:lineRule="auto"/>
              <w:rPr>
                <w:lang w:val="en-US"/>
              </w:rPr>
            </w:pPr>
            <w:r w:rsidRPr="00BA2765">
              <w:rPr>
                <w:lang w:val="en-US"/>
              </w:rPr>
              <w:t>Formula = 1 + (NPV/ Initial Investment)</w:t>
            </w:r>
          </w:p>
        </w:tc>
        <w:tc>
          <w:tcPr>
            <w:tcW w:w="1596" w:type="dxa"/>
            <w:tcBorders>
              <w:top w:val="nil"/>
              <w:left w:val="nil"/>
              <w:bottom w:val="single" w:sz="4" w:space="0" w:color="auto"/>
              <w:right w:val="single" w:sz="4" w:space="0" w:color="auto"/>
            </w:tcBorders>
            <w:noWrap/>
            <w:vAlign w:val="bottom"/>
            <w:hideMark/>
          </w:tcPr>
          <w:p w14:paraId="3CEE2073" w14:textId="77777777" w:rsidR="00BA2765" w:rsidRPr="00BA2765" w:rsidRDefault="00BA2765" w:rsidP="00134B76">
            <w:pPr>
              <w:spacing w:line="240" w:lineRule="auto"/>
              <w:jc w:val="right"/>
              <w:rPr>
                <w:color w:val="000000"/>
                <w:lang w:val="en-US"/>
              </w:rPr>
            </w:pPr>
            <w:r w:rsidRPr="00BA2765">
              <w:rPr>
                <w:color w:val="000000"/>
                <w:lang w:val="en-US"/>
              </w:rPr>
              <w:t>1.033</w:t>
            </w:r>
          </w:p>
        </w:tc>
        <w:tc>
          <w:tcPr>
            <w:tcW w:w="1980" w:type="dxa"/>
            <w:tcBorders>
              <w:top w:val="nil"/>
              <w:left w:val="nil"/>
              <w:bottom w:val="single" w:sz="4" w:space="0" w:color="auto"/>
              <w:right w:val="single" w:sz="4" w:space="0" w:color="auto"/>
            </w:tcBorders>
            <w:noWrap/>
            <w:vAlign w:val="bottom"/>
            <w:hideMark/>
          </w:tcPr>
          <w:p w14:paraId="165FA37D" w14:textId="77777777" w:rsidR="00BA2765" w:rsidRPr="00BA2765" w:rsidRDefault="00BA2765" w:rsidP="00134B76">
            <w:pPr>
              <w:spacing w:line="240" w:lineRule="auto"/>
              <w:jc w:val="right"/>
              <w:rPr>
                <w:color w:val="000000"/>
                <w:lang w:val="en-US"/>
              </w:rPr>
            </w:pPr>
            <w:r w:rsidRPr="00BA2765">
              <w:rPr>
                <w:color w:val="000000"/>
                <w:lang w:val="en-US"/>
              </w:rPr>
              <w:t>0.758</w:t>
            </w:r>
          </w:p>
        </w:tc>
        <w:tc>
          <w:tcPr>
            <w:tcW w:w="2094" w:type="dxa"/>
            <w:tcBorders>
              <w:top w:val="nil"/>
              <w:left w:val="nil"/>
              <w:bottom w:val="single" w:sz="4" w:space="0" w:color="auto"/>
              <w:right w:val="single" w:sz="4" w:space="0" w:color="auto"/>
            </w:tcBorders>
            <w:noWrap/>
            <w:vAlign w:val="bottom"/>
            <w:hideMark/>
          </w:tcPr>
          <w:p w14:paraId="6E0F9F5D" w14:textId="77777777" w:rsidR="00BA2765" w:rsidRPr="00BA2765" w:rsidRDefault="00BA2765" w:rsidP="00134B76">
            <w:pPr>
              <w:spacing w:line="240" w:lineRule="auto"/>
              <w:jc w:val="right"/>
              <w:rPr>
                <w:color w:val="000000"/>
                <w:lang w:val="en-US"/>
              </w:rPr>
            </w:pPr>
            <w:r w:rsidRPr="00BA2765">
              <w:rPr>
                <w:color w:val="000000"/>
                <w:lang w:val="en-US"/>
              </w:rPr>
              <w:t>1.085</w:t>
            </w:r>
          </w:p>
        </w:tc>
      </w:tr>
      <w:tr w:rsidR="00BA2765" w:rsidRPr="00BA2765" w14:paraId="67A81537" w14:textId="77777777" w:rsidTr="00134B76">
        <w:trPr>
          <w:trHeight w:val="330"/>
        </w:trPr>
        <w:tc>
          <w:tcPr>
            <w:tcW w:w="3690" w:type="dxa"/>
            <w:tcBorders>
              <w:top w:val="nil"/>
              <w:left w:val="nil"/>
              <w:bottom w:val="nil"/>
              <w:right w:val="nil"/>
            </w:tcBorders>
            <w:vAlign w:val="bottom"/>
            <w:hideMark/>
          </w:tcPr>
          <w:p w14:paraId="070566B2" w14:textId="77777777" w:rsidR="00BA2765" w:rsidRPr="00BA2765" w:rsidRDefault="00BA2765" w:rsidP="00134B76">
            <w:pPr>
              <w:spacing w:line="240" w:lineRule="auto"/>
              <w:jc w:val="right"/>
              <w:rPr>
                <w:color w:val="000000"/>
                <w:lang w:val="en-US"/>
              </w:rPr>
            </w:pPr>
          </w:p>
        </w:tc>
        <w:tc>
          <w:tcPr>
            <w:tcW w:w="1596" w:type="dxa"/>
            <w:tcBorders>
              <w:top w:val="nil"/>
              <w:left w:val="nil"/>
              <w:bottom w:val="nil"/>
              <w:right w:val="nil"/>
            </w:tcBorders>
            <w:noWrap/>
            <w:vAlign w:val="bottom"/>
            <w:hideMark/>
          </w:tcPr>
          <w:p w14:paraId="75416F43" w14:textId="77777777" w:rsidR="00BA2765" w:rsidRPr="00BA2765" w:rsidRDefault="00BA2765" w:rsidP="00134B76">
            <w:pPr>
              <w:spacing w:line="240" w:lineRule="auto"/>
              <w:rPr>
                <w:lang w:val="en-US"/>
              </w:rPr>
            </w:pPr>
          </w:p>
        </w:tc>
        <w:tc>
          <w:tcPr>
            <w:tcW w:w="1980" w:type="dxa"/>
            <w:tcBorders>
              <w:top w:val="nil"/>
              <w:left w:val="nil"/>
              <w:bottom w:val="nil"/>
              <w:right w:val="nil"/>
            </w:tcBorders>
            <w:noWrap/>
            <w:vAlign w:val="bottom"/>
            <w:hideMark/>
          </w:tcPr>
          <w:p w14:paraId="6A564ACF" w14:textId="77777777" w:rsidR="00BA2765" w:rsidRPr="00BA2765" w:rsidRDefault="00BA2765" w:rsidP="00134B76">
            <w:pPr>
              <w:spacing w:line="240" w:lineRule="auto"/>
              <w:rPr>
                <w:lang w:val="en-US"/>
              </w:rPr>
            </w:pPr>
          </w:p>
        </w:tc>
        <w:tc>
          <w:tcPr>
            <w:tcW w:w="2094" w:type="dxa"/>
            <w:tcBorders>
              <w:top w:val="nil"/>
              <w:left w:val="nil"/>
              <w:bottom w:val="nil"/>
              <w:right w:val="nil"/>
            </w:tcBorders>
            <w:noWrap/>
            <w:vAlign w:val="bottom"/>
            <w:hideMark/>
          </w:tcPr>
          <w:p w14:paraId="0B80CF94" w14:textId="77777777" w:rsidR="00BA2765" w:rsidRPr="00BA2765" w:rsidRDefault="00BA2765" w:rsidP="00134B76">
            <w:pPr>
              <w:spacing w:line="240" w:lineRule="auto"/>
              <w:rPr>
                <w:lang w:val="en-US"/>
              </w:rPr>
            </w:pPr>
          </w:p>
        </w:tc>
      </w:tr>
      <w:tr w:rsidR="00BA2765" w:rsidRPr="00BA2765" w14:paraId="7029A02F" w14:textId="77777777" w:rsidTr="00134B76">
        <w:trPr>
          <w:trHeight w:val="300"/>
        </w:trPr>
        <w:tc>
          <w:tcPr>
            <w:tcW w:w="3690" w:type="dxa"/>
            <w:tcBorders>
              <w:top w:val="single" w:sz="4" w:space="0" w:color="auto"/>
              <w:left w:val="single" w:sz="4" w:space="0" w:color="auto"/>
              <w:bottom w:val="single" w:sz="4" w:space="0" w:color="auto"/>
              <w:right w:val="single" w:sz="4" w:space="0" w:color="auto"/>
            </w:tcBorders>
            <w:noWrap/>
            <w:vAlign w:val="bottom"/>
            <w:hideMark/>
          </w:tcPr>
          <w:p w14:paraId="3642BE84" w14:textId="77777777" w:rsidR="00BA2765" w:rsidRPr="00BA2765" w:rsidRDefault="00BA2765" w:rsidP="00134B76">
            <w:pPr>
              <w:spacing w:line="240" w:lineRule="auto"/>
              <w:rPr>
                <w:b/>
                <w:bCs/>
                <w:color w:val="000000"/>
                <w:lang w:val="en-US"/>
              </w:rPr>
            </w:pPr>
            <w:r w:rsidRPr="00BA2765">
              <w:rPr>
                <w:b/>
                <w:bCs/>
                <w:color w:val="000000"/>
                <w:lang w:val="en-US"/>
              </w:rPr>
              <w:t>IRR</w:t>
            </w:r>
          </w:p>
        </w:tc>
        <w:tc>
          <w:tcPr>
            <w:tcW w:w="1596" w:type="dxa"/>
            <w:tcBorders>
              <w:top w:val="single" w:sz="4" w:space="0" w:color="auto"/>
              <w:left w:val="nil"/>
              <w:bottom w:val="single" w:sz="4" w:space="0" w:color="auto"/>
              <w:right w:val="single" w:sz="4" w:space="0" w:color="auto"/>
            </w:tcBorders>
            <w:vAlign w:val="center"/>
            <w:hideMark/>
          </w:tcPr>
          <w:p w14:paraId="39939822" w14:textId="77777777" w:rsidR="00BA2765" w:rsidRPr="00BA2765" w:rsidRDefault="00BA2765" w:rsidP="00134B76">
            <w:pPr>
              <w:spacing w:line="240" w:lineRule="auto"/>
              <w:jc w:val="center"/>
              <w:rPr>
                <w:b/>
                <w:bCs/>
                <w:color w:val="000000"/>
                <w:lang w:val="en-US"/>
              </w:rPr>
            </w:pPr>
            <w:r w:rsidRPr="00BA2765">
              <w:rPr>
                <w:b/>
                <w:bCs/>
                <w:color w:val="000000"/>
                <w:lang w:val="en-US"/>
              </w:rPr>
              <w:t>Project A</w:t>
            </w:r>
          </w:p>
        </w:tc>
        <w:tc>
          <w:tcPr>
            <w:tcW w:w="1980" w:type="dxa"/>
            <w:tcBorders>
              <w:top w:val="single" w:sz="4" w:space="0" w:color="auto"/>
              <w:left w:val="nil"/>
              <w:bottom w:val="single" w:sz="4" w:space="0" w:color="auto"/>
              <w:right w:val="single" w:sz="4" w:space="0" w:color="auto"/>
            </w:tcBorders>
            <w:vAlign w:val="center"/>
            <w:hideMark/>
          </w:tcPr>
          <w:p w14:paraId="6E402372" w14:textId="77777777" w:rsidR="00BA2765" w:rsidRPr="00BA2765" w:rsidRDefault="00BA2765" w:rsidP="00134B76">
            <w:pPr>
              <w:spacing w:line="240" w:lineRule="auto"/>
              <w:jc w:val="center"/>
              <w:rPr>
                <w:b/>
                <w:bCs/>
                <w:color w:val="000000"/>
                <w:lang w:val="en-US"/>
              </w:rPr>
            </w:pPr>
            <w:r w:rsidRPr="00BA2765">
              <w:rPr>
                <w:b/>
                <w:bCs/>
                <w:color w:val="000000"/>
                <w:lang w:val="en-US"/>
              </w:rPr>
              <w:t>Project B</w:t>
            </w:r>
          </w:p>
        </w:tc>
        <w:tc>
          <w:tcPr>
            <w:tcW w:w="2094" w:type="dxa"/>
            <w:tcBorders>
              <w:top w:val="single" w:sz="4" w:space="0" w:color="auto"/>
              <w:left w:val="nil"/>
              <w:bottom w:val="single" w:sz="4" w:space="0" w:color="auto"/>
              <w:right w:val="single" w:sz="4" w:space="0" w:color="auto"/>
            </w:tcBorders>
            <w:vAlign w:val="center"/>
            <w:hideMark/>
          </w:tcPr>
          <w:p w14:paraId="2D9CB71D" w14:textId="77777777" w:rsidR="00BA2765" w:rsidRPr="00BA2765" w:rsidRDefault="00BA2765" w:rsidP="00134B76">
            <w:pPr>
              <w:spacing w:line="240" w:lineRule="auto"/>
              <w:jc w:val="center"/>
              <w:rPr>
                <w:b/>
                <w:bCs/>
                <w:color w:val="000000"/>
                <w:lang w:val="en-US"/>
              </w:rPr>
            </w:pPr>
            <w:r w:rsidRPr="00BA2765">
              <w:rPr>
                <w:b/>
                <w:bCs/>
                <w:color w:val="000000"/>
                <w:lang w:val="en-US"/>
              </w:rPr>
              <w:t>Project C</w:t>
            </w:r>
          </w:p>
        </w:tc>
      </w:tr>
      <w:tr w:rsidR="00BA2765" w:rsidRPr="00FE1FEB" w14:paraId="4035F759" w14:textId="77777777" w:rsidTr="00134B76">
        <w:trPr>
          <w:trHeight w:val="593"/>
        </w:trPr>
        <w:tc>
          <w:tcPr>
            <w:tcW w:w="3690" w:type="dxa"/>
            <w:tcBorders>
              <w:top w:val="nil"/>
              <w:left w:val="single" w:sz="4" w:space="0" w:color="auto"/>
              <w:bottom w:val="single" w:sz="4" w:space="0" w:color="auto"/>
              <w:right w:val="single" w:sz="4" w:space="0" w:color="auto"/>
            </w:tcBorders>
            <w:noWrap/>
            <w:vAlign w:val="bottom"/>
            <w:hideMark/>
          </w:tcPr>
          <w:p w14:paraId="07F32450" w14:textId="77777777" w:rsidR="00BA2765" w:rsidRPr="00BA2765" w:rsidRDefault="00BA2765" w:rsidP="00134B76">
            <w:pPr>
              <w:spacing w:line="240" w:lineRule="auto"/>
              <w:rPr>
                <w:color w:val="FF0000"/>
                <w:lang w:val="en-US"/>
              </w:rPr>
            </w:pPr>
            <w:r w:rsidRPr="00BA2765">
              <w:rPr>
                <w:lang w:val="en-US"/>
              </w:rPr>
              <w:t xml:space="preserve">0 = </w:t>
            </w:r>
            <m:oMath>
              <m:r>
                <w:rPr>
                  <w:rFonts w:ascii="Cambria Math" w:hAnsi="Cambria Math"/>
                  <w:lang w:val="en-US"/>
                </w:rPr>
                <m:t>∑</m:t>
              </m:r>
              <m:f>
                <m:fPr>
                  <m:ctrlPr>
                    <w:rPr>
                      <w:rFonts w:ascii="Cambria Math" w:hAnsi="Cambria Math"/>
                      <w:i/>
                      <w:lang w:val="en-US"/>
                    </w:rPr>
                  </m:ctrlPr>
                </m:fPr>
                <m:num>
                  <m:r>
                    <w:rPr>
                      <w:rFonts w:ascii="Cambria Math" w:hAnsi="Cambria Math"/>
                      <w:lang w:val="en-US"/>
                    </w:rPr>
                    <m:t>CFt</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lang w:val="en-US"/>
                            </w:rPr>
                            <m:t>!+IRR</m:t>
                          </m:r>
                        </m:e>
                      </m:d>
                    </m:e>
                    <m:sup>
                      <m:r>
                        <w:rPr>
                          <w:rFonts w:ascii="Cambria Math" w:hAnsi="Cambria Math"/>
                          <w:lang w:val="en-US"/>
                        </w:rPr>
                        <m:t>t</m:t>
                      </m:r>
                    </m:sup>
                  </m:sSup>
                </m:den>
              </m:f>
              <m:r>
                <w:rPr>
                  <w:rFonts w:ascii="Cambria Math" w:hAnsi="Cambria Math"/>
                  <w:lang w:val="en-US"/>
                </w:rPr>
                <m:t>-Initial Investment</m:t>
              </m:r>
            </m:oMath>
          </w:p>
        </w:tc>
        <w:tc>
          <w:tcPr>
            <w:tcW w:w="1596" w:type="dxa"/>
            <w:tcBorders>
              <w:top w:val="nil"/>
              <w:left w:val="nil"/>
              <w:bottom w:val="single" w:sz="4" w:space="0" w:color="auto"/>
              <w:right w:val="single" w:sz="4" w:space="0" w:color="auto"/>
            </w:tcBorders>
            <w:noWrap/>
            <w:vAlign w:val="bottom"/>
            <w:hideMark/>
          </w:tcPr>
          <w:p w14:paraId="15C4C07F" w14:textId="77777777" w:rsidR="00BA2765" w:rsidRPr="00BA2765" w:rsidRDefault="00BA2765" w:rsidP="00134B76">
            <w:pPr>
              <w:spacing w:line="240" w:lineRule="auto"/>
              <w:jc w:val="right"/>
              <w:rPr>
                <w:color w:val="000000"/>
                <w:lang w:val="en-US"/>
              </w:rPr>
            </w:pPr>
            <w:r w:rsidRPr="00BA2765">
              <w:rPr>
                <w:color w:val="000000"/>
                <w:lang w:val="en-US"/>
              </w:rPr>
              <w:t>11.33%</w:t>
            </w:r>
          </w:p>
        </w:tc>
        <w:tc>
          <w:tcPr>
            <w:tcW w:w="1980" w:type="dxa"/>
            <w:tcBorders>
              <w:top w:val="nil"/>
              <w:left w:val="nil"/>
              <w:bottom w:val="single" w:sz="4" w:space="0" w:color="auto"/>
              <w:right w:val="single" w:sz="4" w:space="0" w:color="auto"/>
            </w:tcBorders>
            <w:noWrap/>
            <w:vAlign w:val="bottom"/>
            <w:hideMark/>
          </w:tcPr>
          <w:p w14:paraId="38197ACA" w14:textId="77777777" w:rsidR="00BA2765" w:rsidRPr="00BA2765" w:rsidRDefault="00BA2765" w:rsidP="00134B76">
            <w:pPr>
              <w:spacing w:line="240" w:lineRule="auto"/>
              <w:jc w:val="right"/>
              <w:rPr>
                <w:color w:val="000000"/>
                <w:lang w:val="en-US"/>
              </w:rPr>
            </w:pPr>
            <w:r w:rsidRPr="00BA2765">
              <w:rPr>
                <w:color w:val="000000"/>
                <w:lang w:val="en-US"/>
              </w:rPr>
              <w:t>0.00%</w:t>
            </w:r>
          </w:p>
        </w:tc>
        <w:tc>
          <w:tcPr>
            <w:tcW w:w="2094" w:type="dxa"/>
            <w:tcBorders>
              <w:top w:val="nil"/>
              <w:left w:val="nil"/>
              <w:bottom w:val="single" w:sz="4" w:space="0" w:color="auto"/>
              <w:right w:val="single" w:sz="4" w:space="0" w:color="auto"/>
            </w:tcBorders>
            <w:noWrap/>
            <w:vAlign w:val="bottom"/>
            <w:hideMark/>
          </w:tcPr>
          <w:p w14:paraId="44886921" w14:textId="77777777" w:rsidR="00BA2765" w:rsidRPr="00FE1FEB" w:rsidRDefault="00BA2765" w:rsidP="00134B76">
            <w:pPr>
              <w:spacing w:line="240" w:lineRule="auto"/>
              <w:jc w:val="right"/>
              <w:rPr>
                <w:color w:val="000000"/>
                <w:lang w:val="en-US"/>
              </w:rPr>
            </w:pPr>
            <w:r w:rsidRPr="00BA2765">
              <w:rPr>
                <w:color w:val="000000"/>
                <w:lang w:val="en-US"/>
              </w:rPr>
              <w:t>12.72%</w:t>
            </w:r>
          </w:p>
        </w:tc>
      </w:tr>
    </w:tbl>
    <w:p w14:paraId="715EDB6F" w14:textId="77777777" w:rsidR="00BA2765" w:rsidRPr="001C7660" w:rsidRDefault="00BA2765" w:rsidP="00BA2765"/>
    <w:p w14:paraId="31DEA5C6" w14:textId="77777777" w:rsidR="00340BAF" w:rsidRDefault="00340BAF"/>
    <w:sectPr w:rsidR="00340BAF" w:rsidSect="00BA2765">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E6F56" w14:textId="77777777" w:rsidR="000D651A" w:rsidRDefault="000D651A">
      <w:pPr>
        <w:spacing w:line="240" w:lineRule="auto"/>
      </w:pPr>
      <w:r>
        <w:separator/>
      </w:r>
    </w:p>
  </w:endnote>
  <w:endnote w:type="continuationSeparator" w:id="0">
    <w:p w14:paraId="7FFBE89D" w14:textId="77777777" w:rsidR="000D651A" w:rsidRDefault="000D65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1CB6F" w14:textId="77777777" w:rsidR="00BA2765" w:rsidRDefault="00BA276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7CD659BB" w14:textId="77777777" w:rsidR="00BA2765" w:rsidRDefault="00BA276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1D298" w14:textId="77777777" w:rsidR="000D651A" w:rsidRDefault="000D651A">
      <w:pPr>
        <w:spacing w:line="240" w:lineRule="auto"/>
      </w:pPr>
      <w:r>
        <w:separator/>
      </w:r>
    </w:p>
  </w:footnote>
  <w:footnote w:type="continuationSeparator" w:id="0">
    <w:p w14:paraId="3BBA4EFD" w14:textId="77777777" w:rsidR="000D651A" w:rsidRDefault="000D65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D47CF"/>
    <w:multiLevelType w:val="multilevel"/>
    <w:tmpl w:val="0674024E"/>
    <w:lvl w:ilvl="0">
      <w:start w:val="1"/>
      <w:numFmt w:val="bullet"/>
      <w:lvlText w:val="●"/>
      <w:lvlJc w:val="left"/>
      <w:pPr>
        <w:ind w:left="540" w:hanging="360"/>
      </w:pPr>
      <w:rPr>
        <w:u w:val="none"/>
      </w:rPr>
    </w:lvl>
    <w:lvl w:ilvl="1">
      <w:start w:val="1"/>
      <w:numFmt w:val="bullet"/>
      <w:lvlText w:val="○"/>
      <w:lvlJc w:val="left"/>
      <w:pPr>
        <w:ind w:left="1260" w:hanging="360"/>
      </w:pPr>
      <w:rPr>
        <w:u w:val="none"/>
      </w:rPr>
    </w:lvl>
    <w:lvl w:ilvl="2">
      <w:start w:val="1"/>
      <w:numFmt w:val="bullet"/>
      <w:lvlText w:val="■"/>
      <w:lvlJc w:val="left"/>
      <w:pPr>
        <w:ind w:left="1980" w:hanging="360"/>
      </w:pPr>
      <w:rPr>
        <w:u w:val="none"/>
      </w:rPr>
    </w:lvl>
    <w:lvl w:ilvl="3">
      <w:start w:val="1"/>
      <w:numFmt w:val="bullet"/>
      <w:lvlText w:val="●"/>
      <w:lvlJc w:val="left"/>
      <w:pPr>
        <w:ind w:left="2700" w:hanging="360"/>
      </w:pPr>
      <w:rPr>
        <w:u w:val="none"/>
      </w:rPr>
    </w:lvl>
    <w:lvl w:ilvl="4">
      <w:start w:val="1"/>
      <w:numFmt w:val="bullet"/>
      <w:lvlText w:val="○"/>
      <w:lvlJc w:val="left"/>
      <w:pPr>
        <w:ind w:left="3420" w:hanging="360"/>
      </w:pPr>
      <w:rPr>
        <w:u w:val="none"/>
      </w:rPr>
    </w:lvl>
    <w:lvl w:ilvl="5">
      <w:start w:val="1"/>
      <w:numFmt w:val="bullet"/>
      <w:lvlText w:val="■"/>
      <w:lvlJc w:val="left"/>
      <w:pPr>
        <w:ind w:left="4140" w:hanging="360"/>
      </w:pPr>
      <w:rPr>
        <w:u w:val="none"/>
      </w:rPr>
    </w:lvl>
    <w:lvl w:ilvl="6">
      <w:start w:val="1"/>
      <w:numFmt w:val="bullet"/>
      <w:lvlText w:val="●"/>
      <w:lvlJc w:val="left"/>
      <w:pPr>
        <w:ind w:left="4860" w:hanging="360"/>
      </w:pPr>
      <w:rPr>
        <w:u w:val="none"/>
      </w:rPr>
    </w:lvl>
    <w:lvl w:ilvl="7">
      <w:start w:val="1"/>
      <w:numFmt w:val="bullet"/>
      <w:lvlText w:val="○"/>
      <w:lvlJc w:val="left"/>
      <w:pPr>
        <w:ind w:left="5580" w:hanging="360"/>
      </w:pPr>
      <w:rPr>
        <w:u w:val="none"/>
      </w:rPr>
    </w:lvl>
    <w:lvl w:ilvl="8">
      <w:start w:val="1"/>
      <w:numFmt w:val="bullet"/>
      <w:lvlText w:val="■"/>
      <w:lvlJc w:val="left"/>
      <w:pPr>
        <w:ind w:left="6300" w:hanging="360"/>
      </w:pPr>
      <w:rPr>
        <w:u w:val="none"/>
      </w:rPr>
    </w:lvl>
  </w:abstractNum>
  <w:abstractNum w:abstractNumId="1" w15:restartNumberingAfterBreak="0">
    <w:nsid w:val="4A2F3FC6"/>
    <w:multiLevelType w:val="multilevel"/>
    <w:tmpl w:val="9C669AB2"/>
    <w:lvl w:ilvl="0">
      <w:start w:val="1"/>
      <w:numFmt w:val="bullet"/>
      <w:lvlText w:val="●"/>
      <w:lvlJc w:val="left"/>
      <w:pPr>
        <w:ind w:left="450" w:hanging="360"/>
      </w:pPr>
      <w:rPr>
        <w:u w:val="none"/>
      </w:rPr>
    </w:lvl>
    <w:lvl w:ilvl="1">
      <w:start w:val="1"/>
      <w:numFmt w:val="bullet"/>
      <w:lvlText w:val="○"/>
      <w:lvlJc w:val="left"/>
      <w:pPr>
        <w:ind w:left="1170" w:hanging="360"/>
      </w:pPr>
      <w:rPr>
        <w:u w:val="none"/>
      </w:rPr>
    </w:lvl>
    <w:lvl w:ilvl="2">
      <w:start w:val="1"/>
      <w:numFmt w:val="bullet"/>
      <w:lvlText w:val="■"/>
      <w:lvlJc w:val="left"/>
      <w:pPr>
        <w:ind w:left="1890" w:hanging="360"/>
      </w:pPr>
      <w:rPr>
        <w:u w:val="none"/>
      </w:rPr>
    </w:lvl>
    <w:lvl w:ilvl="3">
      <w:start w:val="1"/>
      <w:numFmt w:val="bullet"/>
      <w:lvlText w:val="●"/>
      <w:lvlJc w:val="left"/>
      <w:pPr>
        <w:ind w:left="2610" w:hanging="360"/>
      </w:pPr>
      <w:rPr>
        <w:u w:val="none"/>
      </w:rPr>
    </w:lvl>
    <w:lvl w:ilvl="4">
      <w:start w:val="1"/>
      <w:numFmt w:val="bullet"/>
      <w:lvlText w:val="○"/>
      <w:lvlJc w:val="left"/>
      <w:pPr>
        <w:ind w:left="3330" w:hanging="360"/>
      </w:pPr>
      <w:rPr>
        <w:u w:val="none"/>
      </w:rPr>
    </w:lvl>
    <w:lvl w:ilvl="5">
      <w:start w:val="1"/>
      <w:numFmt w:val="bullet"/>
      <w:lvlText w:val="■"/>
      <w:lvlJc w:val="left"/>
      <w:pPr>
        <w:ind w:left="4050" w:hanging="360"/>
      </w:pPr>
      <w:rPr>
        <w:u w:val="none"/>
      </w:rPr>
    </w:lvl>
    <w:lvl w:ilvl="6">
      <w:start w:val="1"/>
      <w:numFmt w:val="bullet"/>
      <w:lvlText w:val="●"/>
      <w:lvlJc w:val="left"/>
      <w:pPr>
        <w:ind w:left="4770" w:hanging="360"/>
      </w:pPr>
      <w:rPr>
        <w:u w:val="none"/>
      </w:rPr>
    </w:lvl>
    <w:lvl w:ilvl="7">
      <w:start w:val="1"/>
      <w:numFmt w:val="bullet"/>
      <w:lvlText w:val="○"/>
      <w:lvlJc w:val="left"/>
      <w:pPr>
        <w:ind w:left="5490" w:hanging="360"/>
      </w:pPr>
      <w:rPr>
        <w:u w:val="none"/>
      </w:rPr>
    </w:lvl>
    <w:lvl w:ilvl="8">
      <w:start w:val="1"/>
      <w:numFmt w:val="bullet"/>
      <w:lvlText w:val="■"/>
      <w:lvlJc w:val="left"/>
      <w:pPr>
        <w:ind w:left="6210" w:hanging="360"/>
      </w:pPr>
      <w:rPr>
        <w:u w:val="none"/>
      </w:rPr>
    </w:lvl>
  </w:abstractNum>
  <w:abstractNum w:abstractNumId="2" w15:restartNumberingAfterBreak="0">
    <w:nsid w:val="7C082027"/>
    <w:multiLevelType w:val="multilevel"/>
    <w:tmpl w:val="89C4863C"/>
    <w:lvl w:ilvl="0">
      <w:start w:val="1"/>
      <w:numFmt w:val="bullet"/>
      <w:lvlText w:val="●"/>
      <w:lvlJc w:val="left"/>
      <w:pPr>
        <w:ind w:left="45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2318437">
    <w:abstractNumId w:val="2"/>
  </w:num>
  <w:num w:numId="2" w16cid:durableId="260846414">
    <w:abstractNumId w:val="0"/>
  </w:num>
  <w:num w:numId="3" w16cid:durableId="1383094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765"/>
    <w:rsid w:val="000D651A"/>
    <w:rsid w:val="002837AD"/>
    <w:rsid w:val="002D71A5"/>
    <w:rsid w:val="00340BAF"/>
    <w:rsid w:val="00951D4D"/>
    <w:rsid w:val="00BA2765"/>
    <w:rsid w:val="00DE14CA"/>
    <w:rsid w:val="00ED7A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40B6F2EC"/>
  <w15:chartTrackingRefBased/>
  <w15:docId w15:val="{F560C7AD-CCD1-E444-990D-4634CA74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765"/>
    <w:pPr>
      <w:spacing w:after="0" w:line="276" w:lineRule="auto"/>
    </w:pPr>
    <w:rPr>
      <w:rFonts w:ascii="Times New Roman" w:eastAsia="Times New Roman" w:hAnsi="Times New Roman" w:cs="Times New Roman"/>
      <w:kern w:val="0"/>
      <w:lang w:val="en"/>
      <w14:ligatures w14:val="none"/>
    </w:rPr>
  </w:style>
  <w:style w:type="paragraph" w:styleId="Heading1">
    <w:name w:val="heading 1"/>
    <w:basedOn w:val="Normal"/>
    <w:next w:val="Normal"/>
    <w:link w:val="Heading1Char"/>
    <w:uiPriority w:val="9"/>
    <w:qFormat/>
    <w:rsid w:val="00BA27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27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27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7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7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7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7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7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7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7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27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27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7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7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7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7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7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765"/>
    <w:rPr>
      <w:rFonts w:eastAsiaTheme="majorEastAsia" w:cstheme="majorBidi"/>
      <w:color w:val="272727" w:themeColor="text1" w:themeTint="D8"/>
    </w:rPr>
  </w:style>
  <w:style w:type="paragraph" w:styleId="Title">
    <w:name w:val="Title"/>
    <w:basedOn w:val="Normal"/>
    <w:next w:val="Normal"/>
    <w:link w:val="TitleChar"/>
    <w:uiPriority w:val="10"/>
    <w:qFormat/>
    <w:rsid w:val="00BA27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7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7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765"/>
    <w:pPr>
      <w:spacing w:before="160"/>
      <w:jc w:val="center"/>
    </w:pPr>
    <w:rPr>
      <w:i/>
      <w:iCs/>
      <w:color w:val="404040" w:themeColor="text1" w:themeTint="BF"/>
    </w:rPr>
  </w:style>
  <w:style w:type="character" w:customStyle="1" w:styleId="QuoteChar">
    <w:name w:val="Quote Char"/>
    <w:basedOn w:val="DefaultParagraphFont"/>
    <w:link w:val="Quote"/>
    <w:uiPriority w:val="29"/>
    <w:rsid w:val="00BA2765"/>
    <w:rPr>
      <w:i/>
      <w:iCs/>
      <w:color w:val="404040" w:themeColor="text1" w:themeTint="BF"/>
    </w:rPr>
  </w:style>
  <w:style w:type="paragraph" w:styleId="ListParagraph">
    <w:name w:val="List Paragraph"/>
    <w:basedOn w:val="Normal"/>
    <w:uiPriority w:val="34"/>
    <w:qFormat/>
    <w:rsid w:val="00BA2765"/>
    <w:pPr>
      <w:ind w:left="720"/>
      <w:contextualSpacing/>
    </w:pPr>
  </w:style>
  <w:style w:type="character" w:styleId="IntenseEmphasis">
    <w:name w:val="Intense Emphasis"/>
    <w:basedOn w:val="DefaultParagraphFont"/>
    <w:uiPriority w:val="21"/>
    <w:qFormat/>
    <w:rsid w:val="00BA2765"/>
    <w:rPr>
      <w:i/>
      <w:iCs/>
      <w:color w:val="0F4761" w:themeColor="accent1" w:themeShade="BF"/>
    </w:rPr>
  </w:style>
  <w:style w:type="paragraph" w:styleId="IntenseQuote">
    <w:name w:val="Intense Quote"/>
    <w:basedOn w:val="Normal"/>
    <w:next w:val="Normal"/>
    <w:link w:val="IntenseQuoteChar"/>
    <w:uiPriority w:val="30"/>
    <w:qFormat/>
    <w:rsid w:val="00BA27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765"/>
    <w:rPr>
      <w:i/>
      <w:iCs/>
      <w:color w:val="0F4761" w:themeColor="accent1" w:themeShade="BF"/>
    </w:rPr>
  </w:style>
  <w:style w:type="character" w:styleId="IntenseReference">
    <w:name w:val="Intense Reference"/>
    <w:basedOn w:val="DefaultParagraphFont"/>
    <w:uiPriority w:val="32"/>
    <w:qFormat/>
    <w:rsid w:val="00BA2765"/>
    <w:rPr>
      <w:b/>
      <w:bCs/>
      <w:smallCaps/>
      <w:color w:val="0F4761" w:themeColor="accent1" w:themeShade="BF"/>
      <w:spacing w:val="5"/>
    </w:rPr>
  </w:style>
  <w:style w:type="table" w:customStyle="1" w:styleId="TableNormal0">
    <w:name w:val="TableNormal"/>
    <w:rsid w:val="00BA2765"/>
    <w:pPr>
      <w:spacing w:after="0" w:line="276" w:lineRule="auto"/>
    </w:pPr>
    <w:rPr>
      <w:rFonts w:ascii="Times New Roman" w:eastAsia="Times New Roman" w:hAnsi="Times New Roman" w:cs="Times New Roman"/>
      <w:kern w:val="0"/>
      <w:lang w:val="en"/>
      <w14:ligatures w14:val="none"/>
    </w:rPr>
    <w:tblPr>
      <w:tblCellMar>
        <w:top w:w="100" w:type="dxa"/>
        <w:left w:w="100" w:type="dxa"/>
        <w:bottom w:w="100" w:type="dxa"/>
        <w:right w:w="100" w:type="dxa"/>
      </w:tblCellMar>
    </w:tblPr>
  </w:style>
  <w:style w:type="paragraph" w:customStyle="1" w:styleId="TableParagraph">
    <w:name w:val="Table Paragraph"/>
    <w:basedOn w:val="Normal"/>
    <w:uiPriority w:val="1"/>
    <w:qFormat/>
    <w:rsid w:val="00BA2765"/>
    <w:pPr>
      <w:widowControl w:val="0"/>
      <w:autoSpaceDE w:val="0"/>
      <w:autoSpaceDN w:val="0"/>
      <w:spacing w:line="240" w:lineRule="auto"/>
    </w:pPr>
    <w:rPr>
      <w:rFonts w:ascii="Arial MT" w:eastAsia="Arial MT" w:hAnsi="Arial MT" w:cs="Arial MT"/>
      <w:sz w:val="22"/>
      <w:szCs w:val="22"/>
      <w:lang w:val="en-US"/>
    </w:rPr>
  </w:style>
  <w:style w:type="paragraph" w:styleId="Header">
    <w:name w:val="header"/>
    <w:basedOn w:val="Normal"/>
    <w:link w:val="HeaderChar"/>
    <w:uiPriority w:val="99"/>
    <w:unhideWhenUsed/>
    <w:rsid w:val="00BA2765"/>
    <w:pPr>
      <w:tabs>
        <w:tab w:val="center" w:pos="4680"/>
        <w:tab w:val="right" w:pos="9360"/>
      </w:tabs>
      <w:spacing w:line="240" w:lineRule="auto"/>
    </w:pPr>
  </w:style>
  <w:style w:type="character" w:customStyle="1" w:styleId="HeaderChar">
    <w:name w:val="Header Char"/>
    <w:basedOn w:val="DefaultParagraphFont"/>
    <w:link w:val="Header"/>
    <w:uiPriority w:val="99"/>
    <w:rsid w:val="00BA2765"/>
    <w:rPr>
      <w:rFonts w:ascii="Times New Roman" w:eastAsia="Times New Roman" w:hAnsi="Times New Roman" w:cs="Times New Roman"/>
      <w:kern w:val="0"/>
      <w:lang w:val="en"/>
      <w14:ligatures w14:val="none"/>
    </w:rPr>
  </w:style>
  <w:style w:type="paragraph" w:styleId="Footer">
    <w:name w:val="footer"/>
    <w:basedOn w:val="Normal"/>
    <w:link w:val="FooterChar"/>
    <w:uiPriority w:val="99"/>
    <w:unhideWhenUsed/>
    <w:rsid w:val="00BA2765"/>
    <w:pPr>
      <w:tabs>
        <w:tab w:val="center" w:pos="4680"/>
        <w:tab w:val="right" w:pos="9360"/>
      </w:tabs>
      <w:spacing w:line="240" w:lineRule="auto"/>
    </w:pPr>
  </w:style>
  <w:style w:type="character" w:customStyle="1" w:styleId="FooterChar">
    <w:name w:val="Footer Char"/>
    <w:basedOn w:val="DefaultParagraphFont"/>
    <w:link w:val="Footer"/>
    <w:uiPriority w:val="99"/>
    <w:rsid w:val="00BA2765"/>
    <w:rPr>
      <w:rFonts w:ascii="Times New Roman" w:eastAsia="Times New Roman" w:hAnsi="Times New Roman" w:cs="Times New Roman"/>
      <w:kern w:val="0"/>
      <w:lang w:val="en"/>
      <w14:ligatures w14:val="none"/>
    </w:rPr>
  </w:style>
  <w:style w:type="paragraph" w:styleId="TOCHeading">
    <w:name w:val="TOC Heading"/>
    <w:basedOn w:val="Heading1"/>
    <w:next w:val="Normal"/>
    <w:uiPriority w:val="39"/>
    <w:unhideWhenUsed/>
    <w:qFormat/>
    <w:rsid w:val="00BA2765"/>
    <w:pPr>
      <w:spacing w:before="240" w:after="0" w:line="259" w:lineRule="auto"/>
      <w:outlineLvl w:val="9"/>
    </w:pPr>
    <w:rPr>
      <w:sz w:val="32"/>
      <w:szCs w:val="32"/>
    </w:rPr>
  </w:style>
  <w:style w:type="paragraph" w:styleId="TOC1">
    <w:name w:val="toc 1"/>
    <w:basedOn w:val="Normal"/>
    <w:next w:val="Normal"/>
    <w:autoRedefine/>
    <w:uiPriority w:val="39"/>
    <w:unhideWhenUsed/>
    <w:rsid w:val="00BA2765"/>
    <w:pPr>
      <w:spacing w:after="100"/>
    </w:pPr>
  </w:style>
  <w:style w:type="paragraph" w:styleId="TOC2">
    <w:name w:val="toc 2"/>
    <w:basedOn w:val="Normal"/>
    <w:next w:val="Normal"/>
    <w:autoRedefine/>
    <w:uiPriority w:val="39"/>
    <w:unhideWhenUsed/>
    <w:rsid w:val="00BA2765"/>
    <w:pPr>
      <w:spacing w:after="100"/>
      <w:ind w:left="240"/>
    </w:pPr>
  </w:style>
  <w:style w:type="character" w:styleId="Hyperlink">
    <w:name w:val="Hyperlink"/>
    <w:basedOn w:val="DefaultParagraphFont"/>
    <w:uiPriority w:val="99"/>
    <w:unhideWhenUsed/>
    <w:rsid w:val="00BA2765"/>
    <w:rPr>
      <w:color w:val="467886" w:themeColor="hyperlink"/>
      <w:u w:val="single"/>
    </w:rPr>
  </w:style>
  <w:style w:type="character" w:styleId="PlaceholderText">
    <w:name w:val="Placeholder Text"/>
    <w:basedOn w:val="DefaultParagraphFont"/>
    <w:uiPriority w:val="99"/>
    <w:semiHidden/>
    <w:rsid w:val="00BA2765"/>
    <w:rPr>
      <w:color w:val="666666"/>
    </w:rPr>
  </w:style>
  <w:style w:type="character" w:styleId="CommentReference">
    <w:name w:val="annotation reference"/>
    <w:basedOn w:val="DefaultParagraphFont"/>
    <w:uiPriority w:val="99"/>
    <w:semiHidden/>
    <w:unhideWhenUsed/>
    <w:rsid w:val="00BA2765"/>
    <w:rPr>
      <w:sz w:val="16"/>
      <w:szCs w:val="16"/>
    </w:rPr>
  </w:style>
  <w:style w:type="paragraph" w:styleId="CommentText">
    <w:name w:val="annotation text"/>
    <w:basedOn w:val="Normal"/>
    <w:link w:val="CommentTextChar"/>
    <w:uiPriority w:val="99"/>
    <w:semiHidden/>
    <w:unhideWhenUsed/>
    <w:rsid w:val="00BA2765"/>
    <w:pPr>
      <w:spacing w:line="240" w:lineRule="auto"/>
    </w:pPr>
    <w:rPr>
      <w:sz w:val="20"/>
      <w:szCs w:val="20"/>
    </w:rPr>
  </w:style>
  <w:style w:type="character" w:customStyle="1" w:styleId="CommentTextChar">
    <w:name w:val="Comment Text Char"/>
    <w:basedOn w:val="DefaultParagraphFont"/>
    <w:link w:val="CommentText"/>
    <w:uiPriority w:val="99"/>
    <w:semiHidden/>
    <w:rsid w:val="00BA2765"/>
    <w:rPr>
      <w:rFonts w:ascii="Times New Roman" w:eastAsia="Times New Roman" w:hAnsi="Times New Roman" w:cs="Times New Roman"/>
      <w:kern w:val="0"/>
      <w:sz w:val="20"/>
      <w:szCs w:val="20"/>
      <w:lang w:val="en"/>
      <w14:ligatures w14:val="none"/>
    </w:rPr>
  </w:style>
  <w:style w:type="paragraph" w:styleId="CommentSubject">
    <w:name w:val="annotation subject"/>
    <w:basedOn w:val="CommentText"/>
    <w:next w:val="CommentText"/>
    <w:link w:val="CommentSubjectChar"/>
    <w:uiPriority w:val="99"/>
    <w:semiHidden/>
    <w:unhideWhenUsed/>
    <w:rsid w:val="00BA2765"/>
    <w:rPr>
      <w:b/>
      <w:bCs/>
    </w:rPr>
  </w:style>
  <w:style w:type="character" w:customStyle="1" w:styleId="CommentSubjectChar">
    <w:name w:val="Comment Subject Char"/>
    <w:basedOn w:val="CommentTextChar"/>
    <w:link w:val="CommentSubject"/>
    <w:uiPriority w:val="99"/>
    <w:semiHidden/>
    <w:rsid w:val="00BA2765"/>
    <w:rPr>
      <w:rFonts w:ascii="Times New Roman" w:eastAsia="Times New Roman" w:hAnsi="Times New Roman" w:cs="Times New Roman"/>
      <w:b/>
      <w:bCs/>
      <w:kern w:val="0"/>
      <w:sz w:val="20"/>
      <w:szCs w:val="2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6925</Words>
  <Characters>39477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46310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Mikel Shil (2434307)</cp:lastModifiedBy>
  <cp:revision>2</cp:revision>
  <dcterms:created xsi:type="dcterms:W3CDTF">2025-12-14T18:04:00Z</dcterms:created>
  <dcterms:modified xsi:type="dcterms:W3CDTF">2025-12-14T18:04:00Z</dcterms:modified>
</cp:coreProperties>
</file>