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893D2" w14:textId="77777777" w:rsidR="00B7243F" w:rsidRDefault="00000000">
      <w:pPr>
        <w:pBdr>
          <w:top w:val="nil"/>
          <w:left w:val="nil"/>
          <w:bottom w:val="nil"/>
          <w:right w:val="nil"/>
          <w:between w:val="nil"/>
        </w:pBdr>
        <w:rPr>
          <w:color w:val="000000"/>
        </w:rPr>
      </w:pPr>
      <w:r>
        <w:rPr>
          <w:noProof/>
          <w:color w:val="000000"/>
        </w:rPr>
        <w:drawing>
          <wp:inline distT="0" distB="101600" distL="0" distR="0" wp14:anchorId="5B5D7173" wp14:editId="2AD62AA3">
            <wp:extent cx="2623185" cy="11677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185" cy="1167765"/>
                    </a:xfrm>
                    <a:prstGeom prst="rect">
                      <a:avLst/>
                    </a:prstGeom>
                    <a:ln/>
                  </pic:spPr>
                </pic:pic>
              </a:graphicData>
            </a:graphic>
          </wp:inline>
        </w:drawing>
      </w:r>
    </w:p>
    <w:p w14:paraId="38CBE1AA" w14:textId="77777777" w:rsidR="00B7243F" w:rsidRDefault="00B7243F">
      <w:pPr>
        <w:pBdr>
          <w:top w:val="nil"/>
          <w:left w:val="nil"/>
          <w:bottom w:val="nil"/>
          <w:right w:val="nil"/>
          <w:between w:val="nil"/>
        </w:pBdr>
        <w:rPr>
          <w:color w:val="000000"/>
        </w:rPr>
      </w:pPr>
    </w:p>
    <w:p w14:paraId="009D12B3" w14:textId="77777777" w:rsidR="00B7243F" w:rsidRDefault="00B7243F">
      <w:pPr>
        <w:pBdr>
          <w:top w:val="nil"/>
          <w:left w:val="nil"/>
          <w:bottom w:val="nil"/>
          <w:right w:val="nil"/>
          <w:between w:val="nil"/>
        </w:pBdr>
        <w:rPr>
          <w:color w:val="000000"/>
        </w:rPr>
      </w:pPr>
    </w:p>
    <w:p w14:paraId="24E30BA2" w14:textId="77777777" w:rsidR="00B7243F" w:rsidRDefault="00B7243F">
      <w:pPr>
        <w:pBdr>
          <w:top w:val="nil"/>
          <w:left w:val="nil"/>
          <w:bottom w:val="nil"/>
          <w:right w:val="nil"/>
          <w:between w:val="nil"/>
        </w:pBdr>
        <w:rPr>
          <w:color w:val="000000"/>
        </w:rPr>
      </w:pPr>
    </w:p>
    <w:p w14:paraId="35421EF2" w14:textId="77777777" w:rsidR="00B7243F" w:rsidRDefault="00000000">
      <w:p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Name:  Elisabeth Bile</w:t>
      </w:r>
    </w:p>
    <w:p w14:paraId="44A9E7C4" w14:textId="77777777" w:rsidR="00B7243F" w:rsidRDefault="00000000">
      <w:p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Student ID: 2435950</w:t>
      </w:r>
    </w:p>
    <w:p w14:paraId="452D3517" w14:textId="77777777" w:rsidR="00B7243F" w:rsidRDefault="00000000">
      <w:pPr>
        <w:pBdr>
          <w:top w:val="nil"/>
          <w:left w:val="nil"/>
          <w:bottom w:val="nil"/>
          <w:right w:val="nil"/>
          <w:between w:val="nil"/>
        </w:pBdr>
        <w:spacing w:after="120"/>
        <w:rPr>
          <w:color w:val="000000"/>
        </w:rPr>
      </w:pPr>
      <w:r>
        <w:rPr>
          <w:rFonts w:ascii="Times New Roman" w:eastAsia="Times New Roman" w:hAnsi="Times New Roman" w:cs="Times New Roman"/>
          <w:color w:val="000000"/>
          <w:sz w:val="28"/>
          <w:szCs w:val="28"/>
        </w:rPr>
        <w:t>Module Code:</w:t>
      </w:r>
      <w:r>
        <w:rPr>
          <w:rFonts w:ascii="Times New Roman" w:eastAsia="Times New Roman" w:hAnsi="Times New Roman" w:cs="Times New Roman"/>
          <w:b/>
          <w:bCs/>
          <w:color w:val="000000"/>
          <w:sz w:val="28"/>
          <w:szCs w:val="28"/>
        </w:rPr>
        <w:t xml:space="preserve"> </w:t>
      </w:r>
      <w:r>
        <w:rPr>
          <w:rFonts w:ascii="Times New Roman" w:eastAsia="Times New Roman" w:hAnsi="Times New Roman" w:cs="Times New Roman"/>
          <w:color w:val="000000"/>
          <w:sz w:val="28"/>
          <w:szCs w:val="28"/>
        </w:rPr>
        <w:t>LCHS4010_LON</w:t>
      </w:r>
    </w:p>
    <w:p w14:paraId="725A7E48" w14:textId="77777777" w:rsidR="00B7243F" w:rsidRDefault="00000000">
      <w:p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Module: Psychology in Health and Social Care </w:t>
      </w:r>
    </w:p>
    <w:p w14:paraId="0FFADACF" w14:textId="572194EE" w:rsidR="00172E96" w:rsidRDefault="00172E96">
      <w:p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Lecture: Lou Well</w:t>
      </w:r>
    </w:p>
    <w:p w14:paraId="14AB8293" w14:textId="77777777" w:rsidR="00B7243F" w:rsidRDefault="00000000">
      <w:p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w:t>
      </w:r>
    </w:p>
    <w:p w14:paraId="12BD02F8" w14:textId="77777777" w:rsidR="00B7243F" w:rsidRDefault="00B7243F">
      <w:pPr>
        <w:pBdr>
          <w:top w:val="nil"/>
          <w:left w:val="nil"/>
          <w:bottom w:val="nil"/>
          <w:right w:val="nil"/>
          <w:between w:val="nil"/>
        </w:pBdr>
        <w:jc w:val="both"/>
        <w:rPr>
          <w:rFonts w:ascii="Times New Roman" w:eastAsia="Times New Roman" w:hAnsi="Times New Roman" w:cs="Times New Roman"/>
          <w:b/>
          <w:bCs/>
          <w:color w:val="000000"/>
          <w:sz w:val="28"/>
          <w:szCs w:val="28"/>
          <w:u w:val="single"/>
        </w:rPr>
      </w:pPr>
    </w:p>
    <w:p w14:paraId="78279518" w14:textId="77777777" w:rsidR="00B7243F" w:rsidRDefault="00B7243F">
      <w:pPr>
        <w:pBdr>
          <w:top w:val="nil"/>
          <w:left w:val="nil"/>
          <w:bottom w:val="nil"/>
          <w:right w:val="nil"/>
          <w:between w:val="nil"/>
        </w:pBdr>
        <w:jc w:val="both"/>
        <w:rPr>
          <w:rFonts w:ascii="Times New Roman" w:eastAsia="Times New Roman" w:hAnsi="Times New Roman" w:cs="Times New Roman"/>
          <w:b/>
          <w:bCs/>
          <w:color w:val="000000"/>
          <w:sz w:val="28"/>
          <w:szCs w:val="28"/>
          <w:u w:val="single"/>
        </w:rPr>
      </w:pPr>
    </w:p>
    <w:p w14:paraId="218FB1FB" w14:textId="77777777" w:rsidR="00B7243F" w:rsidRDefault="00B7243F">
      <w:pPr>
        <w:pBdr>
          <w:top w:val="nil"/>
          <w:left w:val="nil"/>
          <w:bottom w:val="nil"/>
          <w:right w:val="nil"/>
          <w:between w:val="nil"/>
        </w:pBdr>
        <w:jc w:val="both"/>
        <w:rPr>
          <w:rFonts w:ascii="Times New Roman" w:eastAsia="Times New Roman" w:hAnsi="Times New Roman" w:cs="Times New Roman"/>
          <w:b/>
          <w:bCs/>
          <w:color w:val="000000"/>
          <w:sz w:val="28"/>
          <w:szCs w:val="28"/>
          <w:u w:val="single"/>
        </w:rPr>
      </w:pPr>
    </w:p>
    <w:p w14:paraId="20ABB231" w14:textId="77777777" w:rsidR="00B7243F" w:rsidRDefault="00000000">
      <w:pPr>
        <w:pBdr>
          <w:top w:val="nil"/>
          <w:left w:val="nil"/>
          <w:bottom w:val="nil"/>
          <w:right w:val="nil"/>
          <w:between w:val="nil"/>
        </w:pBdr>
        <w:jc w:val="both"/>
        <w:rPr>
          <w:color w:val="000000"/>
        </w:rPr>
      </w:pPr>
      <w:r>
        <w:rPr>
          <w:rFonts w:ascii="Times New Roman" w:eastAsia="Times New Roman" w:hAnsi="Times New Roman" w:cs="Times New Roman"/>
          <w:b/>
          <w:bCs/>
          <w:color w:val="000000"/>
          <w:sz w:val="28"/>
          <w:szCs w:val="28"/>
          <w:u w:val="single"/>
        </w:rPr>
        <w:t>Acknowledgement of AI use:</w:t>
      </w:r>
      <w:r>
        <w:rPr>
          <w:rFonts w:ascii="Times New Roman" w:eastAsia="Times New Roman" w:hAnsi="Times New Roman" w:cs="Times New Roman"/>
          <w:color w:val="000000"/>
          <w:sz w:val="28"/>
          <w:szCs w:val="28"/>
        </w:rPr>
        <w:t xml:space="preserve"> I confirm that I have not used AI to complete my work</w:t>
      </w:r>
    </w:p>
    <w:p w14:paraId="75DFCAA1"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256D719C"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72AC2F88"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52A867A5"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219D0CDE"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21037804" w14:textId="65BEE61F" w:rsidR="00B7243F" w:rsidRDefault="00000000">
      <w:p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rPr>
        <w:tab/>
        <w:t>Submitted on: 2</w:t>
      </w:r>
      <w:r w:rsidR="002A0329">
        <w:rPr>
          <w:rFonts w:ascii="Times New Roman" w:eastAsia="Times New Roman" w:hAnsi="Times New Roman" w:cs="Times New Roman"/>
          <w:color w:val="000000"/>
          <w:sz w:val="28"/>
          <w:szCs w:val="28"/>
        </w:rPr>
        <w:t>1</w:t>
      </w:r>
      <w:r w:rsidR="002A0329" w:rsidRPr="002A0329">
        <w:rPr>
          <w:rFonts w:ascii="Times New Roman" w:eastAsia="Times New Roman" w:hAnsi="Times New Roman" w:cs="Times New Roman"/>
          <w:color w:val="000000"/>
          <w:sz w:val="28"/>
          <w:szCs w:val="28"/>
          <w:vertAlign w:val="superscript"/>
        </w:rPr>
        <w:t>s</w:t>
      </w:r>
      <w:r w:rsidR="002A0329">
        <w:rPr>
          <w:rFonts w:ascii="Times New Roman" w:eastAsia="Times New Roman" w:hAnsi="Times New Roman" w:cs="Times New Roman"/>
          <w:color w:val="000000"/>
          <w:sz w:val="28"/>
          <w:szCs w:val="28"/>
          <w:vertAlign w:val="superscript"/>
        </w:rPr>
        <w:t>t</w:t>
      </w:r>
      <w:r>
        <w:rPr>
          <w:rFonts w:ascii="Times New Roman" w:eastAsia="Times New Roman" w:hAnsi="Times New Roman" w:cs="Times New Roman"/>
          <w:sz w:val="28"/>
          <w:szCs w:val="28"/>
        </w:rPr>
        <w:t xml:space="preserve"> April 2026</w:t>
      </w:r>
      <w:r>
        <w:rPr>
          <w:rFonts w:ascii="Times New Roman" w:eastAsia="Times New Roman" w:hAnsi="Times New Roman" w:cs="Times New Roman"/>
          <w:color w:val="000000"/>
          <w:sz w:val="28"/>
          <w:szCs w:val="28"/>
        </w:rPr>
        <w:t xml:space="preserve"> </w:t>
      </w:r>
    </w:p>
    <w:p w14:paraId="1D20035A"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702D5BA0" w14:textId="77777777" w:rsidR="00B7243F" w:rsidRDefault="00B7243F">
      <w:pPr>
        <w:pBdr>
          <w:top w:val="nil"/>
          <w:left w:val="nil"/>
          <w:bottom w:val="nil"/>
          <w:right w:val="nil"/>
          <w:between w:val="nil"/>
        </w:pBdr>
        <w:jc w:val="both"/>
        <w:rPr>
          <w:rFonts w:ascii="Times New Roman" w:eastAsia="Times New Roman" w:hAnsi="Times New Roman" w:cs="Times New Roman"/>
          <w:color w:val="000000"/>
          <w:sz w:val="28"/>
          <w:szCs w:val="28"/>
        </w:rPr>
      </w:pPr>
    </w:p>
    <w:p w14:paraId="1720F15A" w14:textId="77777777" w:rsidR="00B7243F" w:rsidRDefault="00B7243F">
      <w:pPr>
        <w:pBdr>
          <w:top w:val="nil"/>
          <w:left w:val="nil"/>
          <w:bottom w:val="nil"/>
          <w:right w:val="nil"/>
          <w:between w:val="nil"/>
        </w:pBdr>
        <w:rPr>
          <w:color w:val="000000"/>
        </w:rPr>
      </w:pPr>
    </w:p>
    <w:p w14:paraId="65D7D6A5" w14:textId="77777777" w:rsidR="00B7243F" w:rsidRDefault="00B7243F">
      <w:pPr>
        <w:pBdr>
          <w:top w:val="nil"/>
          <w:left w:val="nil"/>
          <w:bottom w:val="nil"/>
          <w:right w:val="nil"/>
          <w:between w:val="nil"/>
        </w:pBdr>
        <w:rPr>
          <w:color w:val="000000"/>
        </w:rPr>
      </w:pPr>
    </w:p>
    <w:sdt>
      <w:sdtPr>
        <w:id w:val="737827899"/>
        <w:docPartObj>
          <w:docPartGallery w:val="Table of Contents"/>
          <w:docPartUnique/>
        </w:docPartObj>
      </w:sdtPr>
      <w:sdtEndPr>
        <w:rPr>
          <w:rFonts w:ascii="Aptos" w:eastAsia="Aptos" w:hAnsi="Aptos" w:cs="Aptos"/>
          <w:b/>
          <w:bCs/>
          <w:noProof/>
          <w:color w:val="auto"/>
          <w:sz w:val="24"/>
          <w:szCs w:val="24"/>
          <w:lang w:val="en-GB" w:eastAsia="en-GB"/>
        </w:rPr>
      </w:sdtEndPr>
      <w:sdtContent>
        <w:p w14:paraId="3B795D64" w14:textId="7FE5836F" w:rsidR="002A0329" w:rsidRDefault="002A0329">
          <w:pPr>
            <w:pStyle w:val="TOCHeading"/>
          </w:pPr>
          <w:r>
            <w:t>Table of Contents</w:t>
          </w:r>
        </w:p>
        <w:p w14:paraId="28164674" w14:textId="6BEF67B0" w:rsidR="002A0329" w:rsidRPr="00761D38" w:rsidRDefault="002A0329">
          <w:pPr>
            <w:pStyle w:val="TOC2"/>
            <w:tabs>
              <w:tab w:val="right" w:leader="dot" w:pos="9016"/>
            </w:tabs>
            <w:rPr>
              <w:rFonts w:ascii="Arial" w:eastAsiaTheme="minorEastAsia" w:hAnsi="Arial" w:cs="Arial"/>
              <w:noProof/>
              <w:kern w:val="2"/>
              <w14:ligatures w14:val="standardContextual"/>
            </w:rPr>
          </w:pPr>
          <w:r>
            <w:fldChar w:fldCharType="begin"/>
          </w:r>
          <w:r>
            <w:instrText xml:space="preserve"> TOC \o "1-3" \h \z \u </w:instrText>
          </w:r>
          <w:r>
            <w:fldChar w:fldCharType="separate"/>
          </w:r>
          <w:hyperlink w:anchor="_Toc227647851" w:history="1">
            <w:r w:rsidRPr="00761D38">
              <w:rPr>
                <w:rStyle w:val="Hyperlink"/>
                <w:rFonts w:ascii="Arial" w:hAnsi="Arial" w:cs="Arial"/>
                <w:noProof/>
              </w:rPr>
              <w:t>Section A</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_Toc227647851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3</w:t>
            </w:r>
            <w:r w:rsidRPr="00761D38">
              <w:rPr>
                <w:rFonts w:ascii="Arial" w:hAnsi="Arial" w:cs="Arial"/>
                <w:noProof/>
                <w:webHidden/>
              </w:rPr>
              <w:fldChar w:fldCharType="end"/>
            </w:r>
          </w:hyperlink>
        </w:p>
        <w:p w14:paraId="799986AF" w14:textId="26D11F58" w:rsidR="002A0329" w:rsidRPr="00761D38" w:rsidRDefault="002A0329">
          <w:pPr>
            <w:pStyle w:val="TOC3"/>
            <w:tabs>
              <w:tab w:val="right" w:leader="dot" w:pos="9016"/>
            </w:tabs>
            <w:rPr>
              <w:rFonts w:ascii="Arial" w:eastAsiaTheme="minorEastAsia" w:hAnsi="Arial" w:cs="Arial"/>
              <w:noProof/>
              <w:kern w:val="2"/>
              <w14:ligatures w14:val="standardContextual"/>
            </w:rPr>
          </w:pPr>
          <w:hyperlink w:anchor="_Toc227647852" w:history="1">
            <w:r w:rsidRPr="00761D38">
              <w:rPr>
                <w:rStyle w:val="Hyperlink"/>
                <w:rFonts w:ascii="Arial" w:hAnsi="Arial" w:cs="Arial"/>
                <w:noProof/>
              </w:rPr>
              <w:t>Source one - Parent-child Attachment and Healthy Human Development</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_Toc227647852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3</w:t>
            </w:r>
            <w:r w:rsidRPr="00761D38">
              <w:rPr>
                <w:rFonts w:ascii="Arial" w:hAnsi="Arial" w:cs="Arial"/>
                <w:noProof/>
                <w:webHidden/>
              </w:rPr>
              <w:fldChar w:fldCharType="end"/>
            </w:r>
          </w:hyperlink>
        </w:p>
        <w:p w14:paraId="11D0F0C5" w14:textId="4B684848" w:rsidR="002A0329" w:rsidRPr="00761D38" w:rsidRDefault="002A0329">
          <w:pPr>
            <w:pStyle w:val="TOC3"/>
            <w:tabs>
              <w:tab w:val="right" w:leader="dot" w:pos="9016"/>
            </w:tabs>
            <w:rPr>
              <w:rFonts w:ascii="Arial" w:eastAsiaTheme="minorEastAsia" w:hAnsi="Arial" w:cs="Arial"/>
              <w:noProof/>
              <w:kern w:val="2"/>
              <w14:ligatures w14:val="standardContextual"/>
            </w:rPr>
          </w:pPr>
          <w:hyperlink w:anchor="_Toc227647853" w:history="1">
            <w:r w:rsidRPr="00761D38">
              <w:rPr>
                <w:rStyle w:val="Hyperlink"/>
                <w:rFonts w:ascii="Arial" w:hAnsi="Arial" w:cs="Arial"/>
                <w:noProof/>
              </w:rPr>
              <w:t>Source two - Attachment in old age: A fundamental pillar for public health and wellbeing</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_Toc227647853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3</w:t>
            </w:r>
            <w:r w:rsidRPr="00761D38">
              <w:rPr>
                <w:rFonts w:ascii="Arial" w:hAnsi="Arial" w:cs="Arial"/>
                <w:noProof/>
                <w:webHidden/>
              </w:rPr>
              <w:fldChar w:fldCharType="end"/>
            </w:r>
          </w:hyperlink>
        </w:p>
        <w:p w14:paraId="17B17F86" w14:textId="610C0FE6" w:rsidR="002A0329" w:rsidRPr="00761D38" w:rsidRDefault="002A0329">
          <w:pPr>
            <w:pStyle w:val="TOC3"/>
            <w:tabs>
              <w:tab w:val="right" w:leader="dot" w:pos="9016"/>
            </w:tabs>
            <w:rPr>
              <w:rFonts w:ascii="Arial" w:eastAsiaTheme="minorEastAsia" w:hAnsi="Arial" w:cs="Arial"/>
              <w:noProof/>
              <w:kern w:val="2"/>
              <w14:ligatures w14:val="standardContextual"/>
            </w:rPr>
          </w:pPr>
          <w:hyperlink w:anchor="_Toc227647854" w:history="1">
            <w:r w:rsidRPr="00761D38">
              <w:rPr>
                <w:rStyle w:val="Hyperlink"/>
                <w:rFonts w:ascii="Arial" w:hAnsi="Arial" w:cs="Arial"/>
                <w:noProof/>
              </w:rPr>
              <w:t>Source three - Psychological wellbeing revisited: Advances in the science and practice of eudaimonia</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_Toc227647854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4</w:t>
            </w:r>
            <w:r w:rsidRPr="00761D38">
              <w:rPr>
                <w:rFonts w:ascii="Arial" w:hAnsi="Arial" w:cs="Arial"/>
                <w:noProof/>
                <w:webHidden/>
              </w:rPr>
              <w:fldChar w:fldCharType="end"/>
            </w:r>
          </w:hyperlink>
        </w:p>
        <w:p w14:paraId="0F75F5E0" w14:textId="4F020427" w:rsidR="002A0329" w:rsidRPr="00761D38" w:rsidRDefault="002A0329">
          <w:pPr>
            <w:pStyle w:val="TOC3"/>
            <w:tabs>
              <w:tab w:val="right" w:leader="dot" w:pos="9016"/>
            </w:tabs>
            <w:rPr>
              <w:rFonts w:ascii="Arial" w:eastAsiaTheme="minorEastAsia" w:hAnsi="Arial" w:cs="Arial"/>
              <w:noProof/>
              <w:kern w:val="2"/>
              <w14:ligatures w14:val="standardContextual"/>
            </w:rPr>
          </w:pPr>
          <w:hyperlink w:anchor="_Toc227647855" w:history="1">
            <w:r w:rsidRPr="00761D38">
              <w:rPr>
                <w:rStyle w:val="Hyperlink"/>
                <w:rFonts w:ascii="Arial" w:hAnsi="Arial" w:cs="Arial"/>
                <w:noProof/>
              </w:rPr>
              <w:t>Source four - Positive psychology: An introduction</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_Toc227647855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4</w:t>
            </w:r>
            <w:r w:rsidRPr="00761D38">
              <w:rPr>
                <w:rFonts w:ascii="Arial" w:hAnsi="Arial" w:cs="Arial"/>
                <w:noProof/>
                <w:webHidden/>
              </w:rPr>
              <w:fldChar w:fldCharType="end"/>
            </w:r>
          </w:hyperlink>
        </w:p>
        <w:p w14:paraId="3B663CB6" w14:textId="3848B259" w:rsidR="002A0329" w:rsidRPr="00761D38" w:rsidRDefault="002A0329">
          <w:pPr>
            <w:pStyle w:val="TOC2"/>
            <w:tabs>
              <w:tab w:val="right" w:leader="dot" w:pos="9016"/>
            </w:tabs>
            <w:rPr>
              <w:rFonts w:ascii="Arial" w:eastAsiaTheme="minorEastAsia" w:hAnsi="Arial" w:cs="Arial"/>
              <w:noProof/>
              <w:kern w:val="2"/>
              <w14:ligatures w14:val="standardContextual"/>
            </w:rPr>
          </w:pPr>
          <w:hyperlink w:anchor="_Toc227647856" w:history="1">
            <w:r w:rsidRPr="00761D38">
              <w:rPr>
                <w:rStyle w:val="Hyperlink"/>
                <w:rFonts w:ascii="Arial" w:hAnsi="Arial" w:cs="Arial"/>
                <w:noProof/>
              </w:rPr>
              <w:t>Section B</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_Toc227647856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5</w:t>
            </w:r>
            <w:r w:rsidRPr="00761D38">
              <w:rPr>
                <w:rFonts w:ascii="Arial" w:hAnsi="Arial" w:cs="Arial"/>
                <w:noProof/>
                <w:webHidden/>
              </w:rPr>
              <w:fldChar w:fldCharType="end"/>
            </w:r>
          </w:hyperlink>
        </w:p>
        <w:p w14:paraId="5C33DDA5" w14:textId="00CD2051" w:rsidR="002A0329" w:rsidRPr="00761D38" w:rsidRDefault="002A0329">
          <w:pPr>
            <w:pStyle w:val="TOC2"/>
            <w:tabs>
              <w:tab w:val="right" w:leader="dot" w:pos="9016"/>
            </w:tabs>
            <w:rPr>
              <w:rFonts w:ascii="Arial" w:eastAsiaTheme="minorEastAsia" w:hAnsi="Arial" w:cs="Arial"/>
              <w:noProof/>
              <w:kern w:val="2"/>
              <w14:ligatures w14:val="standardContextual"/>
            </w:rPr>
          </w:pPr>
          <w:hyperlink w:anchor="_Toc227647857" w:history="1">
            <w:r w:rsidRPr="00761D38">
              <w:rPr>
                <w:rStyle w:val="Hyperlink"/>
                <w:rFonts w:ascii="Arial" w:hAnsi="Arial" w:cs="Arial"/>
                <w:noProof/>
              </w:rPr>
              <w:t>References</w:t>
            </w:r>
            <w:r w:rsidRPr="00761D38">
              <w:rPr>
                <w:rFonts w:ascii="Arial" w:hAnsi="Arial" w:cs="Arial"/>
                <w:noProof/>
                <w:webHidden/>
              </w:rPr>
              <w:tab/>
            </w:r>
            <w:r w:rsidRPr="00761D38">
              <w:rPr>
                <w:rFonts w:ascii="Arial" w:hAnsi="Arial" w:cs="Arial"/>
                <w:noProof/>
                <w:webHidden/>
              </w:rPr>
              <w:fldChar w:fldCharType="begin"/>
            </w:r>
            <w:r w:rsidRPr="00761D38">
              <w:rPr>
                <w:rFonts w:ascii="Arial" w:hAnsi="Arial" w:cs="Arial"/>
                <w:noProof/>
                <w:webHidden/>
              </w:rPr>
              <w:instrText xml:space="preserve"> PAGEREF _Toc227647857 \h </w:instrText>
            </w:r>
            <w:r w:rsidRPr="00761D38">
              <w:rPr>
                <w:rFonts w:ascii="Arial" w:hAnsi="Arial" w:cs="Arial"/>
                <w:noProof/>
                <w:webHidden/>
              </w:rPr>
            </w:r>
            <w:r w:rsidRPr="00761D38">
              <w:rPr>
                <w:rFonts w:ascii="Arial" w:hAnsi="Arial" w:cs="Arial"/>
                <w:noProof/>
                <w:webHidden/>
              </w:rPr>
              <w:fldChar w:fldCharType="separate"/>
            </w:r>
            <w:r w:rsidRPr="00761D38">
              <w:rPr>
                <w:rFonts w:ascii="Arial" w:hAnsi="Arial" w:cs="Arial"/>
                <w:noProof/>
                <w:webHidden/>
              </w:rPr>
              <w:t>6</w:t>
            </w:r>
            <w:r w:rsidRPr="00761D38">
              <w:rPr>
                <w:rFonts w:ascii="Arial" w:hAnsi="Arial" w:cs="Arial"/>
                <w:noProof/>
                <w:webHidden/>
              </w:rPr>
              <w:fldChar w:fldCharType="end"/>
            </w:r>
          </w:hyperlink>
        </w:p>
        <w:p w14:paraId="3A00A8C2" w14:textId="4CCAE060" w:rsidR="002A0329" w:rsidRDefault="002A0329">
          <w:r>
            <w:rPr>
              <w:b/>
              <w:bCs/>
              <w:noProof/>
            </w:rPr>
            <w:fldChar w:fldCharType="end"/>
          </w:r>
        </w:p>
      </w:sdtContent>
    </w:sdt>
    <w:p w14:paraId="444F2C40" w14:textId="77777777" w:rsidR="00B7243F" w:rsidRDefault="00B7243F">
      <w:pPr>
        <w:pBdr>
          <w:top w:val="nil"/>
          <w:left w:val="nil"/>
          <w:bottom w:val="nil"/>
          <w:right w:val="nil"/>
          <w:between w:val="nil"/>
        </w:pBdr>
        <w:rPr>
          <w:color w:val="000000"/>
        </w:rPr>
      </w:pPr>
    </w:p>
    <w:p w14:paraId="2C6165D3" w14:textId="77777777" w:rsidR="00B7243F" w:rsidRDefault="00B7243F">
      <w:pPr>
        <w:pBdr>
          <w:top w:val="nil"/>
          <w:left w:val="nil"/>
          <w:bottom w:val="nil"/>
          <w:right w:val="nil"/>
          <w:between w:val="nil"/>
        </w:pBdr>
        <w:rPr>
          <w:color w:val="000000"/>
        </w:rPr>
      </w:pPr>
    </w:p>
    <w:p w14:paraId="2F8C0993" w14:textId="77777777" w:rsidR="00B7243F" w:rsidRDefault="00B7243F">
      <w:pPr>
        <w:pBdr>
          <w:top w:val="nil"/>
          <w:left w:val="nil"/>
          <w:bottom w:val="nil"/>
          <w:right w:val="nil"/>
          <w:between w:val="nil"/>
        </w:pBdr>
        <w:rPr>
          <w:color w:val="000000"/>
        </w:rPr>
      </w:pPr>
    </w:p>
    <w:p w14:paraId="2A580F8A" w14:textId="77777777" w:rsidR="00B7243F" w:rsidRDefault="00B7243F">
      <w:pPr>
        <w:pBdr>
          <w:top w:val="nil"/>
          <w:left w:val="nil"/>
          <w:bottom w:val="nil"/>
          <w:right w:val="nil"/>
          <w:between w:val="nil"/>
        </w:pBdr>
        <w:rPr>
          <w:color w:val="000000"/>
        </w:rPr>
      </w:pPr>
    </w:p>
    <w:p w14:paraId="0F58F162" w14:textId="77777777" w:rsidR="00B7243F" w:rsidRDefault="00B7243F">
      <w:pPr>
        <w:pBdr>
          <w:top w:val="nil"/>
          <w:left w:val="nil"/>
          <w:bottom w:val="nil"/>
          <w:right w:val="nil"/>
          <w:between w:val="nil"/>
        </w:pBdr>
        <w:rPr>
          <w:color w:val="000000"/>
        </w:rPr>
      </w:pPr>
    </w:p>
    <w:p w14:paraId="623104AE" w14:textId="77777777" w:rsidR="00B7243F" w:rsidRDefault="00B7243F">
      <w:pPr>
        <w:pBdr>
          <w:top w:val="nil"/>
          <w:left w:val="nil"/>
          <w:bottom w:val="nil"/>
          <w:right w:val="nil"/>
          <w:between w:val="nil"/>
        </w:pBdr>
        <w:rPr>
          <w:color w:val="000000"/>
        </w:rPr>
      </w:pPr>
    </w:p>
    <w:p w14:paraId="0D8D7D60" w14:textId="77777777" w:rsidR="00B7243F" w:rsidRDefault="00B7243F">
      <w:pPr>
        <w:pBdr>
          <w:top w:val="nil"/>
          <w:left w:val="nil"/>
          <w:bottom w:val="nil"/>
          <w:right w:val="nil"/>
          <w:between w:val="nil"/>
        </w:pBdr>
        <w:rPr>
          <w:color w:val="000000"/>
        </w:rPr>
      </w:pPr>
    </w:p>
    <w:p w14:paraId="080F9083" w14:textId="77777777" w:rsidR="00B7243F" w:rsidRDefault="00B7243F">
      <w:pPr>
        <w:pBdr>
          <w:top w:val="nil"/>
          <w:left w:val="nil"/>
          <w:bottom w:val="nil"/>
          <w:right w:val="nil"/>
          <w:between w:val="nil"/>
        </w:pBdr>
        <w:rPr>
          <w:color w:val="000000"/>
        </w:rPr>
      </w:pPr>
    </w:p>
    <w:p w14:paraId="5827B3C0" w14:textId="77777777" w:rsidR="00B7243F" w:rsidRDefault="00B7243F">
      <w:pPr>
        <w:pBdr>
          <w:top w:val="nil"/>
          <w:left w:val="nil"/>
          <w:bottom w:val="nil"/>
          <w:right w:val="nil"/>
          <w:between w:val="nil"/>
        </w:pBdr>
        <w:rPr>
          <w:color w:val="000000"/>
        </w:rPr>
      </w:pPr>
    </w:p>
    <w:p w14:paraId="0627B581" w14:textId="77777777" w:rsidR="00B7243F" w:rsidRDefault="00B7243F">
      <w:pPr>
        <w:pBdr>
          <w:top w:val="nil"/>
          <w:left w:val="nil"/>
          <w:bottom w:val="nil"/>
          <w:right w:val="nil"/>
          <w:between w:val="nil"/>
        </w:pBdr>
        <w:rPr>
          <w:color w:val="000000"/>
        </w:rPr>
      </w:pPr>
    </w:p>
    <w:p w14:paraId="3C6AC6CB" w14:textId="77777777" w:rsidR="00B7243F" w:rsidRDefault="00B7243F">
      <w:pPr>
        <w:pBdr>
          <w:top w:val="nil"/>
          <w:left w:val="nil"/>
          <w:bottom w:val="nil"/>
          <w:right w:val="nil"/>
          <w:between w:val="nil"/>
        </w:pBdr>
        <w:rPr>
          <w:color w:val="000000"/>
        </w:rPr>
      </w:pPr>
    </w:p>
    <w:p w14:paraId="675924AC" w14:textId="77777777" w:rsidR="00B7243F" w:rsidRDefault="00B7243F">
      <w:pPr>
        <w:pBdr>
          <w:top w:val="nil"/>
          <w:left w:val="nil"/>
          <w:bottom w:val="nil"/>
          <w:right w:val="nil"/>
          <w:between w:val="nil"/>
        </w:pBdr>
        <w:rPr>
          <w:color w:val="000000"/>
        </w:rPr>
      </w:pPr>
    </w:p>
    <w:p w14:paraId="61E0CCE6" w14:textId="77777777" w:rsidR="00B7243F" w:rsidRDefault="00B7243F">
      <w:pPr>
        <w:pBdr>
          <w:top w:val="nil"/>
          <w:left w:val="nil"/>
          <w:bottom w:val="nil"/>
          <w:right w:val="nil"/>
          <w:between w:val="nil"/>
        </w:pBdr>
        <w:rPr>
          <w:color w:val="000000"/>
        </w:rPr>
      </w:pPr>
    </w:p>
    <w:p w14:paraId="08217B69" w14:textId="77777777" w:rsidR="00B7243F" w:rsidRDefault="00B7243F">
      <w:pPr>
        <w:pBdr>
          <w:top w:val="nil"/>
          <w:left w:val="nil"/>
          <w:bottom w:val="nil"/>
          <w:right w:val="nil"/>
          <w:between w:val="nil"/>
        </w:pBdr>
        <w:rPr>
          <w:color w:val="000000"/>
        </w:rPr>
      </w:pPr>
    </w:p>
    <w:p w14:paraId="0788152F" w14:textId="77777777" w:rsidR="00B7243F" w:rsidRDefault="00B7243F">
      <w:pPr>
        <w:pBdr>
          <w:top w:val="nil"/>
          <w:left w:val="nil"/>
          <w:bottom w:val="nil"/>
          <w:right w:val="nil"/>
          <w:between w:val="nil"/>
        </w:pBdr>
        <w:rPr>
          <w:color w:val="000000"/>
        </w:rPr>
      </w:pPr>
    </w:p>
    <w:p w14:paraId="0AA15BBB" w14:textId="77777777" w:rsidR="00B7243F" w:rsidRDefault="00B7243F">
      <w:pPr>
        <w:pBdr>
          <w:top w:val="nil"/>
          <w:left w:val="nil"/>
          <w:bottom w:val="nil"/>
          <w:right w:val="nil"/>
          <w:between w:val="nil"/>
        </w:pBdr>
        <w:rPr>
          <w:color w:val="000000"/>
        </w:rPr>
      </w:pPr>
    </w:p>
    <w:p w14:paraId="6B48DC7D" w14:textId="77777777" w:rsidR="00B7243F" w:rsidRDefault="00B7243F">
      <w:pPr>
        <w:pBdr>
          <w:top w:val="nil"/>
          <w:left w:val="nil"/>
          <w:bottom w:val="nil"/>
          <w:right w:val="nil"/>
          <w:between w:val="nil"/>
        </w:pBdr>
        <w:rPr>
          <w:color w:val="000000"/>
        </w:rPr>
      </w:pPr>
    </w:p>
    <w:p w14:paraId="653F9328" w14:textId="77777777" w:rsidR="00B7243F" w:rsidRDefault="00B7243F">
      <w:pPr>
        <w:pBdr>
          <w:top w:val="nil"/>
          <w:left w:val="nil"/>
          <w:bottom w:val="nil"/>
          <w:right w:val="nil"/>
          <w:between w:val="nil"/>
        </w:pBdr>
        <w:rPr>
          <w:color w:val="000000"/>
        </w:rPr>
      </w:pPr>
    </w:p>
    <w:p w14:paraId="2AD478BD" w14:textId="77777777" w:rsidR="00B7243F" w:rsidRDefault="00B7243F">
      <w:pPr>
        <w:pBdr>
          <w:top w:val="nil"/>
          <w:left w:val="nil"/>
          <w:bottom w:val="nil"/>
          <w:right w:val="nil"/>
          <w:between w:val="nil"/>
        </w:pBdr>
        <w:rPr>
          <w:color w:val="000000"/>
        </w:rPr>
      </w:pPr>
    </w:p>
    <w:p w14:paraId="3428B0F2" w14:textId="77777777" w:rsidR="00B7243F" w:rsidRDefault="00000000">
      <w:pPr>
        <w:pStyle w:val="Heading2"/>
        <w:numPr>
          <w:ilvl w:val="1"/>
          <w:numId w:val="1"/>
        </w:numPr>
        <w:tabs>
          <w:tab w:val="left" w:pos="0"/>
        </w:tabs>
      </w:pPr>
      <w:bookmarkStart w:id="0" w:name="_heading=h.s4algei1bn89" w:colFirst="0" w:colLast="0"/>
      <w:bookmarkStart w:id="1" w:name="_Toc227647851"/>
      <w:bookmarkEnd w:id="0"/>
      <w:r>
        <w:t>Section A</w:t>
      </w:r>
      <w:bookmarkEnd w:id="1"/>
    </w:p>
    <w:p w14:paraId="1818F5EE" w14:textId="77777777" w:rsidR="00B7243F" w:rsidRDefault="00000000">
      <w:pPr>
        <w:pStyle w:val="Heading3"/>
        <w:numPr>
          <w:ilvl w:val="1"/>
          <w:numId w:val="1"/>
        </w:numPr>
        <w:tabs>
          <w:tab w:val="left" w:pos="0"/>
        </w:tabs>
      </w:pPr>
      <w:bookmarkStart w:id="2" w:name="_heading=h.nia2u6u4ugc6" w:colFirst="0" w:colLast="0"/>
      <w:bookmarkStart w:id="3" w:name="_Toc227647852"/>
      <w:bookmarkEnd w:id="2"/>
      <w:r>
        <w:t>Source one - Parent-child Attachment and Healthy Human Development</w:t>
      </w:r>
      <w:bookmarkEnd w:id="3"/>
      <w:r>
        <w:t xml:space="preserve"> </w:t>
      </w:r>
    </w:p>
    <w:p w14:paraId="109F5FEA" w14:textId="77777777" w:rsidR="00B7243F" w:rsidRPr="00761D38" w:rsidRDefault="00000000" w:rsidP="00761D38">
      <w:pPr>
        <w:pBdr>
          <w:top w:val="nil"/>
          <w:left w:val="nil"/>
          <w:bottom w:val="nil"/>
          <w:right w:val="nil"/>
          <w:between w:val="nil"/>
        </w:pBdr>
        <w:spacing w:line="360" w:lineRule="auto"/>
        <w:rPr>
          <w:rFonts w:ascii="Arial" w:hAnsi="Arial" w:cs="Arial"/>
          <w:color w:val="000000"/>
          <w:sz w:val="22"/>
          <w:szCs w:val="22"/>
        </w:rPr>
      </w:pPr>
      <w:r w:rsidRPr="00761D38">
        <w:rPr>
          <w:rFonts w:ascii="Arial" w:hAnsi="Arial" w:cs="Arial"/>
          <w:color w:val="000000"/>
          <w:sz w:val="22"/>
          <w:szCs w:val="22"/>
        </w:rPr>
        <w:t xml:space="preserve">In this book Bowlby explains how attachment is an important part of human development from childhood to adulthood.  Having secure attachment early in life helps individuals </w:t>
      </w:r>
      <w:r w:rsidRPr="00761D38">
        <w:rPr>
          <w:rFonts w:ascii="Arial" w:hAnsi="Arial" w:cs="Arial"/>
          <w:sz w:val="22"/>
          <w:szCs w:val="22"/>
        </w:rPr>
        <w:t>feel confident</w:t>
      </w:r>
      <w:r w:rsidRPr="00761D38">
        <w:rPr>
          <w:rFonts w:ascii="Arial" w:hAnsi="Arial" w:cs="Arial"/>
          <w:color w:val="000000"/>
          <w:sz w:val="22"/>
          <w:szCs w:val="22"/>
        </w:rPr>
        <w:t xml:space="preserve">, calm and able to control emotions as adults. He also states that attachment needs to not disappear as a person grows older, but that adults also rely on trusted relationships, especially during times of stress, illness or major life changes. The book also highlights how the loss of attachment </w:t>
      </w:r>
      <w:r w:rsidRPr="00761D38">
        <w:rPr>
          <w:rFonts w:ascii="Arial" w:hAnsi="Arial" w:cs="Arial"/>
          <w:sz w:val="22"/>
          <w:szCs w:val="22"/>
        </w:rPr>
        <w:t>figures</w:t>
      </w:r>
      <w:r w:rsidRPr="00761D38">
        <w:rPr>
          <w:rFonts w:ascii="Arial" w:hAnsi="Arial" w:cs="Arial"/>
          <w:color w:val="000000"/>
          <w:sz w:val="22"/>
          <w:szCs w:val="22"/>
        </w:rPr>
        <w:t xml:space="preserve"> can lead to anxiety, loneliness and emotional distress.</w:t>
      </w:r>
    </w:p>
    <w:p w14:paraId="4D2F4D2D" w14:textId="77777777" w:rsidR="00B7243F" w:rsidRPr="00761D38" w:rsidRDefault="00000000" w:rsidP="00761D38">
      <w:pPr>
        <w:pBdr>
          <w:top w:val="nil"/>
          <w:left w:val="nil"/>
          <w:bottom w:val="nil"/>
          <w:right w:val="nil"/>
          <w:between w:val="nil"/>
        </w:pBdr>
        <w:spacing w:line="360" w:lineRule="auto"/>
        <w:rPr>
          <w:rFonts w:ascii="Arial" w:hAnsi="Arial" w:cs="Arial"/>
          <w:color w:val="000000"/>
          <w:sz w:val="22"/>
          <w:szCs w:val="22"/>
        </w:rPr>
      </w:pPr>
      <w:r w:rsidRPr="00761D38">
        <w:rPr>
          <w:rFonts w:ascii="Arial" w:hAnsi="Arial" w:cs="Arial"/>
          <w:color w:val="000000"/>
          <w:sz w:val="22"/>
          <w:szCs w:val="22"/>
        </w:rPr>
        <w:t xml:space="preserve">This source is useful because it creates a direct link between attachment theory and older adults; it </w:t>
      </w:r>
      <w:r w:rsidRPr="00761D38">
        <w:rPr>
          <w:rFonts w:ascii="Arial" w:hAnsi="Arial" w:cs="Arial"/>
          <w:sz w:val="22"/>
          <w:szCs w:val="22"/>
        </w:rPr>
        <w:t>shows</w:t>
      </w:r>
      <w:r w:rsidRPr="00761D38">
        <w:rPr>
          <w:rFonts w:ascii="Arial" w:hAnsi="Arial" w:cs="Arial"/>
          <w:color w:val="000000"/>
          <w:sz w:val="22"/>
          <w:szCs w:val="22"/>
        </w:rPr>
        <w:t xml:space="preserve"> that adults still need emotional security and stable relationships. The theory shows that </w:t>
      </w:r>
      <w:r w:rsidRPr="00761D38">
        <w:rPr>
          <w:rFonts w:ascii="Arial" w:hAnsi="Arial" w:cs="Arial"/>
          <w:sz w:val="22"/>
          <w:szCs w:val="22"/>
        </w:rPr>
        <w:t>relationships</w:t>
      </w:r>
      <w:r w:rsidRPr="00761D38">
        <w:rPr>
          <w:rFonts w:ascii="Arial" w:hAnsi="Arial" w:cs="Arial"/>
          <w:color w:val="000000"/>
          <w:sz w:val="22"/>
          <w:szCs w:val="22"/>
        </w:rPr>
        <w:t xml:space="preserve"> between health care professionals and the older adults in their care can have an impact on their mental health and wellbeing. In care homes, residents may feel lonely or scared especially at the beginning, so forming trusted relationships with staff can support their wellbeing. </w:t>
      </w:r>
    </w:p>
    <w:p w14:paraId="2AB0A7E4" w14:textId="77777777" w:rsidR="00B7243F" w:rsidRDefault="00000000" w:rsidP="00761D38">
      <w:pPr>
        <w:pBdr>
          <w:top w:val="nil"/>
          <w:left w:val="nil"/>
          <w:bottom w:val="nil"/>
          <w:right w:val="nil"/>
          <w:between w:val="nil"/>
        </w:pBdr>
        <w:spacing w:line="360" w:lineRule="auto"/>
        <w:rPr>
          <w:color w:val="000000"/>
        </w:rPr>
      </w:pPr>
      <w:r w:rsidRPr="00761D38">
        <w:rPr>
          <w:rFonts w:ascii="Arial" w:hAnsi="Arial" w:cs="Arial"/>
          <w:color w:val="000000"/>
          <w:sz w:val="22"/>
          <w:szCs w:val="22"/>
        </w:rPr>
        <w:t>Although Bowlby theory is good for explaining the importance of healthy relationships between service providers and their patients it mostly focuses on children and therefore needs to be adapted to make it suitable when using it with adults, this is because adult relationships are much more complex than child/caregiver bonds. Adults have more life experience and different social roles, which will make their attachment patterns from the one they had in their childhood</w:t>
      </w:r>
      <w:r>
        <w:rPr>
          <w:color w:val="000000"/>
        </w:rPr>
        <w:t>.</w:t>
      </w:r>
    </w:p>
    <w:p w14:paraId="5625A8EC" w14:textId="53EF4E20" w:rsidR="00B7243F" w:rsidRDefault="00000000" w:rsidP="002A0329">
      <w:pPr>
        <w:pStyle w:val="Heading3"/>
        <w:rPr>
          <w:color w:val="000000"/>
        </w:rPr>
      </w:pPr>
      <w:r>
        <w:rPr>
          <w:color w:val="000000"/>
        </w:rPr>
        <w:br/>
      </w:r>
      <w:bookmarkStart w:id="4" w:name="_Toc227647853"/>
      <w:r>
        <w:t xml:space="preserve">Source </w:t>
      </w:r>
      <w:r w:rsidR="002A0329">
        <w:t xml:space="preserve">two </w:t>
      </w:r>
      <w:r>
        <w:t>- Attachment in old age: A fundamental pillar for public health and wellbeing</w:t>
      </w:r>
      <w:bookmarkEnd w:id="4"/>
    </w:p>
    <w:p w14:paraId="7DCE506E" w14:textId="77777777" w:rsidR="00B7243F" w:rsidRPr="00761D38" w:rsidRDefault="00000000" w:rsidP="00761D38">
      <w:pPr>
        <w:pBdr>
          <w:top w:val="nil"/>
          <w:left w:val="nil"/>
          <w:bottom w:val="nil"/>
          <w:right w:val="nil"/>
          <w:between w:val="nil"/>
        </w:pBdr>
        <w:spacing w:line="360" w:lineRule="auto"/>
        <w:rPr>
          <w:rFonts w:ascii="Arial" w:hAnsi="Arial" w:cs="Arial"/>
          <w:sz w:val="22"/>
          <w:szCs w:val="22"/>
        </w:rPr>
      </w:pPr>
      <w:r w:rsidRPr="00761D38">
        <w:rPr>
          <w:rFonts w:ascii="Arial" w:hAnsi="Arial" w:cs="Arial"/>
          <w:sz w:val="22"/>
          <w:szCs w:val="22"/>
        </w:rPr>
        <w:t>In the article Rodway and Spencer (2025), explain that attachment theory is important across the whole lifespan, including in old age. In the article they argue that older adults often face challenges such as illness, loneliness and loss which can increase their need for emotional support and secure relationships. The article highlights that secure attachment, especially with health care professionals, can improve emotional wellbeing and trust in care.</w:t>
      </w:r>
    </w:p>
    <w:p w14:paraId="1B440FC5" w14:textId="77544584" w:rsidR="00B7243F" w:rsidRPr="002D605C" w:rsidRDefault="00000000" w:rsidP="002D605C">
      <w:pPr>
        <w:pBdr>
          <w:top w:val="nil"/>
          <w:left w:val="nil"/>
          <w:bottom w:val="nil"/>
          <w:right w:val="nil"/>
          <w:between w:val="nil"/>
        </w:pBdr>
        <w:spacing w:line="360" w:lineRule="auto"/>
        <w:rPr>
          <w:rFonts w:ascii="Arial" w:hAnsi="Arial" w:cs="Arial"/>
          <w:sz w:val="22"/>
          <w:szCs w:val="22"/>
        </w:rPr>
      </w:pPr>
      <w:r w:rsidRPr="00761D38">
        <w:rPr>
          <w:rFonts w:ascii="Arial" w:hAnsi="Arial" w:cs="Arial"/>
          <w:sz w:val="22"/>
          <w:szCs w:val="22"/>
        </w:rPr>
        <w:t xml:space="preserve">This article is highly relevant to health and social care settings because it directly focuses on older adults and shows how attachment can improve care quality. It supports the idea that building trusting relationships between staff and residents can reduce anxiety and improve </w:t>
      </w:r>
      <w:r w:rsidRPr="00761D38">
        <w:rPr>
          <w:rFonts w:ascii="Arial" w:hAnsi="Arial" w:cs="Arial"/>
          <w:sz w:val="22"/>
          <w:szCs w:val="22"/>
        </w:rPr>
        <w:lastRenderedPageBreak/>
        <w:t>wellbeing and suggests practical ideas, such as training staff in communication and emotional support.</w:t>
      </w:r>
    </w:p>
    <w:p w14:paraId="1D1DAF0B" w14:textId="77777777" w:rsidR="00B7243F" w:rsidRDefault="00000000">
      <w:pPr>
        <w:pStyle w:val="Heading3"/>
        <w:numPr>
          <w:ilvl w:val="1"/>
          <w:numId w:val="1"/>
        </w:numPr>
        <w:tabs>
          <w:tab w:val="left" w:pos="0"/>
        </w:tabs>
      </w:pPr>
      <w:bookmarkStart w:id="5" w:name="_heading=h.n6p318csj48x" w:colFirst="0" w:colLast="0"/>
      <w:bookmarkStart w:id="6" w:name="_Toc227647854"/>
      <w:bookmarkEnd w:id="5"/>
      <w:r>
        <w:t>Source three - Psychological wellbeing revisited: Advances in the science and practice of eudaimonia</w:t>
      </w:r>
      <w:bookmarkEnd w:id="6"/>
    </w:p>
    <w:p w14:paraId="16D0EE7F" w14:textId="77777777" w:rsidR="00B7243F" w:rsidRPr="00761D38" w:rsidRDefault="00000000" w:rsidP="00761D38">
      <w:pPr>
        <w:pBdr>
          <w:top w:val="nil"/>
          <w:left w:val="nil"/>
          <w:bottom w:val="nil"/>
          <w:right w:val="nil"/>
          <w:between w:val="nil"/>
        </w:pBdr>
        <w:spacing w:line="360" w:lineRule="auto"/>
        <w:rPr>
          <w:rFonts w:ascii="Arial" w:hAnsi="Arial" w:cs="Arial"/>
          <w:sz w:val="22"/>
          <w:szCs w:val="22"/>
        </w:rPr>
      </w:pPr>
      <w:r w:rsidRPr="00761D38">
        <w:rPr>
          <w:rFonts w:ascii="Arial" w:hAnsi="Arial" w:cs="Arial"/>
          <w:sz w:val="22"/>
          <w:szCs w:val="22"/>
        </w:rPr>
        <w:t xml:space="preserve">Ryff’s article explains that psychological wellbeing is not only about feeling happy, but also about living meaningful and fulfilling lives. She introduces a model of wellbeing that includes six key areas: purpose in life, positive relationships, personal growth, autonomy, environmental mastery, and self-acceptance. Ryff argues that these areas are especially important in later life, as older adults often face changes such as retirement, health decline, and loss of loved ones. The article shows that individuals who maintain a sense of purpose and strong social connections tend to have better mental health and overall quality of life as they age. </w:t>
      </w:r>
    </w:p>
    <w:p w14:paraId="6B27B7EC" w14:textId="76FBC945" w:rsidR="00B7243F" w:rsidRPr="002D605C" w:rsidRDefault="00000000" w:rsidP="002D605C">
      <w:pPr>
        <w:pBdr>
          <w:top w:val="nil"/>
          <w:left w:val="nil"/>
          <w:bottom w:val="nil"/>
          <w:right w:val="nil"/>
          <w:between w:val="nil"/>
        </w:pBdr>
        <w:spacing w:line="360" w:lineRule="auto"/>
        <w:rPr>
          <w:rFonts w:ascii="Arial" w:hAnsi="Arial" w:cs="Arial"/>
          <w:sz w:val="22"/>
          <w:szCs w:val="22"/>
        </w:rPr>
      </w:pPr>
      <w:r w:rsidRPr="00761D38">
        <w:rPr>
          <w:rFonts w:ascii="Arial" w:hAnsi="Arial" w:cs="Arial"/>
          <w:sz w:val="22"/>
          <w:szCs w:val="22"/>
        </w:rPr>
        <w:t>This article supports the idea of person-centred care in a health and social care setting, where residents are encouraged to stay socially active, make choices for themselves and take part in meaningful activities. This will help improve their emotional wellbeing and sense of identity.</w:t>
      </w:r>
    </w:p>
    <w:p w14:paraId="6DC7D770" w14:textId="77777777" w:rsidR="00B7243F" w:rsidRDefault="00000000">
      <w:pPr>
        <w:pStyle w:val="Heading3"/>
        <w:numPr>
          <w:ilvl w:val="1"/>
          <w:numId w:val="1"/>
        </w:numPr>
        <w:tabs>
          <w:tab w:val="left" w:pos="0"/>
        </w:tabs>
      </w:pPr>
      <w:bookmarkStart w:id="7" w:name="_heading=h.rcka0l2tc930" w:colFirst="0" w:colLast="0"/>
      <w:bookmarkStart w:id="8" w:name="_Toc227647855"/>
      <w:bookmarkEnd w:id="7"/>
      <w:r>
        <w:t>Source four - Positive psychology: An introduction</w:t>
      </w:r>
      <w:bookmarkEnd w:id="8"/>
    </w:p>
    <w:p w14:paraId="26A0C386" w14:textId="77777777" w:rsidR="00B7243F" w:rsidRPr="00761D38" w:rsidRDefault="00000000" w:rsidP="00761D38">
      <w:pPr>
        <w:pBdr>
          <w:top w:val="nil"/>
          <w:left w:val="nil"/>
          <w:bottom w:val="nil"/>
          <w:right w:val="nil"/>
          <w:between w:val="nil"/>
        </w:pBdr>
        <w:spacing w:line="360" w:lineRule="auto"/>
        <w:rPr>
          <w:rFonts w:ascii="Arial" w:hAnsi="Arial" w:cs="Arial"/>
          <w:sz w:val="22"/>
          <w:szCs w:val="22"/>
        </w:rPr>
      </w:pPr>
      <w:r w:rsidRPr="00761D38">
        <w:rPr>
          <w:rFonts w:ascii="Arial" w:hAnsi="Arial" w:cs="Arial"/>
          <w:sz w:val="22"/>
          <w:szCs w:val="22"/>
        </w:rPr>
        <w:t>This article introduces the concept of positive psychology focusing on strengths, positive emotions, and what helps people live meaningful and satisfying lives. In the article the authors argue that wellbeing is improved when people feel hopeful, connected and able to use their personal strengths. They also explain that positive emotions help people recover from stress, cope better with challenges, and stay mentally healthy. Overall, positive psychology suggests that older adults can still thrive if they are offered support to help them find purpose, enjoyment, and social connection.</w:t>
      </w:r>
    </w:p>
    <w:p w14:paraId="56B2FDFE" w14:textId="3F1DB330" w:rsidR="00B7243F" w:rsidRPr="00761D38" w:rsidRDefault="00000000" w:rsidP="00761D38">
      <w:pPr>
        <w:pBdr>
          <w:top w:val="nil"/>
          <w:left w:val="nil"/>
          <w:bottom w:val="nil"/>
          <w:right w:val="nil"/>
          <w:between w:val="nil"/>
        </w:pBdr>
        <w:spacing w:line="360" w:lineRule="auto"/>
        <w:rPr>
          <w:rFonts w:ascii="Arial" w:hAnsi="Arial" w:cs="Arial"/>
          <w:sz w:val="22"/>
          <w:szCs w:val="22"/>
        </w:rPr>
      </w:pPr>
      <w:r w:rsidRPr="00761D38">
        <w:rPr>
          <w:rFonts w:ascii="Arial" w:hAnsi="Arial" w:cs="Arial"/>
          <w:sz w:val="22"/>
          <w:szCs w:val="22"/>
        </w:rPr>
        <w:t>This article moves away from the idea of viewing ageing as a time of decline and encourages care home staff to focus on what helps residents flourish. It highlights the importance of activities such as social events, hobbies and physical exercise as effective ways to improve mood and support mental wellbeing of service users.</w:t>
      </w:r>
    </w:p>
    <w:p w14:paraId="2BC6E15A" w14:textId="77777777" w:rsidR="00B7243F" w:rsidRDefault="00000000">
      <w:pPr>
        <w:pStyle w:val="Heading2"/>
        <w:numPr>
          <w:ilvl w:val="1"/>
          <w:numId w:val="1"/>
        </w:numPr>
        <w:tabs>
          <w:tab w:val="left" w:pos="0"/>
        </w:tabs>
      </w:pPr>
      <w:bookmarkStart w:id="9" w:name="_heading=h.3fj72bfxb8o3" w:colFirst="0" w:colLast="0"/>
      <w:bookmarkStart w:id="10" w:name="_Toc227647856"/>
      <w:bookmarkEnd w:id="9"/>
      <w:r>
        <w:t>Section B</w:t>
      </w:r>
      <w:bookmarkEnd w:id="10"/>
    </w:p>
    <w:p w14:paraId="07C0041A" w14:textId="72E48630" w:rsidR="00B7243F" w:rsidRPr="00761D38" w:rsidRDefault="00000000" w:rsidP="00761D38">
      <w:pPr>
        <w:numPr>
          <w:ilvl w:val="1"/>
          <w:numId w:val="1"/>
        </w:numPr>
        <w:tabs>
          <w:tab w:val="left" w:pos="0"/>
        </w:tabs>
        <w:spacing w:line="360" w:lineRule="auto"/>
        <w:rPr>
          <w:rFonts w:ascii="Arial" w:hAnsi="Arial" w:cs="Arial"/>
          <w:sz w:val="22"/>
          <w:szCs w:val="22"/>
        </w:rPr>
      </w:pPr>
      <w:r w:rsidRPr="00761D38">
        <w:rPr>
          <w:rFonts w:ascii="Arial" w:hAnsi="Arial" w:cs="Arial"/>
          <w:sz w:val="22"/>
          <w:szCs w:val="22"/>
        </w:rPr>
        <w:t xml:space="preserve">This report will explain how Bowlby’s attachment theory can be applied to improve the psychological wellbeing of older adults living in residential care homes. It will also include a </w:t>
      </w:r>
      <w:r w:rsidR="00761D38" w:rsidRPr="00761D38">
        <w:rPr>
          <w:rFonts w:ascii="Arial" w:hAnsi="Arial" w:cs="Arial"/>
          <w:sz w:val="22"/>
          <w:szCs w:val="22"/>
        </w:rPr>
        <w:t>case scenario</w:t>
      </w:r>
      <w:r w:rsidRPr="00761D38">
        <w:rPr>
          <w:rFonts w:ascii="Arial" w:hAnsi="Arial" w:cs="Arial"/>
          <w:sz w:val="22"/>
          <w:szCs w:val="22"/>
        </w:rPr>
        <w:t xml:space="preserve"> of how the theory can be used in </w:t>
      </w:r>
      <w:r w:rsidR="00761D38" w:rsidRPr="00761D38">
        <w:rPr>
          <w:rFonts w:ascii="Arial" w:hAnsi="Arial" w:cs="Arial"/>
          <w:sz w:val="22"/>
          <w:szCs w:val="22"/>
        </w:rPr>
        <w:t>practice and</w:t>
      </w:r>
      <w:r w:rsidRPr="00761D38">
        <w:rPr>
          <w:rFonts w:ascii="Arial" w:hAnsi="Arial" w:cs="Arial"/>
          <w:sz w:val="22"/>
          <w:szCs w:val="22"/>
        </w:rPr>
        <w:t xml:space="preserve"> discuss a possible challenge with a strategy to overcome it.</w:t>
      </w:r>
    </w:p>
    <w:p w14:paraId="6C6A1B15" w14:textId="77777777" w:rsidR="00B7243F" w:rsidRPr="00761D38" w:rsidRDefault="00000000" w:rsidP="00761D38">
      <w:pPr>
        <w:numPr>
          <w:ilvl w:val="1"/>
          <w:numId w:val="1"/>
        </w:numPr>
        <w:tabs>
          <w:tab w:val="left" w:pos="0"/>
        </w:tabs>
        <w:spacing w:line="360" w:lineRule="auto"/>
        <w:rPr>
          <w:rFonts w:ascii="Arial" w:hAnsi="Arial" w:cs="Arial"/>
          <w:sz w:val="22"/>
          <w:szCs w:val="22"/>
        </w:rPr>
      </w:pPr>
      <w:r w:rsidRPr="00761D38">
        <w:rPr>
          <w:rFonts w:ascii="Arial" w:hAnsi="Arial" w:cs="Arial"/>
          <w:sz w:val="22"/>
          <w:szCs w:val="22"/>
        </w:rPr>
        <w:lastRenderedPageBreak/>
        <w:t>Bowlby’s attachment theory explains that people need close emotional relationships to feel safe, secure and supported. Although the theory was first developed to explain children’s relationships with caregivers, it is now understood that attachment needs to continue throughout life. In older adulthood, these needs can become stronger, especially during times of illness, loss or major life changes such as moving into a care home. During these situations adults may experience anxiety, loneliness, or fear when they are separated from people they are familiar with and in different environments. Because of this, forming secure and trusting relationships is very important to their emotional wellbeing.</w:t>
      </w:r>
    </w:p>
    <w:p w14:paraId="3D9DD2F7" w14:textId="77777777" w:rsidR="00B7243F" w:rsidRPr="00761D38" w:rsidRDefault="00000000" w:rsidP="00761D38">
      <w:pPr>
        <w:tabs>
          <w:tab w:val="left" w:pos="0"/>
        </w:tabs>
        <w:spacing w:line="360" w:lineRule="auto"/>
        <w:rPr>
          <w:rFonts w:ascii="Arial" w:hAnsi="Arial" w:cs="Arial"/>
          <w:sz w:val="22"/>
          <w:szCs w:val="22"/>
        </w:rPr>
      </w:pPr>
      <w:r w:rsidRPr="00761D38">
        <w:rPr>
          <w:rFonts w:ascii="Arial" w:hAnsi="Arial" w:cs="Arial"/>
          <w:sz w:val="22"/>
          <w:szCs w:val="22"/>
        </w:rPr>
        <w:t>In residential care settings, attachment theory can be applied by encouraging strong and consistent relationships between staff and residents. When care workers are reliable and emotionally supportive, residents are more likely to feel safe and valued. Actions like taking time to talk to them, listening to them talking about their day, responding kindly and catering to their emotional needs can help build trust. Consistency is also important; service users seeing the same staff members regularly will also help form secure attachments, which can reduce anxiety and improve their overall wellbeing as they get used to new familiar faces and build more meaningful connections.</w:t>
      </w:r>
    </w:p>
    <w:p w14:paraId="6AB31B94" w14:textId="77777777" w:rsidR="00B7243F" w:rsidRPr="00761D38" w:rsidRDefault="00000000" w:rsidP="00761D38">
      <w:pPr>
        <w:tabs>
          <w:tab w:val="left" w:pos="0"/>
        </w:tabs>
        <w:spacing w:line="360" w:lineRule="auto"/>
        <w:rPr>
          <w:rFonts w:ascii="Arial" w:hAnsi="Arial" w:cs="Arial"/>
          <w:sz w:val="22"/>
          <w:szCs w:val="22"/>
        </w:rPr>
      </w:pPr>
      <w:r w:rsidRPr="00761D38">
        <w:rPr>
          <w:rFonts w:ascii="Arial" w:hAnsi="Arial" w:cs="Arial"/>
          <w:sz w:val="22"/>
          <w:szCs w:val="22"/>
        </w:rPr>
        <w:t>Additionally, attachment theory can help staff better understand resident’s behaviour. For example, if a resident becomes upset when left alone or frequently calls for help or company, this may be a sign that they are feeling anxious or lonely. When staff understand this, they are more likely to respond with patience and kindness rather than frustration.</w:t>
      </w:r>
    </w:p>
    <w:p w14:paraId="7435F266" w14:textId="77777777" w:rsidR="00B7243F" w:rsidRPr="00761D38" w:rsidRDefault="00000000" w:rsidP="00761D38">
      <w:pPr>
        <w:tabs>
          <w:tab w:val="left" w:pos="0"/>
        </w:tabs>
        <w:spacing w:line="360" w:lineRule="auto"/>
        <w:rPr>
          <w:rFonts w:ascii="Arial" w:hAnsi="Arial" w:cs="Arial"/>
          <w:sz w:val="22"/>
          <w:szCs w:val="22"/>
        </w:rPr>
      </w:pPr>
      <w:r w:rsidRPr="00761D38">
        <w:rPr>
          <w:rFonts w:ascii="Arial" w:hAnsi="Arial" w:cs="Arial"/>
          <w:sz w:val="22"/>
          <w:szCs w:val="22"/>
        </w:rPr>
        <w:t>An example of how attachment theory can be applied can be seen through this case scenario where Mary, an older adult moves into a residential home after losing her husband. When she first arrived, Mary often felt anxious, cried frequently and did not take part in group activities.  Staff noticed that she became calmer when one particular care worker spent time with her. To support her, the care home arranged for that staff member to become her key worker. Said care worker spent time with Mary each day, talking with her, listening to her feelings and providing reassurance. Over time, Mary began to feel more secure and started to trust her new environment. She gradually became more involved in activities and showed improvements in her mood and overall wellbeing. This example shows how building a secure attachment can help reduce distress and support emotional adjustment.</w:t>
      </w:r>
    </w:p>
    <w:p w14:paraId="54A13A00" w14:textId="77777777" w:rsidR="00B7243F" w:rsidRPr="00761D38" w:rsidRDefault="00000000" w:rsidP="00761D38">
      <w:pPr>
        <w:tabs>
          <w:tab w:val="left" w:pos="0"/>
        </w:tabs>
        <w:spacing w:line="360" w:lineRule="auto"/>
        <w:rPr>
          <w:rFonts w:ascii="Arial" w:hAnsi="Arial" w:cs="Arial"/>
          <w:sz w:val="22"/>
          <w:szCs w:val="22"/>
        </w:rPr>
      </w:pPr>
      <w:r w:rsidRPr="00761D38">
        <w:rPr>
          <w:rFonts w:ascii="Arial" w:hAnsi="Arial" w:cs="Arial"/>
          <w:sz w:val="22"/>
          <w:szCs w:val="22"/>
        </w:rPr>
        <w:t>However, there are some challenges when applying attachment theory in care homes. One common challenge is staff shortages in high staff turnover. When residents are cared for by many different staff members it becomes difficult to build consistent relationships. This can prevent the development of secure attachments and may increase feelings of confusion or anxiety in residents (Spilsbury et al., 2024)</w:t>
      </w:r>
    </w:p>
    <w:p w14:paraId="483AF115" w14:textId="27CC7FB4" w:rsidR="00B7243F" w:rsidRPr="00761D38" w:rsidRDefault="00000000" w:rsidP="00761D38">
      <w:pPr>
        <w:tabs>
          <w:tab w:val="left" w:pos="0"/>
        </w:tabs>
        <w:spacing w:line="360" w:lineRule="auto"/>
        <w:rPr>
          <w:rFonts w:ascii="Arial" w:hAnsi="Arial" w:cs="Arial"/>
          <w:sz w:val="22"/>
          <w:szCs w:val="22"/>
        </w:rPr>
      </w:pPr>
      <w:r w:rsidRPr="00761D38">
        <w:rPr>
          <w:rFonts w:ascii="Arial" w:hAnsi="Arial" w:cs="Arial"/>
          <w:sz w:val="22"/>
          <w:szCs w:val="22"/>
        </w:rPr>
        <w:lastRenderedPageBreak/>
        <w:t xml:space="preserve">A possible way to improve this challenge is to improve continuity of care, this means making sure that residents are supported by the same staff member as much as possible so that relationships can develop over time; when staff are consistent, residents are more likely to feel safe, recognised, and emotionally supported. Additionally, care homes should ensure that members of staff are adequately trained in communication skills and </w:t>
      </w:r>
      <w:r w:rsidR="00211CDC" w:rsidRPr="00761D38">
        <w:rPr>
          <w:rFonts w:ascii="Arial" w:hAnsi="Arial" w:cs="Arial"/>
          <w:sz w:val="22"/>
          <w:szCs w:val="22"/>
        </w:rPr>
        <w:t>person-centred</w:t>
      </w:r>
      <w:r w:rsidRPr="00761D38">
        <w:rPr>
          <w:rFonts w:ascii="Arial" w:hAnsi="Arial" w:cs="Arial"/>
          <w:sz w:val="22"/>
          <w:szCs w:val="22"/>
        </w:rPr>
        <w:t xml:space="preserve"> care in order to be able to better understand resident’s emotional needs and respond in a supportive and respectful way (National Institute of Health and Care Excellence (NICE), 2019).</w:t>
      </w:r>
    </w:p>
    <w:p w14:paraId="5BDF6807" w14:textId="3D2FFE03" w:rsidR="00B7243F" w:rsidRPr="002D605C" w:rsidRDefault="00000000" w:rsidP="002D605C">
      <w:pPr>
        <w:numPr>
          <w:ilvl w:val="0"/>
          <w:numId w:val="1"/>
        </w:numPr>
        <w:tabs>
          <w:tab w:val="left" w:pos="0"/>
        </w:tabs>
        <w:spacing w:line="360" w:lineRule="auto"/>
        <w:rPr>
          <w:rFonts w:ascii="Arial" w:hAnsi="Arial" w:cs="Arial"/>
          <w:sz w:val="22"/>
          <w:szCs w:val="22"/>
        </w:rPr>
      </w:pPr>
      <w:r w:rsidRPr="00761D38">
        <w:rPr>
          <w:rFonts w:ascii="Arial" w:hAnsi="Arial" w:cs="Arial"/>
          <w:sz w:val="22"/>
          <w:szCs w:val="22"/>
        </w:rPr>
        <w:t xml:space="preserve">In conclusion, </w:t>
      </w:r>
      <w:r w:rsidR="00211CDC" w:rsidRPr="00761D38">
        <w:rPr>
          <w:rFonts w:ascii="Arial" w:hAnsi="Arial" w:cs="Arial"/>
          <w:sz w:val="22"/>
          <w:szCs w:val="22"/>
        </w:rPr>
        <w:t>Bowlby’s</w:t>
      </w:r>
      <w:r w:rsidRPr="00761D38">
        <w:rPr>
          <w:rFonts w:ascii="Arial" w:hAnsi="Arial" w:cs="Arial"/>
          <w:sz w:val="22"/>
          <w:szCs w:val="22"/>
        </w:rPr>
        <w:t xml:space="preserve"> attachment theory is highly relevant to residential care settings and provides a useful framework for improving the psychological wellbeing of older adults. By building trusting relationships, providing consistent care, and responding to emotional needs with empathy, care staff can help residents feel safe, valued, and supported. Although challenges such as staff shortage exist, strategies such as the key worker system can help overcome these difficulties and promote better outcomes from residents.</w:t>
      </w:r>
    </w:p>
    <w:p w14:paraId="24A6BCFF" w14:textId="77777777" w:rsidR="00B7243F" w:rsidRDefault="00000000">
      <w:pPr>
        <w:pStyle w:val="Heading2"/>
        <w:numPr>
          <w:ilvl w:val="0"/>
          <w:numId w:val="1"/>
        </w:numPr>
        <w:tabs>
          <w:tab w:val="left" w:pos="0"/>
        </w:tabs>
      </w:pPr>
      <w:bookmarkStart w:id="11" w:name="_heading=h.iob8qj4cgm51" w:colFirst="0" w:colLast="0"/>
      <w:bookmarkStart w:id="12" w:name="_Toc227647857"/>
      <w:bookmarkEnd w:id="11"/>
      <w:r>
        <w:t>References</w:t>
      </w:r>
      <w:bookmarkEnd w:id="12"/>
    </w:p>
    <w:p w14:paraId="2BAD3E0E" w14:textId="77777777" w:rsidR="00B7243F" w:rsidRPr="00761D38" w:rsidRDefault="00000000" w:rsidP="00761D38">
      <w:pPr>
        <w:numPr>
          <w:ilvl w:val="0"/>
          <w:numId w:val="1"/>
        </w:numPr>
        <w:tabs>
          <w:tab w:val="left" w:pos="0"/>
        </w:tabs>
        <w:spacing w:line="360" w:lineRule="auto"/>
        <w:rPr>
          <w:rFonts w:ascii="Arial" w:hAnsi="Arial" w:cs="Arial"/>
          <w:sz w:val="22"/>
          <w:szCs w:val="22"/>
        </w:rPr>
      </w:pPr>
      <w:r w:rsidRPr="00761D38">
        <w:rPr>
          <w:rFonts w:ascii="Arial" w:hAnsi="Arial" w:cs="Arial"/>
          <w:sz w:val="22"/>
          <w:szCs w:val="22"/>
        </w:rPr>
        <w:t xml:space="preserve">Bowlby J. (1988) </w:t>
      </w:r>
      <w:r w:rsidRPr="00761D38">
        <w:rPr>
          <w:rFonts w:ascii="Arial" w:hAnsi="Arial" w:cs="Arial"/>
          <w:i/>
          <w:iCs/>
          <w:sz w:val="22"/>
          <w:szCs w:val="22"/>
        </w:rPr>
        <w:t xml:space="preserve">A secure base: Parent- child attachment and healthy human development. </w:t>
      </w:r>
      <w:r w:rsidRPr="00761D38">
        <w:rPr>
          <w:rFonts w:ascii="Arial" w:hAnsi="Arial" w:cs="Arial"/>
          <w:sz w:val="22"/>
          <w:szCs w:val="22"/>
        </w:rPr>
        <w:t xml:space="preserve">New York: Basic Books. </w:t>
      </w:r>
    </w:p>
    <w:p w14:paraId="30327A80" w14:textId="77777777" w:rsidR="00B7243F" w:rsidRPr="00761D38" w:rsidRDefault="00000000" w:rsidP="00761D38">
      <w:pPr>
        <w:numPr>
          <w:ilvl w:val="0"/>
          <w:numId w:val="1"/>
        </w:numPr>
        <w:tabs>
          <w:tab w:val="left" w:pos="0"/>
        </w:tabs>
        <w:spacing w:line="360" w:lineRule="auto"/>
        <w:rPr>
          <w:rFonts w:ascii="Arial" w:hAnsi="Arial" w:cs="Arial"/>
          <w:sz w:val="22"/>
          <w:szCs w:val="22"/>
        </w:rPr>
      </w:pPr>
      <w:r w:rsidRPr="00761D38">
        <w:rPr>
          <w:rFonts w:ascii="Arial" w:hAnsi="Arial" w:cs="Arial"/>
          <w:sz w:val="22"/>
          <w:szCs w:val="22"/>
        </w:rPr>
        <w:t xml:space="preserve">National Institute for Health and Care Excellence (NICE) (2019) </w:t>
      </w:r>
      <w:r w:rsidRPr="00761D38">
        <w:rPr>
          <w:rFonts w:ascii="Arial" w:hAnsi="Arial" w:cs="Arial"/>
          <w:i/>
          <w:iCs/>
          <w:sz w:val="22"/>
          <w:szCs w:val="22"/>
        </w:rPr>
        <w:t xml:space="preserve">People’s experience in adult social care services: Quality statement 3: Continuity if care and support (QS182). </w:t>
      </w:r>
      <w:r w:rsidRPr="00761D38">
        <w:rPr>
          <w:rFonts w:ascii="Arial" w:hAnsi="Arial" w:cs="Arial"/>
          <w:sz w:val="22"/>
          <w:szCs w:val="22"/>
        </w:rPr>
        <w:t xml:space="preserve">Available at: </w:t>
      </w:r>
      <w:hyperlink r:id="rId7">
        <w:r w:rsidRPr="00761D38">
          <w:rPr>
            <w:rFonts w:ascii="Arial" w:hAnsi="Arial" w:cs="Arial"/>
            <w:color w:val="1155CC"/>
            <w:sz w:val="22"/>
            <w:szCs w:val="22"/>
            <w:u w:val="single"/>
          </w:rPr>
          <w:t>Quality statement 3: Continuity of care and support | People’s experience using adult social care services | Quality standards | N</w:t>
        </w:r>
        <w:r w:rsidRPr="00761D38">
          <w:rPr>
            <w:rFonts w:ascii="Arial" w:hAnsi="Arial" w:cs="Arial"/>
            <w:color w:val="1155CC"/>
            <w:sz w:val="22"/>
            <w:szCs w:val="22"/>
            <w:u w:val="single"/>
          </w:rPr>
          <w:t>I</w:t>
        </w:r>
        <w:r w:rsidRPr="00761D38">
          <w:rPr>
            <w:rFonts w:ascii="Arial" w:hAnsi="Arial" w:cs="Arial"/>
            <w:color w:val="1155CC"/>
            <w:sz w:val="22"/>
            <w:szCs w:val="22"/>
            <w:u w:val="single"/>
          </w:rPr>
          <w:t>CE</w:t>
        </w:r>
      </w:hyperlink>
      <w:r w:rsidRPr="00761D38">
        <w:rPr>
          <w:rFonts w:ascii="Arial" w:hAnsi="Arial" w:cs="Arial"/>
          <w:sz w:val="22"/>
          <w:szCs w:val="22"/>
        </w:rPr>
        <w:t xml:space="preserve"> (Accessed 20/04/2026)</w:t>
      </w:r>
    </w:p>
    <w:p w14:paraId="1B924B0E" w14:textId="77777777" w:rsidR="00B7243F" w:rsidRPr="00761D38" w:rsidRDefault="00000000" w:rsidP="00761D38">
      <w:pPr>
        <w:numPr>
          <w:ilvl w:val="0"/>
          <w:numId w:val="1"/>
        </w:numPr>
        <w:tabs>
          <w:tab w:val="left" w:pos="0"/>
        </w:tabs>
        <w:spacing w:line="360" w:lineRule="auto"/>
        <w:rPr>
          <w:rFonts w:ascii="Arial" w:hAnsi="Arial" w:cs="Arial"/>
          <w:sz w:val="22"/>
          <w:szCs w:val="22"/>
        </w:rPr>
      </w:pPr>
      <w:r w:rsidRPr="00761D38">
        <w:rPr>
          <w:rFonts w:ascii="Arial" w:hAnsi="Arial" w:cs="Arial"/>
          <w:sz w:val="22"/>
          <w:szCs w:val="22"/>
        </w:rPr>
        <w:t xml:space="preserve">Rodway C. (2025) </w:t>
      </w:r>
      <w:r w:rsidRPr="00761D38">
        <w:rPr>
          <w:rFonts w:ascii="Arial" w:hAnsi="Arial" w:cs="Arial"/>
          <w:i/>
          <w:iCs/>
          <w:sz w:val="22"/>
          <w:szCs w:val="22"/>
        </w:rPr>
        <w:t xml:space="preserve">Attachment in old age: A fundamental pillar of public health and wellbeing. International Journal of Public Health, </w:t>
      </w:r>
      <w:r w:rsidRPr="00761D38">
        <w:rPr>
          <w:rFonts w:ascii="Arial" w:hAnsi="Arial" w:cs="Arial"/>
          <w:sz w:val="22"/>
          <w:szCs w:val="22"/>
        </w:rPr>
        <w:t xml:space="preserve">70, 1607770. Available at: </w:t>
      </w:r>
      <w:hyperlink r:id="rId8">
        <w:r w:rsidRPr="00761D38">
          <w:rPr>
            <w:rFonts w:ascii="Arial" w:hAnsi="Arial" w:cs="Arial"/>
            <w:color w:val="1155CC"/>
            <w:sz w:val="22"/>
            <w:szCs w:val="22"/>
            <w:u w:val="single"/>
          </w:rPr>
          <w:t>S</w:t>
        </w:r>
        <w:r w:rsidRPr="00761D38">
          <w:rPr>
            <w:rFonts w:ascii="Arial" w:hAnsi="Arial" w:cs="Arial"/>
            <w:color w:val="1155CC"/>
            <w:sz w:val="22"/>
            <w:szCs w:val="22"/>
            <w:u w:val="single"/>
          </w:rPr>
          <w:t>S</w:t>
        </w:r>
        <w:r w:rsidRPr="00761D38">
          <w:rPr>
            <w:rFonts w:ascii="Arial" w:hAnsi="Arial" w:cs="Arial"/>
            <w:color w:val="1155CC"/>
            <w:sz w:val="22"/>
            <w:szCs w:val="22"/>
            <w:u w:val="single"/>
          </w:rPr>
          <w:t>PH+ | Attachment in Old Age: A Fundamental Pillar for Public Health and Wellbeing</w:t>
        </w:r>
      </w:hyperlink>
      <w:r w:rsidRPr="00761D38">
        <w:rPr>
          <w:rFonts w:ascii="Arial" w:hAnsi="Arial" w:cs="Arial"/>
          <w:sz w:val="22"/>
          <w:szCs w:val="22"/>
        </w:rPr>
        <w:t xml:space="preserve"> (Accessed 12/04/2026)</w:t>
      </w:r>
    </w:p>
    <w:p w14:paraId="565627A9" w14:textId="77777777" w:rsidR="00B7243F" w:rsidRPr="00761D38" w:rsidRDefault="00000000" w:rsidP="00761D38">
      <w:pPr>
        <w:numPr>
          <w:ilvl w:val="0"/>
          <w:numId w:val="1"/>
        </w:numPr>
        <w:tabs>
          <w:tab w:val="left" w:pos="0"/>
        </w:tabs>
        <w:spacing w:line="360" w:lineRule="auto"/>
        <w:rPr>
          <w:rFonts w:ascii="Arial" w:hAnsi="Arial" w:cs="Arial"/>
          <w:sz w:val="22"/>
          <w:szCs w:val="22"/>
        </w:rPr>
      </w:pPr>
      <w:r w:rsidRPr="00761D38">
        <w:rPr>
          <w:rFonts w:ascii="Arial" w:hAnsi="Arial" w:cs="Arial"/>
          <w:sz w:val="22"/>
          <w:szCs w:val="22"/>
        </w:rPr>
        <w:t xml:space="preserve">Ryff,  C. D. (2014) </w:t>
      </w:r>
      <w:r w:rsidRPr="00761D38">
        <w:rPr>
          <w:rFonts w:ascii="Arial" w:hAnsi="Arial" w:cs="Arial"/>
          <w:i/>
          <w:iCs/>
          <w:sz w:val="22"/>
          <w:szCs w:val="22"/>
        </w:rPr>
        <w:t xml:space="preserve">Psychological well-being revisited: Advances in science and practice. Psychotherapy and Psychosomatics, </w:t>
      </w:r>
      <w:r w:rsidRPr="00761D38">
        <w:rPr>
          <w:rFonts w:ascii="Arial" w:hAnsi="Arial" w:cs="Arial"/>
          <w:sz w:val="22"/>
          <w:szCs w:val="22"/>
        </w:rPr>
        <w:t xml:space="preserve">83(1), pp. 10-28. Available at: </w:t>
      </w:r>
      <w:hyperlink r:id="rId9">
        <w:r w:rsidRPr="00761D38">
          <w:rPr>
            <w:rFonts w:ascii="Arial" w:hAnsi="Arial" w:cs="Arial"/>
            <w:color w:val="1155CC"/>
            <w:sz w:val="22"/>
            <w:szCs w:val="22"/>
            <w:u w:val="single"/>
          </w:rPr>
          <w:t>Psychologica</w:t>
        </w:r>
        <w:r w:rsidRPr="00761D38">
          <w:rPr>
            <w:rFonts w:ascii="Arial" w:hAnsi="Arial" w:cs="Arial"/>
            <w:color w:val="1155CC"/>
            <w:sz w:val="22"/>
            <w:szCs w:val="22"/>
            <w:u w:val="single"/>
          </w:rPr>
          <w:t>l</w:t>
        </w:r>
        <w:r w:rsidRPr="00761D38">
          <w:rPr>
            <w:rFonts w:ascii="Arial" w:hAnsi="Arial" w:cs="Arial"/>
            <w:color w:val="1155CC"/>
            <w:sz w:val="22"/>
            <w:szCs w:val="22"/>
            <w:u w:val="single"/>
          </w:rPr>
          <w:t xml:space="preserve"> Well-Being Revisited: Advances in Science and Practice - PMC</w:t>
        </w:r>
      </w:hyperlink>
      <w:r w:rsidRPr="00761D38">
        <w:rPr>
          <w:rFonts w:ascii="Arial" w:hAnsi="Arial" w:cs="Arial"/>
          <w:sz w:val="22"/>
          <w:szCs w:val="22"/>
        </w:rPr>
        <w:t xml:space="preserve"> (Accessed 12/04/2026)</w:t>
      </w:r>
    </w:p>
    <w:p w14:paraId="423C547D" w14:textId="2B29593E" w:rsidR="00B7243F" w:rsidRPr="00761D38" w:rsidRDefault="00000000" w:rsidP="00761D38">
      <w:pPr>
        <w:numPr>
          <w:ilvl w:val="0"/>
          <w:numId w:val="1"/>
        </w:numPr>
        <w:tabs>
          <w:tab w:val="left" w:pos="0"/>
        </w:tabs>
        <w:spacing w:line="360" w:lineRule="auto"/>
        <w:rPr>
          <w:rFonts w:ascii="Arial" w:hAnsi="Arial" w:cs="Arial"/>
          <w:sz w:val="22"/>
          <w:szCs w:val="22"/>
        </w:rPr>
      </w:pPr>
      <w:r w:rsidRPr="00761D38">
        <w:rPr>
          <w:rFonts w:ascii="Arial" w:hAnsi="Arial" w:cs="Arial"/>
          <w:sz w:val="22"/>
          <w:szCs w:val="22"/>
        </w:rPr>
        <w:t xml:space="preserve">Spilsbury K., Charwood A., Thompson C., Haunch K., Valizade D., Devi R., Jackson C., Aldred D.P., Arthur A., Brown L., Edwards P., Fenton W., Gage H., Glover M., Hanratty B., Meyer J. and Wanton A. (2024) </w:t>
      </w:r>
      <w:r w:rsidRPr="00761D38">
        <w:rPr>
          <w:rFonts w:ascii="Arial" w:hAnsi="Arial" w:cs="Arial"/>
          <w:i/>
          <w:iCs/>
          <w:sz w:val="22"/>
          <w:szCs w:val="22"/>
        </w:rPr>
        <w:t>Relationship between staff and quality of care in care homes: S</w:t>
      </w:r>
      <w:r w:rsidR="00211CDC" w:rsidRPr="00761D38">
        <w:rPr>
          <w:rFonts w:ascii="Arial" w:hAnsi="Arial" w:cs="Arial"/>
          <w:i/>
          <w:iCs/>
          <w:sz w:val="22"/>
          <w:szCs w:val="22"/>
        </w:rPr>
        <w:t>taRQ</w:t>
      </w:r>
      <w:r w:rsidRPr="00761D38">
        <w:rPr>
          <w:rFonts w:ascii="Arial" w:hAnsi="Arial" w:cs="Arial"/>
          <w:i/>
          <w:iCs/>
          <w:sz w:val="22"/>
          <w:szCs w:val="22"/>
        </w:rPr>
        <w:t xml:space="preserve"> mixed methods study. Health and Social Care Delivery Research, </w:t>
      </w:r>
      <w:r w:rsidRPr="00761D38">
        <w:rPr>
          <w:rFonts w:ascii="Arial" w:hAnsi="Arial" w:cs="Arial"/>
          <w:sz w:val="22"/>
          <w:szCs w:val="22"/>
        </w:rPr>
        <w:t xml:space="preserve">12(8). Available at: </w:t>
      </w:r>
      <w:hyperlink r:id="rId10">
        <w:r w:rsidRPr="00761D38">
          <w:rPr>
            <w:rFonts w:ascii="Arial" w:hAnsi="Arial" w:cs="Arial"/>
            <w:color w:val="1155CC"/>
            <w:sz w:val="22"/>
            <w:szCs w:val="22"/>
            <w:u w:val="single"/>
          </w:rPr>
          <w:t>Relationship between staff and quality of care in care hom</w:t>
        </w:r>
        <w:r w:rsidRPr="00761D38">
          <w:rPr>
            <w:rFonts w:ascii="Arial" w:hAnsi="Arial" w:cs="Arial"/>
            <w:color w:val="1155CC"/>
            <w:sz w:val="22"/>
            <w:szCs w:val="22"/>
            <w:u w:val="single"/>
          </w:rPr>
          <w:t>e</w:t>
        </w:r>
        <w:r w:rsidRPr="00761D38">
          <w:rPr>
            <w:rFonts w:ascii="Arial" w:hAnsi="Arial" w:cs="Arial"/>
            <w:color w:val="1155CC"/>
            <w:sz w:val="22"/>
            <w:szCs w:val="22"/>
            <w:u w:val="single"/>
          </w:rPr>
          <w:t>s: StaRQ mixed methods study | NIHR Journals Library</w:t>
        </w:r>
      </w:hyperlink>
      <w:r w:rsidRPr="00761D38">
        <w:rPr>
          <w:rFonts w:ascii="Arial" w:hAnsi="Arial" w:cs="Arial"/>
          <w:sz w:val="22"/>
          <w:szCs w:val="22"/>
        </w:rPr>
        <w:t xml:space="preserve"> (Accessed 20/04/2026)</w:t>
      </w:r>
    </w:p>
    <w:p w14:paraId="1F820DF0" w14:textId="77777777" w:rsidR="00B7243F" w:rsidRDefault="00000000">
      <w:pPr>
        <w:numPr>
          <w:ilvl w:val="0"/>
          <w:numId w:val="1"/>
        </w:numPr>
        <w:tabs>
          <w:tab w:val="left" w:pos="0"/>
        </w:tabs>
      </w:pPr>
      <w:r>
        <w:lastRenderedPageBreak/>
        <w:t xml:space="preserve">Seligman, M.E.P. and Csikszentmihalyi, M. (2000) </w:t>
      </w:r>
      <w:r>
        <w:rPr>
          <w:i/>
          <w:iCs/>
        </w:rPr>
        <w:t xml:space="preserve">Positive psychology: An introduction. American Psychologist, </w:t>
      </w:r>
      <w:r>
        <w:t xml:space="preserve">55(1), pp. 5-14. Available at: </w:t>
      </w:r>
      <w:hyperlink r:id="rId11">
        <w:r>
          <w:rPr>
            <w:color w:val="1155CC"/>
            <w:u w:val="single"/>
          </w:rPr>
          <w:t>00</w:t>
        </w:r>
        <w:r>
          <w:rPr>
            <w:color w:val="1155CC"/>
            <w:u w:val="single"/>
          </w:rPr>
          <w:t>1</w:t>
        </w:r>
        <w:r>
          <w:rPr>
            <w:color w:val="1155CC"/>
            <w:u w:val="single"/>
          </w:rPr>
          <w:t>6.tif</w:t>
        </w:r>
      </w:hyperlink>
      <w:r>
        <w:t xml:space="preserve"> (Accessed 12/04/2026)</w:t>
      </w:r>
    </w:p>
    <w:sectPr w:rsidR="00B7243F">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FD9F7C63-F10B-46B8-8494-882616F2F122}"/>
    <w:embedBold r:id="rId2" w:fontKey="{13D15192-F874-4BBA-9A40-242BEEC50310}"/>
    <w:embedItalic r:id="rId3" w:fontKey="{8AB41167-D631-4C04-B8DF-8DD9F4417DFF}"/>
  </w:font>
  <w:font w:name="Play">
    <w:charset w:val="00"/>
    <w:family w:val="auto"/>
    <w:pitch w:val="default"/>
    <w:embedRegular r:id="rId4" w:fontKey="{B803E21D-271B-43F4-82D0-69D0CEB9B931}"/>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8353DD6F-1FD5-4ABB-9A8C-7BFBAD10859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741B38FA-48F0-4450-9C83-4AA1F35976C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DB6E6D"/>
    <w:multiLevelType w:val="multilevel"/>
    <w:tmpl w:val="C706AD84"/>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16cid:durableId="105323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243F"/>
    <w:rsid w:val="00172E96"/>
    <w:rsid w:val="00211CDC"/>
    <w:rsid w:val="002A0329"/>
    <w:rsid w:val="002D605C"/>
    <w:rsid w:val="00761D38"/>
    <w:rsid w:val="00B7243F"/>
    <w:rsid w:val="00EC3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E282B"/>
  <w15:docId w15:val="{7279BB04-FADA-4877-9576-6730695B4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80" w:after="40"/>
      <w:outlineLvl w:val="3"/>
    </w:pPr>
    <w:rPr>
      <w:i/>
      <w:iCs/>
      <w:color w:val="0F4761"/>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80" w:after="40"/>
      <w:outlineLvl w:val="4"/>
    </w:pPr>
    <w:rPr>
      <w:color w:val="0F4761"/>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after="80" w:line="240" w:lineRule="auto"/>
    </w:pPr>
    <w:rPr>
      <w:rFonts w:ascii="Play" w:eastAsia="Play" w:hAnsi="Play" w:cs="Play"/>
      <w:color w:val="000000"/>
      <w:sz w:val="56"/>
      <w:szCs w:val="56"/>
    </w:rPr>
  </w:style>
  <w:style w:type="paragraph" w:styleId="Subtitle">
    <w:name w:val="Subtitle"/>
    <w:basedOn w:val="Normal"/>
    <w:next w:val="Normal"/>
    <w:uiPriority w:val="11"/>
    <w:qFormat/>
    <w:pPr>
      <w:pBdr>
        <w:top w:val="nil"/>
        <w:left w:val="nil"/>
        <w:bottom w:val="nil"/>
        <w:right w:val="nil"/>
        <w:between w:val="nil"/>
      </w:pBdr>
    </w:pPr>
    <w:rPr>
      <w:color w:val="595959"/>
      <w:sz w:val="28"/>
      <w:szCs w:val="28"/>
    </w:rPr>
  </w:style>
  <w:style w:type="paragraph" w:styleId="TOCHeading">
    <w:name w:val="TOC Heading"/>
    <w:basedOn w:val="Heading1"/>
    <w:next w:val="Normal"/>
    <w:uiPriority w:val="39"/>
    <w:unhideWhenUsed/>
    <w:qFormat/>
    <w:rsid w:val="002A0329"/>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2A0329"/>
    <w:pPr>
      <w:spacing w:after="100"/>
      <w:ind w:left="240"/>
    </w:pPr>
  </w:style>
  <w:style w:type="paragraph" w:styleId="TOC3">
    <w:name w:val="toc 3"/>
    <w:basedOn w:val="Normal"/>
    <w:next w:val="Normal"/>
    <w:autoRedefine/>
    <w:uiPriority w:val="39"/>
    <w:unhideWhenUsed/>
    <w:rsid w:val="002A0329"/>
    <w:pPr>
      <w:spacing w:after="100"/>
      <w:ind w:left="480"/>
    </w:pPr>
  </w:style>
  <w:style w:type="character" w:styleId="Hyperlink">
    <w:name w:val="Hyperlink"/>
    <w:basedOn w:val="DefaultParagraphFont"/>
    <w:uiPriority w:val="99"/>
    <w:unhideWhenUsed/>
    <w:rsid w:val="002A03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sph-journal.org/journals/international-journal-of-public-health/articles/10.3389/ijph.2025.1607770/ful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nice.org.uk/guidance/qs182/chapter/Quality-statement-3-Continuity-of-care-and-support"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pc.sas.upenn.edu/sites/default/files/ppintroarticle.pdf" TargetMode="External"/><Relationship Id="rId5" Type="http://schemas.openxmlformats.org/officeDocument/2006/relationships/webSettings" Target="webSettings.xml"/><Relationship Id="rId10" Type="http://schemas.openxmlformats.org/officeDocument/2006/relationships/hyperlink" Target="https://www.journalslibrary.nihr.ac.uk/hsdr/GWTT8143" TargetMode="External"/><Relationship Id="rId4" Type="http://schemas.openxmlformats.org/officeDocument/2006/relationships/settings" Target="settings.xml"/><Relationship Id="rId9" Type="http://schemas.openxmlformats.org/officeDocument/2006/relationships/hyperlink" Target="https://pmc.ncbi.nlm.nih.gov/articles/PMC424130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9S6fZLfW6EOhkSzS6AAWep0PVA==">CgMxLjAyDmguczRhbGdlaTFibjg5Mg5oLm5pYTJ1NnU0dWdjNjIOaC5uNnAzMThjc2o0OHgyDmgucmNrYTBsMnRjOTMwMg5oLjNmajcyYmZ4YjhvMzIOaC5pb2I4cWo0Y2dtNTE4AHIhMU1YS3h5ZU0xc09FR1hNcWNxWkVTOHZQTVgzQjJHQWdS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Pages>
  <Words>1835</Words>
  <Characters>10462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Elisabeth Bile 722689</cp:lastModifiedBy>
  <cp:revision>21</cp:revision>
  <dcterms:created xsi:type="dcterms:W3CDTF">2026-04-21T06:06:00Z</dcterms:created>
  <dcterms:modified xsi:type="dcterms:W3CDTF">2026-04-21T06:31:00Z</dcterms:modified>
</cp:coreProperties>
</file>