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3B75" w:rsidRPr="0002175F" w:rsidRDefault="00183B75" w:rsidP="0002175F">
      <w:pPr>
        <w:spacing w:before="240" w:after="240" w:line="360" w:lineRule="auto"/>
        <w:rPr>
          <w:rFonts w:ascii="Arial" w:eastAsia="Times New Roman" w:hAnsi="Arial" w:cs="Arial"/>
          <w:kern w:val="0"/>
          <w:sz w:val="40"/>
          <w:szCs w:val="40"/>
        </w:rPr>
      </w:pPr>
      <w:r w:rsidRPr="0002175F">
        <w:rPr>
          <w:rFonts w:ascii="Arial" w:eastAsia="Times New Roman" w:hAnsi="Arial" w:cs="Arial"/>
          <w:kern w:val="0"/>
          <w:sz w:val="40"/>
          <w:szCs w:val="40"/>
        </w:rPr>
        <w:t>PROJECT TITLE</w:t>
      </w:r>
    </w:p>
    <w:p w:rsidR="001C6A3F" w:rsidRPr="00963D3C" w:rsidRDefault="00183B75" w:rsidP="0002175F">
      <w:pPr>
        <w:spacing w:before="240" w:after="240" w:line="360" w:lineRule="auto"/>
        <w:rPr>
          <w:rFonts w:ascii="Arial" w:eastAsia="Times New Roman" w:hAnsi="Arial" w:cs="Arial"/>
          <w:kern w:val="0"/>
          <w:sz w:val="22"/>
          <w:szCs w:val="22"/>
          <w:u w:val="single"/>
        </w:rPr>
      </w:pPr>
      <w:r w:rsidRPr="00963D3C">
        <w:rPr>
          <w:rFonts w:ascii="Arial" w:eastAsia="Times New Roman" w:hAnsi="Arial" w:cs="Arial"/>
          <w:kern w:val="0"/>
          <w:sz w:val="22"/>
          <w:szCs w:val="22"/>
          <w:u w:val="single"/>
        </w:rPr>
        <w:t>EXPLORE THE IMPACTS OF ADVERSE CHILDHOOD EXPERIENCES ON SUICIDE RISK AND SELF-HARM BEHAVIOURS IN MALES AGED 18–25 IN ENGLAND</w:t>
      </w:r>
    </w:p>
    <w:p w:rsidR="001C6A3F" w:rsidRPr="00963D3C" w:rsidRDefault="00183B75" w:rsidP="00C84759">
      <w:pPr>
        <w:pStyle w:val="Heading1"/>
        <w:spacing w:line="360" w:lineRule="auto"/>
        <w:rPr>
          <w:rFonts w:ascii="Arial" w:hAnsi="Arial" w:cs="Arial"/>
          <w:color w:val="auto"/>
          <w:sz w:val="40"/>
          <w:szCs w:val="40"/>
        </w:rPr>
      </w:pPr>
      <w:r w:rsidRPr="00963D3C">
        <w:rPr>
          <w:rFonts w:ascii="Arial" w:hAnsi="Arial" w:cs="Arial"/>
          <w:color w:val="auto"/>
          <w:sz w:val="40"/>
          <w:szCs w:val="40"/>
        </w:rPr>
        <w:t>CHAPTER</w:t>
      </w:r>
    </w:p>
    <w:p w:rsidR="00CA52AC" w:rsidRPr="00963D3C" w:rsidRDefault="00CA52AC" w:rsidP="00C84759">
      <w:pPr>
        <w:pStyle w:val="Heading2"/>
        <w:spacing w:line="360" w:lineRule="auto"/>
        <w:rPr>
          <w:rFonts w:ascii="Arial" w:hAnsi="Arial" w:cs="Arial"/>
          <w:color w:val="auto"/>
          <w:sz w:val="32"/>
          <w:szCs w:val="32"/>
        </w:rPr>
      </w:pPr>
      <w:r w:rsidRPr="00963D3C">
        <w:rPr>
          <w:rFonts w:ascii="Arial" w:hAnsi="Arial" w:cs="Arial"/>
          <w:color w:val="auto"/>
          <w:sz w:val="32"/>
          <w:szCs w:val="32"/>
        </w:rPr>
        <w:t xml:space="preserve">Introduction </w:t>
      </w:r>
    </w:p>
    <w:p w:rsidR="006C48D9" w:rsidRPr="00CC6233" w:rsidRDefault="006C48D9" w:rsidP="00911FCF">
      <w:pPr>
        <w:pStyle w:val="NormalWeb"/>
        <w:spacing w:line="360" w:lineRule="auto"/>
        <w:jc w:val="both"/>
        <w:rPr>
          <w:rFonts w:ascii="Arial" w:hAnsi="Arial" w:cs="Arial"/>
          <w:sz w:val="22"/>
          <w:szCs w:val="22"/>
        </w:rPr>
      </w:pPr>
      <w:r w:rsidRPr="00CC6233">
        <w:rPr>
          <w:rFonts w:ascii="Arial" w:hAnsi="Arial" w:cs="Arial"/>
          <w:sz w:val="22"/>
          <w:szCs w:val="22"/>
        </w:rPr>
        <w:t>Adverse Childhood</w:t>
      </w:r>
      <w:r w:rsidR="009E6F5A">
        <w:rPr>
          <w:rFonts w:ascii="Arial" w:hAnsi="Arial" w:cs="Arial"/>
          <w:sz w:val="22"/>
          <w:szCs w:val="22"/>
        </w:rPr>
        <w:t xml:space="preserve"> Experiences (ACE’s) </w:t>
      </w:r>
      <w:r w:rsidRPr="00CC6233">
        <w:rPr>
          <w:rFonts w:ascii="Arial" w:hAnsi="Arial" w:cs="Arial"/>
          <w:sz w:val="22"/>
          <w:szCs w:val="22"/>
        </w:rPr>
        <w:t xml:space="preserve">means various childhood </w:t>
      </w:r>
      <w:r w:rsidR="000E25B8" w:rsidRPr="00CC6233">
        <w:rPr>
          <w:rFonts w:ascii="Arial" w:hAnsi="Arial" w:cs="Arial"/>
          <w:sz w:val="22"/>
          <w:szCs w:val="22"/>
        </w:rPr>
        <w:t xml:space="preserve">problems.  </w:t>
      </w:r>
      <w:r w:rsidR="00852C22">
        <w:rPr>
          <w:rFonts w:ascii="Arial" w:hAnsi="Arial" w:cs="Arial"/>
          <w:sz w:val="22"/>
          <w:szCs w:val="22"/>
        </w:rPr>
        <w:t>These c</w:t>
      </w:r>
      <w:r w:rsidRPr="00CC6233">
        <w:rPr>
          <w:rFonts w:ascii="Arial" w:hAnsi="Arial" w:cs="Arial"/>
          <w:sz w:val="22"/>
          <w:szCs w:val="22"/>
        </w:rPr>
        <w:t>hildhood difficulties</w:t>
      </w:r>
      <w:r w:rsidR="00AC709B">
        <w:rPr>
          <w:rFonts w:ascii="Arial" w:hAnsi="Arial" w:cs="Arial"/>
          <w:sz w:val="22"/>
          <w:szCs w:val="22"/>
        </w:rPr>
        <w:t xml:space="preserve"> such as:</w:t>
      </w:r>
      <w:r w:rsidRPr="00CC6233">
        <w:rPr>
          <w:rFonts w:ascii="Arial" w:hAnsi="Arial" w:cs="Arial"/>
          <w:sz w:val="22"/>
          <w:szCs w:val="22"/>
        </w:rPr>
        <w:t xml:space="preserve"> neglect, abuse, traumatic </w:t>
      </w:r>
      <w:r w:rsidR="00852C22">
        <w:rPr>
          <w:rFonts w:ascii="Arial" w:hAnsi="Arial" w:cs="Arial"/>
          <w:sz w:val="22"/>
          <w:szCs w:val="22"/>
        </w:rPr>
        <w:t>experiences at the household and</w:t>
      </w:r>
      <w:r w:rsidRPr="00CC6233">
        <w:rPr>
          <w:rFonts w:ascii="Arial" w:hAnsi="Arial" w:cs="Arial"/>
          <w:sz w:val="22"/>
          <w:szCs w:val="22"/>
        </w:rPr>
        <w:t xml:space="preserve"> ignoring children during their difficult times. </w:t>
      </w:r>
      <w:r w:rsidR="00BE0362">
        <w:rPr>
          <w:rFonts w:ascii="Arial" w:hAnsi="Arial" w:cs="Arial"/>
          <w:sz w:val="22"/>
          <w:szCs w:val="22"/>
        </w:rPr>
        <w:t>Later on, t</w:t>
      </w:r>
      <w:r w:rsidR="003F43C5">
        <w:rPr>
          <w:rFonts w:ascii="Arial" w:hAnsi="Arial" w:cs="Arial"/>
          <w:sz w:val="22"/>
          <w:szCs w:val="22"/>
        </w:rPr>
        <w:t xml:space="preserve">hese issues </w:t>
      </w:r>
      <w:r w:rsidRPr="00CC6233">
        <w:rPr>
          <w:rFonts w:ascii="Arial" w:hAnsi="Arial" w:cs="Arial"/>
          <w:sz w:val="22"/>
          <w:szCs w:val="22"/>
        </w:rPr>
        <w:t xml:space="preserve">turn into determinants of mental health issues and risky behaviour (Hughes et </w:t>
      </w:r>
      <w:r w:rsidR="00B842AE">
        <w:rPr>
          <w:rFonts w:ascii="Arial" w:hAnsi="Arial" w:cs="Arial"/>
          <w:sz w:val="22"/>
          <w:szCs w:val="22"/>
        </w:rPr>
        <w:t>al., 2017,</w:t>
      </w:r>
      <w:r w:rsidRPr="00CC6233">
        <w:rPr>
          <w:rFonts w:ascii="Arial" w:hAnsi="Arial" w:cs="Arial"/>
          <w:sz w:val="22"/>
          <w:szCs w:val="22"/>
        </w:rPr>
        <w:t xml:space="preserve"> Burke Harris, 2018).</w:t>
      </w:r>
      <w:r w:rsidR="00B842AE">
        <w:rPr>
          <w:rFonts w:ascii="Arial" w:hAnsi="Arial" w:cs="Arial"/>
          <w:sz w:val="22"/>
          <w:szCs w:val="22"/>
        </w:rPr>
        <w:t xml:space="preserve"> These childhood experiences (</w:t>
      </w:r>
      <w:r w:rsidRPr="00CC6233">
        <w:rPr>
          <w:rFonts w:ascii="Arial" w:hAnsi="Arial" w:cs="Arial"/>
          <w:sz w:val="22"/>
          <w:szCs w:val="22"/>
        </w:rPr>
        <w:t>ACE</w:t>
      </w:r>
      <w:r w:rsidR="00B842AE">
        <w:rPr>
          <w:rFonts w:ascii="Arial" w:hAnsi="Arial" w:cs="Arial"/>
          <w:sz w:val="22"/>
          <w:szCs w:val="22"/>
        </w:rPr>
        <w:t>’s)</w:t>
      </w:r>
      <w:r w:rsidR="00B51DDF">
        <w:rPr>
          <w:rFonts w:ascii="Arial" w:hAnsi="Arial" w:cs="Arial"/>
          <w:sz w:val="22"/>
          <w:szCs w:val="22"/>
        </w:rPr>
        <w:t xml:space="preserve"> </w:t>
      </w:r>
      <w:r w:rsidRPr="00CC6233">
        <w:rPr>
          <w:rFonts w:ascii="Arial" w:hAnsi="Arial" w:cs="Arial"/>
          <w:sz w:val="22"/>
          <w:szCs w:val="22"/>
        </w:rPr>
        <w:t>go a long way in shaping neurobiological stress, attachments, and the ability to cope with this condition. In case of inability to tackle it, children could feel vulnerable and be prone to self-harm and suicidal behaviour during different develo</w:t>
      </w:r>
      <w:r w:rsidR="00C847EC">
        <w:rPr>
          <w:rFonts w:ascii="Arial" w:hAnsi="Arial" w:cs="Arial"/>
          <w:sz w:val="22"/>
          <w:szCs w:val="22"/>
        </w:rPr>
        <w:t>pmental stages in their lives (V</w:t>
      </w:r>
      <w:r w:rsidRPr="00CC6233">
        <w:rPr>
          <w:rFonts w:ascii="Arial" w:hAnsi="Arial" w:cs="Arial"/>
          <w:sz w:val="22"/>
          <w:szCs w:val="22"/>
        </w:rPr>
        <w:t xml:space="preserve">an der Kolk, 2014). </w:t>
      </w:r>
      <w:r w:rsidR="00B4666D" w:rsidRPr="00CC6233">
        <w:rPr>
          <w:rFonts w:ascii="Arial" w:hAnsi="Arial" w:cs="Arial"/>
          <w:sz w:val="22"/>
          <w:szCs w:val="22"/>
        </w:rPr>
        <w:t>Offi</w:t>
      </w:r>
      <w:r w:rsidR="00B4666D">
        <w:rPr>
          <w:rFonts w:ascii="Arial" w:hAnsi="Arial" w:cs="Arial"/>
          <w:sz w:val="22"/>
          <w:szCs w:val="22"/>
        </w:rPr>
        <w:t>ce for National</w:t>
      </w:r>
      <w:r w:rsidR="00B4666D" w:rsidRPr="00CC6233">
        <w:rPr>
          <w:rFonts w:ascii="Arial" w:hAnsi="Arial" w:cs="Arial"/>
          <w:sz w:val="22"/>
          <w:szCs w:val="22"/>
        </w:rPr>
        <w:t xml:space="preserve"> </w:t>
      </w:r>
      <w:r w:rsidRPr="00CC6233">
        <w:rPr>
          <w:rFonts w:ascii="Arial" w:hAnsi="Arial" w:cs="Arial"/>
          <w:sz w:val="22"/>
          <w:szCs w:val="22"/>
        </w:rPr>
        <w:t>Statistics</w:t>
      </w:r>
      <w:r w:rsidR="00B4666D">
        <w:rPr>
          <w:rFonts w:ascii="Arial" w:hAnsi="Arial" w:cs="Arial"/>
          <w:sz w:val="22"/>
          <w:szCs w:val="22"/>
        </w:rPr>
        <w:t xml:space="preserve"> 2025, data</w:t>
      </w:r>
      <w:r w:rsidR="008E7D32">
        <w:rPr>
          <w:rFonts w:ascii="Arial" w:hAnsi="Arial" w:cs="Arial"/>
          <w:sz w:val="22"/>
          <w:szCs w:val="22"/>
        </w:rPr>
        <w:t xml:space="preserve"> of 2024 </w:t>
      </w:r>
      <w:r w:rsidRPr="00CC6233">
        <w:rPr>
          <w:rFonts w:ascii="Arial" w:hAnsi="Arial" w:cs="Arial"/>
          <w:sz w:val="22"/>
          <w:szCs w:val="22"/>
        </w:rPr>
        <w:t>indicate</w:t>
      </w:r>
      <w:r w:rsidR="008E7D32">
        <w:rPr>
          <w:rFonts w:ascii="Arial" w:hAnsi="Arial" w:cs="Arial"/>
          <w:sz w:val="22"/>
          <w:szCs w:val="22"/>
        </w:rPr>
        <w:t xml:space="preserve">s, </w:t>
      </w:r>
      <w:r w:rsidRPr="00CC6233">
        <w:rPr>
          <w:rFonts w:ascii="Arial" w:hAnsi="Arial" w:cs="Arial"/>
          <w:sz w:val="22"/>
          <w:szCs w:val="22"/>
        </w:rPr>
        <w:t>around 5,717 cases of suicide were recorded in England, which shows age specific mortality rate (ASMR)</w:t>
      </w:r>
      <w:r w:rsidR="00D270FC">
        <w:rPr>
          <w:rFonts w:ascii="Arial" w:hAnsi="Arial" w:cs="Arial"/>
          <w:sz w:val="22"/>
          <w:szCs w:val="22"/>
        </w:rPr>
        <w:t xml:space="preserve"> 11.1 per 100,000 and mostly </w:t>
      </w:r>
      <w:r w:rsidRPr="00CC6233">
        <w:rPr>
          <w:rFonts w:ascii="Arial" w:hAnsi="Arial" w:cs="Arial"/>
          <w:sz w:val="22"/>
          <w:szCs w:val="22"/>
        </w:rPr>
        <w:t>in males</w:t>
      </w:r>
      <w:r w:rsidR="000E36E6">
        <w:rPr>
          <w:rFonts w:ascii="Arial" w:hAnsi="Arial" w:cs="Arial"/>
          <w:sz w:val="22"/>
          <w:szCs w:val="22"/>
        </w:rPr>
        <w:t>.</w:t>
      </w:r>
      <w:r w:rsidRPr="00CC6233">
        <w:rPr>
          <w:rFonts w:ascii="Arial" w:hAnsi="Arial" w:cs="Arial"/>
          <w:sz w:val="22"/>
          <w:szCs w:val="22"/>
        </w:rPr>
        <w:t xml:space="preserve"> Although variations in roles of a young one could also lead to this behaviour on account of their first real encounter with the reality of education, work, and relationships, these could reactivate some past traumatic experiences, leading to isolation and impulsive behavioural patterns.</w:t>
      </w:r>
    </w:p>
    <w:p w:rsidR="005D3F04" w:rsidRPr="00CC6233" w:rsidRDefault="00796508" w:rsidP="00214D71">
      <w:pPr>
        <w:pStyle w:val="NormalWeb"/>
        <w:spacing w:line="360" w:lineRule="auto"/>
        <w:jc w:val="both"/>
        <w:rPr>
          <w:rFonts w:ascii="Arial" w:hAnsi="Arial" w:cs="Arial"/>
          <w:sz w:val="22"/>
          <w:szCs w:val="22"/>
        </w:rPr>
      </w:pPr>
      <w:r>
        <w:rPr>
          <w:rFonts w:ascii="Arial" w:hAnsi="Arial" w:cs="Arial"/>
          <w:sz w:val="22"/>
          <w:szCs w:val="22"/>
        </w:rPr>
        <w:t xml:space="preserve">This research intends </w:t>
      </w:r>
      <w:r w:rsidR="00797C11" w:rsidRPr="00CC6233">
        <w:rPr>
          <w:rFonts w:ascii="Arial" w:hAnsi="Arial" w:cs="Arial"/>
          <w:sz w:val="22"/>
          <w:szCs w:val="22"/>
        </w:rPr>
        <w:t>to focus on ACE</w:t>
      </w:r>
      <w:r w:rsidR="00214D71">
        <w:rPr>
          <w:rFonts w:ascii="Arial" w:hAnsi="Arial" w:cs="Arial"/>
          <w:sz w:val="22"/>
          <w:szCs w:val="22"/>
        </w:rPr>
        <w:t>’s</w:t>
      </w:r>
      <w:r w:rsidR="00797C11" w:rsidRPr="00CC6233">
        <w:rPr>
          <w:rFonts w:ascii="Arial" w:hAnsi="Arial" w:cs="Arial"/>
          <w:sz w:val="22"/>
          <w:szCs w:val="22"/>
        </w:rPr>
        <w:t xml:space="preserve"> exposure and the resultant risks of suicide and self-harming behaviour among males aged 18–25 in England by interlinking bio</w:t>
      </w:r>
      <w:r w:rsidR="00214D71">
        <w:rPr>
          <w:rFonts w:ascii="Arial" w:hAnsi="Arial" w:cs="Arial"/>
          <w:sz w:val="22"/>
          <w:szCs w:val="22"/>
        </w:rPr>
        <w:t>-</w:t>
      </w:r>
      <w:r w:rsidR="00797C11" w:rsidRPr="00CC6233">
        <w:rPr>
          <w:rFonts w:ascii="Arial" w:hAnsi="Arial" w:cs="Arial"/>
          <w:sz w:val="22"/>
          <w:szCs w:val="22"/>
        </w:rPr>
        <w:t>psychosocial evidence with psychol</w:t>
      </w:r>
      <w:r w:rsidR="00C703A5">
        <w:rPr>
          <w:rFonts w:ascii="Arial" w:hAnsi="Arial" w:cs="Arial"/>
          <w:sz w:val="22"/>
          <w:szCs w:val="22"/>
        </w:rPr>
        <w:t xml:space="preserve">ogical models to explain </w:t>
      </w:r>
      <w:r w:rsidR="00797C11" w:rsidRPr="00CC6233">
        <w:rPr>
          <w:rFonts w:ascii="Arial" w:hAnsi="Arial" w:cs="Arial"/>
          <w:sz w:val="22"/>
          <w:szCs w:val="22"/>
        </w:rPr>
        <w:t>entrapment and help-seeking barriers in males. The objective of this research is to evaluate how the ACE</w:t>
      </w:r>
      <w:r w:rsidR="00214D71">
        <w:rPr>
          <w:rFonts w:ascii="Arial" w:hAnsi="Arial" w:cs="Arial"/>
          <w:sz w:val="22"/>
          <w:szCs w:val="22"/>
        </w:rPr>
        <w:t>’s</w:t>
      </w:r>
      <w:r w:rsidR="00C703A5">
        <w:rPr>
          <w:rFonts w:ascii="Arial" w:hAnsi="Arial" w:cs="Arial"/>
          <w:sz w:val="22"/>
          <w:szCs w:val="22"/>
        </w:rPr>
        <w:t xml:space="preserve"> and suicidal tendencies and </w:t>
      </w:r>
      <w:r w:rsidR="00797C11" w:rsidRPr="00CC6233">
        <w:rPr>
          <w:rFonts w:ascii="Arial" w:hAnsi="Arial" w:cs="Arial"/>
          <w:sz w:val="22"/>
          <w:szCs w:val="22"/>
        </w:rPr>
        <w:t xml:space="preserve">self-harm behaviour intersect with each other so that the traumatic experiences and gender responsiveness indicators could be identified well before these transformations emerge to suggest supportive measures in the public health and social care system of England. </w:t>
      </w:r>
    </w:p>
    <w:p w:rsidR="00CA52AC" w:rsidRPr="00963D3C" w:rsidRDefault="006D4BAE" w:rsidP="00741644">
      <w:pPr>
        <w:pStyle w:val="Heading2"/>
        <w:spacing w:before="240" w:after="240"/>
        <w:rPr>
          <w:rFonts w:ascii="Arial" w:hAnsi="Arial" w:cs="Arial"/>
          <w:b w:val="0"/>
          <w:bCs w:val="0"/>
          <w:color w:val="auto"/>
          <w:sz w:val="32"/>
          <w:szCs w:val="32"/>
        </w:rPr>
      </w:pPr>
      <w:r w:rsidRPr="00963D3C">
        <w:rPr>
          <w:rFonts w:ascii="Arial" w:hAnsi="Arial" w:cs="Arial"/>
          <w:color w:val="auto"/>
          <w:sz w:val="32"/>
          <w:szCs w:val="32"/>
        </w:rPr>
        <w:lastRenderedPageBreak/>
        <w:t>Key Words Definitions and Acronyms</w:t>
      </w:r>
      <w:r w:rsidR="008E3F13" w:rsidRPr="00963D3C">
        <w:rPr>
          <w:rFonts w:ascii="Arial" w:hAnsi="Arial" w:cs="Arial"/>
          <w:color w:val="auto"/>
          <w:sz w:val="32"/>
          <w:szCs w:val="32"/>
        </w:rPr>
        <w:t xml:space="preserve"> </w:t>
      </w:r>
    </w:p>
    <w:p w:rsidR="003F3781" w:rsidRPr="00CC6233" w:rsidRDefault="003F3781"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sidRPr="00CC6233">
        <w:rPr>
          <w:rStyle w:val="Strong"/>
          <w:rFonts w:ascii="Arial" w:hAnsi="Arial" w:cs="Arial"/>
          <w:sz w:val="22"/>
          <w:szCs w:val="22"/>
        </w:rPr>
        <w:t xml:space="preserve">Adverse Childhood Experiences: It is abbreviated as ACE and is the likely event for trauma during childhood in age between </w:t>
      </w:r>
      <w:r w:rsidRPr="00CC6233">
        <w:rPr>
          <w:rFonts w:ascii="Arial" w:hAnsi="Arial" w:cs="Arial"/>
          <w:sz w:val="22"/>
          <w:szCs w:val="22"/>
        </w:rPr>
        <w:t>(ages 0–17) which could include abuse, neglect, and household</w:t>
      </w:r>
      <w:r w:rsidRPr="00563F1D">
        <w:rPr>
          <w:rFonts w:ascii="Arial" w:hAnsi="Arial" w:cs="Arial"/>
          <w:sz w:val="22"/>
          <w:szCs w:val="22"/>
        </w:rPr>
        <w:t xml:space="preserve"> dysfunctionality</w:t>
      </w:r>
      <w:r w:rsidRPr="00CC6233">
        <w:rPr>
          <w:rFonts w:ascii="Arial" w:hAnsi="Arial" w:cs="Arial"/>
          <w:sz w:val="22"/>
          <w:szCs w:val="22"/>
        </w:rPr>
        <w:t xml:space="preserve"> that gather overtime and negatively impact mental health during the youth period.</w:t>
      </w:r>
    </w:p>
    <w:p w:rsidR="003F3781" w:rsidRPr="00CC6233" w:rsidRDefault="003F3781"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sidRPr="00CC6233">
        <w:rPr>
          <w:rStyle w:val="Strong"/>
          <w:rFonts w:ascii="Arial" w:hAnsi="Arial" w:cs="Arial"/>
          <w:sz w:val="22"/>
          <w:szCs w:val="22"/>
        </w:rPr>
        <w:t xml:space="preserve">Suicide &amp; Suicidal Behaviour: </w:t>
      </w:r>
      <w:r w:rsidRPr="00CC6233">
        <w:rPr>
          <w:rFonts w:ascii="Arial" w:hAnsi="Arial" w:cs="Arial"/>
          <w:sz w:val="22"/>
          <w:szCs w:val="22"/>
        </w:rPr>
        <w:t xml:space="preserve">This behaviour emerges due to feelings of hopelessness triggered by some traumatic event or past stressor and leads from imagination to planning and attempts.  </w:t>
      </w:r>
    </w:p>
    <w:p w:rsidR="003F3781" w:rsidRPr="00CC6233" w:rsidRDefault="003F3781"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sidRPr="00CC6233">
        <w:rPr>
          <w:rStyle w:val="Strong"/>
          <w:rFonts w:ascii="Arial" w:hAnsi="Arial" w:cs="Arial"/>
          <w:sz w:val="22"/>
          <w:szCs w:val="22"/>
        </w:rPr>
        <w:t xml:space="preserve">Self-Harm: </w:t>
      </w:r>
      <w:r w:rsidRPr="00CC6233">
        <w:rPr>
          <w:rFonts w:ascii="Arial" w:hAnsi="Arial" w:cs="Arial"/>
          <w:sz w:val="22"/>
          <w:szCs w:val="22"/>
        </w:rPr>
        <w:t>It is intentional injury or self-poisoning one does to oneself without any intent and used a mechanism to cope with trauma linked to childhood issues.</w:t>
      </w:r>
    </w:p>
    <w:p w:rsidR="003F3781" w:rsidRPr="00CC6233" w:rsidRDefault="003F3781"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sidRPr="00CC6233">
        <w:rPr>
          <w:rStyle w:val="Strong"/>
          <w:rFonts w:ascii="Arial" w:hAnsi="Arial" w:cs="Arial"/>
          <w:sz w:val="22"/>
          <w:szCs w:val="22"/>
        </w:rPr>
        <w:t xml:space="preserve">Mental Health: </w:t>
      </w:r>
      <w:r w:rsidRPr="00CC6233">
        <w:rPr>
          <w:rFonts w:ascii="Arial" w:hAnsi="Arial" w:cs="Arial"/>
          <w:sz w:val="22"/>
          <w:szCs w:val="22"/>
        </w:rPr>
        <w:t>In this research, it means long-term disruption due to ACEs which affect stress regulation, emotional coping, and subsequent behaviour.</w:t>
      </w:r>
    </w:p>
    <w:p w:rsidR="003F3781" w:rsidRPr="00CC6233" w:rsidRDefault="003F3781"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sidRPr="00CC6233">
        <w:rPr>
          <w:rStyle w:val="Strong"/>
          <w:rFonts w:ascii="Arial" w:hAnsi="Arial" w:cs="Arial"/>
          <w:sz w:val="22"/>
          <w:szCs w:val="22"/>
        </w:rPr>
        <w:t>Neglect: It is the failure of a ca</w:t>
      </w:r>
      <w:r w:rsidRPr="00CC6233">
        <w:rPr>
          <w:rFonts w:ascii="Arial" w:hAnsi="Arial" w:cs="Arial"/>
          <w:sz w:val="22"/>
          <w:szCs w:val="22"/>
        </w:rPr>
        <w:t>regiver to meet the basic physical or emotional needs of a child which later weaken attachment and increase the sense of vulnerability leading to poor mental health during adulthood.</w:t>
      </w:r>
    </w:p>
    <w:p w:rsidR="003F3781" w:rsidRPr="00CC6233" w:rsidRDefault="00244246"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Pr>
          <w:rStyle w:val="Strong"/>
          <w:rFonts w:ascii="Arial" w:hAnsi="Arial" w:cs="Arial"/>
          <w:sz w:val="22"/>
          <w:szCs w:val="22"/>
        </w:rPr>
        <w:t>Abuse: It comprises</w:t>
      </w:r>
      <w:r w:rsidR="003F3781" w:rsidRPr="00CC6233">
        <w:rPr>
          <w:rStyle w:val="Strong"/>
          <w:rFonts w:ascii="Arial" w:hAnsi="Arial" w:cs="Arial"/>
          <w:sz w:val="22"/>
          <w:szCs w:val="22"/>
        </w:rPr>
        <w:t xml:space="preserve"> p</w:t>
      </w:r>
      <w:r w:rsidR="003F3781" w:rsidRPr="00CC6233">
        <w:rPr>
          <w:rFonts w:ascii="Arial" w:hAnsi="Arial" w:cs="Arial"/>
          <w:sz w:val="22"/>
          <w:szCs w:val="22"/>
        </w:rPr>
        <w:t>hysical, sexual, or emotional abuse that triggers stress responses with lasting neurobiological and behavioural results during adulthood.</w:t>
      </w:r>
    </w:p>
    <w:p w:rsidR="003F3781" w:rsidRPr="00CC6233" w:rsidRDefault="003F3781"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sidRPr="00CC6233">
        <w:rPr>
          <w:rStyle w:val="Strong"/>
          <w:rFonts w:ascii="Arial" w:hAnsi="Arial" w:cs="Arial"/>
          <w:sz w:val="22"/>
          <w:szCs w:val="22"/>
        </w:rPr>
        <w:t>Trauma and Traumatic Experiences: These comprise e</w:t>
      </w:r>
      <w:r w:rsidRPr="00CC6233">
        <w:rPr>
          <w:rFonts w:ascii="Arial" w:hAnsi="Arial" w:cs="Arial"/>
          <w:sz w:val="22"/>
          <w:szCs w:val="22"/>
        </w:rPr>
        <w:t>vents which causing long term psychological harm  such as emotional instability and weakened coping mechanisms specifically in the absence of support.</w:t>
      </w:r>
    </w:p>
    <w:p w:rsidR="003F3781" w:rsidRPr="00CC6233" w:rsidRDefault="003F3781"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sidRPr="00CC6233">
        <w:rPr>
          <w:rStyle w:val="Strong"/>
          <w:rFonts w:ascii="Arial" w:hAnsi="Arial" w:cs="Arial"/>
          <w:sz w:val="22"/>
          <w:szCs w:val="22"/>
        </w:rPr>
        <w:t xml:space="preserve">Stress: </w:t>
      </w:r>
      <w:r w:rsidRPr="00CC6233">
        <w:rPr>
          <w:rFonts w:ascii="Arial" w:hAnsi="Arial" w:cs="Arial"/>
          <w:sz w:val="22"/>
          <w:szCs w:val="22"/>
        </w:rPr>
        <w:t>It means physiological and psychological strain whi</w:t>
      </w:r>
      <w:r w:rsidR="00563F1D">
        <w:rPr>
          <w:rFonts w:ascii="Arial" w:hAnsi="Arial" w:cs="Arial"/>
          <w:sz w:val="22"/>
          <w:szCs w:val="22"/>
        </w:rPr>
        <w:t>ch is</w:t>
      </w:r>
      <w:r w:rsidRPr="00CC6233">
        <w:rPr>
          <w:rFonts w:ascii="Arial" w:hAnsi="Arial" w:cs="Arial"/>
          <w:sz w:val="22"/>
          <w:szCs w:val="22"/>
        </w:rPr>
        <w:t xml:space="preserve"> repeated during childhood gather and impair emotional regulation and increase the risk of suicidal behaviour.</w:t>
      </w:r>
    </w:p>
    <w:p w:rsidR="003F3781" w:rsidRPr="00CC6233" w:rsidRDefault="003F3781"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sidRPr="00CC6233">
        <w:rPr>
          <w:rStyle w:val="Strong"/>
          <w:rFonts w:ascii="Arial" w:hAnsi="Arial" w:cs="Arial"/>
          <w:sz w:val="22"/>
          <w:szCs w:val="22"/>
        </w:rPr>
        <w:t xml:space="preserve">Mortality: </w:t>
      </w:r>
      <w:r w:rsidRPr="00CC6233">
        <w:rPr>
          <w:rFonts w:ascii="Arial" w:hAnsi="Arial" w:cs="Arial"/>
          <w:sz w:val="22"/>
          <w:szCs w:val="22"/>
        </w:rPr>
        <w:t>It means death from suicide which is measured by Age-Standardised Mortality Rate (ASMR).</w:t>
      </w:r>
    </w:p>
    <w:p w:rsidR="003F3781" w:rsidRPr="00CC6233" w:rsidRDefault="003F3781"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sidRPr="00CC6233">
        <w:rPr>
          <w:rStyle w:val="Strong"/>
          <w:rFonts w:ascii="Arial" w:hAnsi="Arial" w:cs="Arial"/>
          <w:sz w:val="22"/>
          <w:szCs w:val="22"/>
        </w:rPr>
        <w:t xml:space="preserve">Vulnerable / Vulnerability: It means increased </w:t>
      </w:r>
      <w:r w:rsidRPr="00CC6233">
        <w:rPr>
          <w:rFonts w:ascii="Arial" w:hAnsi="Arial" w:cs="Arial"/>
          <w:sz w:val="22"/>
          <w:szCs w:val="22"/>
        </w:rPr>
        <w:t xml:space="preserve">susceptibility to suicidal or self-harming behaviours specifically among the males with ACE background. </w:t>
      </w:r>
    </w:p>
    <w:p w:rsidR="003F3781" w:rsidRPr="00CC6233" w:rsidRDefault="003F3781" w:rsidP="00741644">
      <w:pPr>
        <w:pStyle w:val="font-claude-response-body"/>
        <w:numPr>
          <w:ilvl w:val="0"/>
          <w:numId w:val="17"/>
        </w:numPr>
        <w:spacing w:before="240" w:beforeAutospacing="0" w:after="240" w:afterAutospacing="0" w:line="360" w:lineRule="auto"/>
        <w:ind w:left="714" w:hanging="357"/>
        <w:rPr>
          <w:rFonts w:ascii="Arial" w:hAnsi="Arial" w:cs="Arial"/>
          <w:sz w:val="22"/>
          <w:szCs w:val="22"/>
        </w:rPr>
      </w:pPr>
      <w:r w:rsidRPr="00CC6233">
        <w:rPr>
          <w:rStyle w:val="Strong"/>
          <w:rFonts w:ascii="Arial" w:hAnsi="Arial" w:cs="Arial"/>
          <w:sz w:val="22"/>
          <w:szCs w:val="22"/>
        </w:rPr>
        <w:lastRenderedPageBreak/>
        <w:t xml:space="preserve">Isolation: </w:t>
      </w:r>
      <w:r w:rsidRPr="00CC6233">
        <w:rPr>
          <w:rFonts w:ascii="Arial" w:hAnsi="Arial" w:cs="Arial"/>
          <w:sz w:val="22"/>
          <w:szCs w:val="22"/>
        </w:rPr>
        <w:t xml:space="preserve">It means to stay disconnected from relationships and networks which increases exposure to suicidal behaviour and worsened in case of ACEs. </w:t>
      </w:r>
    </w:p>
    <w:tbl>
      <w:tblPr>
        <w:tblStyle w:val="TableGrid"/>
        <w:tblW w:w="9350" w:type="dxa"/>
        <w:tblInd w:w="279" w:type="dxa"/>
        <w:tblLook w:val="04A0"/>
      </w:tblPr>
      <w:tblGrid>
        <w:gridCol w:w="1515"/>
        <w:gridCol w:w="7835"/>
      </w:tblGrid>
      <w:tr w:rsidR="00145B62" w:rsidRPr="00CC6233" w:rsidTr="00D47D67">
        <w:tc>
          <w:tcPr>
            <w:tcW w:w="151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Acronyms</w:t>
            </w:r>
          </w:p>
        </w:tc>
        <w:tc>
          <w:tcPr>
            <w:tcW w:w="7835" w:type="dxa"/>
          </w:tcPr>
          <w:p w:rsidR="006D4BAE" w:rsidRPr="00CC6233" w:rsidRDefault="006D4BAE" w:rsidP="00D47D67">
            <w:pPr>
              <w:pStyle w:val="NormalWeb"/>
              <w:spacing w:before="120" w:beforeAutospacing="0" w:after="120" w:afterAutospacing="0" w:line="360" w:lineRule="auto"/>
              <w:jc w:val="center"/>
              <w:rPr>
                <w:rFonts w:ascii="Arial" w:hAnsi="Arial" w:cs="Arial"/>
                <w:sz w:val="22"/>
                <w:szCs w:val="22"/>
              </w:rPr>
            </w:pPr>
            <w:r w:rsidRPr="00CC6233">
              <w:rPr>
                <w:rFonts w:ascii="Arial" w:hAnsi="Arial" w:cs="Arial"/>
                <w:sz w:val="22"/>
                <w:szCs w:val="22"/>
              </w:rPr>
              <w:t>Full names</w:t>
            </w:r>
          </w:p>
        </w:tc>
      </w:tr>
      <w:tr w:rsidR="00145B62" w:rsidRPr="00CC6233" w:rsidTr="00D47D67">
        <w:tc>
          <w:tcPr>
            <w:tcW w:w="151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CALM</w:t>
            </w:r>
          </w:p>
        </w:tc>
        <w:tc>
          <w:tcPr>
            <w:tcW w:w="783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Campaign Against Living Miserably</w:t>
            </w:r>
          </w:p>
        </w:tc>
      </w:tr>
      <w:tr w:rsidR="00145B62" w:rsidRPr="00CC6233" w:rsidTr="00D47D67">
        <w:tc>
          <w:tcPr>
            <w:tcW w:w="151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NHS</w:t>
            </w:r>
          </w:p>
        </w:tc>
        <w:tc>
          <w:tcPr>
            <w:tcW w:w="783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National Health Services</w:t>
            </w:r>
          </w:p>
        </w:tc>
      </w:tr>
      <w:tr w:rsidR="00145B62" w:rsidRPr="00CC6233" w:rsidTr="00D47D67">
        <w:tc>
          <w:tcPr>
            <w:tcW w:w="151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ACE’s</w:t>
            </w:r>
          </w:p>
        </w:tc>
        <w:tc>
          <w:tcPr>
            <w:tcW w:w="783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Adverse Childhood Experiences</w:t>
            </w:r>
          </w:p>
        </w:tc>
      </w:tr>
      <w:tr w:rsidR="00145B62" w:rsidRPr="00CC6233" w:rsidTr="00D47D67">
        <w:tc>
          <w:tcPr>
            <w:tcW w:w="151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NICE</w:t>
            </w:r>
          </w:p>
        </w:tc>
        <w:tc>
          <w:tcPr>
            <w:tcW w:w="783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National Institute for Health and Care Excellence</w:t>
            </w:r>
          </w:p>
        </w:tc>
      </w:tr>
      <w:tr w:rsidR="00145B62" w:rsidRPr="00CC6233" w:rsidTr="00D47D67">
        <w:tc>
          <w:tcPr>
            <w:tcW w:w="151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ONS</w:t>
            </w:r>
          </w:p>
        </w:tc>
        <w:tc>
          <w:tcPr>
            <w:tcW w:w="783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Office for National Statistics</w:t>
            </w:r>
          </w:p>
        </w:tc>
      </w:tr>
      <w:tr w:rsidR="00145B62" w:rsidRPr="00CC6233" w:rsidTr="00D47D67">
        <w:tc>
          <w:tcPr>
            <w:tcW w:w="151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SAMHSA</w:t>
            </w:r>
          </w:p>
        </w:tc>
        <w:tc>
          <w:tcPr>
            <w:tcW w:w="783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Substance Abuse and Mental Health Services Administration</w:t>
            </w:r>
          </w:p>
        </w:tc>
      </w:tr>
      <w:tr w:rsidR="00145B62" w:rsidRPr="00CC6233" w:rsidTr="00D47D67">
        <w:tc>
          <w:tcPr>
            <w:tcW w:w="151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ASMR</w:t>
            </w:r>
          </w:p>
        </w:tc>
        <w:tc>
          <w:tcPr>
            <w:tcW w:w="783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Age-Standardized Mortality Rate</w:t>
            </w:r>
          </w:p>
        </w:tc>
      </w:tr>
      <w:tr w:rsidR="00145B62" w:rsidRPr="00CC6233" w:rsidTr="00D47D67">
        <w:tc>
          <w:tcPr>
            <w:tcW w:w="151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CDC</w:t>
            </w:r>
          </w:p>
        </w:tc>
        <w:tc>
          <w:tcPr>
            <w:tcW w:w="783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Centers for Disease Control and Prevention</w:t>
            </w:r>
          </w:p>
        </w:tc>
      </w:tr>
      <w:tr w:rsidR="00D47D67" w:rsidRPr="00CC6233" w:rsidTr="00D47D67">
        <w:tc>
          <w:tcPr>
            <w:tcW w:w="151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WHO</w:t>
            </w:r>
          </w:p>
        </w:tc>
        <w:tc>
          <w:tcPr>
            <w:tcW w:w="7835" w:type="dxa"/>
          </w:tcPr>
          <w:p w:rsidR="006D4BAE" w:rsidRPr="00CC6233" w:rsidRDefault="006D4BAE" w:rsidP="00D47D67">
            <w:pPr>
              <w:pStyle w:val="NormalWeb"/>
              <w:spacing w:before="120" w:beforeAutospacing="0" w:after="120" w:afterAutospacing="0" w:line="360" w:lineRule="auto"/>
              <w:jc w:val="both"/>
              <w:rPr>
                <w:rFonts w:ascii="Arial" w:hAnsi="Arial" w:cs="Arial"/>
                <w:sz w:val="22"/>
                <w:szCs w:val="22"/>
              </w:rPr>
            </w:pPr>
            <w:r w:rsidRPr="00CC6233">
              <w:rPr>
                <w:rFonts w:ascii="Arial" w:hAnsi="Arial" w:cs="Arial"/>
                <w:sz w:val="22"/>
                <w:szCs w:val="22"/>
              </w:rPr>
              <w:t xml:space="preserve">World Health Organization </w:t>
            </w:r>
          </w:p>
        </w:tc>
      </w:tr>
    </w:tbl>
    <w:p w:rsidR="006D4BAE" w:rsidRPr="00CC6233" w:rsidRDefault="006D4BAE" w:rsidP="006D4BAE">
      <w:pPr>
        <w:pStyle w:val="Heading2"/>
        <w:numPr>
          <w:ilvl w:val="0"/>
          <w:numId w:val="0"/>
        </w:numPr>
        <w:spacing w:line="360" w:lineRule="auto"/>
        <w:ind w:left="576"/>
        <w:rPr>
          <w:rFonts w:ascii="Arial" w:hAnsi="Arial" w:cs="Arial"/>
          <w:b w:val="0"/>
          <w:bCs w:val="0"/>
          <w:color w:val="auto"/>
          <w:sz w:val="22"/>
          <w:szCs w:val="22"/>
        </w:rPr>
      </w:pPr>
    </w:p>
    <w:p w:rsidR="00CA52AC" w:rsidRPr="00963D3C" w:rsidRDefault="00CA52AC" w:rsidP="00C84759">
      <w:pPr>
        <w:pStyle w:val="Heading2"/>
        <w:spacing w:line="360" w:lineRule="auto"/>
        <w:rPr>
          <w:rFonts w:ascii="Arial" w:hAnsi="Arial" w:cs="Arial"/>
          <w:color w:val="auto"/>
          <w:sz w:val="32"/>
          <w:szCs w:val="32"/>
        </w:rPr>
      </w:pPr>
      <w:r w:rsidRPr="00963D3C">
        <w:rPr>
          <w:rFonts w:ascii="Arial" w:hAnsi="Arial" w:cs="Arial"/>
          <w:color w:val="auto"/>
          <w:sz w:val="32"/>
          <w:szCs w:val="32"/>
        </w:rPr>
        <w:t>Background and Current Context</w:t>
      </w:r>
      <w:r w:rsidR="00EE1923">
        <w:rPr>
          <w:rFonts w:ascii="Arial" w:hAnsi="Arial" w:cs="Arial"/>
          <w:color w:val="auto"/>
          <w:sz w:val="32"/>
          <w:szCs w:val="32"/>
        </w:rPr>
        <w:t xml:space="preserve"> </w:t>
      </w:r>
    </w:p>
    <w:p w:rsidR="00E41E50" w:rsidRPr="00CC6233" w:rsidRDefault="006033EA" w:rsidP="00A5056F">
      <w:pPr>
        <w:pStyle w:val="NormalWeb"/>
        <w:spacing w:before="240" w:beforeAutospacing="0" w:after="240" w:afterAutospacing="0" w:line="360" w:lineRule="auto"/>
        <w:jc w:val="both"/>
        <w:rPr>
          <w:rFonts w:ascii="Arial" w:hAnsi="Arial" w:cs="Arial"/>
          <w:b/>
          <w:bCs/>
          <w:sz w:val="22"/>
          <w:szCs w:val="22"/>
        </w:rPr>
      </w:pPr>
      <w:r>
        <w:rPr>
          <w:rStyle w:val="Strong"/>
          <w:rFonts w:ascii="Arial" w:hAnsi="Arial" w:cs="Arial"/>
          <w:sz w:val="22"/>
          <w:szCs w:val="22"/>
        </w:rPr>
        <w:t xml:space="preserve">Felitti (1998), stated that there is </w:t>
      </w:r>
      <w:r w:rsidR="00E41E50" w:rsidRPr="00CC6233">
        <w:rPr>
          <w:rStyle w:val="Strong"/>
          <w:rFonts w:ascii="Arial" w:hAnsi="Arial" w:cs="Arial"/>
          <w:sz w:val="22"/>
          <w:szCs w:val="22"/>
        </w:rPr>
        <w:t>a dose-response relationship between ACE</w:t>
      </w:r>
      <w:r w:rsidR="00A40D25">
        <w:rPr>
          <w:rStyle w:val="Strong"/>
          <w:rFonts w:ascii="Arial" w:hAnsi="Arial" w:cs="Arial"/>
          <w:sz w:val="22"/>
          <w:szCs w:val="22"/>
        </w:rPr>
        <w:t>’</w:t>
      </w:r>
      <w:r w:rsidR="00E41E50" w:rsidRPr="00CC6233">
        <w:rPr>
          <w:rStyle w:val="Strong"/>
          <w:rFonts w:ascii="Arial" w:hAnsi="Arial" w:cs="Arial"/>
          <w:sz w:val="22"/>
          <w:szCs w:val="22"/>
        </w:rPr>
        <w:t>s and adult health issues. The UK context shows its gradual evolution, with Public Health England promoting ACE</w:t>
      </w:r>
      <w:r w:rsidR="00581774">
        <w:rPr>
          <w:rStyle w:val="Strong"/>
          <w:rFonts w:ascii="Arial" w:hAnsi="Arial" w:cs="Arial"/>
          <w:sz w:val="22"/>
          <w:szCs w:val="22"/>
        </w:rPr>
        <w:t xml:space="preserve">’s </w:t>
      </w:r>
      <w:r w:rsidR="00581774" w:rsidRPr="00CC6233">
        <w:rPr>
          <w:rStyle w:val="Strong"/>
          <w:rFonts w:ascii="Arial" w:hAnsi="Arial" w:cs="Arial"/>
          <w:sz w:val="22"/>
          <w:szCs w:val="22"/>
        </w:rPr>
        <w:t>centered</w:t>
      </w:r>
      <w:r w:rsidR="00E41E50" w:rsidRPr="00CC6233">
        <w:rPr>
          <w:rStyle w:val="Strong"/>
          <w:rFonts w:ascii="Arial" w:hAnsi="Arial" w:cs="Arial"/>
          <w:sz w:val="22"/>
          <w:szCs w:val="22"/>
        </w:rPr>
        <w:t xml:space="preserve"> approaches and NHS England utilising trauma-centric frameworks for guidelines (NHS England, 2025). However, such issues among young males were mostly attributed to individual weakness rather than developmental or childhood stressors, which slowed childhood intervention strategies as well as raised socio-cultural barriers to </w:t>
      </w:r>
      <w:r w:rsidR="00C34726" w:rsidRPr="00CC6233">
        <w:rPr>
          <w:rStyle w:val="Strong"/>
          <w:rFonts w:ascii="Arial" w:hAnsi="Arial" w:cs="Arial"/>
          <w:sz w:val="22"/>
          <w:szCs w:val="22"/>
        </w:rPr>
        <w:t>seeking,</w:t>
      </w:r>
      <w:r w:rsidR="00E41E50" w:rsidRPr="00CC6233">
        <w:rPr>
          <w:rStyle w:val="Strong"/>
          <w:rFonts w:ascii="Arial" w:hAnsi="Arial" w:cs="Arial"/>
          <w:sz w:val="22"/>
          <w:szCs w:val="22"/>
        </w:rPr>
        <w:t xml:space="preserve"> help </w:t>
      </w:r>
      <w:r w:rsidR="00581774" w:rsidRPr="00CC6233">
        <w:rPr>
          <w:rStyle w:val="Strong"/>
          <w:rFonts w:ascii="Arial" w:hAnsi="Arial" w:cs="Arial"/>
          <w:sz w:val="22"/>
          <w:szCs w:val="22"/>
        </w:rPr>
        <w:t xml:space="preserve">(NHS England, 2025). </w:t>
      </w:r>
    </w:p>
    <w:p w:rsidR="00E41E50" w:rsidRPr="00CC6233" w:rsidRDefault="00170CAD" w:rsidP="00A5056F">
      <w:pPr>
        <w:pStyle w:val="NormalWeb"/>
        <w:spacing w:before="240" w:beforeAutospacing="0" w:after="240" w:afterAutospacing="0" w:line="360" w:lineRule="auto"/>
        <w:jc w:val="both"/>
        <w:rPr>
          <w:rFonts w:ascii="Arial" w:hAnsi="Arial" w:cs="Arial"/>
          <w:b/>
          <w:bCs/>
          <w:sz w:val="22"/>
          <w:szCs w:val="22"/>
        </w:rPr>
      </w:pPr>
      <w:r>
        <w:rPr>
          <w:rStyle w:val="Strong"/>
          <w:rFonts w:ascii="Arial" w:hAnsi="Arial" w:cs="Arial"/>
          <w:sz w:val="22"/>
          <w:szCs w:val="22"/>
        </w:rPr>
        <w:t xml:space="preserve">A report published by </w:t>
      </w:r>
      <w:r w:rsidR="00E41E50" w:rsidRPr="00CC6233">
        <w:rPr>
          <w:rStyle w:val="Strong"/>
          <w:rFonts w:ascii="Arial" w:hAnsi="Arial" w:cs="Arial"/>
          <w:sz w:val="22"/>
          <w:szCs w:val="22"/>
        </w:rPr>
        <w:t>N</w:t>
      </w:r>
      <w:r>
        <w:rPr>
          <w:rStyle w:val="Strong"/>
          <w:rFonts w:ascii="Arial" w:hAnsi="Arial" w:cs="Arial"/>
          <w:sz w:val="22"/>
          <w:szCs w:val="22"/>
        </w:rPr>
        <w:t>ational Office for Statistics (2025), showing that</w:t>
      </w:r>
      <w:r w:rsidR="00E41E50" w:rsidRPr="00CC6233">
        <w:rPr>
          <w:rStyle w:val="Strong"/>
          <w:rFonts w:ascii="Arial" w:hAnsi="Arial" w:cs="Arial"/>
          <w:sz w:val="22"/>
          <w:szCs w:val="22"/>
        </w:rPr>
        <w:t xml:space="preserve"> suicide has become the leading cause of death among English males of the menti</w:t>
      </w:r>
      <w:r w:rsidR="00C34726">
        <w:rPr>
          <w:rStyle w:val="Strong"/>
          <w:rFonts w:ascii="Arial" w:hAnsi="Arial" w:cs="Arial"/>
          <w:sz w:val="22"/>
          <w:szCs w:val="22"/>
        </w:rPr>
        <w:t xml:space="preserve">oned age group. </w:t>
      </w:r>
      <w:r w:rsidR="00E41E50" w:rsidRPr="00CC6233">
        <w:rPr>
          <w:rStyle w:val="Strong"/>
          <w:rFonts w:ascii="Arial" w:hAnsi="Arial" w:cs="Arial"/>
          <w:sz w:val="22"/>
          <w:szCs w:val="22"/>
        </w:rPr>
        <w:t>This group has rather emerged as a vulnerable segment because of its place between Child and Adolescent Mental Health Services (CAMHS) and provisions drafted for adult mental health services. Th</w:t>
      </w:r>
      <w:r w:rsidR="00504E91">
        <w:rPr>
          <w:rStyle w:val="Strong"/>
          <w:rFonts w:ascii="Arial" w:hAnsi="Arial" w:cs="Arial"/>
          <w:sz w:val="22"/>
          <w:szCs w:val="22"/>
        </w:rPr>
        <w:t xml:space="preserve">e NHS </w:t>
      </w:r>
      <w:r w:rsidR="00504E91">
        <w:rPr>
          <w:rStyle w:val="Strong"/>
          <w:rFonts w:ascii="Arial" w:hAnsi="Arial" w:cs="Arial"/>
          <w:sz w:val="22"/>
          <w:szCs w:val="22"/>
        </w:rPr>
        <w:lastRenderedPageBreak/>
        <w:t xml:space="preserve">Long Term Plan (2019) formed strategies </w:t>
      </w:r>
      <w:r w:rsidR="00E41E50" w:rsidRPr="00CC6233">
        <w:rPr>
          <w:rStyle w:val="Strong"/>
          <w:rFonts w:ascii="Arial" w:hAnsi="Arial" w:cs="Arial"/>
          <w:sz w:val="22"/>
          <w:szCs w:val="22"/>
        </w:rPr>
        <w:t>to improve mental health have tried to a</w:t>
      </w:r>
      <w:r w:rsidR="00DD3284">
        <w:rPr>
          <w:rStyle w:val="Strong"/>
          <w:rFonts w:ascii="Arial" w:hAnsi="Arial" w:cs="Arial"/>
          <w:sz w:val="22"/>
          <w:szCs w:val="22"/>
        </w:rPr>
        <w:t>ddress these issues but gender</w:t>
      </w:r>
      <w:r w:rsidR="00E41E50" w:rsidRPr="00CC6233">
        <w:rPr>
          <w:rStyle w:val="Strong"/>
          <w:rFonts w:ascii="Arial" w:hAnsi="Arial" w:cs="Arial"/>
          <w:sz w:val="22"/>
          <w:szCs w:val="22"/>
        </w:rPr>
        <w:t xml:space="preserve"> barriers rooted in socio-cultural norms have often prevented this population segment from seeking support services. Also, currently, there is a gap in research regarding ACE</w:t>
      </w:r>
      <w:r w:rsidR="00DD3284">
        <w:rPr>
          <w:rStyle w:val="Strong"/>
          <w:rFonts w:ascii="Arial" w:hAnsi="Arial" w:cs="Arial"/>
          <w:sz w:val="22"/>
          <w:szCs w:val="22"/>
        </w:rPr>
        <w:t>’s</w:t>
      </w:r>
      <w:r w:rsidR="00E41E50" w:rsidRPr="00CC6233">
        <w:rPr>
          <w:rStyle w:val="Strong"/>
          <w:rFonts w:ascii="Arial" w:hAnsi="Arial" w:cs="Arial"/>
          <w:sz w:val="22"/>
          <w:szCs w:val="22"/>
        </w:rPr>
        <w:t xml:space="preserve"> exposure and suicidal behaviour for this age group in England (Danechi, 2026).</w:t>
      </w:r>
    </w:p>
    <w:p w:rsidR="00CA52AC" w:rsidRPr="00963D3C" w:rsidRDefault="00CA52AC" w:rsidP="00C84759">
      <w:pPr>
        <w:pStyle w:val="Heading2"/>
        <w:spacing w:line="360" w:lineRule="auto"/>
        <w:rPr>
          <w:rFonts w:ascii="Arial" w:hAnsi="Arial" w:cs="Arial"/>
          <w:color w:val="auto"/>
          <w:sz w:val="32"/>
          <w:szCs w:val="32"/>
        </w:rPr>
      </w:pPr>
      <w:r w:rsidRPr="00963D3C">
        <w:rPr>
          <w:rFonts w:ascii="Arial" w:hAnsi="Arial" w:cs="Arial"/>
          <w:color w:val="auto"/>
          <w:sz w:val="32"/>
          <w:szCs w:val="32"/>
        </w:rPr>
        <w:t xml:space="preserve">Rationale for Research </w:t>
      </w:r>
    </w:p>
    <w:p w:rsidR="00DC7A8F" w:rsidRPr="00CC6233" w:rsidRDefault="00DC7A8F" w:rsidP="00757EA4">
      <w:pPr>
        <w:pStyle w:val="NormalWeb"/>
        <w:spacing w:line="360" w:lineRule="auto"/>
        <w:jc w:val="both"/>
        <w:rPr>
          <w:rFonts w:ascii="Arial" w:hAnsi="Arial" w:cs="Arial"/>
          <w:sz w:val="22"/>
          <w:szCs w:val="22"/>
        </w:rPr>
      </w:pPr>
      <w:r w:rsidRPr="00CC6233">
        <w:rPr>
          <w:rFonts w:ascii="Arial" w:hAnsi="Arial" w:cs="Arial"/>
          <w:sz w:val="22"/>
          <w:szCs w:val="22"/>
        </w:rPr>
        <w:t xml:space="preserve">This study is important for addressing the critical issue of suicide in adult men in England, </w:t>
      </w:r>
      <w:r w:rsidR="00024729">
        <w:rPr>
          <w:rFonts w:ascii="Arial" w:hAnsi="Arial" w:cs="Arial"/>
          <w:sz w:val="22"/>
          <w:szCs w:val="22"/>
        </w:rPr>
        <w:t>whose average rate has surpassed that of women</w:t>
      </w:r>
      <w:r w:rsidRPr="00CC6233">
        <w:rPr>
          <w:rFonts w:ascii="Arial" w:hAnsi="Arial" w:cs="Arial"/>
          <w:sz w:val="22"/>
          <w:szCs w:val="22"/>
        </w:rPr>
        <w:t>. The reason is that this age group is very critical due to the transformative period in which young men have to confront domestic changes, jobs, and relationships for the first time in life. The stress of these events causes painful experiences at home, leading to severe emotional stress (Danechi, 2026). Also, research indicates that with an increase in childhood stressors, there is an equal and relative increase in the likelihood of more health issues in behavioural patterns. There is a relationship between self-harm and ACE</w:t>
      </w:r>
      <w:r w:rsidR="00024729">
        <w:rPr>
          <w:rFonts w:ascii="Arial" w:hAnsi="Arial" w:cs="Arial"/>
          <w:sz w:val="22"/>
          <w:szCs w:val="22"/>
        </w:rPr>
        <w:t>’</w:t>
      </w:r>
      <w:r w:rsidRPr="00CC6233">
        <w:rPr>
          <w:rFonts w:ascii="Arial" w:hAnsi="Arial" w:cs="Arial"/>
          <w:sz w:val="22"/>
          <w:szCs w:val="22"/>
        </w:rPr>
        <w:t>s, with 79.1% reporting multiple stressors having attended hospital for self-harm (Cleare et al., 2018). It leads to the conclusion that traumatic issues could disrupt the stress system and weaken social relationships and ultimately increase the tendency of se</w:t>
      </w:r>
      <w:r w:rsidR="00024729">
        <w:rPr>
          <w:rFonts w:ascii="Arial" w:hAnsi="Arial" w:cs="Arial"/>
          <w:sz w:val="22"/>
          <w:szCs w:val="22"/>
        </w:rPr>
        <w:t>lf-harm (V</w:t>
      </w:r>
      <w:r w:rsidRPr="00CC6233">
        <w:rPr>
          <w:rFonts w:ascii="Arial" w:hAnsi="Arial" w:cs="Arial"/>
          <w:sz w:val="22"/>
          <w:szCs w:val="22"/>
        </w:rPr>
        <w:t xml:space="preserve">an der Kolk, 2014). </w:t>
      </w:r>
    </w:p>
    <w:p w:rsidR="00DC7A8F" w:rsidRPr="00CC6233" w:rsidRDefault="00DC7A8F" w:rsidP="00757EA4">
      <w:pPr>
        <w:pStyle w:val="NormalWeb"/>
        <w:spacing w:line="360" w:lineRule="auto"/>
        <w:jc w:val="both"/>
        <w:rPr>
          <w:rFonts w:ascii="Arial" w:hAnsi="Arial" w:cs="Arial"/>
          <w:sz w:val="22"/>
          <w:szCs w:val="22"/>
        </w:rPr>
      </w:pPr>
      <w:r w:rsidRPr="00CC6233">
        <w:rPr>
          <w:rFonts w:ascii="Arial" w:hAnsi="Arial" w:cs="Arial"/>
          <w:sz w:val="22"/>
          <w:szCs w:val="22"/>
        </w:rPr>
        <w:t>This research, therefore, intends to use ACE</w:t>
      </w:r>
      <w:r w:rsidR="002A6FF4">
        <w:rPr>
          <w:rFonts w:ascii="Arial" w:hAnsi="Arial" w:cs="Arial"/>
          <w:sz w:val="22"/>
          <w:szCs w:val="22"/>
        </w:rPr>
        <w:t>’</w:t>
      </w:r>
      <w:r w:rsidRPr="00CC6233">
        <w:rPr>
          <w:rFonts w:ascii="Arial" w:hAnsi="Arial" w:cs="Arial"/>
          <w:sz w:val="22"/>
          <w:szCs w:val="22"/>
        </w:rPr>
        <w:t xml:space="preserve">s evidence about the risks of suicide in young men in England to develop a set of recommendations that are not only pragmatic but also trauma-specific and gender-responsive for support and intervention to be included in public health and social care services to address this issue. </w:t>
      </w:r>
    </w:p>
    <w:p w:rsidR="00CA52AC" w:rsidRPr="00963D3C" w:rsidRDefault="00AC72EB" w:rsidP="00C84759">
      <w:pPr>
        <w:pStyle w:val="Heading2"/>
        <w:spacing w:line="360" w:lineRule="auto"/>
        <w:rPr>
          <w:rFonts w:ascii="Arial" w:hAnsi="Arial" w:cs="Arial"/>
          <w:b w:val="0"/>
          <w:bCs w:val="0"/>
          <w:color w:val="auto"/>
          <w:sz w:val="32"/>
          <w:szCs w:val="32"/>
        </w:rPr>
      </w:pPr>
      <w:r w:rsidRPr="00963D3C">
        <w:rPr>
          <w:rFonts w:ascii="Arial" w:hAnsi="Arial" w:cs="Arial"/>
          <w:color w:val="auto"/>
          <w:sz w:val="32"/>
          <w:szCs w:val="32"/>
        </w:rPr>
        <w:t xml:space="preserve">Aim and Objectives </w:t>
      </w:r>
    </w:p>
    <w:p w:rsidR="00282B13" w:rsidRDefault="00282B13" w:rsidP="00282B13">
      <w:pPr>
        <w:pStyle w:val="Heading2"/>
        <w:numPr>
          <w:ilvl w:val="0"/>
          <w:numId w:val="0"/>
        </w:numPr>
        <w:spacing w:line="360" w:lineRule="auto"/>
        <w:ind w:left="576"/>
        <w:rPr>
          <w:rFonts w:ascii="Arial" w:hAnsi="Arial" w:cs="Arial"/>
          <w:b w:val="0"/>
          <w:bCs w:val="0"/>
          <w:color w:val="auto"/>
          <w:sz w:val="22"/>
          <w:szCs w:val="22"/>
        </w:rPr>
      </w:pPr>
    </w:p>
    <w:p w:rsidR="00282B13" w:rsidRPr="00B87009" w:rsidRDefault="00282B13" w:rsidP="00B87009">
      <w:pPr>
        <w:spacing w:line="360" w:lineRule="auto"/>
        <w:rPr>
          <w:rFonts w:ascii="Arial" w:hAnsi="Arial" w:cs="Arial"/>
          <w:sz w:val="22"/>
          <w:szCs w:val="22"/>
        </w:rPr>
      </w:pPr>
      <w:r w:rsidRPr="00B87009">
        <w:rPr>
          <w:rFonts w:ascii="Arial" w:hAnsi="Arial" w:cs="Arial"/>
          <w:sz w:val="22"/>
          <w:szCs w:val="22"/>
        </w:rPr>
        <w:t>Aim</w:t>
      </w:r>
    </w:p>
    <w:p w:rsidR="00282B13" w:rsidRPr="00B87009" w:rsidRDefault="00282B13" w:rsidP="00B87009">
      <w:pPr>
        <w:spacing w:line="360" w:lineRule="auto"/>
        <w:jc w:val="both"/>
        <w:rPr>
          <w:rFonts w:ascii="Arial" w:hAnsi="Arial" w:cs="Arial"/>
          <w:sz w:val="22"/>
          <w:szCs w:val="22"/>
        </w:rPr>
      </w:pPr>
      <w:r w:rsidRPr="00B87009">
        <w:rPr>
          <w:rFonts w:ascii="Arial" w:eastAsia="Times New Roman" w:hAnsi="Arial" w:cs="Arial"/>
          <w:b w:val="0"/>
          <w:kern w:val="0"/>
          <w:sz w:val="22"/>
          <w:szCs w:val="22"/>
        </w:rPr>
        <w:t>The aim of this research is to evaluate how adverse childhood experiences (ACE’s) relate to suicide risk and self-harm in men aged 18–25 in England and to identify trauma-informed, gender-responsive points for prevention and early intervention strategies.</w:t>
      </w:r>
    </w:p>
    <w:p w:rsidR="00282B13" w:rsidRPr="00EB5381" w:rsidRDefault="00EB5381" w:rsidP="00282B13">
      <w:pPr>
        <w:rPr>
          <w:rFonts w:ascii="Arial" w:hAnsi="Arial" w:cs="Arial"/>
          <w:sz w:val="22"/>
          <w:szCs w:val="22"/>
        </w:rPr>
      </w:pPr>
      <w:r w:rsidRPr="00EB5381">
        <w:rPr>
          <w:rFonts w:ascii="Arial" w:hAnsi="Arial" w:cs="Arial"/>
          <w:sz w:val="22"/>
          <w:szCs w:val="22"/>
        </w:rPr>
        <w:t>Objectives</w:t>
      </w:r>
    </w:p>
    <w:p w:rsidR="00EB5381" w:rsidRPr="00F118DB" w:rsidRDefault="00EB5381" w:rsidP="00EB5381">
      <w:pPr>
        <w:spacing w:before="240" w:after="240" w:line="360" w:lineRule="auto"/>
        <w:jc w:val="both"/>
        <w:rPr>
          <w:rFonts w:ascii="Arial" w:eastAsia="Times New Roman" w:hAnsi="Arial" w:cs="Arial"/>
          <w:b w:val="0"/>
          <w:kern w:val="0"/>
          <w:sz w:val="28"/>
          <w:szCs w:val="28"/>
        </w:rPr>
      </w:pPr>
    </w:p>
    <w:p w:rsidR="00EB5381" w:rsidRPr="009B7908" w:rsidRDefault="00EB5381" w:rsidP="00EB5381">
      <w:pPr>
        <w:pStyle w:val="ListParagraph"/>
        <w:numPr>
          <w:ilvl w:val="0"/>
          <w:numId w:val="18"/>
        </w:numPr>
        <w:spacing w:before="240" w:after="240" w:line="360" w:lineRule="auto"/>
        <w:jc w:val="both"/>
        <w:rPr>
          <w:rFonts w:ascii="Arial" w:eastAsia="Times New Roman" w:hAnsi="Arial" w:cs="Arial"/>
          <w:b w:val="0"/>
          <w:bCs w:val="0"/>
          <w:kern w:val="0"/>
          <w:sz w:val="22"/>
          <w:szCs w:val="22"/>
        </w:rPr>
      </w:pPr>
      <w:r w:rsidRPr="009B7908">
        <w:rPr>
          <w:rFonts w:ascii="Arial" w:eastAsia="Times New Roman" w:hAnsi="Arial" w:cs="Arial"/>
          <w:b w:val="0"/>
          <w:kern w:val="0"/>
          <w:sz w:val="22"/>
          <w:szCs w:val="22"/>
        </w:rPr>
        <w:lastRenderedPageBreak/>
        <w:t xml:space="preserve">Define adverse childhood experiences </w:t>
      </w:r>
      <w:r w:rsidRPr="009B7908">
        <w:rPr>
          <w:rFonts w:ascii="Arial" w:eastAsia="Times New Roman" w:hAnsi="Arial" w:cs="Arial"/>
          <w:b w:val="0"/>
          <w:kern w:val="0"/>
          <w:sz w:val="22"/>
          <w:szCs w:val="22"/>
          <w:lang w:eastAsia="en-GB"/>
        </w:rPr>
        <w:t>(abuse, neglect, trauma and household dysfunction)</w:t>
      </w:r>
      <w:r w:rsidRPr="009B7908">
        <w:rPr>
          <w:rFonts w:ascii="Arial" w:eastAsia="Times New Roman" w:hAnsi="Arial" w:cs="Arial"/>
          <w:b w:val="0"/>
          <w:kern w:val="0"/>
          <w:sz w:val="22"/>
          <w:szCs w:val="22"/>
        </w:rPr>
        <w:t>, identify the prevalence and types of ACE</w:t>
      </w:r>
      <w:r>
        <w:rPr>
          <w:rFonts w:ascii="Arial" w:eastAsia="Times New Roman" w:hAnsi="Arial" w:cs="Arial"/>
          <w:b w:val="0"/>
          <w:kern w:val="0"/>
          <w:sz w:val="22"/>
          <w:szCs w:val="22"/>
        </w:rPr>
        <w:t>’</w:t>
      </w:r>
      <w:r w:rsidRPr="009B7908">
        <w:rPr>
          <w:rFonts w:ascii="Arial" w:eastAsia="Times New Roman" w:hAnsi="Arial" w:cs="Arial"/>
          <w:b w:val="0"/>
          <w:kern w:val="0"/>
          <w:sz w:val="22"/>
          <w:szCs w:val="22"/>
        </w:rPr>
        <w:t>s among males aged 18-25 in England.</w:t>
      </w:r>
    </w:p>
    <w:p w:rsidR="00EB5381" w:rsidRPr="009B7908" w:rsidRDefault="00EB5381" w:rsidP="00EB5381">
      <w:pPr>
        <w:pStyle w:val="ListParagraph"/>
        <w:numPr>
          <w:ilvl w:val="0"/>
          <w:numId w:val="18"/>
        </w:numPr>
        <w:spacing w:before="240" w:after="240" w:line="360" w:lineRule="auto"/>
        <w:jc w:val="both"/>
        <w:rPr>
          <w:rFonts w:ascii="Arial" w:eastAsia="Times New Roman" w:hAnsi="Arial" w:cs="Arial"/>
          <w:b w:val="0"/>
          <w:bCs w:val="0"/>
          <w:kern w:val="0"/>
          <w:sz w:val="22"/>
          <w:szCs w:val="22"/>
        </w:rPr>
      </w:pPr>
      <w:r w:rsidRPr="009B7908">
        <w:rPr>
          <w:rFonts w:ascii="Arial" w:eastAsia="Times New Roman" w:hAnsi="Arial" w:cs="Arial"/>
          <w:b w:val="0"/>
          <w:kern w:val="0"/>
          <w:sz w:val="22"/>
          <w:szCs w:val="22"/>
          <w:lang w:val="en-GB"/>
        </w:rPr>
        <w:t xml:space="preserve"> Analyse existing data and literature to identify trends and patterns of </w:t>
      </w:r>
      <w:r w:rsidRPr="009B7908">
        <w:rPr>
          <w:rFonts w:ascii="Arial" w:eastAsia="Times New Roman" w:hAnsi="Arial" w:cs="Arial"/>
          <w:b w:val="0"/>
          <w:kern w:val="0"/>
          <w:sz w:val="22"/>
          <w:szCs w:val="22"/>
        </w:rPr>
        <w:t>ACE</w:t>
      </w:r>
      <w:r>
        <w:rPr>
          <w:rFonts w:ascii="Arial" w:eastAsia="Times New Roman" w:hAnsi="Arial" w:cs="Arial"/>
          <w:b w:val="0"/>
          <w:kern w:val="0"/>
          <w:sz w:val="22"/>
          <w:szCs w:val="22"/>
        </w:rPr>
        <w:t>’</w:t>
      </w:r>
      <w:r w:rsidRPr="009B7908">
        <w:rPr>
          <w:rFonts w:ascii="Arial" w:eastAsia="Times New Roman" w:hAnsi="Arial" w:cs="Arial"/>
          <w:b w:val="0"/>
          <w:kern w:val="0"/>
          <w:sz w:val="22"/>
          <w:szCs w:val="22"/>
        </w:rPr>
        <w:t>s especially related to suicide risk and self-harm behavior in males aged 18-25.</w:t>
      </w:r>
    </w:p>
    <w:p w:rsidR="00EB5381" w:rsidRPr="000D5C3A" w:rsidRDefault="00EB5381" w:rsidP="00EB5381">
      <w:pPr>
        <w:pStyle w:val="ListParagraph"/>
        <w:numPr>
          <w:ilvl w:val="0"/>
          <w:numId w:val="18"/>
        </w:numPr>
        <w:spacing w:before="240" w:after="240" w:line="360" w:lineRule="auto"/>
        <w:jc w:val="both"/>
        <w:rPr>
          <w:rFonts w:ascii="Arial" w:eastAsia="Times New Roman" w:hAnsi="Arial" w:cs="Arial"/>
          <w:b w:val="0"/>
          <w:bCs w:val="0"/>
          <w:kern w:val="0"/>
          <w:sz w:val="22"/>
          <w:szCs w:val="22"/>
        </w:rPr>
      </w:pPr>
      <w:r w:rsidRPr="009B7908">
        <w:rPr>
          <w:rFonts w:ascii="Arial" w:eastAsia="Times New Roman" w:hAnsi="Arial" w:cs="Arial"/>
          <w:b w:val="0"/>
          <w:kern w:val="0"/>
          <w:sz w:val="22"/>
          <w:szCs w:val="22"/>
        </w:rPr>
        <w:t xml:space="preserve"> Evaluate available literature and research psychological and social models as well as socioeconomic, cultural and environmental factors exploring progression towards suicidal behaviour and self-harm with a focus on male help-seeking barriers.</w:t>
      </w:r>
    </w:p>
    <w:p w:rsidR="00282B13" w:rsidRPr="000D5C3A" w:rsidRDefault="00EB5381" w:rsidP="00EB5381">
      <w:pPr>
        <w:pStyle w:val="ListParagraph"/>
        <w:numPr>
          <w:ilvl w:val="0"/>
          <w:numId w:val="18"/>
        </w:numPr>
        <w:spacing w:before="240" w:after="240" w:line="360" w:lineRule="auto"/>
        <w:jc w:val="both"/>
        <w:rPr>
          <w:rFonts w:ascii="Arial" w:eastAsia="Times New Roman" w:hAnsi="Arial" w:cs="Arial"/>
          <w:b w:val="0"/>
          <w:bCs w:val="0"/>
          <w:kern w:val="0"/>
          <w:sz w:val="22"/>
          <w:szCs w:val="22"/>
        </w:rPr>
      </w:pPr>
      <w:r w:rsidRPr="000D5C3A">
        <w:rPr>
          <w:rFonts w:ascii="Arial" w:eastAsia="Times New Roman" w:hAnsi="Arial" w:cs="Arial"/>
          <w:b w:val="0"/>
          <w:kern w:val="0"/>
          <w:sz w:val="22"/>
          <w:szCs w:val="22"/>
        </w:rPr>
        <w:t>To provide p</w:t>
      </w:r>
      <w:r w:rsidR="00AC72EB">
        <w:rPr>
          <w:rFonts w:ascii="Arial" w:eastAsia="Times New Roman" w:hAnsi="Arial" w:cs="Arial"/>
          <w:b w:val="0"/>
          <w:kern w:val="0"/>
          <w:sz w:val="22"/>
          <w:szCs w:val="22"/>
        </w:rPr>
        <w:t xml:space="preserve">ractical, evidence </w:t>
      </w:r>
      <w:r w:rsidRPr="000D5C3A">
        <w:rPr>
          <w:rFonts w:ascii="Arial" w:eastAsia="Times New Roman" w:hAnsi="Arial" w:cs="Arial"/>
          <w:b w:val="0"/>
          <w:kern w:val="0"/>
          <w:sz w:val="22"/>
          <w:szCs w:val="22"/>
        </w:rPr>
        <w:t>based recommendations about screening, referral, intervention and support to reduce and prevent suicide risk and self-harm behaviour in males aged 18-25 in England.</w:t>
      </w:r>
    </w:p>
    <w:p w:rsidR="00E00843" w:rsidRPr="00EB5381" w:rsidRDefault="00E00843" w:rsidP="00EB5381">
      <w:pPr>
        <w:jc w:val="both"/>
        <w:rPr>
          <w:rFonts w:ascii="Arial" w:hAnsi="Arial" w:cs="Arial"/>
          <w:b w:val="0"/>
          <w:sz w:val="22"/>
          <w:szCs w:val="22"/>
        </w:rPr>
      </w:pPr>
    </w:p>
    <w:p w:rsidR="007B123D" w:rsidRPr="00152DE0" w:rsidRDefault="00CA52AC" w:rsidP="00C84759">
      <w:pPr>
        <w:pStyle w:val="Heading2"/>
        <w:spacing w:line="360" w:lineRule="auto"/>
        <w:rPr>
          <w:rFonts w:ascii="Arial" w:hAnsi="Arial" w:cs="Arial"/>
          <w:b w:val="0"/>
          <w:bCs w:val="0"/>
          <w:color w:val="auto"/>
          <w:sz w:val="32"/>
          <w:szCs w:val="32"/>
        </w:rPr>
      </w:pPr>
      <w:r w:rsidRPr="00152DE0">
        <w:rPr>
          <w:rFonts w:ascii="Arial" w:hAnsi="Arial" w:cs="Arial"/>
          <w:color w:val="auto"/>
          <w:sz w:val="32"/>
          <w:szCs w:val="32"/>
        </w:rPr>
        <w:t xml:space="preserve">Conclusion </w:t>
      </w:r>
    </w:p>
    <w:p w:rsidR="00EE4F54" w:rsidRPr="00CC6233" w:rsidRDefault="007B123D" w:rsidP="00511F9A">
      <w:pPr>
        <w:pStyle w:val="Heading3"/>
        <w:numPr>
          <w:ilvl w:val="0"/>
          <w:numId w:val="0"/>
        </w:numPr>
        <w:spacing w:line="360" w:lineRule="auto"/>
        <w:jc w:val="both"/>
        <w:rPr>
          <w:rFonts w:ascii="Arial" w:hAnsi="Arial" w:cs="Arial"/>
          <w:color w:val="auto"/>
          <w:sz w:val="22"/>
          <w:szCs w:val="22"/>
        </w:rPr>
      </w:pPr>
      <w:r w:rsidRPr="00CC6233">
        <w:rPr>
          <w:rFonts w:ascii="Arial" w:hAnsi="Arial" w:cs="Arial"/>
          <w:color w:val="auto"/>
          <w:sz w:val="22"/>
          <w:szCs w:val="22"/>
        </w:rPr>
        <w:t xml:space="preserve">In short, this chapter introduces the main topic as how ACEs could increase suicidal risks including tendency to self-harm among young adult males of age 18 to 25 in England. Different research studies have proved it though statistical evidence about the young adults having recorded suicidal deaths in 2024 approximately 5, 717. Explaining the key terms and acronyms to be used sparingly, the chapter also highlight the rationale that is to give a set of recommendations for intervention for early support in the UK health and social care service sector after proving that ACEs have links to deteriorating mental health among the young adults that linger later in life and lead them to cause self-harm or have suicidal thoughts. In the end, the chapter sets aim and objectives for suggesting a set of recommendation for the UK context. The following chapter is going to present background information and analysis starting with the history of ACEs, main risk evaluating frameworks and then research in understanding suicide and self-harm including moral and legal concerns. It also includes main theoretical perspectives, models linking it to suicidal behaviour and self-harm, international context and comparative approaches, along with English policy, regulatory landscape and relevant local solutions.  </w:t>
      </w:r>
    </w:p>
    <w:p w:rsidR="008F1FC4" w:rsidRDefault="008F1FC4" w:rsidP="008F1FC4">
      <w:pPr>
        <w:rPr>
          <w:rFonts w:ascii="Arial" w:hAnsi="Arial" w:cs="Arial"/>
          <w:sz w:val="22"/>
          <w:szCs w:val="22"/>
        </w:rPr>
      </w:pPr>
    </w:p>
    <w:p w:rsidR="008F1FC4" w:rsidRDefault="008F1FC4" w:rsidP="008F1FC4">
      <w:pPr>
        <w:rPr>
          <w:rFonts w:ascii="Arial" w:hAnsi="Arial" w:cs="Arial"/>
          <w:sz w:val="22"/>
          <w:szCs w:val="22"/>
        </w:rPr>
      </w:pPr>
    </w:p>
    <w:p w:rsidR="006163FC" w:rsidRDefault="006163FC" w:rsidP="008F1FC4">
      <w:pPr>
        <w:rPr>
          <w:rFonts w:ascii="Arial" w:hAnsi="Arial" w:cs="Arial"/>
          <w:sz w:val="22"/>
          <w:szCs w:val="22"/>
        </w:rPr>
      </w:pPr>
    </w:p>
    <w:p w:rsidR="003311C3" w:rsidRPr="00152DE0" w:rsidRDefault="003311C3" w:rsidP="008F1FC4">
      <w:pPr>
        <w:rPr>
          <w:rFonts w:ascii="Arial" w:eastAsia="Times New Roman" w:hAnsi="Arial" w:cs="Arial"/>
          <w:b w:val="0"/>
          <w:bCs w:val="0"/>
          <w:kern w:val="0"/>
          <w:sz w:val="32"/>
          <w:szCs w:val="32"/>
          <w:lang w:val="en-GB" w:eastAsia="en-GB"/>
        </w:rPr>
      </w:pPr>
      <w:r w:rsidRPr="00152DE0">
        <w:rPr>
          <w:rFonts w:ascii="Arial" w:hAnsi="Arial" w:cs="Arial"/>
          <w:sz w:val="32"/>
          <w:szCs w:val="32"/>
        </w:rPr>
        <w:lastRenderedPageBreak/>
        <w:t>References</w:t>
      </w:r>
    </w:p>
    <w:p w:rsidR="007D6F6B"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 xml:space="preserve">Burke Harris, N. (2018) </w:t>
      </w:r>
      <w:r w:rsidRPr="00CC6233">
        <w:rPr>
          <w:rStyle w:val="Emphasis"/>
          <w:rFonts w:ascii="Arial" w:eastAsiaTheme="majorEastAsia" w:hAnsi="Arial" w:cs="Arial"/>
          <w:sz w:val="22"/>
          <w:szCs w:val="22"/>
        </w:rPr>
        <w:t>The deepest well: healing the long-term effects of childhood adversity</w:t>
      </w:r>
      <w:r w:rsidRPr="00CC6233">
        <w:rPr>
          <w:rFonts w:ascii="Arial" w:hAnsi="Arial" w:cs="Arial"/>
          <w:sz w:val="22"/>
          <w:szCs w:val="22"/>
        </w:rPr>
        <w:t xml:space="preserve">. </w:t>
      </w:r>
    </w:p>
    <w:p w:rsidR="007F35D5" w:rsidRPr="00CC6233" w:rsidRDefault="007F35D5" w:rsidP="007D6F6B">
      <w:pPr>
        <w:pStyle w:val="NormalWeb"/>
        <w:spacing w:line="360" w:lineRule="auto"/>
        <w:ind w:left="720" w:hanging="720"/>
        <w:rPr>
          <w:rFonts w:ascii="Arial" w:hAnsi="Arial" w:cs="Arial"/>
          <w:sz w:val="22"/>
          <w:szCs w:val="22"/>
        </w:rPr>
      </w:pPr>
      <w:r w:rsidRPr="00CC6233">
        <w:rPr>
          <w:rFonts w:ascii="Arial" w:hAnsi="Arial" w:cs="Arial"/>
          <w:sz w:val="22"/>
          <w:szCs w:val="22"/>
        </w:rPr>
        <w:t>Boston, MA: Houghton Mifflin Harcourt.</w:t>
      </w:r>
    </w:p>
    <w:p w:rsidR="00731060" w:rsidRDefault="007F35D5" w:rsidP="00C84759">
      <w:pPr>
        <w:pStyle w:val="NormalWeb"/>
        <w:spacing w:line="360" w:lineRule="auto"/>
        <w:ind w:left="720" w:hanging="720"/>
        <w:rPr>
          <w:rStyle w:val="Emphasis"/>
          <w:rFonts w:ascii="Arial" w:eastAsiaTheme="majorEastAsia" w:hAnsi="Arial" w:cs="Arial"/>
          <w:sz w:val="22"/>
          <w:szCs w:val="22"/>
        </w:rPr>
      </w:pPr>
      <w:r w:rsidRPr="00CC6233">
        <w:rPr>
          <w:rFonts w:ascii="Arial" w:hAnsi="Arial" w:cs="Arial"/>
          <w:sz w:val="22"/>
          <w:szCs w:val="22"/>
        </w:rPr>
        <w:t xml:space="preserve">Centers for Disease Control and Prevention (CDC) (2025) </w:t>
      </w:r>
      <w:r w:rsidRPr="00CC6233">
        <w:rPr>
          <w:rStyle w:val="Emphasis"/>
          <w:rFonts w:ascii="Arial" w:eastAsiaTheme="majorEastAsia" w:hAnsi="Arial" w:cs="Arial"/>
          <w:sz w:val="22"/>
          <w:szCs w:val="22"/>
        </w:rPr>
        <w:t xml:space="preserve">About adverse childhood </w:t>
      </w:r>
    </w:p>
    <w:p w:rsidR="00274F8A" w:rsidRDefault="007F35D5" w:rsidP="00C84759">
      <w:pPr>
        <w:pStyle w:val="NormalWeb"/>
        <w:spacing w:line="360" w:lineRule="auto"/>
        <w:ind w:left="720" w:hanging="720"/>
        <w:rPr>
          <w:rFonts w:ascii="Arial" w:hAnsi="Arial" w:cs="Arial"/>
          <w:sz w:val="22"/>
          <w:szCs w:val="22"/>
        </w:rPr>
      </w:pPr>
      <w:r w:rsidRPr="00CC6233">
        <w:rPr>
          <w:rStyle w:val="Emphasis"/>
          <w:rFonts w:ascii="Arial" w:eastAsiaTheme="majorEastAsia" w:hAnsi="Arial" w:cs="Arial"/>
          <w:sz w:val="22"/>
          <w:szCs w:val="22"/>
        </w:rPr>
        <w:t>experiences</w:t>
      </w:r>
      <w:r w:rsidR="00274F8A">
        <w:rPr>
          <w:rFonts w:ascii="Arial" w:hAnsi="Arial" w:cs="Arial"/>
          <w:sz w:val="22"/>
          <w:szCs w:val="22"/>
        </w:rPr>
        <w:t xml:space="preserve">. 24 September. </w:t>
      </w:r>
      <w:r w:rsidR="00274F8A" w:rsidRPr="009B7908">
        <w:rPr>
          <w:rFonts w:ascii="Arial" w:hAnsi="Arial" w:cs="Arial"/>
          <w:sz w:val="22"/>
          <w:szCs w:val="22"/>
        </w:rPr>
        <w:t xml:space="preserve">Available at: </w:t>
      </w:r>
      <w:hyperlink r:id="rId7" w:history="1">
        <w:r w:rsidR="00274F8A" w:rsidRPr="009B7908">
          <w:rPr>
            <w:rStyle w:val="Hyperlink"/>
            <w:rFonts w:ascii="Arial" w:eastAsiaTheme="majorEastAsia" w:hAnsi="Arial" w:cs="Arial"/>
            <w:sz w:val="22"/>
            <w:szCs w:val="22"/>
          </w:rPr>
          <w:t>https://www.cdc.gov/aces/about/index.html</w:t>
        </w:r>
      </w:hyperlink>
      <w:r w:rsidR="00274F8A" w:rsidRPr="00CC6233">
        <w:rPr>
          <w:rFonts w:ascii="Arial" w:hAnsi="Arial" w:cs="Arial"/>
          <w:sz w:val="22"/>
          <w:szCs w:val="22"/>
        </w:rPr>
        <w:t xml:space="preserve"> </w:t>
      </w:r>
    </w:p>
    <w:p w:rsidR="007F35D5" w:rsidRPr="00CC6233"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(Accessed: 22 February 2026).</w:t>
      </w:r>
    </w:p>
    <w:p w:rsidR="007D6F6B"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 xml:space="preserve">Cleare, S., Wetherall, K., Clark, A., Ryan, C., Kirtley, O.J., Smith, M. and O’Connor, R.C. (2018) </w:t>
      </w:r>
    </w:p>
    <w:p w:rsidR="007D6F6B" w:rsidRDefault="007F35D5" w:rsidP="00C84759">
      <w:pPr>
        <w:pStyle w:val="NormalWeb"/>
        <w:spacing w:line="360" w:lineRule="auto"/>
        <w:ind w:left="720" w:hanging="720"/>
        <w:rPr>
          <w:rStyle w:val="Emphasis"/>
          <w:rFonts w:ascii="Arial" w:eastAsiaTheme="majorEastAsia" w:hAnsi="Arial" w:cs="Arial"/>
          <w:sz w:val="22"/>
          <w:szCs w:val="22"/>
        </w:rPr>
      </w:pPr>
      <w:r w:rsidRPr="00CC6233">
        <w:rPr>
          <w:rFonts w:ascii="Arial" w:hAnsi="Arial" w:cs="Arial"/>
          <w:sz w:val="22"/>
          <w:szCs w:val="22"/>
        </w:rPr>
        <w:t xml:space="preserve">‘Adverse childhood experiences and hospital-treated self-harm’, </w:t>
      </w:r>
      <w:r w:rsidRPr="00CC6233">
        <w:rPr>
          <w:rStyle w:val="Emphasis"/>
          <w:rFonts w:ascii="Arial" w:eastAsiaTheme="majorEastAsia" w:hAnsi="Arial" w:cs="Arial"/>
          <w:sz w:val="22"/>
          <w:szCs w:val="22"/>
        </w:rPr>
        <w:t xml:space="preserve">International Journal of </w:t>
      </w:r>
    </w:p>
    <w:p w:rsidR="007D6F6B" w:rsidRDefault="007F35D5" w:rsidP="00C84759">
      <w:pPr>
        <w:pStyle w:val="NormalWeb"/>
        <w:spacing w:line="360" w:lineRule="auto"/>
        <w:ind w:left="720" w:hanging="720"/>
        <w:rPr>
          <w:rFonts w:ascii="Arial" w:hAnsi="Arial" w:cs="Arial"/>
          <w:sz w:val="22"/>
          <w:szCs w:val="22"/>
        </w:rPr>
      </w:pPr>
      <w:r w:rsidRPr="00CC6233">
        <w:rPr>
          <w:rStyle w:val="Emphasis"/>
          <w:rFonts w:ascii="Arial" w:eastAsiaTheme="majorEastAsia" w:hAnsi="Arial" w:cs="Arial"/>
          <w:sz w:val="22"/>
          <w:szCs w:val="22"/>
        </w:rPr>
        <w:t>Environmental Research and Public Health</w:t>
      </w:r>
      <w:r w:rsidRPr="00CC6233">
        <w:rPr>
          <w:rFonts w:ascii="Arial" w:hAnsi="Arial" w:cs="Arial"/>
          <w:sz w:val="22"/>
          <w:szCs w:val="22"/>
        </w:rPr>
        <w:t>, 15(6), p. 12</w:t>
      </w:r>
      <w:r w:rsidR="00CC4C5C">
        <w:rPr>
          <w:rFonts w:ascii="Arial" w:hAnsi="Arial" w:cs="Arial"/>
          <w:sz w:val="22"/>
          <w:szCs w:val="22"/>
        </w:rPr>
        <w:t xml:space="preserve">35. </w:t>
      </w:r>
      <w:hyperlink r:id="rId8" w:history="1">
        <w:r w:rsidR="00CC4C5C" w:rsidRPr="00995E80">
          <w:rPr>
            <w:rStyle w:val="Hyperlink"/>
            <w:rFonts w:ascii="Arial" w:hAnsi="Arial" w:cs="Arial"/>
            <w:sz w:val="22"/>
            <w:szCs w:val="22"/>
          </w:rPr>
          <w:t>https://doi:10.3390/ijerph15061235</w:t>
        </w:r>
      </w:hyperlink>
      <w:r w:rsidR="00F842EE">
        <w:rPr>
          <w:rFonts w:ascii="Arial" w:hAnsi="Arial" w:cs="Arial"/>
          <w:sz w:val="22"/>
          <w:szCs w:val="22"/>
        </w:rPr>
        <w:t xml:space="preserve"> </w:t>
      </w:r>
    </w:p>
    <w:p w:rsidR="00CC4C5C" w:rsidRDefault="00F842EE" w:rsidP="00C84759">
      <w:pPr>
        <w:pStyle w:val="NormalWeb"/>
        <w:spacing w:line="360" w:lineRule="auto"/>
        <w:ind w:left="720" w:hanging="720"/>
        <w:rPr>
          <w:rFonts w:ascii="Arial" w:hAnsi="Arial" w:cs="Arial"/>
          <w:sz w:val="22"/>
          <w:szCs w:val="22"/>
        </w:rPr>
      </w:pPr>
      <w:r w:rsidRPr="009B7908">
        <w:rPr>
          <w:rFonts w:ascii="Arial" w:hAnsi="Arial" w:cs="Arial"/>
          <w:sz w:val="22"/>
          <w:szCs w:val="22"/>
        </w:rPr>
        <w:t>(Accessed: 22 February 2026).</w:t>
      </w:r>
      <w:r w:rsidR="00CC4C5C">
        <w:rPr>
          <w:rFonts w:ascii="Arial" w:hAnsi="Arial" w:cs="Arial"/>
          <w:sz w:val="22"/>
          <w:szCs w:val="22"/>
        </w:rPr>
        <w:t xml:space="preserve"> </w:t>
      </w:r>
    </w:p>
    <w:p w:rsidR="00CC4C5C" w:rsidRDefault="00CC4C5C" w:rsidP="00CC4C5C">
      <w:pPr>
        <w:pStyle w:val="NormalWeb"/>
        <w:spacing w:line="360" w:lineRule="auto"/>
        <w:rPr>
          <w:rFonts w:ascii="Arial" w:hAnsi="Arial" w:cs="Arial"/>
          <w:sz w:val="22"/>
          <w:szCs w:val="22"/>
        </w:rPr>
      </w:pPr>
      <w:r w:rsidRPr="009B7908">
        <w:rPr>
          <w:rFonts w:ascii="Arial" w:hAnsi="Arial" w:cs="Arial"/>
          <w:sz w:val="22"/>
          <w:szCs w:val="22"/>
        </w:rPr>
        <w:t xml:space="preserve">Danechi, S. (2026) </w:t>
      </w:r>
      <w:r w:rsidRPr="009B7908">
        <w:rPr>
          <w:rStyle w:val="Emphasis"/>
          <w:rFonts w:ascii="Arial" w:eastAsiaTheme="majorEastAsia" w:hAnsi="Arial" w:cs="Arial"/>
          <w:sz w:val="22"/>
          <w:szCs w:val="22"/>
        </w:rPr>
        <w:t>Suicide statistics</w:t>
      </w:r>
      <w:r w:rsidRPr="009B7908">
        <w:rPr>
          <w:rFonts w:ascii="Arial" w:hAnsi="Arial" w:cs="Arial"/>
          <w:sz w:val="22"/>
          <w:szCs w:val="22"/>
        </w:rPr>
        <w:t xml:space="preserve">. House of Commons Library Research Briefing, CBP-7749, </w:t>
      </w:r>
    </w:p>
    <w:p w:rsidR="00200B47" w:rsidRDefault="00CC4C5C" w:rsidP="00200B47">
      <w:pPr>
        <w:pStyle w:val="NormalWeb"/>
        <w:spacing w:line="360" w:lineRule="auto"/>
        <w:ind w:left="720" w:hanging="720"/>
        <w:rPr>
          <w:rFonts w:ascii="Arial" w:hAnsi="Arial" w:cs="Arial"/>
          <w:sz w:val="22"/>
          <w:szCs w:val="22"/>
        </w:rPr>
      </w:pPr>
      <w:r w:rsidRPr="009B7908">
        <w:rPr>
          <w:rFonts w:ascii="Arial" w:hAnsi="Arial" w:cs="Arial"/>
          <w:sz w:val="22"/>
          <w:szCs w:val="22"/>
        </w:rPr>
        <w:t>8 January. Available at:</w:t>
      </w:r>
    </w:p>
    <w:p w:rsidR="00200B47" w:rsidRPr="00200B47" w:rsidRDefault="00CC4C5C" w:rsidP="00200B47">
      <w:pPr>
        <w:pStyle w:val="NormalWeb"/>
        <w:spacing w:line="360" w:lineRule="auto"/>
        <w:ind w:left="720" w:hanging="720"/>
        <w:rPr>
          <w:rFonts w:ascii="Arial" w:hAnsi="Arial" w:cs="Arial"/>
          <w:sz w:val="22"/>
          <w:szCs w:val="22"/>
        </w:rPr>
      </w:pPr>
      <w:r w:rsidRPr="009B7908">
        <w:rPr>
          <w:rFonts w:ascii="Arial" w:hAnsi="Arial" w:cs="Arial"/>
          <w:sz w:val="22"/>
          <w:szCs w:val="22"/>
        </w:rPr>
        <w:t xml:space="preserve"> </w:t>
      </w:r>
      <w:hyperlink r:id="rId9" w:history="1">
        <w:r w:rsidRPr="009B7908">
          <w:rPr>
            <w:rStyle w:val="Hyperlink"/>
            <w:rFonts w:ascii="Arial" w:eastAsiaTheme="majorEastAsia" w:hAnsi="Arial" w:cs="Arial"/>
            <w:sz w:val="22"/>
            <w:szCs w:val="22"/>
          </w:rPr>
          <w:t>https://researchbriefings.files.parliament.uk/documents/CBP-7749/CBP-7749.pdf</w:t>
        </w:r>
      </w:hyperlink>
      <w:r>
        <w:t xml:space="preserve"> </w:t>
      </w:r>
    </w:p>
    <w:p w:rsidR="007F35D5" w:rsidRPr="00CC6233" w:rsidRDefault="00CC4C5C" w:rsidP="00CC4C5C">
      <w:pPr>
        <w:pStyle w:val="NormalWeb"/>
        <w:spacing w:line="360" w:lineRule="auto"/>
        <w:ind w:left="720" w:hanging="720"/>
        <w:rPr>
          <w:rFonts w:ascii="Arial" w:hAnsi="Arial" w:cs="Arial"/>
          <w:sz w:val="22"/>
          <w:szCs w:val="22"/>
        </w:rPr>
      </w:pPr>
      <w:r w:rsidRPr="009B7908">
        <w:rPr>
          <w:rFonts w:ascii="Arial" w:hAnsi="Arial" w:cs="Arial"/>
          <w:sz w:val="22"/>
          <w:szCs w:val="22"/>
        </w:rPr>
        <w:t>(Accessed: 22 February 2026).</w:t>
      </w:r>
      <w:r>
        <w:rPr>
          <w:rFonts w:ascii="Arial" w:hAnsi="Arial" w:cs="Arial"/>
          <w:sz w:val="22"/>
          <w:szCs w:val="22"/>
        </w:rPr>
        <w:t xml:space="preserve"> </w:t>
      </w:r>
    </w:p>
    <w:p w:rsidR="00200B47"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 xml:space="preserve">Felitti, V.J., Anda, R.F., Nordenberg, D., Williamson, D.F., Spitz, A.M., Edwards, V., Koss, M.P. </w:t>
      </w:r>
    </w:p>
    <w:p w:rsidR="00200B47"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 xml:space="preserve">and Marks, J.S. (1998) ‘Relationship of childhood abuse and household dysfunction to many of </w:t>
      </w:r>
    </w:p>
    <w:p w:rsidR="00200B47"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 xml:space="preserve">the leading causes of death in adults’, </w:t>
      </w:r>
      <w:r w:rsidRPr="00CC6233">
        <w:rPr>
          <w:rStyle w:val="Emphasis"/>
          <w:rFonts w:ascii="Arial" w:eastAsiaTheme="majorEastAsia" w:hAnsi="Arial" w:cs="Arial"/>
          <w:sz w:val="22"/>
          <w:szCs w:val="22"/>
        </w:rPr>
        <w:t>American Journal of Preventive Medicine</w:t>
      </w:r>
      <w:r w:rsidRPr="00CC6233">
        <w:rPr>
          <w:rFonts w:ascii="Arial" w:hAnsi="Arial" w:cs="Arial"/>
          <w:sz w:val="22"/>
          <w:szCs w:val="22"/>
        </w:rPr>
        <w:t>, 14(4), pp. 245–</w:t>
      </w:r>
    </w:p>
    <w:p w:rsidR="00200B47"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258.</w:t>
      </w:r>
      <w:r w:rsidR="00200B47">
        <w:rPr>
          <w:rFonts w:ascii="Arial" w:hAnsi="Arial" w:cs="Arial"/>
          <w:sz w:val="22"/>
          <w:szCs w:val="22"/>
        </w:rPr>
        <w:t xml:space="preserve"> Available at: </w:t>
      </w:r>
      <w:hyperlink r:id="rId10" w:history="1">
        <w:r w:rsidR="00200B47" w:rsidRPr="00995E80">
          <w:rPr>
            <w:rStyle w:val="Hyperlink"/>
            <w:rFonts w:ascii="Arial" w:hAnsi="Arial" w:cs="Arial"/>
            <w:sz w:val="22"/>
            <w:szCs w:val="22"/>
          </w:rPr>
          <w:t>https://doi:10.1016/S0749-3797(98)00017-8</w:t>
        </w:r>
      </w:hyperlink>
      <w:r w:rsidR="00200B47">
        <w:rPr>
          <w:rFonts w:ascii="Arial" w:hAnsi="Arial" w:cs="Arial"/>
          <w:sz w:val="22"/>
          <w:szCs w:val="22"/>
        </w:rPr>
        <w:t xml:space="preserve"> </w:t>
      </w:r>
      <w:r w:rsidR="00200B47" w:rsidRPr="009B7908">
        <w:rPr>
          <w:rFonts w:ascii="Arial" w:hAnsi="Arial" w:cs="Arial"/>
          <w:sz w:val="22"/>
          <w:szCs w:val="22"/>
        </w:rPr>
        <w:t>(Accessed: 22 February 2026).</w:t>
      </w:r>
    </w:p>
    <w:p w:rsidR="00EE1923" w:rsidRDefault="007F35D5" w:rsidP="001F121F">
      <w:pPr>
        <w:pStyle w:val="NormalWeb"/>
        <w:spacing w:line="360" w:lineRule="auto"/>
        <w:rPr>
          <w:rFonts w:ascii="Arial" w:hAnsi="Arial" w:cs="Arial"/>
          <w:sz w:val="22"/>
          <w:szCs w:val="22"/>
        </w:rPr>
      </w:pPr>
      <w:r w:rsidRPr="00CC6233">
        <w:rPr>
          <w:rFonts w:ascii="Arial" w:hAnsi="Arial" w:cs="Arial"/>
          <w:sz w:val="22"/>
          <w:szCs w:val="22"/>
        </w:rPr>
        <w:t xml:space="preserve">Hughes, K., Bellis, M.A., Hardcastle, K.A., Sethi, D., Butchart, A., Mikton, C., Jones, L. and Dunne, M.P. (2017) ‘The effect of multiple adverse childhood experiences on health: a systematic review and meta-analysis’, </w:t>
      </w:r>
      <w:r w:rsidRPr="00CC6233">
        <w:rPr>
          <w:rStyle w:val="Emphasis"/>
          <w:rFonts w:ascii="Arial" w:eastAsiaTheme="majorEastAsia" w:hAnsi="Arial" w:cs="Arial"/>
          <w:sz w:val="22"/>
          <w:szCs w:val="22"/>
        </w:rPr>
        <w:t>The Lancet Public Health</w:t>
      </w:r>
      <w:r w:rsidR="00EE1923">
        <w:rPr>
          <w:rFonts w:ascii="Arial" w:hAnsi="Arial" w:cs="Arial"/>
          <w:sz w:val="22"/>
          <w:szCs w:val="22"/>
        </w:rPr>
        <w:t>, 2(8), pp. 356–</w:t>
      </w:r>
      <w:r w:rsidRPr="00CC6233">
        <w:rPr>
          <w:rFonts w:ascii="Arial" w:hAnsi="Arial" w:cs="Arial"/>
          <w:sz w:val="22"/>
          <w:szCs w:val="22"/>
        </w:rPr>
        <w:t>366.</w:t>
      </w:r>
      <w:r w:rsidR="001F121F">
        <w:rPr>
          <w:rFonts w:ascii="Arial" w:hAnsi="Arial" w:cs="Arial"/>
          <w:sz w:val="22"/>
          <w:szCs w:val="22"/>
        </w:rPr>
        <w:t xml:space="preserve"> </w:t>
      </w:r>
    </w:p>
    <w:p w:rsidR="007F35D5" w:rsidRPr="00CC6233" w:rsidRDefault="001F121F" w:rsidP="001F121F">
      <w:pPr>
        <w:pStyle w:val="NormalWeb"/>
        <w:spacing w:line="360" w:lineRule="auto"/>
        <w:rPr>
          <w:rFonts w:ascii="Arial" w:hAnsi="Arial" w:cs="Arial"/>
          <w:sz w:val="22"/>
          <w:szCs w:val="22"/>
        </w:rPr>
      </w:pPr>
      <w:r>
        <w:rPr>
          <w:rFonts w:ascii="Arial" w:hAnsi="Arial" w:cs="Arial"/>
          <w:sz w:val="22"/>
          <w:szCs w:val="22"/>
        </w:rPr>
        <w:lastRenderedPageBreak/>
        <w:t xml:space="preserve">Available at: </w:t>
      </w:r>
      <w:hyperlink r:id="rId11" w:history="1">
        <w:r w:rsidRPr="00995E80">
          <w:rPr>
            <w:rStyle w:val="Hyperlink"/>
            <w:rFonts w:ascii="Arial" w:hAnsi="Arial" w:cs="Arial"/>
            <w:sz w:val="22"/>
            <w:szCs w:val="22"/>
          </w:rPr>
          <w:t>https://doi:10.1016/S2468-2667(17)30118-4</w:t>
        </w:r>
      </w:hyperlink>
      <w:r>
        <w:rPr>
          <w:rFonts w:ascii="Arial" w:hAnsi="Arial" w:cs="Arial"/>
          <w:sz w:val="22"/>
          <w:szCs w:val="22"/>
        </w:rPr>
        <w:t xml:space="preserve"> (Accessed: 22 February 2026)</w:t>
      </w:r>
      <w:r w:rsidR="007F35D5" w:rsidRPr="00CC6233">
        <w:rPr>
          <w:rFonts w:ascii="Arial" w:hAnsi="Arial" w:cs="Arial"/>
          <w:sz w:val="22"/>
          <w:szCs w:val="22"/>
        </w:rPr>
        <w:t>.</w:t>
      </w:r>
    </w:p>
    <w:p w:rsidR="008A3F7E" w:rsidRDefault="007F35D5" w:rsidP="00C84759">
      <w:pPr>
        <w:pStyle w:val="NormalWeb"/>
        <w:spacing w:line="360" w:lineRule="auto"/>
        <w:ind w:left="720" w:hanging="720"/>
        <w:rPr>
          <w:rStyle w:val="Emphasis"/>
          <w:rFonts w:ascii="Arial" w:eastAsiaTheme="majorEastAsia" w:hAnsi="Arial" w:cs="Arial"/>
          <w:sz w:val="22"/>
          <w:szCs w:val="22"/>
        </w:rPr>
      </w:pPr>
      <w:r w:rsidRPr="00CC6233">
        <w:rPr>
          <w:rFonts w:ascii="Arial" w:hAnsi="Arial" w:cs="Arial"/>
          <w:sz w:val="22"/>
          <w:szCs w:val="22"/>
        </w:rPr>
        <w:t xml:space="preserve">National Institute for Health and Care Excellence (NICE) (2022) </w:t>
      </w:r>
      <w:r w:rsidRPr="00CC6233">
        <w:rPr>
          <w:rStyle w:val="Emphasis"/>
          <w:rFonts w:ascii="Arial" w:eastAsiaTheme="majorEastAsia" w:hAnsi="Arial" w:cs="Arial"/>
          <w:sz w:val="22"/>
          <w:szCs w:val="22"/>
        </w:rPr>
        <w:t xml:space="preserve">Self-harm: assessment, </w:t>
      </w:r>
    </w:p>
    <w:p w:rsidR="008A3F7E" w:rsidRDefault="007F35D5" w:rsidP="00C84759">
      <w:pPr>
        <w:pStyle w:val="NormalWeb"/>
        <w:spacing w:line="360" w:lineRule="auto"/>
        <w:ind w:left="720" w:hanging="720"/>
        <w:rPr>
          <w:rFonts w:ascii="Arial" w:hAnsi="Arial" w:cs="Arial"/>
          <w:sz w:val="22"/>
          <w:szCs w:val="22"/>
        </w:rPr>
      </w:pPr>
      <w:r w:rsidRPr="00CC6233">
        <w:rPr>
          <w:rStyle w:val="Emphasis"/>
          <w:rFonts w:ascii="Arial" w:eastAsiaTheme="majorEastAsia" w:hAnsi="Arial" w:cs="Arial"/>
          <w:sz w:val="22"/>
          <w:szCs w:val="22"/>
        </w:rPr>
        <w:t>management and preventing recurrence</w:t>
      </w:r>
      <w:r w:rsidRPr="00CC6233">
        <w:rPr>
          <w:rFonts w:ascii="Arial" w:hAnsi="Arial" w:cs="Arial"/>
          <w:sz w:val="22"/>
          <w:szCs w:val="22"/>
        </w:rPr>
        <w:t xml:space="preserve"> (NICE guideline NG225). 7 September. </w:t>
      </w:r>
    </w:p>
    <w:p w:rsidR="007F35D5" w:rsidRPr="00CC6233" w:rsidRDefault="008A3F7E" w:rsidP="008A3F7E">
      <w:pPr>
        <w:pStyle w:val="NormalWeb"/>
        <w:spacing w:line="360" w:lineRule="auto"/>
        <w:ind w:left="720" w:hanging="720"/>
        <w:rPr>
          <w:rFonts w:ascii="Arial" w:hAnsi="Arial" w:cs="Arial"/>
          <w:sz w:val="22"/>
          <w:szCs w:val="22"/>
        </w:rPr>
      </w:pPr>
      <w:r w:rsidRPr="009B7908">
        <w:rPr>
          <w:rFonts w:ascii="Arial" w:hAnsi="Arial" w:cs="Arial"/>
          <w:sz w:val="22"/>
          <w:szCs w:val="22"/>
        </w:rPr>
        <w:t xml:space="preserve">Available at: </w:t>
      </w:r>
      <w:hyperlink r:id="rId12" w:history="1">
        <w:r w:rsidRPr="009B7908">
          <w:rPr>
            <w:rStyle w:val="Hyperlink"/>
            <w:rFonts w:ascii="Arial" w:eastAsiaTheme="majorEastAsia" w:hAnsi="Arial" w:cs="Arial"/>
            <w:sz w:val="22"/>
            <w:szCs w:val="22"/>
          </w:rPr>
          <w:t>https://www.nice.org.uk/guidance/ng225</w:t>
        </w:r>
      </w:hyperlink>
      <w:r>
        <w:rPr>
          <w:rFonts w:ascii="Arial" w:hAnsi="Arial" w:cs="Arial"/>
          <w:sz w:val="22"/>
          <w:szCs w:val="22"/>
        </w:rPr>
        <w:t xml:space="preserve"> </w:t>
      </w:r>
      <w:r w:rsidR="007F35D5" w:rsidRPr="00CC6233">
        <w:rPr>
          <w:rFonts w:ascii="Arial" w:hAnsi="Arial" w:cs="Arial"/>
          <w:sz w:val="22"/>
          <w:szCs w:val="22"/>
        </w:rPr>
        <w:t>(Accessed: 22 February 2026).</w:t>
      </w:r>
    </w:p>
    <w:p w:rsidR="002139D8"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 xml:space="preserve">NHS England (2025) </w:t>
      </w:r>
      <w:r w:rsidRPr="00CC6233">
        <w:rPr>
          <w:rStyle w:val="Emphasis"/>
          <w:rFonts w:ascii="Arial" w:eastAsiaTheme="majorEastAsia" w:hAnsi="Arial" w:cs="Arial"/>
          <w:sz w:val="22"/>
          <w:szCs w:val="22"/>
        </w:rPr>
        <w:t>Trauma-informed and harm-aware inpatient care</w:t>
      </w:r>
      <w:r w:rsidRPr="00CC6233">
        <w:rPr>
          <w:rFonts w:ascii="Arial" w:hAnsi="Arial" w:cs="Arial"/>
          <w:sz w:val="22"/>
          <w:szCs w:val="22"/>
        </w:rPr>
        <w:t>. 15 October. Available at:</w:t>
      </w:r>
    </w:p>
    <w:p w:rsidR="002139D8" w:rsidRDefault="008D6A4E" w:rsidP="00C84759">
      <w:pPr>
        <w:pStyle w:val="NormalWeb"/>
        <w:spacing w:line="360" w:lineRule="auto"/>
        <w:ind w:left="720" w:hanging="720"/>
        <w:rPr>
          <w:rFonts w:ascii="Arial" w:hAnsi="Arial" w:cs="Arial"/>
          <w:sz w:val="22"/>
          <w:szCs w:val="22"/>
        </w:rPr>
      </w:pPr>
      <w:hyperlink r:id="rId13" w:history="1">
        <w:r w:rsidR="002139D8" w:rsidRPr="009B7908">
          <w:rPr>
            <w:rStyle w:val="Hyperlink"/>
            <w:rFonts w:ascii="Arial" w:eastAsiaTheme="majorEastAsia" w:hAnsi="Arial" w:cs="Arial"/>
            <w:sz w:val="22"/>
            <w:szCs w:val="22"/>
          </w:rPr>
          <w:t>https://www.england.nhs.uk/long-read/trauma-informed-harm-aware-inpatient-care/</w:t>
        </w:r>
      </w:hyperlink>
      <w:r w:rsidR="002139D8">
        <w:t xml:space="preserve"> </w:t>
      </w:r>
    </w:p>
    <w:p w:rsidR="007F35D5" w:rsidRPr="00CC6233"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(Accessed: 22 February 2026).</w:t>
      </w:r>
    </w:p>
    <w:p w:rsidR="00E87C09"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 xml:space="preserve">NHS England (2019) </w:t>
      </w:r>
      <w:r w:rsidRPr="00CC6233">
        <w:rPr>
          <w:rStyle w:val="Emphasis"/>
          <w:rFonts w:ascii="Arial" w:eastAsiaTheme="majorEastAsia" w:hAnsi="Arial" w:cs="Arial"/>
          <w:sz w:val="22"/>
          <w:szCs w:val="22"/>
        </w:rPr>
        <w:t>The NHS Long Term Plan</w:t>
      </w:r>
      <w:r w:rsidRPr="00CC6233">
        <w:rPr>
          <w:rFonts w:ascii="Arial" w:hAnsi="Arial" w:cs="Arial"/>
          <w:sz w:val="22"/>
          <w:szCs w:val="22"/>
        </w:rPr>
        <w:t xml:space="preserve">. Available at: </w:t>
      </w:r>
      <w:hyperlink r:id="rId14" w:history="1">
        <w:r w:rsidR="00E87C09" w:rsidRPr="00995E80">
          <w:rPr>
            <w:rStyle w:val="Hyperlink"/>
            <w:rFonts w:ascii="Arial" w:hAnsi="Arial" w:cs="Arial"/>
            <w:sz w:val="22"/>
            <w:szCs w:val="22"/>
          </w:rPr>
          <w:t>https://www.longtermplan.nhs.uk</w:t>
        </w:r>
      </w:hyperlink>
    </w:p>
    <w:p w:rsidR="007F35D5" w:rsidRPr="00CC6233"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(Accessed: 22 February 2026).</w:t>
      </w:r>
    </w:p>
    <w:p w:rsidR="00E87C09" w:rsidRDefault="007F35D5" w:rsidP="00C84759">
      <w:pPr>
        <w:pStyle w:val="NormalWeb"/>
        <w:spacing w:line="360" w:lineRule="auto"/>
        <w:ind w:left="720" w:hanging="720"/>
        <w:rPr>
          <w:rStyle w:val="Emphasis"/>
          <w:rFonts w:ascii="Arial" w:eastAsiaTheme="majorEastAsia" w:hAnsi="Arial" w:cs="Arial"/>
          <w:sz w:val="22"/>
          <w:szCs w:val="22"/>
        </w:rPr>
      </w:pPr>
      <w:r w:rsidRPr="00CC6233">
        <w:rPr>
          <w:rFonts w:ascii="Arial" w:hAnsi="Arial" w:cs="Arial"/>
          <w:sz w:val="22"/>
          <w:szCs w:val="22"/>
        </w:rPr>
        <w:t xml:space="preserve">Office for National Statistics (ONS) (2025) </w:t>
      </w:r>
      <w:r w:rsidRPr="00CC6233">
        <w:rPr>
          <w:rStyle w:val="Emphasis"/>
          <w:rFonts w:ascii="Arial" w:eastAsiaTheme="majorEastAsia" w:hAnsi="Arial" w:cs="Arial"/>
          <w:sz w:val="22"/>
          <w:szCs w:val="22"/>
        </w:rPr>
        <w:t xml:space="preserve">Suicides in England and Wales: 1981 to 2024 (2024 </w:t>
      </w:r>
    </w:p>
    <w:p w:rsidR="00E87C09" w:rsidRDefault="007F35D5" w:rsidP="004E4294">
      <w:pPr>
        <w:pStyle w:val="NormalWeb"/>
        <w:spacing w:line="360" w:lineRule="auto"/>
        <w:ind w:left="720" w:hanging="720"/>
        <w:rPr>
          <w:rFonts w:ascii="Arial" w:hAnsi="Arial" w:cs="Arial"/>
          <w:sz w:val="22"/>
          <w:szCs w:val="22"/>
        </w:rPr>
      </w:pPr>
      <w:r w:rsidRPr="00CC6233">
        <w:rPr>
          <w:rStyle w:val="Emphasis"/>
          <w:rFonts w:ascii="Arial" w:eastAsiaTheme="majorEastAsia" w:hAnsi="Arial" w:cs="Arial"/>
          <w:sz w:val="22"/>
          <w:szCs w:val="22"/>
        </w:rPr>
        <w:t>registrations)</w:t>
      </w:r>
      <w:r w:rsidRPr="00CC6233">
        <w:rPr>
          <w:rFonts w:ascii="Arial" w:hAnsi="Arial" w:cs="Arial"/>
          <w:sz w:val="22"/>
          <w:szCs w:val="22"/>
        </w:rPr>
        <w:t xml:space="preserve">. Statistical bulletin, 3 October. Available at: </w:t>
      </w:r>
    </w:p>
    <w:p w:rsidR="007F35D5" w:rsidRPr="00CC6233" w:rsidRDefault="008D6A4E" w:rsidP="00570719">
      <w:pPr>
        <w:pStyle w:val="NormalWeb"/>
        <w:spacing w:line="360" w:lineRule="auto"/>
        <w:rPr>
          <w:rFonts w:ascii="Arial" w:hAnsi="Arial" w:cs="Arial"/>
          <w:sz w:val="22"/>
          <w:szCs w:val="22"/>
        </w:rPr>
      </w:pPr>
      <w:hyperlink r:id="rId15" w:history="1">
        <w:r w:rsidR="007F35D5" w:rsidRPr="00CC6233">
          <w:rPr>
            <w:rStyle w:val="Hyperlink"/>
            <w:rFonts w:ascii="Arial" w:eastAsiaTheme="majorEastAsia" w:hAnsi="Arial" w:cs="Arial"/>
            <w:color w:val="auto"/>
            <w:sz w:val="22"/>
            <w:szCs w:val="22"/>
          </w:rPr>
          <w:t>https://www.ons.gov.uk/peoplepopulationandcommunity/birthsdeathsandmarriages/deaths/bullet</w:t>
        </w:r>
        <w:r w:rsidR="007F35D5" w:rsidRPr="00CC6233">
          <w:rPr>
            <w:rStyle w:val="Hyperlink"/>
            <w:rFonts w:ascii="Arial" w:eastAsiaTheme="majorEastAsia" w:hAnsi="Arial" w:cs="Arial"/>
            <w:color w:val="auto"/>
            <w:sz w:val="22"/>
            <w:szCs w:val="22"/>
          </w:rPr>
          <w:t>ins/suicidesintheunitedkingdom/2024registrations</w:t>
        </w:r>
      </w:hyperlink>
      <w:r w:rsidR="007F35D5" w:rsidRPr="00CC6233">
        <w:rPr>
          <w:rFonts w:ascii="Arial" w:hAnsi="Arial" w:cs="Arial"/>
          <w:sz w:val="22"/>
          <w:szCs w:val="22"/>
        </w:rPr>
        <w:t xml:space="preserve"> (Accessed: 22 February 2026).</w:t>
      </w:r>
    </w:p>
    <w:p w:rsidR="00E87C09" w:rsidRDefault="007F35D5" w:rsidP="00C84759">
      <w:pPr>
        <w:pStyle w:val="NormalWeb"/>
        <w:spacing w:line="360" w:lineRule="auto"/>
        <w:ind w:left="720" w:hanging="720"/>
        <w:rPr>
          <w:rStyle w:val="Emphasis"/>
          <w:rFonts w:ascii="Arial" w:eastAsiaTheme="majorEastAsia" w:hAnsi="Arial" w:cs="Arial"/>
          <w:sz w:val="22"/>
          <w:szCs w:val="22"/>
        </w:rPr>
      </w:pPr>
      <w:r w:rsidRPr="00CC6233">
        <w:rPr>
          <w:rFonts w:ascii="Arial" w:hAnsi="Arial" w:cs="Arial"/>
          <w:sz w:val="22"/>
          <w:szCs w:val="22"/>
        </w:rPr>
        <w:t xml:space="preserve">Substance Abuse and Mental Health Services Administration (2014) </w:t>
      </w:r>
      <w:r w:rsidRPr="00CC6233">
        <w:rPr>
          <w:rStyle w:val="Emphasis"/>
          <w:rFonts w:ascii="Arial" w:eastAsiaTheme="majorEastAsia" w:hAnsi="Arial" w:cs="Arial"/>
          <w:sz w:val="22"/>
          <w:szCs w:val="22"/>
        </w:rPr>
        <w:t xml:space="preserve">SAMHSA’s concept of </w:t>
      </w:r>
    </w:p>
    <w:p w:rsidR="00E87C09" w:rsidRDefault="007F35D5" w:rsidP="00C84759">
      <w:pPr>
        <w:pStyle w:val="NormalWeb"/>
        <w:spacing w:line="360" w:lineRule="auto"/>
        <w:ind w:left="720" w:hanging="720"/>
        <w:rPr>
          <w:rFonts w:ascii="Arial" w:hAnsi="Arial" w:cs="Arial"/>
          <w:sz w:val="22"/>
          <w:szCs w:val="22"/>
        </w:rPr>
      </w:pPr>
      <w:r w:rsidRPr="00CC6233">
        <w:rPr>
          <w:rStyle w:val="Emphasis"/>
          <w:rFonts w:ascii="Arial" w:eastAsiaTheme="majorEastAsia" w:hAnsi="Arial" w:cs="Arial"/>
          <w:sz w:val="22"/>
          <w:szCs w:val="22"/>
        </w:rPr>
        <w:t>trauma and guidance for a trauma-informed approach</w:t>
      </w:r>
      <w:r w:rsidRPr="00CC6233">
        <w:rPr>
          <w:rFonts w:ascii="Arial" w:hAnsi="Arial" w:cs="Arial"/>
          <w:sz w:val="22"/>
          <w:szCs w:val="22"/>
        </w:rPr>
        <w:t xml:space="preserve">. HHS Publication No. (SMA) 14-4884. </w:t>
      </w:r>
    </w:p>
    <w:p w:rsidR="00E87C09" w:rsidRDefault="007F35D5" w:rsidP="00C84759">
      <w:pPr>
        <w:pStyle w:val="NormalWeb"/>
        <w:spacing w:line="360" w:lineRule="auto"/>
        <w:ind w:left="720" w:hanging="720"/>
        <w:rPr>
          <w:rFonts w:ascii="Arial" w:hAnsi="Arial" w:cs="Arial"/>
          <w:sz w:val="22"/>
          <w:szCs w:val="22"/>
        </w:rPr>
      </w:pPr>
      <w:r w:rsidRPr="00CC6233">
        <w:rPr>
          <w:rFonts w:ascii="Arial" w:hAnsi="Arial" w:cs="Arial"/>
          <w:sz w:val="22"/>
          <w:szCs w:val="22"/>
        </w:rPr>
        <w:t xml:space="preserve">Rockville, MD: Substance Abuse and Mental Health Services Administration. Available at: </w:t>
      </w:r>
    </w:p>
    <w:p w:rsidR="00C5008A" w:rsidRDefault="00C5008A" w:rsidP="008F1FC4">
      <w:pPr>
        <w:pStyle w:val="NormalWeb"/>
        <w:spacing w:line="360" w:lineRule="auto"/>
        <w:ind w:left="720" w:hanging="720"/>
      </w:pPr>
      <w:hyperlink r:id="rId16" w:history="1">
        <w:r w:rsidRPr="001A5390">
          <w:rPr>
            <w:rStyle w:val="Hyperlink"/>
            <w:rFonts w:ascii="Arial" w:eastAsiaTheme="majorEastAsia" w:hAnsi="Arial" w:cs="Arial"/>
            <w:sz w:val="22"/>
            <w:szCs w:val="22"/>
          </w:rPr>
          <w:t>https://www.store.samhsa.gov/shin/content/SMA14-4884/SMA14-4884.pdf</w:t>
        </w:r>
      </w:hyperlink>
      <w:r>
        <w:t xml:space="preserve"> </w:t>
      </w:r>
      <w:r w:rsidR="008F1FC4">
        <w:t xml:space="preserve"> </w:t>
      </w:r>
    </w:p>
    <w:p w:rsidR="007F35D5" w:rsidRPr="008F1FC4" w:rsidRDefault="007F35D5" w:rsidP="008F1FC4">
      <w:pPr>
        <w:pStyle w:val="NormalWeb"/>
        <w:spacing w:line="360" w:lineRule="auto"/>
        <w:ind w:left="720" w:hanging="720"/>
      </w:pPr>
      <w:r w:rsidRPr="00CC6233">
        <w:rPr>
          <w:rFonts w:ascii="Arial" w:hAnsi="Arial" w:cs="Arial"/>
          <w:sz w:val="22"/>
          <w:szCs w:val="22"/>
        </w:rPr>
        <w:t>(Accessed: 22 February 2026).</w:t>
      </w:r>
    </w:p>
    <w:p w:rsidR="008F1FC4" w:rsidRDefault="008F1FC4" w:rsidP="00C84759">
      <w:pPr>
        <w:pStyle w:val="NormalWeb"/>
        <w:spacing w:line="360" w:lineRule="auto"/>
        <w:ind w:left="720" w:hanging="720"/>
        <w:rPr>
          <w:rStyle w:val="Emphasis"/>
          <w:rFonts w:ascii="Arial" w:eastAsiaTheme="majorEastAsia" w:hAnsi="Arial" w:cs="Arial"/>
          <w:sz w:val="22"/>
          <w:szCs w:val="22"/>
        </w:rPr>
      </w:pPr>
      <w:r>
        <w:rPr>
          <w:rFonts w:ascii="Arial" w:hAnsi="Arial" w:cs="Arial"/>
          <w:sz w:val="22"/>
          <w:szCs w:val="22"/>
        </w:rPr>
        <w:t>V</w:t>
      </w:r>
      <w:r w:rsidR="007F35D5" w:rsidRPr="00CC6233">
        <w:rPr>
          <w:rFonts w:ascii="Arial" w:hAnsi="Arial" w:cs="Arial"/>
          <w:sz w:val="22"/>
          <w:szCs w:val="22"/>
        </w:rPr>
        <w:t xml:space="preserve">an der Kolk, B.A. (2014) </w:t>
      </w:r>
      <w:r w:rsidR="007F35D5" w:rsidRPr="00CC6233">
        <w:rPr>
          <w:rStyle w:val="Emphasis"/>
          <w:rFonts w:ascii="Arial" w:eastAsiaTheme="majorEastAsia" w:hAnsi="Arial" w:cs="Arial"/>
          <w:sz w:val="22"/>
          <w:szCs w:val="22"/>
        </w:rPr>
        <w:t xml:space="preserve">The body keeps the score: brain, mind, and body in the healing of </w:t>
      </w:r>
    </w:p>
    <w:p w:rsidR="004E4294" w:rsidRDefault="007F35D5" w:rsidP="004E4294">
      <w:pPr>
        <w:pStyle w:val="NormalWeb"/>
        <w:spacing w:line="360" w:lineRule="auto"/>
        <w:ind w:left="720" w:hanging="720"/>
        <w:rPr>
          <w:rFonts w:ascii="Arial" w:hAnsi="Arial" w:cs="Arial"/>
          <w:sz w:val="22"/>
          <w:szCs w:val="22"/>
        </w:rPr>
      </w:pPr>
      <w:r w:rsidRPr="00CC6233">
        <w:rPr>
          <w:rStyle w:val="Emphasis"/>
          <w:rFonts w:ascii="Arial" w:eastAsiaTheme="majorEastAsia" w:hAnsi="Arial" w:cs="Arial"/>
          <w:sz w:val="22"/>
          <w:szCs w:val="22"/>
        </w:rPr>
        <w:t>trauma</w:t>
      </w:r>
      <w:r w:rsidRPr="00CC6233">
        <w:rPr>
          <w:rFonts w:ascii="Arial" w:hAnsi="Arial" w:cs="Arial"/>
          <w:sz w:val="22"/>
          <w:szCs w:val="22"/>
        </w:rPr>
        <w:t>. New York, NY: Viking.</w:t>
      </w:r>
    </w:p>
    <w:p w:rsidR="00151380" w:rsidRPr="004E4294" w:rsidRDefault="00151380" w:rsidP="004E4294">
      <w:pPr>
        <w:pStyle w:val="NormalWeb"/>
        <w:spacing w:line="360" w:lineRule="auto"/>
        <w:ind w:left="720" w:hanging="720"/>
        <w:rPr>
          <w:rFonts w:ascii="Arial" w:hAnsi="Arial" w:cs="Arial"/>
          <w:sz w:val="22"/>
          <w:szCs w:val="22"/>
        </w:rPr>
      </w:pPr>
      <w:r w:rsidRPr="00C5008A">
        <w:rPr>
          <w:rFonts w:ascii="Arial" w:hAnsi="Arial" w:cs="Arial"/>
          <w:sz w:val="32"/>
          <w:szCs w:val="32"/>
        </w:rPr>
        <w:lastRenderedPageBreak/>
        <w:t>CHAPTER 2 – BACKGROUND INFORMATION AND ANALYSIS</w:t>
      </w:r>
    </w:p>
    <w:p w:rsidR="00151380" w:rsidRPr="006E1F66" w:rsidRDefault="00151380" w:rsidP="00151380">
      <w:pPr>
        <w:spacing w:after="0" w:line="240" w:lineRule="auto"/>
        <w:rPr>
          <w:rFonts w:ascii="Arial" w:eastAsia="Times New Roman" w:hAnsi="Arial" w:cs="Arial"/>
          <w:b w:val="0"/>
          <w:bCs w:val="0"/>
          <w:kern w:val="0"/>
          <w:sz w:val="22"/>
          <w:szCs w:val="22"/>
        </w:rPr>
      </w:pPr>
    </w:p>
    <w:p w:rsidR="00151380" w:rsidRPr="006E1F66" w:rsidRDefault="00151380" w:rsidP="00151380">
      <w:pPr>
        <w:pStyle w:val="Heading2"/>
        <w:numPr>
          <w:ilvl w:val="1"/>
          <w:numId w:val="0"/>
        </w:numPr>
        <w:ind w:left="576" w:hanging="576"/>
        <w:rPr>
          <w:rFonts w:ascii="Arial" w:eastAsia="Times New Roman" w:hAnsi="Arial" w:cs="Arial"/>
          <w:kern w:val="0"/>
          <w:sz w:val="22"/>
          <w:szCs w:val="22"/>
        </w:rPr>
      </w:pPr>
      <w:r w:rsidRPr="00C5008A">
        <w:rPr>
          <w:rStyle w:val="Heading2Char"/>
          <w:rFonts w:ascii="Arial" w:hAnsi="Arial" w:cs="Arial"/>
          <w:sz w:val="28"/>
          <w:szCs w:val="28"/>
        </w:rPr>
        <w:t>Introduction</w:t>
      </w:r>
      <w:r>
        <w:rPr>
          <w:rStyle w:val="Heading2Char"/>
          <w:rFonts w:ascii="Arial" w:hAnsi="Arial" w:cs="Arial"/>
          <w:sz w:val="22"/>
          <w:szCs w:val="22"/>
        </w:rPr>
        <w:t xml:space="preserve"> </w:t>
      </w:r>
    </w:p>
    <w:p w:rsidR="00151380" w:rsidRPr="006E1F66" w:rsidRDefault="00151380" w:rsidP="00151380">
      <w:pPr>
        <w:spacing w:before="240" w:after="240" w:line="360" w:lineRule="auto"/>
        <w:jc w:val="both"/>
        <w:outlineLvl w:val="2"/>
        <w:rPr>
          <w:rFonts w:ascii="Arial" w:hAnsi="Arial" w:cs="Arial"/>
          <w:b w:val="0"/>
          <w:bCs w:val="0"/>
          <w:sz w:val="22"/>
          <w:szCs w:val="22"/>
        </w:rPr>
      </w:pPr>
      <w:r w:rsidRPr="006E1F66">
        <w:rPr>
          <w:rFonts w:ascii="Arial" w:hAnsi="Arial" w:cs="Arial"/>
          <w:b w:val="0"/>
          <w:bCs w:val="0"/>
          <w:sz w:val="22"/>
          <w:szCs w:val="22"/>
        </w:rPr>
        <w:t>This chapter highlights the historical and theoretical foundations of this research on ACE</w:t>
      </w:r>
      <w:r>
        <w:rPr>
          <w:rFonts w:ascii="Arial" w:hAnsi="Arial" w:cs="Arial"/>
          <w:b w:val="0"/>
          <w:bCs w:val="0"/>
          <w:sz w:val="22"/>
          <w:szCs w:val="22"/>
        </w:rPr>
        <w:t>’</w:t>
      </w:r>
      <w:r w:rsidRPr="006E1F66">
        <w:rPr>
          <w:rFonts w:ascii="Arial" w:hAnsi="Arial" w:cs="Arial"/>
          <w:b w:val="0"/>
          <w:bCs w:val="0"/>
          <w:sz w:val="22"/>
          <w:szCs w:val="22"/>
        </w:rPr>
        <w:t>s to trace the ways they shape the risks of suicide and self harming behaviour among the young males aged 18 to 25 in England. The CDC defines it as potentially traumatic events that occur in childhood (0–17 years) (2025) and cause later inclinations to these two behavior issues. The common issues of childhood include abuse from somebody, or parental neglect and dysf</w:t>
      </w:r>
      <w:r w:rsidR="00C44B6A">
        <w:rPr>
          <w:rFonts w:ascii="Arial" w:hAnsi="Arial" w:cs="Arial"/>
          <w:b w:val="0"/>
          <w:bCs w:val="0"/>
          <w:sz w:val="22"/>
          <w:szCs w:val="22"/>
        </w:rPr>
        <w:t xml:space="preserve">unctional household conditions, </w:t>
      </w:r>
      <w:r w:rsidR="00C44B6A" w:rsidRPr="006E1F66">
        <w:rPr>
          <w:rFonts w:ascii="Arial" w:hAnsi="Arial" w:cs="Arial"/>
          <w:b w:val="0"/>
          <w:bCs w:val="0"/>
          <w:sz w:val="22"/>
          <w:szCs w:val="22"/>
        </w:rPr>
        <w:t>which</w:t>
      </w:r>
      <w:r w:rsidRPr="006E1F66">
        <w:rPr>
          <w:rFonts w:ascii="Arial" w:hAnsi="Arial" w:cs="Arial"/>
          <w:b w:val="0"/>
          <w:bCs w:val="0"/>
          <w:sz w:val="22"/>
          <w:szCs w:val="22"/>
        </w:rPr>
        <w:t xml:space="preserve"> could be accumulated in a dose-response pattern during the entire growth period. In fact, this age, known as emerging adulthood (18–25), is a highly sensitive transition period during the development of a child which is characterised by strong consciousness of identity as well as changes in roles and independence. Arnett (2000, p. 471) has put it as "roleless role" quoting Talcott Parsons (1942). When a person enters adulthood, these features could emerge during adversity or interaction with similar situations such as financial issues, or breaking relationships, or occupational pressures and stress patterns. Therefore, they create a vulnerability to dysregulated coping issues which result in suicidal and resultant self harming patterns in behavior.</w:t>
      </w:r>
    </w:p>
    <w:p w:rsidR="00151380" w:rsidRPr="006E1F66" w:rsidRDefault="00151380" w:rsidP="00151380">
      <w:pPr>
        <w:spacing w:before="240" w:after="240" w:line="360" w:lineRule="auto"/>
        <w:jc w:val="both"/>
        <w:outlineLvl w:val="2"/>
        <w:rPr>
          <w:rFonts w:ascii="Arial" w:hAnsi="Arial" w:cs="Arial"/>
          <w:b w:val="0"/>
          <w:bCs w:val="0"/>
          <w:sz w:val="22"/>
          <w:szCs w:val="22"/>
        </w:rPr>
      </w:pPr>
      <w:r w:rsidRPr="006E1F66">
        <w:rPr>
          <w:rFonts w:ascii="Arial" w:hAnsi="Arial" w:cs="Arial"/>
          <w:b w:val="0"/>
          <w:bCs w:val="0"/>
          <w:sz w:val="22"/>
          <w:szCs w:val="22"/>
        </w:rPr>
        <w:t>However, this chapter only leads to findings of different themes, tracing the historical evolution of ACE</w:t>
      </w:r>
      <w:r>
        <w:rPr>
          <w:rFonts w:ascii="Arial" w:hAnsi="Arial" w:cs="Arial"/>
          <w:b w:val="0"/>
          <w:bCs w:val="0"/>
          <w:sz w:val="22"/>
          <w:szCs w:val="22"/>
        </w:rPr>
        <w:t>’</w:t>
      </w:r>
      <w:r w:rsidRPr="006E1F66">
        <w:rPr>
          <w:rFonts w:ascii="Arial" w:hAnsi="Arial" w:cs="Arial"/>
          <w:b w:val="0"/>
          <w:bCs w:val="0"/>
          <w:sz w:val="22"/>
          <w:szCs w:val="22"/>
        </w:rPr>
        <w:t>s and the issues of suicide and self harm in public health, presenting the main theoretical and model perspectives, and summarizing global approaches to cope with these issues by placing English policy in this context. This background research provides a strong rationale to suggest recommendations that intervene in the early period to cope with traumas.</w:t>
      </w:r>
    </w:p>
    <w:p w:rsidR="00151380" w:rsidRPr="006E1F66" w:rsidRDefault="00151380" w:rsidP="00151380">
      <w:pPr>
        <w:pStyle w:val="Heading2"/>
        <w:numPr>
          <w:ilvl w:val="1"/>
          <w:numId w:val="0"/>
        </w:numPr>
        <w:ind w:left="576" w:hanging="576"/>
        <w:rPr>
          <w:rFonts w:ascii="Arial" w:eastAsia="Times New Roman" w:hAnsi="Arial" w:cs="Arial"/>
          <w:sz w:val="22"/>
          <w:szCs w:val="22"/>
        </w:rPr>
      </w:pPr>
      <w:r w:rsidRPr="00BF095E">
        <w:rPr>
          <w:rFonts w:ascii="Arial" w:eastAsia="Times New Roman" w:hAnsi="Arial" w:cs="Arial"/>
          <w:sz w:val="28"/>
          <w:szCs w:val="28"/>
        </w:rPr>
        <w:t>Historical Background</w:t>
      </w:r>
      <w:r w:rsidR="00BF095E">
        <w:rPr>
          <w:rFonts w:ascii="Arial" w:eastAsia="Times New Roman" w:hAnsi="Arial" w:cs="Arial"/>
          <w:sz w:val="22"/>
          <w:szCs w:val="22"/>
        </w:rPr>
        <w:t xml:space="preserve"> </w:t>
      </w:r>
      <w:r w:rsidRPr="006E1F66">
        <w:rPr>
          <w:rFonts w:ascii="Arial" w:eastAsia="Times New Roman" w:hAnsi="Arial" w:cs="Arial"/>
          <w:sz w:val="22"/>
          <w:szCs w:val="22"/>
        </w:rPr>
        <w:t xml:space="preserve"> </w:t>
      </w:r>
    </w:p>
    <w:p w:rsidR="00151380" w:rsidRPr="006E1F66" w:rsidRDefault="00151380" w:rsidP="00151380">
      <w:pPr>
        <w:rPr>
          <w:rFonts w:ascii="Arial" w:hAnsi="Arial" w:cs="Arial"/>
          <w:sz w:val="22"/>
          <w:szCs w:val="22"/>
        </w:rPr>
      </w:pPr>
    </w:p>
    <w:p w:rsidR="00151380" w:rsidRPr="006E1F66" w:rsidRDefault="00151380" w:rsidP="00151380">
      <w:pPr>
        <w:pStyle w:val="Heading3"/>
        <w:numPr>
          <w:ilvl w:val="2"/>
          <w:numId w:val="0"/>
        </w:numPr>
        <w:ind w:left="720" w:hanging="720"/>
        <w:rPr>
          <w:rFonts w:ascii="Arial" w:hAnsi="Arial" w:cs="Arial"/>
          <w:sz w:val="22"/>
          <w:szCs w:val="22"/>
          <w:rtl/>
        </w:rPr>
      </w:pPr>
      <w:r w:rsidRPr="006E1F66">
        <w:rPr>
          <w:rFonts w:ascii="Arial" w:hAnsi="Arial" w:cs="Arial"/>
          <w:sz w:val="22"/>
          <w:szCs w:val="22"/>
        </w:rPr>
        <w:t>ACE</w:t>
      </w:r>
      <w:r>
        <w:rPr>
          <w:rFonts w:ascii="Arial" w:hAnsi="Arial" w:cs="Arial"/>
          <w:sz w:val="22"/>
          <w:szCs w:val="22"/>
        </w:rPr>
        <w:t>’</w:t>
      </w:r>
      <w:r w:rsidRPr="006E1F66">
        <w:rPr>
          <w:rFonts w:ascii="Arial" w:hAnsi="Arial" w:cs="Arial"/>
          <w:sz w:val="22"/>
          <w:szCs w:val="22"/>
        </w:rPr>
        <w:t xml:space="preserve">s as a cumulative-Risk </w:t>
      </w:r>
    </w:p>
    <w:p w:rsidR="00151380" w:rsidRPr="006E1F66" w:rsidRDefault="00151380" w:rsidP="00151380">
      <w:pPr>
        <w:spacing w:before="240" w:after="240" w:line="360" w:lineRule="auto"/>
        <w:jc w:val="both"/>
        <w:rPr>
          <w:rFonts w:ascii="Arial" w:hAnsi="Arial" w:cs="Arial"/>
          <w:b w:val="0"/>
          <w:bCs w:val="0"/>
          <w:sz w:val="22"/>
          <w:szCs w:val="22"/>
        </w:rPr>
      </w:pPr>
      <w:r w:rsidRPr="006E1F66">
        <w:rPr>
          <w:rFonts w:ascii="Arial" w:hAnsi="Arial" w:cs="Arial"/>
          <w:b w:val="0"/>
          <w:bCs w:val="0"/>
          <w:sz w:val="22"/>
          <w:szCs w:val="22"/>
        </w:rPr>
        <w:t>ACE</w:t>
      </w:r>
      <w:r>
        <w:rPr>
          <w:rFonts w:ascii="Arial" w:hAnsi="Arial" w:cs="Arial"/>
          <w:b w:val="0"/>
          <w:bCs w:val="0"/>
          <w:sz w:val="22"/>
          <w:szCs w:val="22"/>
        </w:rPr>
        <w:t>’</w:t>
      </w:r>
      <w:r w:rsidRPr="006E1F66">
        <w:rPr>
          <w:rFonts w:ascii="Arial" w:hAnsi="Arial" w:cs="Arial"/>
          <w:b w:val="0"/>
          <w:bCs w:val="0"/>
          <w:sz w:val="22"/>
          <w:szCs w:val="22"/>
        </w:rPr>
        <w:t xml:space="preserve">s concept evolved from a huge epidemiological work and shows that the difficult traumas and times of childhood are associated with poor health and mental problems in later years. The landmark Kaiser Permanente/CDC ACE Study has listed and measured categories of childhood abuse and household dysfunction to claim that they have found a "graded relationship" between different childhood exposure categories and "adult health risk behaviors" (Felitti et al., 1998) and </w:t>
      </w:r>
      <w:r w:rsidRPr="006E1F66">
        <w:rPr>
          <w:rFonts w:ascii="Arial" w:hAnsi="Arial" w:cs="Arial"/>
          <w:b w:val="0"/>
          <w:bCs w:val="0"/>
          <w:sz w:val="22"/>
          <w:szCs w:val="22"/>
        </w:rPr>
        <w:lastRenderedPageBreak/>
        <w:t>stated that individuals with four or more categories have higher risks of depression and suicide attempts, supporting the main idea that the issue of adversity "stack up" and increases the risks (Felitti et al., 1998). Later studies have also supported this framing of cumulative risks, showing that adults having four or more ACE</w:t>
      </w:r>
      <w:r>
        <w:rPr>
          <w:rFonts w:ascii="Arial" w:hAnsi="Arial" w:cs="Arial"/>
          <w:b w:val="0"/>
          <w:bCs w:val="0"/>
          <w:sz w:val="22"/>
          <w:szCs w:val="22"/>
        </w:rPr>
        <w:t>’</w:t>
      </w:r>
      <w:r w:rsidRPr="006E1F66">
        <w:rPr>
          <w:rFonts w:ascii="Arial" w:hAnsi="Arial" w:cs="Arial"/>
          <w:b w:val="0"/>
          <w:bCs w:val="0"/>
          <w:sz w:val="22"/>
          <w:szCs w:val="22"/>
        </w:rPr>
        <w:t>s in childhood are more vulnerable to these two issues in adulthood, as this is consistent with the dose-response pattern (Hughes et al., 2017). This shift has moved ACE</w:t>
      </w:r>
      <w:r>
        <w:rPr>
          <w:rFonts w:ascii="Arial" w:hAnsi="Arial" w:cs="Arial"/>
          <w:b w:val="0"/>
          <w:bCs w:val="0"/>
          <w:sz w:val="22"/>
          <w:szCs w:val="22"/>
        </w:rPr>
        <w:t>’</w:t>
      </w:r>
      <w:r w:rsidRPr="006E1F66">
        <w:rPr>
          <w:rFonts w:ascii="Arial" w:hAnsi="Arial" w:cs="Arial"/>
          <w:b w:val="0"/>
          <w:bCs w:val="0"/>
          <w:sz w:val="22"/>
          <w:szCs w:val="22"/>
        </w:rPr>
        <w:t>s from being family-based or isolated incidents to being framed as determinants of health and inequality across the wider population.</w:t>
      </w:r>
    </w:p>
    <w:p w:rsidR="00151380" w:rsidRPr="006E1F66" w:rsidRDefault="00151380" w:rsidP="00151380">
      <w:pPr>
        <w:spacing w:before="240" w:after="240" w:line="360" w:lineRule="auto"/>
        <w:jc w:val="both"/>
        <w:rPr>
          <w:rStyle w:val="Strong"/>
          <w:rFonts w:ascii="Arial" w:hAnsi="Arial" w:cs="Arial"/>
          <w:sz w:val="22"/>
          <w:szCs w:val="22"/>
        </w:rPr>
      </w:pPr>
      <w:r w:rsidRPr="006E1F66">
        <w:rPr>
          <w:rFonts w:ascii="Arial" w:hAnsi="Arial" w:cs="Arial"/>
          <w:b w:val="0"/>
          <w:bCs w:val="0"/>
          <w:sz w:val="22"/>
          <w:szCs w:val="22"/>
        </w:rPr>
        <w:t>The research on a comparable population segment in England shows it being part of the health debates. A survey of duration from April to July 2013 has shown 47% of adults have reported at least one ACE, while those experiencing four or more ACE</w:t>
      </w:r>
      <w:r w:rsidR="009F10C4">
        <w:rPr>
          <w:rFonts w:ascii="Arial" w:hAnsi="Arial" w:cs="Arial"/>
          <w:b w:val="0"/>
          <w:bCs w:val="0"/>
          <w:sz w:val="22"/>
          <w:szCs w:val="22"/>
        </w:rPr>
        <w:t>’</w:t>
      </w:r>
      <w:r w:rsidRPr="006E1F66">
        <w:rPr>
          <w:rFonts w:ascii="Arial" w:hAnsi="Arial" w:cs="Arial"/>
          <w:b w:val="0"/>
          <w:bCs w:val="0"/>
          <w:sz w:val="22"/>
          <w:szCs w:val="22"/>
        </w:rPr>
        <w:t>s were 9% (Bellis et al., 2014). It means that ACE</w:t>
      </w:r>
      <w:r>
        <w:rPr>
          <w:rFonts w:ascii="Arial" w:hAnsi="Arial" w:cs="Arial"/>
          <w:b w:val="0"/>
          <w:bCs w:val="0"/>
          <w:sz w:val="22"/>
          <w:szCs w:val="22"/>
        </w:rPr>
        <w:t>’</w:t>
      </w:r>
      <w:r w:rsidRPr="006E1F66">
        <w:rPr>
          <w:rFonts w:ascii="Arial" w:hAnsi="Arial" w:cs="Arial"/>
          <w:b w:val="0"/>
          <w:bCs w:val="0"/>
          <w:sz w:val="22"/>
          <w:szCs w:val="22"/>
        </w:rPr>
        <w:t>s in childhood are common and are generally associated withbehaviours and mental health issues in later life that are measurable and scalable. However, it is interesting to note that the research on ACE relies on standard categories called the original ACE domains, which enable comparative studies in this domain. The researchers have argued that the checklist of ACE</w:t>
      </w:r>
      <w:r>
        <w:rPr>
          <w:rFonts w:ascii="Arial" w:hAnsi="Arial" w:cs="Arial"/>
          <w:b w:val="0"/>
          <w:bCs w:val="0"/>
          <w:sz w:val="22"/>
          <w:szCs w:val="22"/>
        </w:rPr>
        <w:t>’</w:t>
      </w:r>
      <w:r w:rsidRPr="006E1F66">
        <w:rPr>
          <w:rFonts w:ascii="Arial" w:hAnsi="Arial" w:cs="Arial"/>
          <w:b w:val="0"/>
          <w:bCs w:val="0"/>
          <w:sz w:val="22"/>
          <w:szCs w:val="22"/>
        </w:rPr>
        <w:t>s can lead to low reporting of adversities that impact childhood due to the changing social contexts. It means they are also tied to the social structure. One such approach has expanded ACE categories to include other forms of adversity, such as community violence and racial discrimination (Cronholm et al., 2015). It has also been researched that the addition of more categories could lead to more predictable outcomes in later years (Finkelhor et al., 2015), which is reflective of widening ACE</w:t>
      </w:r>
      <w:r>
        <w:rPr>
          <w:rFonts w:ascii="Arial" w:hAnsi="Arial" w:cs="Arial"/>
          <w:b w:val="0"/>
          <w:bCs w:val="0"/>
          <w:sz w:val="22"/>
          <w:szCs w:val="22"/>
        </w:rPr>
        <w:t>’</w:t>
      </w:r>
      <w:r w:rsidRPr="006E1F66">
        <w:rPr>
          <w:rFonts w:ascii="Arial" w:hAnsi="Arial" w:cs="Arial"/>
          <w:b w:val="0"/>
          <w:bCs w:val="0"/>
          <w:sz w:val="22"/>
          <w:szCs w:val="22"/>
        </w:rPr>
        <w:t>s from only domestic issues to models th</w:t>
      </w:r>
      <w:r w:rsidR="009F10C4">
        <w:rPr>
          <w:rFonts w:ascii="Arial" w:hAnsi="Arial" w:cs="Arial"/>
          <w:b w:val="0"/>
          <w:bCs w:val="0"/>
          <w:sz w:val="22"/>
          <w:szCs w:val="22"/>
        </w:rPr>
        <w:t>at also identify and recognis</w:t>
      </w:r>
      <w:r w:rsidRPr="006E1F66">
        <w:rPr>
          <w:rFonts w:ascii="Arial" w:hAnsi="Arial" w:cs="Arial"/>
          <w:b w:val="0"/>
          <w:bCs w:val="0"/>
          <w:sz w:val="22"/>
          <w:szCs w:val="22"/>
        </w:rPr>
        <w:t xml:space="preserve">e </w:t>
      </w:r>
      <w:r w:rsidR="009F10C4" w:rsidRPr="006E1F66">
        <w:rPr>
          <w:rFonts w:ascii="Arial" w:hAnsi="Arial" w:cs="Arial"/>
          <w:b w:val="0"/>
          <w:bCs w:val="0"/>
          <w:sz w:val="22"/>
          <w:szCs w:val="22"/>
        </w:rPr>
        <w:t>neighborhood</w:t>
      </w:r>
      <w:r w:rsidRPr="006E1F66">
        <w:rPr>
          <w:rFonts w:ascii="Arial" w:hAnsi="Arial" w:cs="Arial"/>
          <w:b w:val="0"/>
          <w:bCs w:val="0"/>
          <w:sz w:val="22"/>
          <w:szCs w:val="22"/>
        </w:rPr>
        <w:t xml:space="preserve"> and social structures as major stress- and trauma-causing factors</w:t>
      </w:r>
      <w:r w:rsidRPr="006E1F66">
        <w:rPr>
          <w:rStyle w:val="Strong"/>
          <w:rFonts w:ascii="Arial" w:hAnsi="Arial" w:cs="Arial"/>
          <w:sz w:val="22"/>
          <w:szCs w:val="22"/>
        </w:rPr>
        <w:t>.</w:t>
      </w:r>
    </w:p>
    <w:p w:rsidR="00151380" w:rsidRPr="006E1F66" w:rsidRDefault="00151380" w:rsidP="00151380">
      <w:pPr>
        <w:spacing w:before="240" w:after="240" w:line="360" w:lineRule="auto"/>
        <w:jc w:val="both"/>
        <w:rPr>
          <w:rFonts w:ascii="Arial" w:hAnsi="Arial" w:cs="Arial"/>
          <w:b w:val="0"/>
          <w:bCs w:val="0"/>
          <w:sz w:val="22"/>
          <w:szCs w:val="22"/>
        </w:rPr>
      </w:pPr>
      <w:r w:rsidRPr="006E1F66">
        <w:rPr>
          <w:rFonts w:ascii="Arial" w:hAnsi="Arial" w:cs="Arial"/>
          <w:b w:val="0"/>
          <w:bCs w:val="0"/>
          <w:sz w:val="22"/>
          <w:szCs w:val="22"/>
        </w:rPr>
        <w:t>Whereas</w:t>
      </w:r>
      <w:r w:rsidR="00BF095E">
        <w:rPr>
          <w:rFonts w:ascii="Arial" w:hAnsi="Arial" w:cs="Arial"/>
          <w:b w:val="0"/>
          <w:bCs w:val="0"/>
          <w:sz w:val="22"/>
          <w:szCs w:val="22"/>
        </w:rPr>
        <w:t xml:space="preserve">, policy </w:t>
      </w:r>
      <w:r w:rsidRPr="006E1F66">
        <w:rPr>
          <w:rFonts w:ascii="Arial" w:hAnsi="Arial" w:cs="Arial"/>
          <w:b w:val="0"/>
          <w:bCs w:val="0"/>
          <w:sz w:val="22"/>
          <w:szCs w:val="22"/>
        </w:rPr>
        <w:t>concerned, measurement transformations and trauma-informed care have emerged as organizational responses to these challenges. SAMHSA has focused on the various practices that link knowledge of trauma and its impacts to prevent retraumatization (SAMHSA, 2014). This has become a great source of linking the evidence of ACEs to service design to create a system responsive to public safety, reduction of harm, and improvement of results, specifically in the target group for suicidal and self harming behavior.</w:t>
      </w:r>
    </w:p>
    <w:p w:rsidR="00151380" w:rsidRPr="00334F98" w:rsidRDefault="00151380" w:rsidP="00151380">
      <w:pPr>
        <w:pStyle w:val="Heading3"/>
        <w:numPr>
          <w:ilvl w:val="2"/>
          <w:numId w:val="0"/>
        </w:numPr>
        <w:ind w:left="720" w:hanging="720"/>
        <w:rPr>
          <w:rFonts w:ascii="Arial" w:hAnsi="Arial" w:cs="Arial"/>
          <w:b/>
          <w:sz w:val="22"/>
          <w:szCs w:val="22"/>
        </w:rPr>
      </w:pPr>
      <w:r w:rsidRPr="00334F98">
        <w:rPr>
          <w:rFonts w:ascii="Arial" w:hAnsi="Arial" w:cs="Arial"/>
          <w:b/>
          <w:sz w:val="22"/>
          <w:szCs w:val="22"/>
        </w:rPr>
        <w:t>Suicide and Self-harm from Morality to Prevention</w:t>
      </w:r>
    </w:p>
    <w:p w:rsidR="00151380" w:rsidRPr="006E1F66" w:rsidRDefault="00151380" w:rsidP="00151380">
      <w:pPr>
        <w:spacing w:before="240" w:after="240" w:line="360" w:lineRule="auto"/>
        <w:jc w:val="both"/>
        <w:rPr>
          <w:rFonts w:ascii="Arial" w:hAnsi="Arial" w:cs="Arial"/>
          <w:b w:val="0"/>
          <w:bCs w:val="0"/>
          <w:sz w:val="22"/>
          <w:szCs w:val="22"/>
        </w:rPr>
      </w:pPr>
      <w:r w:rsidRPr="006E1F66">
        <w:rPr>
          <w:rFonts w:ascii="Arial" w:hAnsi="Arial" w:cs="Arial"/>
          <w:b w:val="0"/>
          <w:bCs w:val="0"/>
          <w:sz w:val="22"/>
          <w:szCs w:val="22"/>
        </w:rPr>
        <w:t xml:space="preserve">However, it is to be noted that suicidal issues and incidents have taken a sharp shift from being framed as moral and legal issues to clinical problems to be referred to as public health problems. The main turning point was the introduction of the Suicide Act 1961, which declared </w:t>
      </w:r>
      <w:r w:rsidRPr="006E1F66">
        <w:rPr>
          <w:rFonts w:ascii="Arial" w:hAnsi="Arial" w:cs="Arial"/>
          <w:b w:val="0"/>
          <w:bCs w:val="0"/>
          <w:sz w:val="22"/>
          <w:szCs w:val="22"/>
        </w:rPr>
        <w:lastRenderedPageBreak/>
        <w:t>“Suicide to cease to b</w:t>
      </w:r>
      <w:r w:rsidR="00FF1A5D">
        <w:rPr>
          <w:rFonts w:ascii="Arial" w:hAnsi="Arial" w:cs="Arial"/>
          <w:b w:val="0"/>
          <w:bCs w:val="0"/>
          <w:sz w:val="22"/>
          <w:szCs w:val="22"/>
        </w:rPr>
        <w:t>e a crime” (Suicide Act, 1961, s. 1</w:t>
      </w:r>
      <w:r w:rsidRPr="006E1F66">
        <w:rPr>
          <w:rFonts w:ascii="Arial" w:hAnsi="Arial" w:cs="Arial"/>
          <w:b w:val="0"/>
          <w:bCs w:val="0"/>
          <w:sz w:val="22"/>
          <w:szCs w:val="22"/>
        </w:rPr>
        <w:t>) to help in the reconfiguration of the problem of suicide as a matter of health care and not of legality or penalty whereas NICE defines it as a type of self-harm that is intentional and includes "self-poisoning or injury" regardless of the objective of it (NICE, 2022). This is important because of the reliance of the health and care measures on it to identify the cases and take care of them likewise in the background that more than 6,190 suicides surfaced in 2024 with male adults at 17.6 per 100,000 (ONS, 2025). It also relies on epidemiology for prediction as the Multicentre Study of Self-harm in England, where 0.5% of people died by suicide within a year with 0.82% males (Hawton et al., 2015). It supports the focus of NICE for psychosocial assessment with relevant follow-up and aftercare facilities and measures for it (NICE, 2022). It is because for males aged 18–25, this period is full of various transitions taking place in life with acute stress and past traumatic events shaping the coping measures yet masculine conventions of keeping their lips tight often come to the rescue by suppressing disclosure and delaying seeking assistance (Seidler et al., 2016; Addis and Mahalik, 2003). It has also surfaced consistently that 15.4% of men aged 16–24 have been reported to have self-harmed (NHS Digital, 2025).</w:t>
      </w:r>
    </w:p>
    <w:p w:rsidR="00151380" w:rsidRPr="006E1F66" w:rsidRDefault="00151380" w:rsidP="00151380">
      <w:pPr>
        <w:pStyle w:val="Heading2"/>
        <w:numPr>
          <w:ilvl w:val="1"/>
          <w:numId w:val="0"/>
        </w:numPr>
        <w:tabs>
          <w:tab w:val="left" w:pos="2160"/>
        </w:tabs>
        <w:spacing w:before="0"/>
        <w:ind w:left="576" w:hanging="576"/>
        <w:rPr>
          <w:rFonts w:ascii="Arial" w:hAnsi="Arial" w:cs="Arial"/>
          <w:sz w:val="22"/>
          <w:szCs w:val="22"/>
        </w:rPr>
      </w:pPr>
      <w:r w:rsidRPr="00334F98">
        <w:rPr>
          <w:rFonts w:ascii="Arial" w:eastAsia="Times New Roman" w:hAnsi="Arial" w:cs="Arial"/>
          <w:sz w:val="28"/>
          <w:szCs w:val="28"/>
        </w:rPr>
        <w:t>Theoretical Background</w:t>
      </w:r>
      <w:r w:rsidR="00334F98">
        <w:rPr>
          <w:rFonts w:ascii="Arial" w:eastAsia="Times New Roman" w:hAnsi="Arial" w:cs="Arial"/>
          <w:sz w:val="22"/>
          <w:szCs w:val="22"/>
        </w:rPr>
        <w:t xml:space="preserve"> </w:t>
      </w:r>
    </w:p>
    <w:p w:rsidR="00151380" w:rsidRPr="006E1F66" w:rsidRDefault="00151380" w:rsidP="00151380">
      <w:pPr>
        <w:pStyle w:val="Heading2"/>
        <w:numPr>
          <w:ilvl w:val="0"/>
          <w:numId w:val="0"/>
        </w:numPr>
        <w:tabs>
          <w:tab w:val="left" w:pos="2160"/>
        </w:tabs>
        <w:spacing w:before="0"/>
        <w:ind w:left="576"/>
        <w:rPr>
          <w:rFonts w:ascii="Arial" w:hAnsi="Arial" w:cs="Arial"/>
          <w:sz w:val="22"/>
          <w:szCs w:val="22"/>
        </w:rPr>
      </w:pPr>
      <w:r w:rsidRPr="006E1F66">
        <w:rPr>
          <w:rFonts w:ascii="Arial" w:hAnsi="Arial" w:cs="Arial"/>
          <w:sz w:val="22"/>
          <w:szCs w:val="22"/>
        </w:rPr>
        <w:tab/>
      </w:r>
    </w:p>
    <w:p w:rsidR="00151380" w:rsidRPr="00334F98" w:rsidRDefault="00151380" w:rsidP="00151380">
      <w:pPr>
        <w:pStyle w:val="Heading3"/>
        <w:numPr>
          <w:ilvl w:val="2"/>
          <w:numId w:val="0"/>
        </w:numPr>
        <w:spacing w:before="0" w:beforeAutospacing="0" w:after="0" w:afterAutospacing="0"/>
        <w:ind w:left="720" w:hanging="720"/>
        <w:rPr>
          <w:rFonts w:ascii="Arial" w:hAnsi="Arial" w:cs="Arial"/>
          <w:b/>
          <w:bCs/>
          <w:sz w:val="22"/>
          <w:szCs w:val="22"/>
        </w:rPr>
      </w:pPr>
      <w:r w:rsidRPr="00334F98">
        <w:rPr>
          <w:rFonts w:ascii="Arial" w:hAnsi="Arial" w:cs="Arial"/>
          <w:b/>
          <w:bCs/>
          <w:sz w:val="22"/>
          <w:szCs w:val="22"/>
        </w:rPr>
        <w:t>Theoretical Perspectives</w:t>
      </w:r>
    </w:p>
    <w:p w:rsidR="00151380" w:rsidRPr="006E1F66" w:rsidRDefault="00151380" w:rsidP="00151380">
      <w:pPr>
        <w:rPr>
          <w:rFonts w:ascii="Arial" w:hAnsi="Arial" w:cs="Arial"/>
          <w:b w:val="0"/>
          <w:bCs w:val="0"/>
          <w:sz w:val="22"/>
          <w:szCs w:val="22"/>
        </w:rPr>
      </w:pPr>
    </w:p>
    <w:p w:rsidR="00151380" w:rsidRPr="006E1F66" w:rsidRDefault="00151380" w:rsidP="00151380">
      <w:pPr>
        <w:spacing w:before="240" w:after="240" w:line="360" w:lineRule="auto"/>
        <w:jc w:val="both"/>
        <w:rPr>
          <w:rFonts w:ascii="Arial" w:hAnsi="Arial" w:cs="Arial"/>
          <w:b w:val="0"/>
          <w:bCs w:val="0"/>
          <w:sz w:val="22"/>
          <w:szCs w:val="22"/>
        </w:rPr>
      </w:pPr>
      <w:r w:rsidRPr="006E1F66">
        <w:rPr>
          <w:rFonts w:ascii="Arial" w:hAnsi="Arial" w:cs="Arial"/>
          <w:b w:val="0"/>
          <w:bCs w:val="0"/>
          <w:sz w:val="22"/>
          <w:szCs w:val="22"/>
        </w:rPr>
        <w:t>The understanding of the interlinking of the ACE</w:t>
      </w:r>
      <w:r>
        <w:rPr>
          <w:rFonts w:ascii="Arial" w:hAnsi="Arial" w:cs="Arial"/>
          <w:b w:val="0"/>
          <w:bCs w:val="0"/>
          <w:sz w:val="22"/>
          <w:szCs w:val="22"/>
        </w:rPr>
        <w:t>’</w:t>
      </w:r>
      <w:r w:rsidRPr="006E1F66">
        <w:rPr>
          <w:rFonts w:ascii="Arial" w:hAnsi="Arial" w:cs="Arial"/>
          <w:b w:val="0"/>
          <w:bCs w:val="0"/>
          <w:sz w:val="22"/>
          <w:szCs w:val="22"/>
        </w:rPr>
        <w:t>s with self harm and suicidal events is based on the chain reaction in the body and the ultimate relationships. The statistics from England and Wales show that ≥1 ACE and ~10% report ≥4 (Hughes et al., 2020). It also shows that there are biological, relational, and social processes that lead to a single ACE event happening in an individual adult. Moreover, such repetitions of threats during childhood activate the stress system of the adult or continue to do so in the future and increase “allostatic load,” the cumulative “wear and tear” of continual adaptation (McEwen, 1998, p. 171). However, its ecobiodevelopmental perspective indicates that it leads to toxic stress having "a lasting signature" on the development of the brain and its regulation, which impacts emotion control and learning (Shonkoff et al., 2012, p. e232). It is further supported by attachment theory, which centers on safety learned with caregiving, in that when care becomes inconsistent, the immune system becomes weak and later relationships feel unsafe (Bowlby, 1988).</w:t>
      </w:r>
    </w:p>
    <w:p w:rsidR="00151380" w:rsidRPr="008F1E8A" w:rsidRDefault="00151380" w:rsidP="00151380">
      <w:pPr>
        <w:pStyle w:val="Heading3"/>
        <w:numPr>
          <w:ilvl w:val="2"/>
          <w:numId w:val="0"/>
        </w:numPr>
        <w:ind w:left="720" w:hanging="720"/>
        <w:rPr>
          <w:rFonts w:ascii="Arial" w:hAnsi="Arial" w:cs="Arial"/>
          <w:b/>
          <w:bCs/>
          <w:sz w:val="22"/>
          <w:szCs w:val="22"/>
        </w:rPr>
      </w:pPr>
      <w:r w:rsidRPr="008F1E8A">
        <w:rPr>
          <w:rFonts w:ascii="Arial" w:hAnsi="Arial" w:cs="Arial"/>
          <w:b/>
          <w:bCs/>
          <w:sz w:val="22"/>
          <w:szCs w:val="22"/>
        </w:rPr>
        <w:t>Models Linking ACE’s to Suicidal Behaviour and Pattern</w:t>
      </w:r>
    </w:p>
    <w:p w:rsidR="00151380" w:rsidRPr="006E1F66" w:rsidRDefault="00151380" w:rsidP="00151380">
      <w:pPr>
        <w:spacing w:before="240" w:after="240" w:line="360" w:lineRule="auto"/>
        <w:jc w:val="both"/>
        <w:rPr>
          <w:rFonts w:ascii="Arial" w:hAnsi="Arial" w:cs="Arial"/>
          <w:b w:val="0"/>
          <w:bCs w:val="0"/>
          <w:sz w:val="22"/>
          <w:szCs w:val="22"/>
        </w:rPr>
      </w:pPr>
      <w:r w:rsidRPr="006E1F66">
        <w:rPr>
          <w:rFonts w:ascii="Arial" w:hAnsi="Arial" w:cs="Arial"/>
          <w:b w:val="0"/>
          <w:bCs w:val="0"/>
          <w:sz w:val="22"/>
          <w:szCs w:val="22"/>
        </w:rPr>
        <w:lastRenderedPageBreak/>
        <w:t>Many other perspectives explain suicidal behavior and patterns and separate these thoughts from the reasons underlying this adult behavioral pattern. For example, stress–diathesis thinking associates ACE</w:t>
      </w:r>
      <w:r>
        <w:rPr>
          <w:rFonts w:ascii="Arial" w:hAnsi="Arial" w:cs="Arial"/>
          <w:b w:val="0"/>
          <w:bCs w:val="0"/>
          <w:sz w:val="22"/>
          <w:szCs w:val="22"/>
        </w:rPr>
        <w:t>’</w:t>
      </w:r>
      <w:r w:rsidRPr="006E1F66">
        <w:rPr>
          <w:rFonts w:ascii="Arial" w:hAnsi="Arial" w:cs="Arial"/>
          <w:b w:val="0"/>
          <w:bCs w:val="0"/>
          <w:sz w:val="22"/>
          <w:szCs w:val="22"/>
        </w:rPr>
        <w:t>s with some vulnerability activated by later triggers of stress (O’Connor and Nock, 2014). Another research indicates that a strong dose–response shows that the odds of committing suicide are "30 times” higher in adults with four or more ACE</w:t>
      </w:r>
      <w:r>
        <w:rPr>
          <w:rFonts w:ascii="Arial" w:hAnsi="Arial" w:cs="Arial"/>
          <w:b w:val="0"/>
          <w:bCs w:val="0"/>
          <w:sz w:val="22"/>
          <w:szCs w:val="22"/>
        </w:rPr>
        <w:t>’</w:t>
      </w:r>
      <w:r w:rsidRPr="006E1F66">
        <w:rPr>
          <w:rFonts w:ascii="Arial" w:hAnsi="Arial" w:cs="Arial"/>
          <w:b w:val="0"/>
          <w:bCs w:val="0"/>
          <w:sz w:val="22"/>
          <w:szCs w:val="22"/>
        </w:rPr>
        <w:t>s as compared to those</w:t>
      </w:r>
      <w:r w:rsidR="008F1E8A">
        <w:rPr>
          <w:rFonts w:ascii="Arial" w:hAnsi="Arial" w:cs="Arial"/>
          <w:b w:val="0"/>
          <w:bCs w:val="0"/>
          <w:sz w:val="22"/>
          <w:szCs w:val="22"/>
        </w:rPr>
        <w:t xml:space="preserve"> having none (NACCHO, 2021</w:t>
      </w:r>
      <w:r w:rsidRPr="006E1F66">
        <w:rPr>
          <w:rFonts w:ascii="Arial" w:hAnsi="Arial" w:cs="Arial"/>
          <w:b w:val="0"/>
          <w:bCs w:val="0"/>
          <w:sz w:val="22"/>
          <w:szCs w:val="22"/>
        </w:rPr>
        <w:t>). However, another model, the Integrated Motivational–Volitional model, indicates that whereas the sense of defeat and being trapped help imagine these things, volitional moderators help in shifting these attem</w:t>
      </w:r>
      <w:r w:rsidR="00FB5EC8">
        <w:rPr>
          <w:rFonts w:ascii="Arial" w:hAnsi="Arial" w:cs="Arial"/>
          <w:b w:val="0"/>
          <w:bCs w:val="0"/>
          <w:sz w:val="22"/>
          <w:szCs w:val="22"/>
        </w:rPr>
        <w:t>pts to actions (</w:t>
      </w:r>
      <w:r w:rsidRPr="006E1F66">
        <w:rPr>
          <w:rFonts w:ascii="Arial" w:hAnsi="Arial" w:cs="Arial"/>
          <w:b w:val="0"/>
          <w:bCs w:val="0"/>
          <w:sz w:val="22"/>
          <w:szCs w:val="22"/>
        </w:rPr>
        <w:t>O’Connor and Kirtley, 2018). The Interpersonal Theory, on the other hand, focuses on the issue of being prevented from belonging relationships and perceived burdensomeness, which create desire and then lead to action (Van Orden et al., 2010). These models outline ideation-to-action, point out reasons, and make it clear that shame, perceived failures, and a sense of disconnection following the ACE</w:t>
      </w:r>
      <w:r>
        <w:rPr>
          <w:rFonts w:ascii="Arial" w:hAnsi="Arial" w:cs="Arial"/>
          <w:b w:val="0"/>
          <w:bCs w:val="0"/>
          <w:sz w:val="22"/>
          <w:szCs w:val="22"/>
        </w:rPr>
        <w:t>’</w:t>
      </w:r>
      <w:r w:rsidRPr="006E1F66">
        <w:rPr>
          <w:rFonts w:ascii="Arial" w:hAnsi="Arial" w:cs="Arial"/>
          <w:b w:val="0"/>
          <w:bCs w:val="0"/>
          <w:sz w:val="22"/>
          <w:szCs w:val="22"/>
        </w:rPr>
        <w:t>s increase the potential of suicidal behavior in adulthood when help is either delayed or support seems not available on time.</w:t>
      </w:r>
    </w:p>
    <w:p w:rsidR="00151380" w:rsidRPr="006E1F66" w:rsidRDefault="0096721B" w:rsidP="00151380">
      <w:pPr>
        <w:spacing w:before="240" w:after="240" w:line="360" w:lineRule="auto"/>
        <w:jc w:val="both"/>
        <w:rPr>
          <w:rFonts w:ascii="Arial" w:hAnsi="Arial" w:cs="Arial"/>
          <w:b w:val="0"/>
          <w:bCs w:val="0"/>
          <w:sz w:val="22"/>
          <w:szCs w:val="22"/>
        </w:rPr>
      </w:pPr>
      <w:r>
        <w:rPr>
          <w:rFonts w:ascii="Arial" w:hAnsi="Arial" w:cs="Arial"/>
          <w:b w:val="0"/>
          <w:bCs w:val="0"/>
          <w:sz w:val="22"/>
          <w:szCs w:val="22"/>
        </w:rPr>
        <w:t>Some researchers</w:t>
      </w:r>
      <w:r w:rsidR="00151380" w:rsidRPr="006E1F66">
        <w:rPr>
          <w:rFonts w:ascii="Arial" w:hAnsi="Arial" w:cs="Arial"/>
          <w:b w:val="0"/>
          <w:bCs w:val="0"/>
          <w:sz w:val="22"/>
          <w:szCs w:val="22"/>
        </w:rPr>
        <w:t xml:space="preserve"> have used these models in the identification of mediators that ACE exposure shapes the suicidal behavior pattern, which include depression and traumatic symptoms, or misuse of substances, or impulsive behavior, or even social isolation (Hughes et al., 2017; O’Connor and Nock, 2014). However, it is also interesting to note that for male adults, this increases the expression of depression and reduces the mechanisms of seeking help while increasing the risk of going from difficulty to suicidal behavior (Addis and Mahalik, 2003; Seidler et al., 2016). Even sometimes, substance-linked situations could put the other ACE</w:t>
      </w:r>
      <w:r w:rsidR="00151380">
        <w:rPr>
          <w:rFonts w:ascii="Arial" w:hAnsi="Arial" w:cs="Arial"/>
          <w:b w:val="0"/>
          <w:bCs w:val="0"/>
          <w:sz w:val="22"/>
          <w:szCs w:val="22"/>
        </w:rPr>
        <w:t>’</w:t>
      </w:r>
      <w:r w:rsidR="00151380" w:rsidRPr="006E1F66">
        <w:rPr>
          <w:rFonts w:ascii="Arial" w:hAnsi="Arial" w:cs="Arial"/>
          <w:b w:val="0"/>
          <w:bCs w:val="0"/>
          <w:sz w:val="22"/>
          <w:szCs w:val="22"/>
        </w:rPr>
        <w:t>s symptoms on the back, thus making clinical identification difficult.</w:t>
      </w:r>
    </w:p>
    <w:p w:rsidR="00151380" w:rsidRPr="006E1F66" w:rsidRDefault="00151380" w:rsidP="00151380">
      <w:pPr>
        <w:spacing w:before="240" w:after="240" w:line="360" w:lineRule="auto"/>
        <w:jc w:val="both"/>
        <w:rPr>
          <w:rFonts w:ascii="Arial" w:eastAsia="Times New Roman" w:hAnsi="Arial" w:cs="Arial"/>
          <w:b w:val="0"/>
          <w:bCs w:val="0"/>
          <w:kern w:val="0"/>
          <w:sz w:val="22"/>
          <w:szCs w:val="22"/>
        </w:rPr>
      </w:pPr>
      <w:r w:rsidRPr="006E1F66">
        <w:rPr>
          <w:rFonts w:ascii="Arial" w:hAnsi="Arial" w:cs="Arial"/>
          <w:b w:val="0"/>
          <w:bCs w:val="0"/>
          <w:sz w:val="22"/>
          <w:szCs w:val="22"/>
        </w:rPr>
        <w:t>These perspectives and models provide testable mechanisms and indicate points that cause intervention such as the reduction of traps, the increase in the sense of belonging, making coping and accessibility strong, and improving care for suicidal and self-harm behaviors. Despite this, there are various limitations in measuring ACE</w:t>
      </w:r>
      <w:r>
        <w:rPr>
          <w:rFonts w:ascii="Arial" w:hAnsi="Arial" w:cs="Arial"/>
          <w:b w:val="0"/>
          <w:bCs w:val="0"/>
          <w:sz w:val="22"/>
          <w:szCs w:val="22"/>
        </w:rPr>
        <w:t>’</w:t>
      </w:r>
      <w:r w:rsidRPr="006E1F66">
        <w:rPr>
          <w:rFonts w:ascii="Arial" w:hAnsi="Arial" w:cs="Arial"/>
          <w:b w:val="0"/>
          <w:bCs w:val="0"/>
          <w:sz w:val="22"/>
          <w:szCs w:val="22"/>
        </w:rPr>
        <w:t xml:space="preserve">s, identification, context, and further exposure with triggers or </w:t>
      </w:r>
      <w:r w:rsidR="007A1E05" w:rsidRPr="006E1F66">
        <w:rPr>
          <w:rFonts w:ascii="Arial" w:hAnsi="Arial" w:cs="Arial"/>
          <w:b w:val="0"/>
          <w:bCs w:val="0"/>
          <w:sz w:val="22"/>
          <w:szCs w:val="22"/>
        </w:rPr>
        <w:t>meditational</w:t>
      </w:r>
      <w:r w:rsidRPr="006E1F66">
        <w:rPr>
          <w:rFonts w:ascii="Arial" w:hAnsi="Arial" w:cs="Arial"/>
          <w:b w:val="0"/>
          <w:bCs w:val="0"/>
          <w:sz w:val="22"/>
          <w:szCs w:val="22"/>
        </w:rPr>
        <w:t xml:space="preserve"> mechanisms.</w:t>
      </w:r>
    </w:p>
    <w:p w:rsidR="00151380" w:rsidRPr="000D42A5" w:rsidRDefault="000D42A5" w:rsidP="00151380">
      <w:pPr>
        <w:pStyle w:val="Heading2"/>
        <w:numPr>
          <w:ilvl w:val="1"/>
          <w:numId w:val="0"/>
        </w:numPr>
        <w:spacing w:before="0"/>
        <w:ind w:left="576" w:hanging="576"/>
        <w:rPr>
          <w:rFonts w:ascii="Arial" w:eastAsia="Times New Roman" w:hAnsi="Arial" w:cs="Arial"/>
          <w:sz w:val="28"/>
          <w:szCs w:val="28"/>
        </w:rPr>
      </w:pPr>
      <w:r w:rsidRPr="000D42A5">
        <w:rPr>
          <w:rFonts w:ascii="Arial" w:eastAsia="Times New Roman" w:hAnsi="Arial" w:cs="Arial"/>
          <w:sz w:val="28"/>
          <w:szCs w:val="28"/>
        </w:rPr>
        <w:t>International Context</w:t>
      </w:r>
    </w:p>
    <w:p w:rsidR="00151380" w:rsidRPr="006E1F66" w:rsidRDefault="00151380" w:rsidP="00151380">
      <w:pPr>
        <w:spacing w:after="0"/>
        <w:rPr>
          <w:rFonts w:ascii="Arial" w:hAnsi="Arial" w:cs="Arial"/>
          <w:sz w:val="22"/>
          <w:szCs w:val="22"/>
        </w:rPr>
      </w:pPr>
    </w:p>
    <w:p w:rsidR="00151380" w:rsidRPr="000D42A5" w:rsidRDefault="00151380" w:rsidP="00151380">
      <w:pPr>
        <w:pStyle w:val="Heading3"/>
        <w:numPr>
          <w:ilvl w:val="2"/>
          <w:numId w:val="0"/>
        </w:numPr>
        <w:spacing w:before="0" w:beforeAutospacing="0" w:after="0" w:afterAutospacing="0"/>
        <w:ind w:left="720" w:hanging="720"/>
        <w:rPr>
          <w:rFonts w:ascii="Arial" w:hAnsi="Arial" w:cs="Arial"/>
          <w:b/>
          <w:bCs/>
          <w:sz w:val="22"/>
          <w:szCs w:val="22"/>
        </w:rPr>
      </w:pPr>
      <w:r w:rsidRPr="000D42A5">
        <w:rPr>
          <w:rFonts w:ascii="Arial" w:hAnsi="Arial" w:cs="Arial"/>
          <w:b/>
          <w:bCs/>
          <w:sz w:val="22"/>
          <w:szCs w:val="22"/>
        </w:rPr>
        <w:t>Global Perspective and Common Trends</w:t>
      </w:r>
    </w:p>
    <w:p w:rsidR="00151380" w:rsidRPr="006E1F66" w:rsidRDefault="00151380" w:rsidP="00151380">
      <w:pPr>
        <w:spacing w:before="240" w:after="240" w:line="360" w:lineRule="auto"/>
        <w:jc w:val="both"/>
        <w:rPr>
          <w:rFonts w:ascii="Arial" w:hAnsi="Arial" w:cs="Arial"/>
          <w:b w:val="0"/>
          <w:bCs w:val="0"/>
          <w:sz w:val="22"/>
          <w:szCs w:val="22"/>
        </w:rPr>
      </w:pPr>
      <w:r w:rsidRPr="006E1F66">
        <w:rPr>
          <w:rFonts w:ascii="Arial" w:hAnsi="Arial" w:cs="Arial"/>
          <w:b w:val="0"/>
          <w:bCs w:val="0"/>
          <w:sz w:val="22"/>
          <w:szCs w:val="22"/>
        </w:rPr>
        <w:t>Global ACE</w:t>
      </w:r>
      <w:r>
        <w:rPr>
          <w:rFonts w:ascii="Arial" w:hAnsi="Arial" w:cs="Arial"/>
          <w:b w:val="0"/>
          <w:bCs w:val="0"/>
          <w:sz w:val="22"/>
          <w:szCs w:val="22"/>
        </w:rPr>
        <w:t>’</w:t>
      </w:r>
      <w:r w:rsidRPr="006E1F66">
        <w:rPr>
          <w:rFonts w:ascii="Arial" w:hAnsi="Arial" w:cs="Arial"/>
          <w:b w:val="0"/>
          <w:bCs w:val="0"/>
          <w:sz w:val="22"/>
          <w:szCs w:val="22"/>
        </w:rPr>
        <w:t xml:space="preserve">s perspectives theorize them as preventable determinants of mental health and consider suicide or suicidal thoughts as a concern of public health. The World Health </w:t>
      </w:r>
      <w:r w:rsidRPr="006E1F66">
        <w:rPr>
          <w:rFonts w:ascii="Arial" w:hAnsi="Arial" w:cs="Arial"/>
          <w:b w:val="0"/>
          <w:bCs w:val="0"/>
          <w:sz w:val="22"/>
          <w:szCs w:val="22"/>
        </w:rPr>
        <w:lastRenderedPageBreak/>
        <w:t>Organization shows statistics as "more than 700 000 people" committing suicide every year (W</w:t>
      </w:r>
      <w:r>
        <w:rPr>
          <w:rFonts w:ascii="Arial" w:hAnsi="Arial" w:cs="Arial"/>
          <w:b w:val="0"/>
          <w:bCs w:val="0"/>
          <w:sz w:val="22"/>
          <w:szCs w:val="22"/>
        </w:rPr>
        <w:t>HO, 2021</w:t>
      </w:r>
      <w:r w:rsidRPr="006E1F66">
        <w:rPr>
          <w:rFonts w:ascii="Arial" w:hAnsi="Arial" w:cs="Arial"/>
          <w:b w:val="0"/>
          <w:bCs w:val="0"/>
          <w:sz w:val="22"/>
          <w:szCs w:val="22"/>
        </w:rPr>
        <w:t>) and promotes its program of LIVE LIFE for coordinated action against this pattern of behavior. It shows that it is not an individual issue to be treated at a clinic but a challenge to health care policy due to the public suffering from this menace. The common global trend is to focus on its timely identification and screening and then spot and remove those psychological issues. After this, it is integrated into youth mental health care models so that its multi-level burden could be reduced and the barriers related to its stigma could be removed. It also includes preventive measures through community-based integration of educational institutions to take prevention initiatives with specific focus on the cultivation of individual resilience, with full crisis support tools and "24-hour crisis lines, and community-bas</w:t>
      </w:r>
      <w:r w:rsidR="00956B89">
        <w:rPr>
          <w:rFonts w:ascii="Arial" w:hAnsi="Arial" w:cs="Arial"/>
          <w:b w:val="0"/>
          <w:bCs w:val="0"/>
          <w:sz w:val="22"/>
          <w:szCs w:val="22"/>
        </w:rPr>
        <w:t>ed emergency care" (WHO, 2021</w:t>
      </w:r>
      <w:r w:rsidRPr="006E1F66">
        <w:rPr>
          <w:rFonts w:ascii="Arial" w:hAnsi="Arial" w:cs="Arial"/>
          <w:b w:val="0"/>
          <w:bCs w:val="0"/>
          <w:sz w:val="22"/>
          <w:szCs w:val="22"/>
        </w:rPr>
        <w:t>).</w:t>
      </w:r>
    </w:p>
    <w:p w:rsidR="00151380" w:rsidRPr="00CD4CF1" w:rsidRDefault="00151380" w:rsidP="00151380">
      <w:pPr>
        <w:pStyle w:val="Heading3"/>
        <w:numPr>
          <w:ilvl w:val="2"/>
          <w:numId w:val="0"/>
        </w:numPr>
        <w:ind w:left="720" w:hanging="720"/>
        <w:rPr>
          <w:rFonts w:ascii="Arial" w:hAnsi="Arial" w:cs="Arial"/>
          <w:b/>
          <w:sz w:val="22"/>
          <w:szCs w:val="22"/>
        </w:rPr>
      </w:pPr>
      <w:r w:rsidRPr="00CD4CF1">
        <w:rPr>
          <w:rFonts w:ascii="Arial" w:hAnsi="Arial" w:cs="Arial"/>
          <w:b/>
          <w:sz w:val="22"/>
          <w:szCs w:val="22"/>
        </w:rPr>
        <w:t>Comparative Approaches</w:t>
      </w:r>
    </w:p>
    <w:p w:rsidR="00151380" w:rsidRPr="006E1F66" w:rsidRDefault="00151380" w:rsidP="00151380">
      <w:pPr>
        <w:spacing w:before="240" w:after="240" w:line="360" w:lineRule="auto"/>
        <w:jc w:val="both"/>
        <w:rPr>
          <w:rFonts w:ascii="Arial" w:hAnsi="Arial" w:cs="Arial"/>
          <w:b w:val="0"/>
          <w:bCs w:val="0"/>
          <w:sz w:val="22"/>
          <w:szCs w:val="22"/>
        </w:rPr>
      </w:pPr>
      <w:r w:rsidRPr="006E1F66">
        <w:rPr>
          <w:rFonts w:ascii="Arial" w:hAnsi="Arial" w:cs="Arial"/>
          <w:b w:val="0"/>
          <w:bCs w:val="0"/>
          <w:sz w:val="22"/>
          <w:szCs w:val="22"/>
        </w:rPr>
        <w:t>When compared with other approaches and models, it has been seen that several models are often embedded in healthcare systems mostly prioritize standardized clinical procedures to tackle this issue. They have also included formal governance structures and integration in both primary and secondary care systems, which also include "follow-up and support" for the young adults who are realizing or exposing this type of sui</w:t>
      </w:r>
      <w:r w:rsidR="00CD4CF1">
        <w:rPr>
          <w:rFonts w:ascii="Arial" w:hAnsi="Arial" w:cs="Arial"/>
          <w:b w:val="0"/>
          <w:bCs w:val="0"/>
          <w:sz w:val="22"/>
          <w:szCs w:val="22"/>
        </w:rPr>
        <w:t>cidal behavior (WHO, 2021</w:t>
      </w:r>
      <w:r w:rsidRPr="006E1F66">
        <w:rPr>
          <w:rFonts w:ascii="Arial" w:hAnsi="Arial" w:cs="Arial"/>
          <w:b w:val="0"/>
          <w:bCs w:val="0"/>
          <w:sz w:val="22"/>
          <w:szCs w:val="22"/>
        </w:rPr>
        <w:t xml:space="preserve">). Such follow-up procedures are often structured in the aftercare of the systems integrated into the main healthcare systems following self-harming behavioral signs. However, compared to community-led approaches, they tend to focus on the participation of youth with developed and structured peer-support mechanisms and outreach to young adults that is embedded in the cultural context to respond to such behaviors. They also focus on non-stigmatizing avenues with easy accessibility and trust in the identifiers and close relatives among the vulnerable young segments of the population. It has been seen that generally such models integrate easy access with continuous care and phased delivery of service, yet their success relies on various determinants, including funding, workforce, accessibility, </w:t>
      </w:r>
      <w:r w:rsidR="000028C2" w:rsidRPr="006E1F66">
        <w:rPr>
          <w:rFonts w:ascii="Arial" w:hAnsi="Arial" w:cs="Arial"/>
          <w:b w:val="0"/>
          <w:bCs w:val="0"/>
          <w:sz w:val="22"/>
          <w:szCs w:val="22"/>
        </w:rPr>
        <w:t>and referrals</w:t>
      </w:r>
      <w:r w:rsidRPr="006E1F66">
        <w:rPr>
          <w:rFonts w:ascii="Arial" w:hAnsi="Arial" w:cs="Arial"/>
          <w:b w:val="0"/>
          <w:bCs w:val="0"/>
          <w:sz w:val="22"/>
          <w:szCs w:val="22"/>
        </w:rPr>
        <w:t>, coordination of care and systems, and data sets collected and monitored likewise.</w:t>
      </w:r>
    </w:p>
    <w:p w:rsidR="00151380" w:rsidRPr="006E1F66" w:rsidRDefault="00151380" w:rsidP="00151380">
      <w:pPr>
        <w:pStyle w:val="Heading2"/>
        <w:numPr>
          <w:ilvl w:val="1"/>
          <w:numId w:val="0"/>
        </w:numPr>
        <w:ind w:left="576" w:hanging="576"/>
        <w:rPr>
          <w:rFonts w:ascii="Arial" w:eastAsia="Times New Roman" w:hAnsi="Arial" w:cs="Arial"/>
          <w:sz w:val="22"/>
          <w:szCs w:val="22"/>
        </w:rPr>
      </w:pPr>
      <w:r w:rsidRPr="006E1F66">
        <w:rPr>
          <w:rFonts w:ascii="Arial" w:eastAsia="Times New Roman" w:hAnsi="Arial" w:cs="Arial"/>
          <w:sz w:val="22"/>
          <w:szCs w:val="22"/>
        </w:rPr>
        <w:t>Case examples and lessons for England</w:t>
      </w:r>
    </w:p>
    <w:p w:rsidR="00151380" w:rsidRPr="006E1F66" w:rsidRDefault="00151380" w:rsidP="00151380">
      <w:pPr>
        <w:pStyle w:val="NormalWeb"/>
        <w:numPr>
          <w:ilvl w:val="0"/>
          <w:numId w:val="19"/>
        </w:numPr>
        <w:spacing w:before="240" w:beforeAutospacing="0" w:after="120" w:afterAutospacing="0" w:line="360" w:lineRule="auto"/>
        <w:ind w:left="714" w:hanging="357"/>
        <w:rPr>
          <w:rFonts w:ascii="Arial" w:hAnsi="Arial" w:cs="Arial"/>
          <w:sz w:val="22"/>
          <w:szCs w:val="22"/>
        </w:rPr>
      </w:pPr>
      <w:r w:rsidRPr="006E1F66">
        <w:rPr>
          <w:rStyle w:val="Strong"/>
          <w:rFonts w:ascii="Arial" w:hAnsi="Arial" w:cs="Arial"/>
          <w:sz w:val="22"/>
          <w:szCs w:val="22"/>
        </w:rPr>
        <w:t>Case-1: Australia-headspace (ages 12–25): This is the best program on account of its one-stop service-oriented feature with core services including mental, physical, substance and work or vocational service for the young people to get not only support but also practical assistance to be integrated into the social structure</w:t>
      </w:r>
      <w:r w:rsidRPr="006E1F66">
        <w:rPr>
          <w:rFonts w:ascii="Arial" w:hAnsi="Arial" w:cs="Arial"/>
          <w:sz w:val="22"/>
          <w:szCs w:val="22"/>
        </w:rPr>
        <w:t xml:space="preserve">. Although it </w:t>
      </w:r>
      <w:r w:rsidRPr="006E1F66">
        <w:rPr>
          <w:rFonts w:ascii="Arial" w:hAnsi="Arial" w:cs="Arial"/>
          <w:sz w:val="22"/>
          <w:szCs w:val="22"/>
        </w:rPr>
        <w:lastRenderedPageBreak/>
        <w:t xml:space="preserve">monitors its outcomes routinely, several of them have been used for statistical analysis with further improvements in its foundational services (Rickwood et al., 2023). </w:t>
      </w:r>
    </w:p>
    <w:p w:rsidR="00151380" w:rsidRPr="006E1F66" w:rsidRDefault="00ED1EF5" w:rsidP="00151380">
      <w:pPr>
        <w:pStyle w:val="NormalWeb"/>
        <w:numPr>
          <w:ilvl w:val="0"/>
          <w:numId w:val="19"/>
        </w:numPr>
        <w:spacing w:before="240" w:beforeAutospacing="0" w:after="120" w:afterAutospacing="0" w:line="360" w:lineRule="auto"/>
        <w:ind w:left="714" w:hanging="357"/>
        <w:rPr>
          <w:rFonts w:ascii="Arial" w:hAnsi="Arial" w:cs="Arial"/>
          <w:sz w:val="22"/>
          <w:szCs w:val="22"/>
        </w:rPr>
      </w:pPr>
      <w:r>
        <w:rPr>
          <w:rStyle w:val="Strong"/>
          <w:rFonts w:ascii="Arial" w:hAnsi="Arial" w:cs="Arial"/>
          <w:sz w:val="22"/>
          <w:szCs w:val="22"/>
        </w:rPr>
        <w:t xml:space="preserve">Case-2: </w:t>
      </w:r>
      <w:r w:rsidR="00151380" w:rsidRPr="006E1F66">
        <w:rPr>
          <w:rStyle w:val="Strong"/>
          <w:rFonts w:ascii="Arial" w:hAnsi="Arial" w:cs="Arial"/>
          <w:sz w:val="22"/>
          <w:szCs w:val="22"/>
        </w:rPr>
        <w:t>Canada (British Columbia) – Foundry: Launched in</w:t>
      </w:r>
      <w:r w:rsidR="001D353B">
        <w:rPr>
          <w:rStyle w:val="Strong"/>
          <w:rFonts w:ascii="Arial" w:hAnsi="Arial" w:cs="Arial"/>
          <w:sz w:val="22"/>
          <w:szCs w:val="22"/>
        </w:rPr>
        <w:t xml:space="preserve"> </w:t>
      </w:r>
      <w:r w:rsidR="00151380" w:rsidRPr="006E1F66">
        <w:rPr>
          <w:rFonts w:ascii="Arial" w:hAnsi="Arial" w:cs="Arial"/>
          <w:sz w:val="22"/>
          <w:szCs w:val="22"/>
        </w:rPr>
        <w:t xml:space="preserve">British Columbia in Canada, </w:t>
      </w:r>
      <w:r w:rsidR="00151380" w:rsidRPr="006E1F66">
        <w:rPr>
          <w:rStyle w:val="Emphasis"/>
          <w:rFonts w:ascii="Arial" w:eastAsiaTheme="majorEastAsia" w:hAnsi="Arial" w:cs="Arial"/>
          <w:sz w:val="22"/>
          <w:szCs w:val="22"/>
        </w:rPr>
        <w:t>Foundry</w:t>
      </w:r>
      <w:r w:rsidR="00151380" w:rsidRPr="006E1F66">
        <w:rPr>
          <w:rFonts w:ascii="Arial" w:hAnsi="Arial" w:cs="Arial"/>
          <w:sz w:val="22"/>
          <w:szCs w:val="22"/>
        </w:rPr>
        <w:t xml:space="preserve"> is an integrated youth health service network which provides services on the basis of easy intervention and easy access. It comprises mental, sexual and physical, substance and peer support and other social services related to social support (Mathias et al., 2022). </w:t>
      </w:r>
    </w:p>
    <w:p w:rsidR="00151380" w:rsidRPr="006E1F66" w:rsidRDefault="001D353B" w:rsidP="00151380">
      <w:pPr>
        <w:pStyle w:val="NormalWeb"/>
        <w:numPr>
          <w:ilvl w:val="0"/>
          <w:numId w:val="19"/>
        </w:numPr>
        <w:spacing w:before="240" w:beforeAutospacing="0" w:after="120" w:afterAutospacing="0" w:line="360" w:lineRule="auto"/>
        <w:ind w:left="714" w:hanging="357"/>
        <w:rPr>
          <w:rFonts w:ascii="Arial" w:hAnsi="Arial" w:cs="Arial"/>
          <w:sz w:val="22"/>
          <w:szCs w:val="22"/>
        </w:rPr>
      </w:pPr>
      <w:r>
        <w:rPr>
          <w:rStyle w:val="Strong"/>
          <w:rFonts w:ascii="Arial" w:hAnsi="Arial" w:cs="Arial"/>
          <w:sz w:val="22"/>
          <w:szCs w:val="22"/>
        </w:rPr>
        <w:t xml:space="preserve">Ase-3: </w:t>
      </w:r>
      <w:r w:rsidR="00151380" w:rsidRPr="006E1F66">
        <w:rPr>
          <w:rStyle w:val="Strong"/>
          <w:rFonts w:ascii="Arial" w:hAnsi="Arial" w:cs="Arial"/>
          <w:sz w:val="22"/>
          <w:szCs w:val="22"/>
        </w:rPr>
        <w:t>Ireland – Jigsaw (ages 12–25): This Irish model was set up to deal with the mental health of young people aged group</w:t>
      </w:r>
      <w:r w:rsidR="00151380" w:rsidRPr="006E1F66">
        <w:rPr>
          <w:rFonts w:ascii="Arial" w:hAnsi="Arial" w:cs="Arial"/>
          <w:sz w:val="22"/>
          <w:szCs w:val="22"/>
        </w:rPr>
        <w:t xml:space="preserve">for 12–25-year-olds. Its main features are mental health support, therapy support and youth routine monitoring including arraignment of funding for the delivery of regular services (O’Reilly et al., 2022). </w:t>
      </w:r>
    </w:p>
    <w:p w:rsidR="00151380" w:rsidRPr="0071494C" w:rsidRDefault="00151380" w:rsidP="00151380">
      <w:pPr>
        <w:pStyle w:val="Heading3"/>
        <w:numPr>
          <w:ilvl w:val="2"/>
          <w:numId w:val="0"/>
        </w:numPr>
        <w:ind w:left="720" w:hanging="720"/>
        <w:rPr>
          <w:rStyle w:val="Strong"/>
          <w:rFonts w:ascii="Arial" w:hAnsi="Arial" w:cs="Arial"/>
          <w:b/>
          <w:sz w:val="22"/>
          <w:szCs w:val="22"/>
        </w:rPr>
      </w:pPr>
      <w:r w:rsidRPr="0071494C">
        <w:rPr>
          <w:rStyle w:val="Strong"/>
          <w:rFonts w:ascii="Arial" w:hAnsi="Arial" w:cs="Arial"/>
          <w:b/>
          <w:sz w:val="22"/>
          <w:szCs w:val="22"/>
        </w:rPr>
        <w:t>Lessons for England</w:t>
      </w:r>
    </w:p>
    <w:p w:rsidR="00151380" w:rsidRPr="006E1F66" w:rsidRDefault="00151380" w:rsidP="00151380">
      <w:pPr>
        <w:pStyle w:val="NormalWeb"/>
        <w:spacing w:before="240" w:beforeAutospacing="0" w:after="240" w:afterAutospacing="0" w:line="360" w:lineRule="auto"/>
        <w:jc w:val="both"/>
        <w:rPr>
          <w:rFonts w:ascii="Arial" w:hAnsi="Arial" w:cs="Arial"/>
          <w:sz w:val="22"/>
          <w:szCs w:val="22"/>
        </w:rPr>
      </w:pPr>
      <w:r w:rsidRPr="006E1F66">
        <w:rPr>
          <w:rStyle w:val="Strong"/>
          <w:rFonts w:ascii="Arial" w:hAnsi="Arial" w:cs="Arial"/>
          <w:sz w:val="22"/>
          <w:szCs w:val="22"/>
        </w:rPr>
        <w:t>These models show that they are relevant for the same issue in England on account of their being youth friendly, similar age group, comprehensive support system including social and psychological support, monitoring and evaluation and coproduced design. These lessons are compatible with the NHS Long Term Planning which commits to improve to the mental health of the young people with comprehensive coverage</w:t>
      </w:r>
      <w:r w:rsidR="000A56B6">
        <w:rPr>
          <w:rStyle w:val="Strong"/>
          <w:rFonts w:ascii="Arial" w:hAnsi="Arial" w:cs="Arial"/>
          <w:sz w:val="22"/>
          <w:szCs w:val="22"/>
        </w:rPr>
        <w:t xml:space="preserve"> </w:t>
      </w:r>
      <w:r w:rsidRPr="006E1F66">
        <w:rPr>
          <w:rFonts w:ascii="Arial" w:hAnsi="Arial" w:cs="Arial"/>
          <w:sz w:val="22"/>
          <w:szCs w:val="22"/>
        </w:rPr>
        <w:t>(Royal College of Psychiatrists, 2019).</w:t>
      </w:r>
    </w:p>
    <w:p w:rsidR="00151380" w:rsidRPr="0094207B" w:rsidRDefault="00151380" w:rsidP="00151380">
      <w:pPr>
        <w:pStyle w:val="Heading2"/>
        <w:numPr>
          <w:ilvl w:val="1"/>
          <w:numId w:val="0"/>
        </w:numPr>
        <w:ind w:left="576" w:hanging="576"/>
        <w:rPr>
          <w:rFonts w:ascii="Arial" w:eastAsia="Times New Roman" w:hAnsi="Arial" w:cs="Arial"/>
          <w:sz w:val="28"/>
          <w:szCs w:val="28"/>
        </w:rPr>
      </w:pPr>
      <w:r w:rsidRPr="0094207B">
        <w:rPr>
          <w:rFonts w:ascii="Arial" w:eastAsia="Times New Roman" w:hAnsi="Arial" w:cs="Arial"/>
          <w:sz w:val="28"/>
          <w:szCs w:val="28"/>
        </w:rPr>
        <w:t xml:space="preserve">National/Local UK Context </w:t>
      </w:r>
    </w:p>
    <w:p w:rsidR="00151380" w:rsidRPr="006E1F66" w:rsidRDefault="00151380" w:rsidP="00151380">
      <w:pPr>
        <w:spacing w:after="100" w:afterAutospacing="1" w:line="240" w:lineRule="auto"/>
        <w:outlineLvl w:val="3"/>
        <w:rPr>
          <w:rFonts w:ascii="Arial" w:eastAsia="Times New Roman" w:hAnsi="Arial" w:cs="Arial"/>
          <w:kern w:val="0"/>
          <w:sz w:val="22"/>
          <w:szCs w:val="22"/>
        </w:rPr>
      </w:pPr>
    </w:p>
    <w:p w:rsidR="00151380" w:rsidRPr="0094207B" w:rsidRDefault="00151380" w:rsidP="00151380">
      <w:pPr>
        <w:pStyle w:val="Heading3"/>
        <w:numPr>
          <w:ilvl w:val="2"/>
          <w:numId w:val="0"/>
        </w:numPr>
        <w:ind w:left="720" w:hanging="720"/>
        <w:rPr>
          <w:rFonts w:ascii="Arial" w:hAnsi="Arial" w:cs="Arial"/>
          <w:b/>
          <w:sz w:val="22"/>
          <w:szCs w:val="22"/>
        </w:rPr>
      </w:pPr>
      <w:r w:rsidRPr="0094207B">
        <w:rPr>
          <w:rFonts w:ascii="Arial" w:hAnsi="Arial" w:cs="Arial"/>
          <w:b/>
          <w:sz w:val="22"/>
          <w:szCs w:val="22"/>
        </w:rPr>
        <w:t xml:space="preserve">UK/England Perspective </w:t>
      </w:r>
    </w:p>
    <w:p w:rsidR="00151380" w:rsidRPr="006E1F66" w:rsidRDefault="00151380" w:rsidP="00151380">
      <w:pPr>
        <w:spacing w:before="240" w:after="240" w:line="360" w:lineRule="auto"/>
        <w:jc w:val="both"/>
        <w:outlineLvl w:val="3"/>
        <w:rPr>
          <w:rFonts w:ascii="Arial" w:eastAsia="Times New Roman" w:hAnsi="Arial" w:cs="Arial"/>
          <w:b w:val="0"/>
          <w:bCs w:val="0"/>
          <w:kern w:val="0"/>
          <w:sz w:val="22"/>
          <w:szCs w:val="22"/>
        </w:rPr>
      </w:pPr>
      <w:r w:rsidRPr="006E1F66">
        <w:rPr>
          <w:rFonts w:ascii="Arial" w:eastAsia="Times New Roman" w:hAnsi="Arial" w:cs="Arial"/>
          <w:b w:val="0"/>
          <w:bCs w:val="0"/>
          <w:kern w:val="0"/>
          <w:sz w:val="22"/>
          <w:szCs w:val="22"/>
        </w:rPr>
        <w:t>Whereas the issue of the suicidal behavior and self harm in England is concerned, it has been reported that it has been continuously on the increase among the male. ONS statistics also confirm these statistics reporting that total 6,190 suicides were registered in England and Wales in 2024 which indicates the ratio of male among them as 17.6 per 100,000 (ONS, 2025) while only in English it 11.1 per 100,000 (ONS, 2025). It has also been debated upon in the parliamentary briefings (House of Commons Library, 2026) with specific focus on the suicidal behaviour and self harming thoughts. Moreover, a multicentre English cohort has also shown that there is an increased risk of suicides even after the hospital-treated self-harming behavioral pattern (Hawton et al., 2015). Whereas the English health and social services framework has recognized ACE</w:t>
      </w:r>
      <w:r w:rsidR="0094207B">
        <w:rPr>
          <w:rFonts w:ascii="Arial" w:eastAsia="Times New Roman" w:hAnsi="Arial" w:cs="Arial"/>
          <w:b w:val="0"/>
          <w:bCs w:val="0"/>
          <w:kern w:val="0"/>
          <w:sz w:val="22"/>
          <w:szCs w:val="22"/>
        </w:rPr>
        <w:t>’</w:t>
      </w:r>
      <w:r w:rsidRPr="006E1F66">
        <w:rPr>
          <w:rFonts w:ascii="Arial" w:eastAsia="Times New Roman" w:hAnsi="Arial" w:cs="Arial"/>
          <w:b w:val="0"/>
          <w:bCs w:val="0"/>
          <w:kern w:val="0"/>
          <w:sz w:val="22"/>
          <w:szCs w:val="22"/>
        </w:rPr>
        <w:t>s, the guidance for this is clear in</w:t>
      </w:r>
      <w:r w:rsidRPr="0094207B">
        <w:rPr>
          <w:rFonts w:ascii="Arial" w:eastAsia="Times New Roman" w:hAnsi="Arial" w:cs="Arial"/>
          <w:b w:val="0"/>
          <w:bCs w:val="0"/>
          <w:kern w:val="0"/>
          <w:sz w:val="22"/>
          <w:szCs w:val="22"/>
        </w:rPr>
        <w:t xml:space="preserve"> </w:t>
      </w:r>
      <w:r w:rsidRPr="0094207B">
        <w:rPr>
          <w:rFonts w:ascii="Arial" w:eastAsia="Times New Roman" w:hAnsi="Arial" w:cs="Arial"/>
          <w:b w:val="0"/>
          <w:bCs w:val="0"/>
          <w:iCs/>
          <w:kern w:val="0"/>
          <w:sz w:val="22"/>
          <w:szCs w:val="22"/>
        </w:rPr>
        <w:t>Working Together to Safeguard Children</w:t>
      </w:r>
      <w:r w:rsidRPr="006E1F66">
        <w:rPr>
          <w:rFonts w:ascii="Arial" w:eastAsia="Times New Roman" w:hAnsi="Arial" w:cs="Arial"/>
          <w:b w:val="0"/>
          <w:bCs w:val="0"/>
          <w:kern w:val="0"/>
          <w:sz w:val="22"/>
          <w:szCs w:val="22"/>
        </w:rPr>
        <w:t xml:space="preserve"> </w:t>
      </w:r>
      <w:r w:rsidRPr="006E1F66">
        <w:rPr>
          <w:rFonts w:ascii="Arial" w:eastAsia="Times New Roman" w:hAnsi="Arial" w:cs="Arial"/>
          <w:b w:val="0"/>
          <w:bCs w:val="0"/>
          <w:kern w:val="0"/>
          <w:sz w:val="22"/>
          <w:szCs w:val="22"/>
        </w:rPr>
        <w:lastRenderedPageBreak/>
        <w:t>which refers to ACE</w:t>
      </w:r>
      <w:r w:rsidR="0094207B">
        <w:rPr>
          <w:rFonts w:ascii="Arial" w:eastAsia="Times New Roman" w:hAnsi="Arial" w:cs="Arial"/>
          <w:b w:val="0"/>
          <w:bCs w:val="0"/>
          <w:kern w:val="0"/>
          <w:sz w:val="22"/>
          <w:szCs w:val="22"/>
        </w:rPr>
        <w:t>’</w:t>
      </w:r>
      <w:r w:rsidRPr="006E1F66">
        <w:rPr>
          <w:rFonts w:ascii="Arial" w:eastAsia="Times New Roman" w:hAnsi="Arial" w:cs="Arial"/>
          <w:b w:val="0"/>
          <w:bCs w:val="0"/>
          <w:kern w:val="0"/>
          <w:sz w:val="22"/>
          <w:szCs w:val="22"/>
        </w:rPr>
        <w:t xml:space="preserve">s as "potentially traumatic adverse childhood experiences" and states to have </w:t>
      </w:r>
      <w:r w:rsidRPr="0094207B">
        <w:rPr>
          <w:rStyle w:val="Strong"/>
          <w:rFonts w:ascii="Arial" w:hAnsi="Arial" w:cs="Arial"/>
          <w:b w:val="0"/>
          <w:sz w:val="22"/>
          <w:szCs w:val="22"/>
        </w:rPr>
        <w:t>"lasting impact … into adulthood"</w:t>
      </w:r>
      <w:r w:rsidRPr="006E1F66">
        <w:rPr>
          <w:rFonts w:ascii="Arial" w:hAnsi="Arial" w:cs="Arial"/>
          <w:b w:val="0"/>
          <w:bCs w:val="0"/>
          <w:sz w:val="22"/>
          <w:szCs w:val="22"/>
        </w:rPr>
        <w:t>(Department for Educati</w:t>
      </w:r>
      <w:r w:rsidR="0094207B">
        <w:rPr>
          <w:rFonts w:ascii="Arial" w:hAnsi="Arial" w:cs="Arial"/>
          <w:b w:val="0"/>
          <w:bCs w:val="0"/>
          <w:sz w:val="22"/>
          <w:szCs w:val="22"/>
        </w:rPr>
        <w:t>on, 2023</w:t>
      </w:r>
      <w:r w:rsidRPr="006E1F66">
        <w:rPr>
          <w:rFonts w:ascii="Arial" w:hAnsi="Arial" w:cs="Arial"/>
          <w:b w:val="0"/>
          <w:bCs w:val="0"/>
          <w:sz w:val="22"/>
          <w:szCs w:val="22"/>
        </w:rPr>
        <w:t>)</w:t>
      </w:r>
      <w:r w:rsidRPr="006E1F66">
        <w:rPr>
          <w:rFonts w:ascii="Arial" w:eastAsia="Times New Roman" w:hAnsi="Arial" w:cs="Arial"/>
          <w:b w:val="0"/>
          <w:bCs w:val="0"/>
          <w:kern w:val="0"/>
          <w:sz w:val="22"/>
          <w:szCs w:val="22"/>
        </w:rPr>
        <w:t>. It is similar to the main hypothesis of this research that ACE</w:t>
      </w:r>
      <w:r w:rsidR="006A4FA5">
        <w:rPr>
          <w:rFonts w:ascii="Arial" w:eastAsia="Times New Roman" w:hAnsi="Arial" w:cs="Arial"/>
          <w:b w:val="0"/>
          <w:bCs w:val="0"/>
          <w:kern w:val="0"/>
          <w:sz w:val="22"/>
          <w:szCs w:val="22"/>
        </w:rPr>
        <w:t>’</w:t>
      </w:r>
      <w:r w:rsidRPr="006E1F66">
        <w:rPr>
          <w:rFonts w:ascii="Arial" w:eastAsia="Times New Roman" w:hAnsi="Arial" w:cs="Arial"/>
          <w:b w:val="0"/>
          <w:bCs w:val="0"/>
          <w:kern w:val="0"/>
          <w:sz w:val="22"/>
          <w:szCs w:val="22"/>
        </w:rPr>
        <w:t>s are relevant to the childhood health services as well as adult mental health prevention.</w:t>
      </w:r>
    </w:p>
    <w:p w:rsidR="00151380" w:rsidRPr="006A4FA5" w:rsidRDefault="00151380" w:rsidP="00151380">
      <w:pPr>
        <w:pStyle w:val="Heading3"/>
        <w:numPr>
          <w:ilvl w:val="2"/>
          <w:numId w:val="0"/>
        </w:numPr>
        <w:ind w:left="720" w:hanging="720"/>
        <w:rPr>
          <w:rFonts w:ascii="Arial" w:hAnsi="Arial" w:cs="Arial"/>
          <w:b/>
          <w:sz w:val="22"/>
          <w:szCs w:val="22"/>
        </w:rPr>
      </w:pPr>
      <w:r w:rsidRPr="006A4FA5">
        <w:rPr>
          <w:rStyle w:val="Heading3Char"/>
          <w:rFonts w:ascii="Arial" w:hAnsi="Arial" w:cs="Arial"/>
          <w:b/>
          <w:sz w:val="22"/>
          <w:szCs w:val="22"/>
        </w:rPr>
        <w:t>Policy</w:t>
      </w:r>
      <w:r w:rsidRPr="006A4FA5">
        <w:rPr>
          <w:rFonts w:ascii="Arial" w:hAnsi="Arial" w:cs="Arial"/>
          <w:b/>
          <w:sz w:val="22"/>
          <w:szCs w:val="22"/>
        </w:rPr>
        <w:t xml:space="preserve"> and Regulation</w:t>
      </w:r>
    </w:p>
    <w:p w:rsidR="00151380" w:rsidRPr="006E1F66" w:rsidRDefault="00151380" w:rsidP="00151380">
      <w:pPr>
        <w:spacing w:before="240" w:after="240" w:line="360" w:lineRule="auto"/>
        <w:jc w:val="both"/>
        <w:rPr>
          <w:rFonts w:ascii="Arial" w:eastAsia="Times New Roman" w:hAnsi="Arial" w:cs="Arial"/>
          <w:b w:val="0"/>
          <w:bCs w:val="0"/>
          <w:kern w:val="0"/>
          <w:sz w:val="22"/>
          <w:szCs w:val="22"/>
        </w:rPr>
      </w:pPr>
      <w:r w:rsidRPr="006E1F66">
        <w:rPr>
          <w:rFonts w:ascii="Arial" w:eastAsia="Times New Roman" w:hAnsi="Arial" w:cs="Arial"/>
          <w:b w:val="0"/>
          <w:bCs w:val="0"/>
          <w:kern w:val="0"/>
          <w:sz w:val="22"/>
          <w:szCs w:val="22"/>
        </w:rPr>
        <w:t xml:space="preserve">There are three major policies and regulatory frameworks in English at the present moment. They include Suicide Prevention Strategy for England 2023–2028 that has set ambitious targets to reduce suicides and improve support to the youth (DHSC, 2023). The second is NICE NG225 which means evaluation and management of self-harm with focus on psychosocial assessment, therapeutic services and preventive care (NICE, 2022). Third is the pack of directions by NHS related to trauma-informed practices directions which have been derived from the national resources on trauma-informed practices and care about self harm awareness (NHS England, 2025). These policies impact only assessment but also early identification which including risk management and accessibility to support </w:t>
      </w:r>
      <w:r w:rsidR="00530734" w:rsidRPr="006E1F66">
        <w:rPr>
          <w:rFonts w:ascii="Arial" w:eastAsia="Times New Roman" w:hAnsi="Arial" w:cs="Arial"/>
          <w:b w:val="0"/>
          <w:bCs w:val="0"/>
          <w:kern w:val="0"/>
          <w:sz w:val="22"/>
          <w:szCs w:val="22"/>
        </w:rPr>
        <w:t>specifically</w:t>
      </w:r>
      <w:r w:rsidRPr="006E1F66">
        <w:rPr>
          <w:rFonts w:ascii="Arial" w:eastAsia="Times New Roman" w:hAnsi="Arial" w:cs="Arial"/>
          <w:b w:val="0"/>
          <w:bCs w:val="0"/>
          <w:kern w:val="0"/>
          <w:sz w:val="22"/>
          <w:szCs w:val="22"/>
        </w:rPr>
        <w:t xml:space="preserve"> for this age group to seek preventive care. </w:t>
      </w:r>
    </w:p>
    <w:p w:rsidR="00151380" w:rsidRPr="00B02012" w:rsidRDefault="00151380" w:rsidP="00151380">
      <w:pPr>
        <w:pStyle w:val="Heading3"/>
        <w:numPr>
          <w:ilvl w:val="2"/>
          <w:numId w:val="0"/>
        </w:numPr>
        <w:ind w:left="720" w:hanging="720"/>
        <w:rPr>
          <w:rFonts w:ascii="Arial" w:hAnsi="Arial" w:cs="Arial"/>
          <w:b/>
          <w:sz w:val="22"/>
          <w:szCs w:val="22"/>
        </w:rPr>
      </w:pPr>
      <w:r w:rsidRPr="00B02012">
        <w:rPr>
          <w:rFonts w:ascii="Arial" w:hAnsi="Arial" w:cs="Arial"/>
          <w:b/>
          <w:sz w:val="22"/>
          <w:szCs w:val="22"/>
        </w:rPr>
        <w:t xml:space="preserve">Local Pathways </w:t>
      </w:r>
    </w:p>
    <w:p w:rsidR="00151380" w:rsidRPr="006E1F66" w:rsidRDefault="00151380" w:rsidP="00151380">
      <w:pPr>
        <w:spacing w:before="240" w:after="240" w:line="360" w:lineRule="auto"/>
        <w:jc w:val="both"/>
        <w:rPr>
          <w:rFonts w:ascii="Arial" w:eastAsia="Times New Roman" w:hAnsi="Arial" w:cs="Arial"/>
          <w:b w:val="0"/>
          <w:bCs w:val="0"/>
          <w:kern w:val="0"/>
          <w:sz w:val="22"/>
          <w:szCs w:val="22"/>
        </w:rPr>
      </w:pPr>
      <w:r w:rsidRPr="006E1F66">
        <w:rPr>
          <w:rFonts w:ascii="Arial" w:hAnsi="Arial" w:cs="Arial"/>
          <w:b w:val="0"/>
          <w:bCs w:val="0"/>
          <w:sz w:val="22"/>
          <w:szCs w:val="22"/>
        </w:rPr>
        <w:t>On local level, it starts with NHS 111 in England or the people contact their GP for urgent advice with (NHS, 2023) call to 999 or A&amp;E for further help during such crisis wherein A&amp;E refer on to liaison psychiatry or a local crisis team according to the nature of the case (NHS, 2023). Several adults also seek help from NHS Talking Therapies (18+, and 16–17 in some areas) for depression and anxiety or even seek support from community mental health services and other centers such as Samaritans (116 123) offer 24/7 listening support (NHS, 2025; NHS England, n.d.; Samaritans, n.d.).</w:t>
      </w:r>
    </w:p>
    <w:p w:rsidR="00151380" w:rsidRPr="006E1F66" w:rsidRDefault="00151380" w:rsidP="00151380">
      <w:pPr>
        <w:pStyle w:val="Heading2"/>
        <w:numPr>
          <w:ilvl w:val="1"/>
          <w:numId w:val="0"/>
        </w:numPr>
        <w:ind w:left="576" w:hanging="576"/>
        <w:rPr>
          <w:rFonts w:ascii="Arial" w:eastAsia="Times New Roman" w:hAnsi="Arial" w:cs="Arial"/>
          <w:sz w:val="22"/>
          <w:szCs w:val="22"/>
        </w:rPr>
      </w:pPr>
      <w:r w:rsidRPr="00B02012">
        <w:rPr>
          <w:rFonts w:ascii="Arial" w:eastAsia="Times New Roman" w:hAnsi="Arial" w:cs="Arial"/>
          <w:sz w:val="28"/>
          <w:szCs w:val="28"/>
        </w:rPr>
        <w:t>Conclusion</w:t>
      </w:r>
      <w:r w:rsidRPr="006E1F66">
        <w:rPr>
          <w:rFonts w:ascii="Arial" w:eastAsia="Times New Roman" w:hAnsi="Arial" w:cs="Arial"/>
          <w:sz w:val="22"/>
          <w:szCs w:val="22"/>
        </w:rPr>
        <w:t xml:space="preserve"> </w:t>
      </w:r>
    </w:p>
    <w:p w:rsidR="00151380" w:rsidRPr="006E1F66" w:rsidRDefault="00151380" w:rsidP="00151380">
      <w:pPr>
        <w:spacing w:before="240" w:after="240" w:line="360" w:lineRule="auto"/>
        <w:jc w:val="both"/>
        <w:rPr>
          <w:rFonts w:ascii="Arial" w:hAnsi="Arial" w:cs="Arial"/>
          <w:b w:val="0"/>
          <w:bCs w:val="0"/>
          <w:sz w:val="22"/>
          <w:szCs w:val="22"/>
        </w:rPr>
      </w:pPr>
      <w:r w:rsidRPr="006E1F66">
        <w:rPr>
          <w:rFonts w:ascii="Arial" w:hAnsi="Arial" w:cs="Arial"/>
          <w:b w:val="0"/>
          <w:bCs w:val="0"/>
          <w:sz w:val="22"/>
          <w:szCs w:val="22"/>
        </w:rPr>
        <w:t>This chapter provides the background study of the ACE</w:t>
      </w:r>
      <w:r>
        <w:rPr>
          <w:rFonts w:ascii="Arial" w:hAnsi="Arial" w:cs="Arial"/>
          <w:b w:val="0"/>
          <w:bCs w:val="0"/>
          <w:sz w:val="22"/>
          <w:szCs w:val="22"/>
        </w:rPr>
        <w:t>’</w:t>
      </w:r>
      <w:r w:rsidRPr="006E1F66">
        <w:rPr>
          <w:rFonts w:ascii="Arial" w:hAnsi="Arial" w:cs="Arial"/>
          <w:b w:val="0"/>
          <w:bCs w:val="0"/>
          <w:sz w:val="22"/>
          <w:szCs w:val="22"/>
        </w:rPr>
        <w:t>s and their relevance to the young adults aged 18–25 in England with reference to attempts to commit suicide and self-harm. It shows that the public health system, based on evidence, has focused on the ACE</w:t>
      </w:r>
      <w:r>
        <w:rPr>
          <w:rFonts w:ascii="Arial" w:hAnsi="Arial" w:cs="Arial"/>
          <w:b w:val="0"/>
          <w:bCs w:val="0"/>
          <w:sz w:val="22"/>
          <w:szCs w:val="22"/>
        </w:rPr>
        <w:t>’</w:t>
      </w:r>
      <w:r w:rsidRPr="006E1F66">
        <w:rPr>
          <w:rFonts w:ascii="Arial" w:hAnsi="Arial" w:cs="Arial"/>
          <w:b w:val="0"/>
          <w:bCs w:val="0"/>
          <w:sz w:val="22"/>
          <w:szCs w:val="22"/>
        </w:rPr>
        <w:t>s and the issue of suicide and self-harm thoughts have become a topic of health and social care instead of moral judgments. The chapter also discusses theoretical frameworks with critical evaluation of each and model cases with lessons for England and highlights local pathways for the youth in England to seek earlier intervention. It provides guidance for the third chapter about the research method and thematic organization in the coming chapter.</w:t>
      </w:r>
    </w:p>
    <w:p w:rsidR="00151380" w:rsidRPr="00861279" w:rsidRDefault="00151380" w:rsidP="00151380">
      <w:pPr>
        <w:pStyle w:val="Heading2"/>
        <w:numPr>
          <w:ilvl w:val="0"/>
          <w:numId w:val="0"/>
        </w:numPr>
        <w:ind w:left="576" w:hanging="576"/>
        <w:rPr>
          <w:rFonts w:ascii="Arial" w:eastAsia="Times New Roman" w:hAnsi="Arial" w:cs="Arial"/>
          <w:sz w:val="28"/>
          <w:szCs w:val="28"/>
        </w:rPr>
      </w:pPr>
      <w:r w:rsidRPr="00861279">
        <w:rPr>
          <w:rFonts w:ascii="Arial" w:eastAsia="Times New Roman" w:hAnsi="Arial" w:cs="Arial"/>
          <w:sz w:val="28"/>
          <w:szCs w:val="28"/>
        </w:rPr>
        <w:lastRenderedPageBreak/>
        <w:t xml:space="preserve">References </w:t>
      </w:r>
    </w:p>
    <w:p w:rsidR="00151380" w:rsidRPr="006E1F66" w:rsidRDefault="00151380" w:rsidP="00151380">
      <w:pPr>
        <w:rPr>
          <w:rFonts w:ascii="Arial" w:hAnsi="Arial" w:cs="Arial"/>
          <w:sz w:val="22"/>
          <w:szCs w:val="22"/>
        </w:rPr>
      </w:pPr>
    </w:p>
    <w:p w:rsidR="00861279"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Addis, M.E. and Mahalik, J.R. (2003) ‘Men, masculinity, and the contexts of help seeking’, </w:t>
      </w:r>
    </w:p>
    <w:p w:rsidR="00A737B0" w:rsidRDefault="00151380" w:rsidP="00151380">
      <w:pPr>
        <w:pStyle w:val="NormalWeb"/>
        <w:spacing w:line="360" w:lineRule="auto"/>
        <w:ind w:left="720" w:hanging="720"/>
        <w:rPr>
          <w:rFonts w:ascii="Arial" w:hAnsi="Arial" w:cs="Arial"/>
          <w:sz w:val="22"/>
          <w:szCs w:val="22"/>
        </w:rPr>
      </w:pPr>
      <w:r w:rsidRPr="006E1F66">
        <w:rPr>
          <w:rStyle w:val="Emphasis"/>
          <w:rFonts w:ascii="Arial" w:hAnsi="Arial" w:cs="Arial"/>
          <w:sz w:val="22"/>
          <w:szCs w:val="22"/>
        </w:rPr>
        <w:t>American Psychologist</w:t>
      </w:r>
      <w:r w:rsidRPr="006E1F66">
        <w:rPr>
          <w:rFonts w:ascii="Arial" w:hAnsi="Arial" w:cs="Arial"/>
          <w:sz w:val="22"/>
          <w:szCs w:val="22"/>
        </w:rPr>
        <w:t xml:space="preserve">, 58(1), pp. 5–14. </w:t>
      </w:r>
    </w:p>
    <w:p w:rsidR="00151380" w:rsidRDefault="00A737B0" w:rsidP="00151380">
      <w:pPr>
        <w:pStyle w:val="NormalWeb"/>
        <w:spacing w:line="360" w:lineRule="auto"/>
        <w:ind w:left="720" w:hanging="720"/>
        <w:rPr>
          <w:rFonts w:ascii="Arial" w:hAnsi="Arial" w:cs="Arial"/>
          <w:sz w:val="22"/>
          <w:szCs w:val="22"/>
        </w:rPr>
      </w:pPr>
      <w:r>
        <w:rPr>
          <w:rFonts w:ascii="Arial" w:hAnsi="Arial" w:cs="Arial"/>
          <w:sz w:val="22"/>
          <w:szCs w:val="22"/>
        </w:rPr>
        <w:t xml:space="preserve">Available at: </w:t>
      </w:r>
      <w:hyperlink r:id="rId17" w:history="1">
        <w:r w:rsidRPr="001A5390">
          <w:rPr>
            <w:rStyle w:val="Hyperlink"/>
            <w:rFonts w:ascii="Arial" w:hAnsi="Arial" w:cs="Arial"/>
            <w:sz w:val="22"/>
            <w:szCs w:val="22"/>
          </w:rPr>
          <w:t>https://www.doi:10.1037/0003-066X.58.1.5</w:t>
        </w:r>
      </w:hyperlink>
      <w:r>
        <w:rPr>
          <w:rFonts w:ascii="Arial" w:hAnsi="Arial" w:cs="Arial"/>
          <w:sz w:val="22"/>
          <w:szCs w:val="22"/>
        </w:rPr>
        <w:t xml:space="preserve"> (Accessed: 15 March 2026).</w:t>
      </w:r>
    </w:p>
    <w:p w:rsidR="00A737B0" w:rsidRDefault="00151380" w:rsidP="00A737B0">
      <w:pPr>
        <w:pStyle w:val="NormalWeb"/>
        <w:spacing w:line="360" w:lineRule="auto"/>
        <w:rPr>
          <w:rFonts w:ascii="Arial" w:hAnsi="Arial" w:cs="Arial"/>
          <w:sz w:val="22"/>
          <w:szCs w:val="22"/>
        </w:rPr>
      </w:pPr>
      <w:r w:rsidRPr="006E1F66">
        <w:rPr>
          <w:rFonts w:ascii="Arial" w:hAnsi="Arial" w:cs="Arial"/>
          <w:sz w:val="22"/>
          <w:szCs w:val="22"/>
        </w:rPr>
        <w:t xml:space="preserve">Arnett, J.J. (2000) ‘Emerging adulthood: A theory of development from the late teens through the twenties’, </w:t>
      </w:r>
      <w:r w:rsidRPr="006E1F66">
        <w:rPr>
          <w:rStyle w:val="Emphasis"/>
          <w:rFonts w:ascii="Arial" w:hAnsi="Arial" w:cs="Arial"/>
          <w:sz w:val="22"/>
          <w:szCs w:val="22"/>
        </w:rPr>
        <w:t>American Psychologist</w:t>
      </w:r>
      <w:r w:rsidRPr="006E1F66">
        <w:rPr>
          <w:rFonts w:ascii="Arial" w:hAnsi="Arial" w:cs="Arial"/>
          <w:sz w:val="22"/>
          <w:szCs w:val="22"/>
        </w:rPr>
        <w:t>, 55(5), pp. 469–480.</w:t>
      </w:r>
      <w:r w:rsidR="00A737B0">
        <w:rPr>
          <w:rFonts w:ascii="Arial" w:hAnsi="Arial" w:cs="Arial"/>
          <w:sz w:val="22"/>
          <w:szCs w:val="22"/>
        </w:rPr>
        <w:t xml:space="preserve"> </w:t>
      </w:r>
    </w:p>
    <w:p w:rsidR="00151380" w:rsidRDefault="00A737B0" w:rsidP="00A737B0">
      <w:pPr>
        <w:pStyle w:val="NormalWeb"/>
        <w:spacing w:line="360" w:lineRule="auto"/>
        <w:rPr>
          <w:rFonts w:ascii="Arial" w:hAnsi="Arial" w:cs="Arial"/>
          <w:sz w:val="22"/>
          <w:szCs w:val="22"/>
        </w:rPr>
      </w:pPr>
      <w:r>
        <w:rPr>
          <w:rFonts w:ascii="Arial" w:hAnsi="Arial" w:cs="Arial"/>
          <w:sz w:val="22"/>
          <w:szCs w:val="22"/>
        </w:rPr>
        <w:t xml:space="preserve">Available at: </w:t>
      </w:r>
      <w:hyperlink r:id="rId18" w:history="1">
        <w:r w:rsidRPr="001A5390">
          <w:rPr>
            <w:rStyle w:val="Hyperlink"/>
            <w:rFonts w:ascii="Arial" w:hAnsi="Arial" w:cs="Arial"/>
            <w:sz w:val="22"/>
            <w:szCs w:val="22"/>
          </w:rPr>
          <w:t>https://www.doi:10.1037/0003-066X.55.5.469</w:t>
        </w:r>
      </w:hyperlink>
      <w:r>
        <w:rPr>
          <w:rFonts w:ascii="Arial" w:hAnsi="Arial" w:cs="Arial"/>
          <w:sz w:val="22"/>
          <w:szCs w:val="22"/>
        </w:rPr>
        <w:t xml:space="preserve"> (Accessed: 15 March 2026).</w:t>
      </w:r>
    </w:p>
    <w:p w:rsidR="00A737B0" w:rsidRDefault="00151380" w:rsidP="00CE6F94">
      <w:pPr>
        <w:pStyle w:val="NormalWeb"/>
        <w:spacing w:line="360" w:lineRule="auto"/>
        <w:rPr>
          <w:rFonts w:ascii="Arial" w:hAnsi="Arial" w:cs="Arial"/>
          <w:sz w:val="22"/>
          <w:szCs w:val="22"/>
        </w:rPr>
      </w:pPr>
      <w:r w:rsidRPr="006E1F66">
        <w:rPr>
          <w:rFonts w:ascii="Arial" w:hAnsi="Arial" w:cs="Arial"/>
          <w:sz w:val="22"/>
          <w:szCs w:val="22"/>
        </w:rPr>
        <w:t xml:space="preserve">Bellis, M.A., Lowey, H., Leckenby, N., Hughes, K. and Harrison, D. (2014) ‘Adverse childhood </w:t>
      </w:r>
    </w:p>
    <w:p w:rsidR="00A737B0"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experiences: retrospective study to determine their impact on adult health behaviours and </w:t>
      </w:r>
    </w:p>
    <w:p w:rsidR="00A737B0"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health outcomes in a UK population’, </w:t>
      </w:r>
      <w:r w:rsidRPr="006E1F66">
        <w:rPr>
          <w:rStyle w:val="Emphasis"/>
          <w:rFonts w:ascii="Arial" w:hAnsi="Arial" w:cs="Arial"/>
          <w:sz w:val="22"/>
          <w:szCs w:val="22"/>
        </w:rPr>
        <w:t>BMC Medicine</w:t>
      </w:r>
      <w:r w:rsidRPr="006E1F66">
        <w:rPr>
          <w:rFonts w:ascii="Arial" w:hAnsi="Arial" w:cs="Arial"/>
          <w:sz w:val="22"/>
          <w:szCs w:val="22"/>
        </w:rPr>
        <w:t>, 12, Article 72.</w:t>
      </w:r>
      <w:r w:rsidR="00A737B0">
        <w:rPr>
          <w:rFonts w:ascii="Arial" w:hAnsi="Arial" w:cs="Arial"/>
          <w:sz w:val="22"/>
          <w:szCs w:val="22"/>
        </w:rPr>
        <w:t xml:space="preserve"> </w:t>
      </w:r>
    </w:p>
    <w:p w:rsidR="00151380" w:rsidRPr="006E1F66" w:rsidRDefault="00A737B0" w:rsidP="00A737B0">
      <w:pPr>
        <w:pStyle w:val="NormalWeb"/>
        <w:spacing w:line="360" w:lineRule="auto"/>
        <w:ind w:left="720" w:hanging="720"/>
        <w:rPr>
          <w:rFonts w:ascii="Arial" w:hAnsi="Arial" w:cs="Arial"/>
          <w:sz w:val="22"/>
          <w:szCs w:val="22"/>
        </w:rPr>
      </w:pPr>
      <w:r>
        <w:rPr>
          <w:rFonts w:ascii="Arial" w:hAnsi="Arial" w:cs="Arial"/>
          <w:sz w:val="22"/>
          <w:szCs w:val="22"/>
        </w:rPr>
        <w:t xml:space="preserve">Available at: </w:t>
      </w:r>
      <w:hyperlink r:id="rId19" w:history="1">
        <w:r w:rsidRPr="001A5390">
          <w:rPr>
            <w:rStyle w:val="Hyperlink"/>
            <w:rFonts w:ascii="Arial" w:hAnsi="Arial" w:cs="Arial"/>
            <w:sz w:val="22"/>
            <w:szCs w:val="22"/>
          </w:rPr>
          <w:t>https://www.doi:10.1186/1741-7015-12-72</w:t>
        </w:r>
      </w:hyperlink>
      <w:r>
        <w:rPr>
          <w:rFonts w:ascii="Arial" w:hAnsi="Arial" w:cs="Arial"/>
          <w:sz w:val="22"/>
          <w:szCs w:val="22"/>
        </w:rPr>
        <w:t xml:space="preserve"> (Accessed: 15 March 2026).</w:t>
      </w:r>
    </w:p>
    <w:p w:rsidR="00CE6F94"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Bowlby, J. (1988) </w:t>
      </w:r>
      <w:r w:rsidRPr="006E1F66">
        <w:rPr>
          <w:rStyle w:val="Emphasis"/>
          <w:rFonts w:ascii="Arial" w:hAnsi="Arial" w:cs="Arial"/>
          <w:sz w:val="22"/>
          <w:szCs w:val="22"/>
        </w:rPr>
        <w:t>A Secure Base: Parent-Child Attachment and Healthy Human Development</w:t>
      </w:r>
      <w:r w:rsidRPr="006E1F66">
        <w:rPr>
          <w:rFonts w:ascii="Arial" w:hAnsi="Arial" w:cs="Arial"/>
          <w:sz w:val="22"/>
          <w:szCs w:val="22"/>
        </w:rPr>
        <w:t xml:space="preserve">. </w:t>
      </w:r>
    </w:p>
    <w:p w:rsidR="00151380" w:rsidRPr="006E1F66"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New York: Basic Books.</w:t>
      </w:r>
    </w:p>
    <w:p w:rsidR="00761A3B" w:rsidRDefault="00151380" w:rsidP="00151380">
      <w:pPr>
        <w:pStyle w:val="NormalWeb"/>
        <w:spacing w:line="360" w:lineRule="auto"/>
        <w:ind w:left="720" w:hanging="720"/>
        <w:rPr>
          <w:rStyle w:val="Emphasis"/>
          <w:rFonts w:ascii="Arial" w:hAnsi="Arial" w:cs="Arial"/>
          <w:sz w:val="22"/>
          <w:szCs w:val="22"/>
        </w:rPr>
      </w:pPr>
      <w:r w:rsidRPr="006E1F66">
        <w:rPr>
          <w:rFonts w:ascii="Arial" w:hAnsi="Arial" w:cs="Arial"/>
          <w:sz w:val="22"/>
          <w:szCs w:val="22"/>
        </w:rPr>
        <w:t xml:space="preserve">Centers for Disease Control and Prevention (CDC) (2025) </w:t>
      </w:r>
      <w:r w:rsidRPr="006E1F66">
        <w:rPr>
          <w:rStyle w:val="Emphasis"/>
          <w:rFonts w:ascii="Arial" w:hAnsi="Arial" w:cs="Arial"/>
          <w:sz w:val="22"/>
          <w:szCs w:val="22"/>
        </w:rPr>
        <w:t xml:space="preserve">About adverse childhood </w:t>
      </w:r>
    </w:p>
    <w:p w:rsidR="00761A3B" w:rsidRDefault="00151380" w:rsidP="00151380">
      <w:pPr>
        <w:pStyle w:val="NormalWeb"/>
        <w:spacing w:line="360" w:lineRule="auto"/>
        <w:ind w:left="720" w:hanging="720"/>
        <w:rPr>
          <w:rFonts w:ascii="Arial" w:hAnsi="Arial" w:cs="Arial"/>
          <w:sz w:val="22"/>
          <w:szCs w:val="22"/>
        </w:rPr>
      </w:pPr>
      <w:r w:rsidRPr="006E1F66">
        <w:rPr>
          <w:rStyle w:val="Emphasis"/>
          <w:rFonts w:ascii="Arial" w:hAnsi="Arial" w:cs="Arial"/>
          <w:sz w:val="22"/>
          <w:szCs w:val="22"/>
        </w:rPr>
        <w:t>experiences</w:t>
      </w:r>
      <w:r w:rsidRPr="006E1F66">
        <w:rPr>
          <w:rFonts w:ascii="Arial" w:hAnsi="Arial" w:cs="Arial"/>
          <w:sz w:val="22"/>
          <w:szCs w:val="22"/>
        </w:rPr>
        <w:t xml:space="preserve">. Available at: </w:t>
      </w:r>
      <w:hyperlink r:id="rId20" w:history="1">
        <w:r w:rsidRPr="006E1F66">
          <w:rPr>
            <w:rStyle w:val="Hyperlink"/>
            <w:rFonts w:ascii="Arial" w:eastAsiaTheme="majorEastAsia" w:hAnsi="Arial" w:cs="Arial"/>
            <w:sz w:val="22"/>
            <w:szCs w:val="22"/>
          </w:rPr>
          <w:t>https://www.cdc.gov/aces/about/index.html</w:t>
        </w:r>
      </w:hyperlink>
      <w:r w:rsidRPr="006E1F66">
        <w:rPr>
          <w:rFonts w:ascii="Arial" w:hAnsi="Arial" w:cs="Arial"/>
          <w:sz w:val="22"/>
          <w:szCs w:val="22"/>
        </w:rPr>
        <w:t xml:space="preserve"> </w:t>
      </w:r>
    </w:p>
    <w:p w:rsidR="00151380" w:rsidRPr="006E1F66"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(Accessed: 26 February 2026).</w:t>
      </w:r>
    </w:p>
    <w:p w:rsidR="00B92586"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Cronholm, P.F., Forke, C.M., Wade, R., Bair-Merritt, M.H., Davis, M., Harkins-Schwarz, M., </w:t>
      </w:r>
    </w:p>
    <w:p w:rsidR="00B92586"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Pachter, L.M. and Fein, J.A. (2015) ‘Adverse childhood experiences: expanding the concept of </w:t>
      </w:r>
    </w:p>
    <w:p w:rsidR="006252C3"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adversity’, </w:t>
      </w:r>
      <w:r w:rsidRPr="006E1F66">
        <w:rPr>
          <w:rStyle w:val="Emphasis"/>
          <w:rFonts w:ascii="Arial" w:hAnsi="Arial" w:cs="Arial"/>
          <w:sz w:val="22"/>
          <w:szCs w:val="22"/>
        </w:rPr>
        <w:t>American Journal of Preventive Medicine</w:t>
      </w:r>
      <w:r w:rsidRPr="006E1F66">
        <w:rPr>
          <w:rFonts w:ascii="Arial" w:hAnsi="Arial" w:cs="Arial"/>
          <w:sz w:val="22"/>
          <w:szCs w:val="22"/>
        </w:rPr>
        <w:t>, 49(3), pp. 354–361.</w:t>
      </w:r>
      <w:r w:rsidR="00B92586">
        <w:rPr>
          <w:rFonts w:ascii="Arial" w:hAnsi="Arial" w:cs="Arial"/>
          <w:sz w:val="22"/>
          <w:szCs w:val="22"/>
        </w:rPr>
        <w:t xml:space="preserve"> </w:t>
      </w:r>
    </w:p>
    <w:p w:rsidR="00B92586" w:rsidRDefault="00B92586" w:rsidP="00151380">
      <w:pPr>
        <w:pStyle w:val="NormalWeb"/>
        <w:spacing w:line="360" w:lineRule="auto"/>
        <w:ind w:left="720" w:hanging="720"/>
        <w:rPr>
          <w:rFonts w:ascii="Arial" w:hAnsi="Arial" w:cs="Arial"/>
          <w:sz w:val="22"/>
          <w:szCs w:val="22"/>
        </w:rPr>
      </w:pPr>
      <w:r>
        <w:rPr>
          <w:rFonts w:ascii="Arial" w:hAnsi="Arial" w:cs="Arial"/>
          <w:sz w:val="22"/>
          <w:szCs w:val="22"/>
        </w:rPr>
        <w:t xml:space="preserve">Available at: </w:t>
      </w:r>
      <w:hyperlink r:id="rId21" w:history="1">
        <w:r w:rsidRPr="001A5390">
          <w:rPr>
            <w:rStyle w:val="Hyperlink"/>
            <w:rFonts w:ascii="Arial" w:hAnsi="Arial" w:cs="Arial"/>
            <w:sz w:val="22"/>
            <w:szCs w:val="22"/>
          </w:rPr>
          <w:t>https://www.doi:10.1016/j.amepre.2015.02.001</w:t>
        </w:r>
      </w:hyperlink>
      <w:r>
        <w:rPr>
          <w:rFonts w:ascii="Arial" w:hAnsi="Arial" w:cs="Arial"/>
          <w:sz w:val="22"/>
          <w:szCs w:val="22"/>
        </w:rPr>
        <w:t xml:space="preserve"> (Accessed: 15 March 2026).</w:t>
      </w:r>
    </w:p>
    <w:p w:rsidR="00151380" w:rsidRPr="006E1F66" w:rsidRDefault="00151380" w:rsidP="00B92586">
      <w:pPr>
        <w:pStyle w:val="NormalWeb"/>
        <w:spacing w:line="360" w:lineRule="auto"/>
        <w:rPr>
          <w:rFonts w:ascii="Arial" w:hAnsi="Arial" w:cs="Arial"/>
          <w:sz w:val="22"/>
          <w:szCs w:val="22"/>
        </w:rPr>
      </w:pPr>
      <w:r w:rsidRPr="006E1F66">
        <w:rPr>
          <w:rFonts w:ascii="Arial" w:hAnsi="Arial" w:cs="Arial"/>
          <w:sz w:val="22"/>
          <w:szCs w:val="22"/>
        </w:rPr>
        <w:lastRenderedPageBreak/>
        <w:t>D</w:t>
      </w:r>
      <w:r w:rsidR="006252C3">
        <w:rPr>
          <w:rFonts w:ascii="Arial" w:hAnsi="Arial" w:cs="Arial"/>
          <w:sz w:val="22"/>
          <w:szCs w:val="22"/>
        </w:rPr>
        <w:t>epartment for Education</w:t>
      </w:r>
      <w:r w:rsidRPr="006E1F66">
        <w:rPr>
          <w:rFonts w:ascii="Arial" w:hAnsi="Arial" w:cs="Arial"/>
          <w:sz w:val="22"/>
          <w:szCs w:val="22"/>
        </w:rPr>
        <w:t xml:space="preserve"> (2023) </w:t>
      </w:r>
      <w:r w:rsidRPr="006E1F66">
        <w:rPr>
          <w:rStyle w:val="Emphasis"/>
          <w:rFonts w:ascii="Arial" w:hAnsi="Arial" w:cs="Arial"/>
          <w:sz w:val="22"/>
          <w:szCs w:val="22"/>
        </w:rPr>
        <w:t>Working together to safeguard children: statutory guidance</w:t>
      </w:r>
      <w:r w:rsidRPr="006E1F66">
        <w:rPr>
          <w:rFonts w:ascii="Arial" w:hAnsi="Arial" w:cs="Arial"/>
          <w:sz w:val="22"/>
          <w:szCs w:val="22"/>
        </w:rPr>
        <w:t xml:space="preserve">. Available at: </w:t>
      </w:r>
      <w:hyperlink r:id="rId22" w:history="1">
        <w:r w:rsidRPr="006E1F66">
          <w:rPr>
            <w:rStyle w:val="Hyperlink"/>
            <w:rFonts w:ascii="Arial" w:eastAsiaTheme="majorEastAsia" w:hAnsi="Arial" w:cs="Arial"/>
            <w:sz w:val="22"/>
            <w:szCs w:val="22"/>
          </w:rPr>
          <w:t>https://assets.publishing.service.gov.uk/media/6849a7b67cba25f610c7db3f/Working_together_to_safeguard_children_2023_-_statutory_guidance.pdf</w:t>
        </w:r>
      </w:hyperlink>
      <w:r w:rsidRPr="006E1F66">
        <w:rPr>
          <w:rFonts w:ascii="Arial" w:hAnsi="Arial" w:cs="Arial"/>
          <w:sz w:val="22"/>
          <w:szCs w:val="22"/>
        </w:rPr>
        <w:t xml:space="preserve"> (Accessed: 26 February 2026).</w:t>
      </w:r>
    </w:p>
    <w:p w:rsidR="006252C3" w:rsidRDefault="00151380" w:rsidP="00151380">
      <w:pPr>
        <w:pStyle w:val="NormalWeb"/>
        <w:spacing w:line="360" w:lineRule="auto"/>
        <w:ind w:left="720" w:hanging="720"/>
        <w:rPr>
          <w:rStyle w:val="Emphasis"/>
          <w:rFonts w:ascii="Arial" w:hAnsi="Arial" w:cs="Arial"/>
          <w:sz w:val="22"/>
          <w:szCs w:val="22"/>
        </w:rPr>
      </w:pPr>
      <w:r w:rsidRPr="006E1F66">
        <w:rPr>
          <w:rFonts w:ascii="Arial" w:hAnsi="Arial" w:cs="Arial"/>
          <w:sz w:val="22"/>
          <w:szCs w:val="22"/>
        </w:rPr>
        <w:t xml:space="preserve">Department of Health and Social Care (DHSC) (2023) </w:t>
      </w:r>
      <w:r w:rsidRPr="006E1F66">
        <w:rPr>
          <w:rStyle w:val="Emphasis"/>
          <w:rFonts w:ascii="Arial" w:hAnsi="Arial" w:cs="Arial"/>
          <w:sz w:val="22"/>
          <w:szCs w:val="22"/>
        </w:rPr>
        <w:t xml:space="preserve">Suicide prevention strategy for England: </w:t>
      </w:r>
    </w:p>
    <w:p w:rsidR="006252C3" w:rsidRDefault="00151380" w:rsidP="00151380">
      <w:pPr>
        <w:pStyle w:val="NormalWeb"/>
        <w:spacing w:line="360" w:lineRule="auto"/>
        <w:ind w:left="720" w:hanging="720"/>
        <w:rPr>
          <w:rFonts w:ascii="Arial" w:hAnsi="Arial" w:cs="Arial"/>
          <w:sz w:val="22"/>
          <w:szCs w:val="22"/>
        </w:rPr>
      </w:pPr>
      <w:r w:rsidRPr="006E1F66">
        <w:rPr>
          <w:rStyle w:val="Emphasis"/>
          <w:rFonts w:ascii="Arial" w:hAnsi="Arial" w:cs="Arial"/>
          <w:sz w:val="22"/>
          <w:szCs w:val="22"/>
        </w:rPr>
        <w:t>2023 to 2028</w:t>
      </w:r>
      <w:r w:rsidRPr="006E1F66">
        <w:rPr>
          <w:rFonts w:ascii="Arial" w:hAnsi="Arial" w:cs="Arial"/>
          <w:sz w:val="22"/>
          <w:szCs w:val="22"/>
        </w:rPr>
        <w:t xml:space="preserve">. </w:t>
      </w:r>
    </w:p>
    <w:p w:rsidR="00151380" w:rsidRPr="006252C3" w:rsidRDefault="00151380" w:rsidP="006252C3">
      <w:pPr>
        <w:pStyle w:val="NormalWeb"/>
        <w:spacing w:line="360" w:lineRule="auto"/>
      </w:pPr>
      <w:r w:rsidRPr="006E1F66">
        <w:rPr>
          <w:rFonts w:ascii="Arial" w:hAnsi="Arial" w:cs="Arial"/>
          <w:sz w:val="22"/>
          <w:szCs w:val="22"/>
        </w:rPr>
        <w:t xml:space="preserve">Available at: </w:t>
      </w:r>
      <w:hyperlink r:id="rId23" w:history="1">
        <w:r w:rsidRPr="006E1F66">
          <w:rPr>
            <w:rStyle w:val="Hyperlink"/>
            <w:rFonts w:ascii="Arial" w:eastAsiaTheme="majorEastAsia" w:hAnsi="Arial" w:cs="Arial"/>
            <w:sz w:val="22"/>
            <w:szCs w:val="22"/>
          </w:rPr>
          <w:t>https://www.gov.uk/government/publications/suicide-prevention-strategy-for-england-2023-to-2028</w:t>
        </w:r>
      </w:hyperlink>
      <w:r w:rsidR="006252C3">
        <w:t xml:space="preserve"> </w:t>
      </w:r>
      <w:r w:rsidRPr="006E1F66">
        <w:rPr>
          <w:rFonts w:ascii="Arial" w:hAnsi="Arial" w:cs="Arial"/>
          <w:sz w:val="22"/>
          <w:szCs w:val="22"/>
        </w:rPr>
        <w:t>(Accessed: 26 February 2026).</w:t>
      </w:r>
    </w:p>
    <w:p w:rsidR="007A08DF"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Felitti, V.J., Anda, R.F., Nordenberg, D., Williamson, D.F., Spitz, A.M., Edwards, V., Koss, M.P. </w:t>
      </w:r>
    </w:p>
    <w:p w:rsidR="007A08DF"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and Marks, J.S. (1998) ‘Relationship of childhood abuse and household dysfunction to many of </w:t>
      </w:r>
    </w:p>
    <w:p w:rsidR="007A08DF"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the leading causes of death in adults: The Adverse Childhood Experiences (ACE) Study’, </w:t>
      </w:r>
    </w:p>
    <w:p w:rsidR="007A08DF" w:rsidRDefault="00151380" w:rsidP="00151380">
      <w:pPr>
        <w:pStyle w:val="NormalWeb"/>
        <w:spacing w:line="360" w:lineRule="auto"/>
        <w:ind w:left="720" w:hanging="720"/>
        <w:rPr>
          <w:rFonts w:ascii="Arial" w:hAnsi="Arial" w:cs="Arial"/>
          <w:sz w:val="22"/>
          <w:szCs w:val="22"/>
        </w:rPr>
      </w:pPr>
      <w:r w:rsidRPr="006E1F66">
        <w:rPr>
          <w:rStyle w:val="Emphasis"/>
          <w:rFonts w:ascii="Arial" w:hAnsi="Arial" w:cs="Arial"/>
          <w:sz w:val="22"/>
          <w:szCs w:val="22"/>
        </w:rPr>
        <w:t>American Journal of Preventive Medicine</w:t>
      </w:r>
      <w:r w:rsidRPr="006E1F66">
        <w:rPr>
          <w:rFonts w:ascii="Arial" w:hAnsi="Arial" w:cs="Arial"/>
          <w:sz w:val="22"/>
          <w:szCs w:val="22"/>
        </w:rPr>
        <w:t>, 14(4), pp. 245–258.</w:t>
      </w:r>
      <w:r w:rsidR="007A08DF">
        <w:rPr>
          <w:rFonts w:ascii="Arial" w:hAnsi="Arial" w:cs="Arial"/>
          <w:sz w:val="22"/>
          <w:szCs w:val="22"/>
        </w:rPr>
        <w:t xml:space="preserve"> </w:t>
      </w:r>
    </w:p>
    <w:p w:rsidR="007A08DF" w:rsidRDefault="007A08DF" w:rsidP="007A08DF">
      <w:pPr>
        <w:pStyle w:val="NormalWeb"/>
        <w:spacing w:line="360" w:lineRule="auto"/>
        <w:ind w:left="720" w:hanging="720"/>
        <w:rPr>
          <w:rFonts w:ascii="Arial" w:hAnsi="Arial" w:cs="Arial"/>
          <w:sz w:val="22"/>
          <w:szCs w:val="22"/>
        </w:rPr>
      </w:pPr>
      <w:r>
        <w:rPr>
          <w:rFonts w:ascii="Arial" w:hAnsi="Arial" w:cs="Arial"/>
          <w:sz w:val="22"/>
          <w:szCs w:val="22"/>
        </w:rPr>
        <w:t xml:space="preserve">Available at: </w:t>
      </w:r>
      <w:hyperlink r:id="rId24" w:history="1">
        <w:r w:rsidRPr="001A5390">
          <w:rPr>
            <w:rStyle w:val="Hyperlink"/>
            <w:rFonts w:ascii="Arial" w:hAnsi="Arial" w:cs="Arial"/>
            <w:sz w:val="22"/>
            <w:szCs w:val="22"/>
          </w:rPr>
          <w:t>https://www.doi:10.1016/S0749-3797(98)00017-8</w:t>
        </w:r>
      </w:hyperlink>
      <w:r>
        <w:rPr>
          <w:rFonts w:ascii="Arial" w:hAnsi="Arial" w:cs="Arial"/>
          <w:sz w:val="22"/>
          <w:szCs w:val="22"/>
        </w:rPr>
        <w:t xml:space="preserve"> (Accessed: 15 March 2026).</w:t>
      </w:r>
    </w:p>
    <w:p w:rsidR="003C7D20" w:rsidRPr="006E1F66" w:rsidRDefault="00151380" w:rsidP="003C7D20">
      <w:pPr>
        <w:pStyle w:val="NormalWeb"/>
        <w:spacing w:line="360" w:lineRule="auto"/>
        <w:rPr>
          <w:rFonts w:ascii="Arial" w:hAnsi="Arial" w:cs="Arial"/>
          <w:sz w:val="22"/>
          <w:szCs w:val="22"/>
        </w:rPr>
      </w:pPr>
      <w:r w:rsidRPr="006E1F66">
        <w:rPr>
          <w:rFonts w:ascii="Arial" w:hAnsi="Arial" w:cs="Arial"/>
          <w:sz w:val="22"/>
          <w:szCs w:val="22"/>
        </w:rPr>
        <w:t xml:space="preserve">Finkelhor, D., Shattuck, A., Turner, H. and Hamby, S. (2015) ‘A revised inventory of adverse childhood experiences’, </w:t>
      </w:r>
      <w:r w:rsidRPr="006E1F66">
        <w:rPr>
          <w:rStyle w:val="Emphasis"/>
          <w:rFonts w:ascii="Arial" w:hAnsi="Arial" w:cs="Arial"/>
          <w:sz w:val="22"/>
          <w:szCs w:val="22"/>
        </w:rPr>
        <w:t>Child Abuse &amp; Neglect</w:t>
      </w:r>
      <w:r w:rsidRPr="006E1F66">
        <w:rPr>
          <w:rFonts w:ascii="Arial" w:hAnsi="Arial" w:cs="Arial"/>
          <w:sz w:val="22"/>
          <w:szCs w:val="22"/>
        </w:rPr>
        <w:t xml:space="preserve">, 48, pp. 13–21. </w:t>
      </w:r>
      <w:r w:rsidR="003C7D20">
        <w:rPr>
          <w:rFonts w:ascii="Arial" w:hAnsi="Arial" w:cs="Arial"/>
          <w:sz w:val="22"/>
          <w:szCs w:val="22"/>
        </w:rPr>
        <w:t xml:space="preserve">Available at: </w:t>
      </w:r>
      <w:hyperlink r:id="rId25" w:history="1">
        <w:r w:rsidR="003C7D20" w:rsidRPr="001A5390">
          <w:rPr>
            <w:rStyle w:val="Hyperlink"/>
            <w:rFonts w:ascii="Arial" w:hAnsi="Arial" w:cs="Arial"/>
            <w:sz w:val="22"/>
            <w:szCs w:val="22"/>
          </w:rPr>
          <w:t>https://www.doi:10.1016/j.chiabu.2015.07.011</w:t>
        </w:r>
      </w:hyperlink>
      <w:r w:rsidR="003C7D20">
        <w:rPr>
          <w:rFonts w:ascii="Arial" w:hAnsi="Arial" w:cs="Arial"/>
          <w:sz w:val="22"/>
          <w:szCs w:val="22"/>
        </w:rPr>
        <w:t xml:space="preserve"> (Accessed: 15 March 2026).</w:t>
      </w:r>
    </w:p>
    <w:p w:rsidR="003C7D20"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Hawton, K., Bergen, H., Cooper, J., Turnbull, P., Waters, K., Ness, J. and Kapur, N. (2015) </w:t>
      </w:r>
    </w:p>
    <w:p w:rsidR="003C7D20"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‘Suicide following self-harm: Findings from the Multicentre Study of Self-harm in England, 2000–</w:t>
      </w:r>
    </w:p>
    <w:p w:rsidR="003C7D20"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2012’, </w:t>
      </w:r>
      <w:r w:rsidRPr="006E1F66">
        <w:rPr>
          <w:rStyle w:val="Emphasis"/>
          <w:rFonts w:ascii="Arial" w:hAnsi="Arial" w:cs="Arial"/>
          <w:sz w:val="22"/>
          <w:szCs w:val="22"/>
        </w:rPr>
        <w:t>Journal of Affective Disorders</w:t>
      </w:r>
      <w:r w:rsidRPr="006E1F66">
        <w:rPr>
          <w:rFonts w:ascii="Arial" w:hAnsi="Arial" w:cs="Arial"/>
          <w:sz w:val="22"/>
          <w:szCs w:val="22"/>
        </w:rPr>
        <w:t xml:space="preserve">, 175, pp. 147–151. </w:t>
      </w:r>
    </w:p>
    <w:p w:rsidR="003C7D20" w:rsidRPr="006E1F66" w:rsidRDefault="003C7D20" w:rsidP="003C7D20">
      <w:pPr>
        <w:pStyle w:val="NormalWeb"/>
        <w:spacing w:line="360" w:lineRule="auto"/>
        <w:ind w:left="720" w:hanging="720"/>
        <w:rPr>
          <w:rFonts w:ascii="Arial" w:hAnsi="Arial" w:cs="Arial"/>
          <w:sz w:val="22"/>
          <w:szCs w:val="22"/>
        </w:rPr>
      </w:pPr>
      <w:r>
        <w:rPr>
          <w:rFonts w:ascii="Arial" w:hAnsi="Arial" w:cs="Arial"/>
          <w:sz w:val="22"/>
          <w:szCs w:val="22"/>
        </w:rPr>
        <w:t xml:space="preserve">Available at: </w:t>
      </w:r>
      <w:hyperlink r:id="rId26" w:history="1">
        <w:r w:rsidRPr="001A5390">
          <w:rPr>
            <w:rStyle w:val="Hyperlink"/>
            <w:rFonts w:ascii="Arial" w:hAnsi="Arial" w:cs="Arial"/>
            <w:sz w:val="22"/>
            <w:szCs w:val="22"/>
          </w:rPr>
          <w:t>https://www.doi:10.1016/j.jad.2014.12.062</w:t>
        </w:r>
      </w:hyperlink>
      <w:r>
        <w:rPr>
          <w:rFonts w:ascii="Arial" w:hAnsi="Arial" w:cs="Arial"/>
          <w:sz w:val="22"/>
          <w:szCs w:val="22"/>
        </w:rPr>
        <w:t xml:space="preserve"> (Accessed: 15 March 2026).</w:t>
      </w:r>
    </w:p>
    <w:p w:rsidR="0009182C"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House of Commons Library (2026) </w:t>
      </w:r>
      <w:r w:rsidRPr="006E1F66">
        <w:rPr>
          <w:rStyle w:val="Emphasis"/>
          <w:rFonts w:ascii="Arial" w:hAnsi="Arial" w:cs="Arial"/>
          <w:sz w:val="22"/>
          <w:szCs w:val="22"/>
        </w:rPr>
        <w:t>Suicide statistics</w:t>
      </w:r>
      <w:r w:rsidRPr="006E1F66">
        <w:rPr>
          <w:rFonts w:ascii="Arial" w:hAnsi="Arial" w:cs="Arial"/>
          <w:sz w:val="22"/>
          <w:szCs w:val="22"/>
        </w:rPr>
        <w:t xml:space="preserve">. Research Briefing CBP-7749, 8 January. </w:t>
      </w:r>
    </w:p>
    <w:p w:rsidR="0009182C"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t xml:space="preserve">Available at: </w:t>
      </w:r>
      <w:hyperlink r:id="rId27" w:history="1">
        <w:r w:rsidRPr="006E1F66">
          <w:rPr>
            <w:rStyle w:val="Hyperlink"/>
            <w:rFonts w:ascii="Arial" w:eastAsiaTheme="majorEastAsia" w:hAnsi="Arial" w:cs="Arial"/>
            <w:sz w:val="22"/>
            <w:szCs w:val="22"/>
          </w:rPr>
          <w:t>https://researchbriefings.files.parliament.uk/documents/CBP-7749/CBP-7749.pdf</w:t>
        </w:r>
      </w:hyperlink>
      <w:r w:rsidRPr="006E1F66">
        <w:rPr>
          <w:rFonts w:ascii="Arial" w:hAnsi="Arial" w:cs="Arial"/>
          <w:sz w:val="22"/>
          <w:szCs w:val="22"/>
        </w:rPr>
        <w:t xml:space="preserve"> </w:t>
      </w:r>
    </w:p>
    <w:p w:rsidR="00151380" w:rsidRPr="006E1F66" w:rsidRDefault="00151380" w:rsidP="00151380">
      <w:pPr>
        <w:pStyle w:val="NormalWeb"/>
        <w:spacing w:line="360" w:lineRule="auto"/>
        <w:ind w:left="720" w:hanging="720"/>
        <w:rPr>
          <w:rFonts w:ascii="Arial" w:hAnsi="Arial" w:cs="Arial"/>
          <w:sz w:val="22"/>
          <w:szCs w:val="22"/>
        </w:rPr>
      </w:pPr>
      <w:r w:rsidRPr="006E1F66">
        <w:rPr>
          <w:rFonts w:ascii="Arial" w:hAnsi="Arial" w:cs="Arial"/>
          <w:sz w:val="22"/>
          <w:szCs w:val="22"/>
        </w:rPr>
        <w:lastRenderedPageBreak/>
        <w:t>(Accessed: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Hughes, K., Bellis, M.A., Hardcastle, K.A., Sethi, D., Butchart, A., Mikton, C., Jones, L. and Dunne, M.P. (2017) ‘The effect of multiple adverse childhood experiences on health: a systematic review and meta-analysis’, </w:t>
      </w:r>
      <w:r w:rsidRPr="006E1F66">
        <w:rPr>
          <w:rStyle w:val="Emphasis"/>
          <w:rFonts w:ascii="Arial" w:hAnsi="Arial" w:cs="Arial"/>
          <w:sz w:val="22"/>
          <w:szCs w:val="22"/>
        </w:rPr>
        <w:t>The Lancet Public Health</w:t>
      </w:r>
      <w:r w:rsidRPr="006E1F66">
        <w:rPr>
          <w:rFonts w:ascii="Arial" w:hAnsi="Arial" w:cs="Arial"/>
          <w:sz w:val="22"/>
          <w:szCs w:val="22"/>
        </w:rPr>
        <w:t>, 2(8), pp. e356–e366. doi:10.1016/S2468-2667(17)30118-4.</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Hughes, K., Ford, K., Kadel, R., Sharp, C.A. and Bellis, M.A. (2020) ‘Health and financial burden of adverse childhood experiences in England and Wales: a combined primary data study of five surveys’, </w:t>
      </w:r>
      <w:r w:rsidRPr="006E1F66">
        <w:rPr>
          <w:rStyle w:val="Emphasis"/>
          <w:rFonts w:ascii="Arial" w:hAnsi="Arial" w:cs="Arial"/>
          <w:sz w:val="22"/>
          <w:szCs w:val="22"/>
        </w:rPr>
        <w:t>BMJ Open</w:t>
      </w:r>
      <w:r w:rsidRPr="006E1F66">
        <w:rPr>
          <w:rFonts w:ascii="Arial" w:hAnsi="Arial" w:cs="Arial"/>
          <w:sz w:val="22"/>
          <w:szCs w:val="22"/>
        </w:rPr>
        <w:t>, 10(6), e036374. doi:10.1136/bmjopen-2019-036374.</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Mathias, S., Tee, K., Helfrich, W., Gerty, K., Chan, G. and Barbic, S.P. (2022) ‘Foundry: Early learnings from the implementation of an integrated youth service network’, </w:t>
      </w:r>
      <w:r w:rsidRPr="006E1F66">
        <w:rPr>
          <w:rStyle w:val="Emphasis"/>
          <w:rFonts w:ascii="Arial" w:hAnsi="Arial" w:cs="Arial"/>
          <w:sz w:val="22"/>
          <w:szCs w:val="22"/>
        </w:rPr>
        <w:t>Early Intervention in Psychiatry</w:t>
      </w:r>
      <w:r w:rsidRPr="006E1F66">
        <w:rPr>
          <w:rFonts w:ascii="Arial" w:hAnsi="Arial" w:cs="Arial"/>
          <w:sz w:val="22"/>
          <w:szCs w:val="22"/>
        </w:rPr>
        <w:t>, 16(4), pp. 410–418. doi:10.1111/eip.13181.</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McEwen, B.S. (1998) ‘Stress, adaptation, and disease: Allostasis and allostatic load’, </w:t>
      </w:r>
      <w:r w:rsidRPr="006E1F66">
        <w:rPr>
          <w:rStyle w:val="Emphasis"/>
          <w:rFonts w:ascii="Arial" w:hAnsi="Arial" w:cs="Arial"/>
          <w:sz w:val="22"/>
          <w:szCs w:val="22"/>
        </w:rPr>
        <w:t>Annals of the New York Academy of Sciences</w:t>
      </w:r>
      <w:r w:rsidRPr="006E1F66">
        <w:rPr>
          <w:rFonts w:ascii="Arial" w:hAnsi="Arial" w:cs="Arial"/>
          <w:sz w:val="22"/>
          <w:szCs w:val="22"/>
        </w:rPr>
        <w:t>, 840, pp. 33–44. doi:10.1111/j.1749-6632.1998.tb09546.x.</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National Association of County and City Health Officials (NACCHO) (2021) </w:t>
      </w:r>
      <w:r w:rsidRPr="006E1F66">
        <w:rPr>
          <w:rStyle w:val="Emphasis"/>
          <w:rFonts w:ascii="Arial" w:hAnsi="Arial" w:cs="Arial"/>
          <w:sz w:val="22"/>
          <w:szCs w:val="22"/>
        </w:rPr>
        <w:t>Suicide, overdose, and adverse childhood experiences during the COVID-19 pandemic: A primer for local health departments</w:t>
      </w:r>
      <w:r w:rsidRPr="006E1F66">
        <w:rPr>
          <w:rFonts w:ascii="Arial" w:hAnsi="Arial" w:cs="Arial"/>
          <w:sz w:val="22"/>
          <w:szCs w:val="22"/>
        </w:rPr>
        <w:t xml:space="preserve"> (Issue brief). Available at: </w:t>
      </w:r>
      <w:hyperlink r:id="rId28" w:history="1">
        <w:r w:rsidRPr="006E1F66">
          <w:rPr>
            <w:rStyle w:val="Hyperlink"/>
            <w:rFonts w:ascii="Arial" w:eastAsiaTheme="majorEastAsia" w:hAnsi="Arial" w:cs="Arial"/>
            <w:sz w:val="22"/>
            <w:szCs w:val="22"/>
          </w:rPr>
          <w:t>https://www.naccho.org/uploads/downloadable-resources/SPACECAT_Issue-Brief_Final_LINK.pdf</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National Institute for Health and Care Excellence (NICE) (2022) </w:t>
      </w:r>
      <w:r w:rsidRPr="006E1F66">
        <w:rPr>
          <w:rStyle w:val="Emphasis"/>
          <w:rFonts w:ascii="Arial" w:hAnsi="Arial" w:cs="Arial"/>
          <w:sz w:val="22"/>
          <w:szCs w:val="22"/>
        </w:rPr>
        <w:t>Self-harm: assessment, management and preventing recurrence (NG225)</w:t>
      </w:r>
      <w:r w:rsidRPr="006E1F66">
        <w:rPr>
          <w:rFonts w:ascii="Arial" w:hAnsi="Arial" w:cs="Arial"/>
          <w:sz w:val="22"/>
          <w:szCs w:val="22"/>
        </w:rPr>
        <w:t xml:space="preserve">. Available at: </w:t>
      </w:r>
      <w:hyperlink r:id="rId29" w:history="1">
        <w:r w:rsidRPr="006E1F66">
          <w:rPr>
            <w:rStyle w:val="Hyperlink"/>
            <w:rFonts w:ascii="Arial" w:eastAsiaTheme="majorEastAsia" w:hAnsi="Arial" w:cs="Arial"/>
            <w:sz w:val="22"/>
            <w:szCs w:val="22"/>
          </w:rPr>
          <w:t>https://www.nice.org.uk/guidance/ng225</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NHS (2023) </w:t>
      </w:r>
      <w:r w:rsidRPr="006E1F66">
        <w:rPr>
          <w:rStyle w:val="Emphasis"/>
          <w:rFonts w:ascii="Arial" w:hAnsi="Arial" w:cs="Arial"/>
          <w:sz w:val="22"/>
          <w:szCs w:val="22"/>
        </w:rPr>
        <w:t>Where to get urgent help for mental health</w:t>
      </w:r>
      <w:r w:rsidRPr="006E1F66">
        <w:rPr>
          <w:rFonts w:ascii="Arial" w:hAnsi="Arial" w:cs="Arial"/>
          <w:sz w:val="22"/>
          <w:szCs w:val="22"/>
        </w:rPr>
        <w:t xml:space="preserve">. Available at: </w:t>
      </w:r>
      <w:hyperlink r:id="rId30" w:history="1">
        <w:r w:rsidRPr="006E1F66">
          <w:rPr>
            <w:rStyle w:val="Hyperlink"/>
            <w:rFonts w:ascii="Arial" w:eastAsiaTheme="majorEastAsia" w:hAnsi="Arial" w:cs="Arial"/>
            <w:sz w:val="22"/>
            <w:szCs w:val="22"/>
          </w:rPr>
          <w:t>https://www.nhs.uk/nhs-services/mental-health-services/where-to-get-urgent-help-for-mental-health/</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NHS (2025) </w:t>
      </w:r>
      <w:r w:rsidRPr="006E1F66">
        <w:rPr>
          <w:rStyle w:val="Emphasis"/>
          <w:rFonts w:ascii="Arial" w:hAnsi="Arial" w:cs="Arial"/>
          <w:sz w:val="22"/>
          <w:szCs w:val="22"/>
        </w:rPr>
        <w:t>Talking therapies</w:t>
      </w:r>
      <w:r w:rsidRPr="006E1F66">
        <w:rPr>
          <w:rFonts w:ascii="Arial" w:hAnsi="Arial" w:cs="Arial"/>
          <w:sz w:val="22"/>
          <w:szCs w:val="22"/>
        </w:rPr>
        <w:t xml:space="preserve">. Available at: </w:t>
      </w:r>
      <w:hyperlink r:id="rId31" w:history="1">
        <w:r w:rsidRPr="006E1F66">
          <w:rPr>
            <w:rStyle w:val="Hyperlink"/>
            <w:rFonts w:ascii="Arial" w:eastAsiaTheme="majorEastAsia" w:hAnsi="Arial" w:cs="Arial"/>
            <w:sz w:val="22"/>
            <w:szCs w:val="22"/>
          </w:rPr>
          <w:t>https://www.nhs.uk/tests-and-treatments/talking-therapies/</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NHS Digital (2025) </w:t>
      </w:r>
      <w:r w:rsidRPr="006E1F66">
        <w:rPr>
          <w:rStyle w:val="Emphasis"/>
          <w:rFonts w:ascii="Arial" w:hAnsi="Arial" w:cs="Arial"/>
          <w:sz w:val="22"/>
          <w:szCs w:val="22"/>
        </w:rPr>
        <w:t>Survey of Mental Health and Wellbeing, England, 2023/24: Suicidal thoughts, suicide attempts and self-harm</w:t>
      </w:r>
      <w:r w:rsidRPr="006E1F66">
        <w:rPr>
          <w:rFonts w:ascii="Arial" w:hAnsi="Arial" w:cs="Arial"/>
          <w:sz w:val="22"/>
          <w:szCs w:val="22"/>
        </w:rPr>
        <w:t xml:space="preserve">. Available at: </w:t>
      </w:r>
      <w:hyperlink r:id="rId32" w:history="1">
        <w:r w:rsidRPr="006E1F66">
          <w:rPr>
            <w:rStyle w:val="Hyperlink"/>
            <w:rFonts w:ascii="Arial" w:eastAsiaTheme="majorEastAsia" w:hAnsi="Arial" w:cs="Arial"/>
            <w:sz w:val="22"/>
            <w:szCs w:val="22"/>
          </w:rPr>
          <w:t>https://digital.nhs.uk/data-and-</w:t>
        </w:r>
        <w:r w:rsidRPr="006E1F66">
          <w:rPr>
            <w:rStyle w:val="Hyperlink"/>
            <w:rFonts w:ascii="Arial" w:eastAsiaTheme="majorEastAsia" w:hAnsi="Arial" w:cs="Arial"/>
            <w:sz w:val="22"/>
            <w:szCs w:val="22"/>
          </w:rPr>
          <w:lastRenderedPageBreak/>
          <w:t>information/publications/statistical/adult-psychiatric-morbidity-survey/survey-of-mental-health-and-wellbeing-england-2023-24/suicidal-thoughts-suicide-attempts-and-self-harm</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NHS England (2025) </w:t>
      </w:r>
      <w:r w:rsidRPr="006E1F66">
        <w:rPr>
          <w:rStyle w:val="Emphasis"/>
          <w:rFonts w:ascii="Arial" w:hAnsi="Arial" w:cs="Arial"/>
          <w:sz w:val="22"/>
          <w:szCs w:val="22"/>
        </w:rPr>
        <w:t>Trauma-informed and harm-aware inpatient care</w:t>
      </w:r>
      <w:r w:rsidRPr="006E1F66">
        <w:rPr>
          <w:rFonts w:ascii="Arial" w:hAnsi="Arial" w:cs="Arial"/>
          <w:sz w:val="22"/>
          <w:szCs w:val="22"/>
        </w:rPr>
        <w:t xml:space="preserve">. Available at: </w:t>
      </w:r>
      <w:hyperlink r:id="rId33" w:history="1">
        <w:r w:rsidRPr="006E1F66">
          <w:rPr>
            <w:rStyle w:val="Hyperlink"/>
            <w:rFonts w:ascii="Arial" w:eastAsiaTheme="majorEastAsia" w:hAnsi="Arial" w:cs="Arial"/>
            <w:sz w:val="22"/>
            <w:szCs w:val="22"/>
          </w:rPr>
          <w:t>https://www.england.nhs.uk/long-read/trauma-informed-harm-aware-inpatient-care/</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NHS England (n.d.) </w:t>
      </w:r>
      <w:r w:rsidRPr="006E1F66">
        <w:rPr>
          <w:rStyle w:val="Emphasis"/>
          <w:rFonts w:ascii="Arial" w:hAnsi="Arial" w:cs="Arial"/>
          <w:sz w:val="22"/>
          <w:szCs w:val="22"/>
        </w:rPr>
        <w:t>Community mental health services</w:t>
      </w:r>
      <w:r w:rsidRPr="006E1F66">
        <w:rPr>
          <w:rFonts w:ascii="Arial" w:hAnsi="Arial" w:cs="Arial"/>
          <w:sz w:val="22"/>
          <w:szCs w:val="22"/>
        </w:rPr>
        <w:t xml:space="preserve">. Available at: </w:t>
      </w:r>
      <w:hyperlink r:id="rId34" w:history="1">
        <w:r w:rsidRPr="006E1F66">
          <w:rPr>
            <w:rStyle w:val="Hyperlink"/>
            <w:rFonts w:ascii="Arial" w:eastAsiaTheme="majorEastAsia" w:hAnsi="Arial" w:cs="Arial"/>
            <w:sz w:val="22"/>
            <w:szCs w:val="22"/>
          </w:rPr>
          <w:t>https://www.england.nhs.uk/mental-health/adults/cmhs/</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O’Connor, R.C. (2011) ‘The integrated motivational–volitional model of suicidal behaviour’, </w:t>
      </w:r>
      <w:r w:rsidRPr="006E1F66">
        <w:rPr>
          <w:rStyle w:val="Emphasis"/>
          <w:rFonts w:ascii="Arial" w:hAnsi="Arial" w:cs="Arial"/>
          <w:sz w:val="22"/>
          <w:szCs w:val="22"/>
        </w:rPr>
        <w:t>Crisis</w:t>
      </w:r>
      <w:r w:rsidRPr="006E1F66">
        <w:rPr>
          <w:rFonts w:ascii="Arial" w:hAnsi="Arial" w:cs="Arial"/>
          <w:sz w:val="22"/>
          <w:szCs w:val="22"/>
        </w:rPr>
        <w:t>, 32(6), pp. 295–298. doi:10.1027/0227-5910/a000120.</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O’Connor, R.C. and Kirtley, O.J. (2018) ‘The integrated motivational–volitional model of suicidal behaviour’, </w:t>
      </w:r>
      <w:r w:rsidRPr="006E1F66">
        <w:rPr>
          <w:rStyle w:val="Emphasis"/>
          <w:rFonts w:ascii="Arial" w:hAnsi="Arial" w:cs="Arial"/>
          <w:sz w:val="22"/>
          <w:szCs w:val="22"/>
        </w:rPr>
        <w:t>Philosophical Transactions of the Royal Society B: Biological Sciences</w:t>
      </w:r>
      <w:r w:rsidRPr="006E1F66">
        <w:rPr>
          <w:rFonts w:ascii="Arial" w:hAnsi="Arial" w:cs="Arial"/>
          <w:sz w:val="22"/>
          <w:szCs w:val="22"/>
        </w:rPr>
        <w:t>, 373(1754), 20170268. doi:10.1098/rstb.2017.0268.</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O’Connor, R.C. and Nock, M.K. (2014) ‘The psychology of suicidal behaviour’, </w:t>
      </w:r>
      <w:r w:rsidRPr="006E1F66">
        <w:rPr>
          <w:rStyle w:val="Emphasis"/>
          <w:rFonts w:ascii="Arial" w:hAnsi="Arial" w:cs="Arial"/>
          <w:sz w:val="22"/>
          <w:szCs w:val="22"/>
        </w:rPr>
        <w:t>The Lancet Psychiatry</w:t>
      </w:r>
      <w:r w:rsidRPr="006E1F66">
        <w:rPr>
          <w:rFonts w:ascii="Arial" w:hAnsi="Arial" w:cs="Arial"/>
          <w:sz w:val="22"/>
          <w:szCs w:val="22"/>
        </w:rPr>
        <w:t>, 1(1), pp. 73–85. doi:10.1016/S2215-0366(14)70222-6.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Office for National Statistics (ONS) (2025) </w:t>
      </w:r>
      <w:r w:rsidRPr="006E1F66">
        <w:rPr>
          <w:rStyle w:val="Emphasis"/>
          <w:rFonts w:ascii="Arial" w:hAnsi="Arial" w:cs="Arial"/>
          <w:sz w:val="22"/>
          <w:szCs w:val="22"/>
        </w:rPr>
        <w:t>Suicides in England and Wales: 1981 to 2024 (2024 registrations)</w:t>
      </w:r>
      <w:r w:rsidRPr="006E1F66">
        <w:rPr>
          <w:rFonts w:ascii="Arial" w:hAnsi="Arial" w:cs="Arial"/>
          <w:sz w:val="22"/>
          <w:szCs w:val="22"/>
        </w:rPr>
        <w:t xml:space="preserve">. Available at: </w:t>
      </w:r>
      <w:hyperlink r:id="rId35" w:history="1">
        <w:r w:rsidRPr="006E1F66">
          <w:rPr>
            <w:rStyle w:val="Hyperlink"/>
            <w:rFonts w:ascii="Arial" w:eastAsiaTheme="majorEastAsia" w:hAnsi="Arial" w:cs="Arial"/>
            <w:sz w:val="22"/>
            <w:szCs w:val="22"/>
          </w:rPr>
          <w:t>https://www.ons.gov.uk/peoplepopulationandcommunity/birthsdeathsandmarriages/deaths/bulletins/suicidesintheunitedkingdom/2024registrations</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O’Reilly, A., O’Brien, G., Moore, J., Duffy, J., Longmore, P., Cullinan, S. and McGrory, S. (2022) ‘Evolution of Jigsaw – a national youth mental health service’, </w:t>
      </w:r>
      <w:r w:rsidRPr="006E1F66">
        <w:rPr>
          <w:rStyle w:val="Emphasis"/>
          <w:rFonts w:ascii="Arial" w:hAnsi="Arial" w:cs="Arial"/>
          <w:sz w:val="22"/>
          <w:szCs w:val="22"/>
        </w:rPr>
        <w:t>Early Intervention in Psychiatry</w:t>
      </w:r>
      <w:r w:rsidRPr="006E1F66">
        <w:rPr>
          <w:rFonts w:ascii="Arial" w:hAnsi="Arial" w:cs="Arial"/>
          <w:sz w:val="22"/>
          <w:szCs w:val="22"/>
        </w:rPr>
        <w:t>. doi:10.1111/eip.13218.</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Parsons, T. (1942) </w:t>
      </w:r>
      <w:r w:rsidRPr="006E1F66">
        <w:rPr>
          <w:rStyle w:val="Emphasis"/>
          <w:rFonts w:ascii="Arial" w:hAnsi="Arial" w:cs="Arial"/>
          <w:sz w:val="22"/>
          <w:szCs w:val="22"/>
        </w:rPr>
        <w:t>Age and sex in the social structure of the United States</w:t>
      </w:r>
      <w:r w:rsidRPr="006E1F66">
        <w:rPr>
          <w:rFonts w:ascii="Arial" w:hAnsi="Arial" w:cs="Arial"/>
          <w:sz w:val="22"/>
          <w:szCs w:val="22"/>
        </w:rPr>
        <w:t xml:space="preserve">, </w:t>
      </w:r>
      <w:r w:rsidRPr="006E1F66">
        <w:rPr>
          <w:rStyle w:val="Emphasis"/>
          <w:rFonts w:ascii="Arial" w:hAnsi="Arial" w:cs="Arial"/>
          <w:sz w:val="22"/>
          <w:szCs w:val="22"/>
        </w:rPr>
        <w:t>American Sociological Review</w:t>
      </w:r>
      <w:r w:rsidRPr="006E1F66">
        <w:rPr>
          <w:rFonts w:ascii="Arial" w:hAnsi="Arial" w:cs="Arial"/>
          <w:sz w:val="22"/>
          <w:szCs w:val="22"/>
        </w:rPr>
        <w:t>, 7(5), pp. 604–616.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Rickwood, D.J., McEachran, J., Saw, A., Telford, N., Trethowan, J. and McGorry, P. (2023) ‘Sixteen years of innovation in youth mental healthcare: Outcomes for young people attending </w:t>
      </w:r>
      <w:r w:rsidRPr="006E1F66">
        <w:rPr>
          <w:rFonts w:ascii="Arial" w:hAnsi="Arial" w:cs="Arial"/>
          <w:sz w:val="22"/>
          <w:szCs w:val="22"/>
        </w:rPr>
        <w:lastRenderedPageBreak/>
        <w:t xml:space="preserve">Australia’s headspace centre services’, </w:t>
      </w:r>
      <w:r w:rsidRPr="006E1F66">
        <w:rPr>
          <w:rStyle w:val="Emphasis"/>
          <w:rFonts w:ascii="Arial" w:hAnsi="Arial" w:cs="Arial"/>
          <w:sz w:val="22"/>
          <w:szCs w:val="22"/>
        </w:rPr>
        <w:t>Early Intervention in Psychiatry</w:t>
      </w:r>
      <w:r w:rsidRPr="006E1F66">
        <w:rPr>
          <w:rFonts w:ascii="Arial" w:hAnsi="Arial" w:cs="Arial"/>
          <w:sz w:val="22"/>
          <w:szCs w:val="22"/>
        </w:rPr>
        <w:t xml:space="preserve">. Available at: </w:t>
      </w:r>
      <w:hyperlink r:id="rId36" w:history="1">
        <w:r w:rsidRPr="006E1F66">
          <w:rPr>
            <w:rStyle w:val="Hyperlink"/>
            <w:rFonts w:ascii="Arial" w:eastAsiaTheme="majorEastAsia" w:hAnsi="Arial" w:cs="Arial"/>
            <w:sz w:val="22"/>
            <w:szCs w:val="22"/>
          </w:rPr>
          <w:t>https://pmc.ncbi.nlm.nih.gov/articles/PMC10313045/</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Royal College of Psychiatrists (2019) </w:t>
      </w:r>
      <w:r w:rsidRPr="006E1F66">
        <w:rPr>
          <w:rStyle w:val="Emphasis"/>
          <w:rFonts w:ascii="Arial" w:hAnsi="Arial" w:cs="Arial"/>
          <w:sz w:val="22"/>
          <w:szCs w:val="22"/>
        </w:rPr>
        <w:t>The NHS Long Term Plan in England: RCPsych briefing</w:t>
      </w:r>
      <w:r w:rsidRPr="006E1F66">
        <w:rPr>
          <w:rFonts w:ascii="Arial" w:hAnsi="Arial" w:cs="Arial"/>
          <w:sz w:val="22"/>
          <w:szCs w:val="22"/>
        </w:rPr>
        <w:t xml:space="preserve">. Available at: </w:t>
      </w:r>
      <w:hyperlink r:id="rId37" w:history="1">
        <w:r w:rsidRPr="006E1F66">
          <w:rPr>
            <w:rStyle w:val="Hyperlink"/>
            <w:rFonts w:ascii="Arial" w:eastAsiaTheme="majorEastAsia" w:hAnsi="Arial" w:cs="Arial"/>
            <w:sz w:val="22"/>
            <w:szCs w:val="22"/>
          </w:rPr>
          <w:t>https://www.rcpsych.ac.uk/docs/default-source/improving-care/better-mh-policy/policy/nhs-long-term-plan-briefing.pdf</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Samaritans (n.d.) </w:t>
      </w:r>
      <w:r w:rsidRPr="006E1F66">
        <w:rPr>
          <w:rStyle w:val="Emphasis"/>
          <w:rFonts w:ascii="Arial" w:hAnsi="Arial" w:cs="Arial"/>
          <w:sz w:val="22"/>
          <w:szCs w:val="22"/>
        </w:rPr>
        <w:t>Talk to us on the phone</w:t>
      </w:r>
      <w:r w:rsidRPr="006E1F66">
        <w:rPr>
          <w:rFonts w:ascii="Arial" w:hAnsi="Arial" w:cs="Arial"/>
          <w:sz w:val="22"/>
          <w:szCs w:val="22"/>
        </w:rPr>
        <w:t xml:space="preserve">. Available at: </w:t>
      </w:r>
      <w:hyperlink r:id="rId38" w:history="1">
        <w:r w:rsidRPr="006E1F66">
          <w:rPr>
            <w:rStyle w:val="Hyperlink"/>
            <w:rFonts w:ascii="Arial" w:eastAsiaTheme="majorEastAsia" w:hAnsi="Arial" w:cs="Arial"/>
            <w:sz w:val="22"/>
            <w:szCs w:val="22"/>
          </w:rPr>
          <w:t>https://www.samaritans.org/how-we-can-help/contact-samaritan/talk-us-phone/</w:t>
        </w:r>
      </w:hyperlink>
      <w:r w:rsidRPr="006E1F66">
        <w:rPr>
          <w:rFonts w:ascii="Arial" w:hAnsi="Arial" w:cs="Arial"/>
          <w:sz w:val="22"/>
          <w:szCs w:val="22"/>
        </w:rPr>
        <w:t xml:space="preserve"> (Accessed: 26 February 2026).</w:t>
      </w:r>
    </w:p>
    <w:p w:rsidR="00B15BD6"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Seidler, Z.E., Dawes, A.J., Rice, S.M., Oliffe, J.L. and Dhillon, H.M. (2016) ‘The role of masculinity in men’s help-seeking for depression: A systematic review’, </w:t>
      </w:r>
      <w:r w:rsidRPr="006E1F66">
        <w:rPr>
          <w:rStyle w:val="Emphasis"/>
          <w:rFonts w:ascii="Arial" w:hAnsi="Arial" w:cs="Arial"/>
          <w:sz w:val="22"/>
          <w:szCs w:val="22"/>
        </w:rPr>
        <w:t>Clinical Psychology Review</w:t>
      </w:r>
      <w:r w:rsidRPr="006E1F66">
        <w:rPr>
          <w:rFonts w:ascii="Arial" w:hAnsi="Arial" w:cs="Arial"/>
          <w:sz w:val="22"/>
          <w:szCs w:val="22"/>
        </w:rPr>
        <w:t xml:space="preserve">, 49, pp. 106–118. </w:t>
      </w:r>
      <w:r w:rsidR="00B15BD6">
        <w:rPr>
          <w:rFonts w:ascii="Arial" w:hAnsi="Arial" w:cs="Arial"/>
          <w:sz w:val="22"/>
          <w:szCs w:val="22"/>
        </w:rPr>
        <w:t xml:space="preserve">Available at: </w:t>
      </w:r>
      <w:hyperlink r:id="rId39" w:history="1">
        <w:r w:rsidR="00B15BD6" w:rsidRPr="001A5390">
          <w:rPr>
            <w:rStyle w:val="Hyperlink"/>
            <w:rFonts w:ascii="Arial" w:hAnsi="Arial" w:cs="Arial"/>
            <w:sz w:val="22"/>
            <w:szCs w:val="22"/>
          </w:rPr>
          <w:t>https://www.doi:10.1016/j.cpr.2016.09.002</w:t>
        </w:r>
      </w:hyperlink>
      <w:r w:rsidR="00645129">
        <w:rPr>
          <w:rFonts w:ascii="Arial" w:hAnsi="Arial" w:cs="Arial"/>
          <w:sz w:val="22"/>
          <w:szCs w:val="22"/>
        </w:rPr>
        <w:t xml:space="preserve"> </w:t>
      </w:r>
      <w:r w:rsidR="00B15BD6">
        <w:rPr>
          <w:rFonts w:ascii="Arial" w:hAnsi="Arial" w:cs="Arial"/>
          <w:sz w:val="22"/>
          <w:szCs w:val="22"/>
        </w:rPr>
        <w:t>(Accessed: 15 March 2026).</w:t>
      </w:r>
    </w:p>
    <w:p w:rsidR="00606EA2"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Shonkoff, J.P. and Garner, A.S. (2012) ‘The lifelong effects of early childhood adversity and toxic stress’, </w:t>
      </w:r>
      <w:r w:rsidRPr="006E1F66">
        <w:rPr>
          <w:rStyle w:val="Emphasis"/>
          <w:rFonts w:ascii="Arial" w:hAnsi="Arial" w:cs="Arial"/>
          <w:sz w:val="22"/>
          <w:szCs w:val="22"/>
        </w:rPr>
        <w:t>Pediatrics</w:t>
      </w:r>
      <w:r w:rsidRPr="006E1F66">
        <w:rPr>
          <w:rFonts w:ascii="Arial" w:hAnsi="Arial" w:cs="Arial"/>
          <w:sz w:val="22"/>
          <w:szCs w:val="22"/>
        </w:rPr>
        <w:t xml:space="preserve">, 129(1), pp. e232–e246. </w:t>
      </w:r>
      <w:r w:rsidR="00606EA2">
        <w:rPr>
          <w:rFonts w:ascii="Arial" w:hAnsi="Arial" w:cs="Arial"/>
          <w:sz w:val="22"/>
          <w:szCs w:val="22"/>
        </w:rPr>
        <w:t xml:space="preserve">Available at: </w:t>
      </w:r>
      <w:hyperlink r:id="rId40" w:history="1">
        <w:r w:rsidR="00606EA2" w:rsidRPr="001A5390">
          <w:rPr>
            <w:rStyle w:val="Hyperlink"/>
            <w:rFonts w:ascii="Arial" w:hAnsi="Arial" w:cs="Arial"/>
            <w:sz w:val="22"/>
            <w:szCs w:val="22"/>
          </w:rPr>
          <w:t>https://www.doi:10.1542/peds.2011-2663</w:t>
        </w:r>
      </w:hyperlink>
      <w:r w:rsidR="00606EA2">
        <w:rPr>
          <w:rFonts w:ascii="Arial" w:hAnsi="Arial" w:cs="Arial"/>
          <w:sz w:val="22"/>
          <w:szCs w:val="22"/>
        </w:rPr>
        <w:t xml:space="preserve"> (Accessed: 15 March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Substance Abuse and Mental Health Services Administration (SAMHSA) (2014) </w:t>
      </w:r>
      <w:r w:rsidRPr="006E1F66">
        <w:rPr>
          <w:rStyle w:val="Emphasis"/>
          <w:rFonts w:ascii="Arial" w:hAnsi="Arial" w:cs="Arial"/>
          <w:sz w:val="22"/>
          <w:szCs w:val="22"/>
        </w:rPr>
        <w:t>SAMHSA’s concept of trauma and guidance for a trauma-informed approach</w:t>
      </w:r>
      <w:r w:rsidRPr="006E1F66">
        <w:rPr>
          <w:rFonts w:ascii="Arial" w:hAnsi="Arial" w:cs="Arial"/>
          <w:sz w:val="22"/>
          <w:szCs w:val="22"/>
        </w:rPr>
        <w:t xml:space="preserve"> (HHS Publication No. SMA 14-4884). Rockville, MD: SAMHSA. Available at: </w:t>
      </w:r>
      <w:hyperlink r:id="rId41" w:history="1">
        <w:r w:rsidRPr="006E1F66">
          <w:rPr>
            <w:rStyle w:val="Hyperlink"/>
            <w:rFonts w:ascii="Arial" w:eastAsiaTheme="majorEastAsia" w:hAnsi="Arial" w:cs="Arial"/>
            <w:sz w:val="22"/>
            <w:szCs w:val="22"/>
          </w:rPr>
          <w:t>https://store.samhsa.gov/product/SAMHSA-s-Concept-of-Trauma-and-Guidance-for-a-Trauma-Informed-Approach/SMA14-4884</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Suicide Act 1961 (c.60) (England and Wales). Available at: </w:t>
      </w:r>
      <w:hyperlink r:id="rId42" w:history="1">
        <w:r w:rsidRPr="006E1F66">
          <w:rPr>
            <w:rStyle w:val="Hyperlink"/>
            <w:rFonts w:ascii="Arial" w:eastAsiaTheme="majorEastAsia" w:hAnsi="Arial" w:cs="Arial"/>
            <w:sz w:val="22"/>
            <w:szCs w:val="22"/>
          </w:rPr>
          <w:t>https://www.legislation.gov.uk/ukpga/Eliz2/9-10/60</w:t>
        </w:r>
      </w:hyperlink>
      <w:r w:rsidRPr="006E1F66">
        <w:rPr>
          <w:rFonts w:ascii="Arial" w:hAnsi="Arial" w:cs="Arial"/>
          <w:sz w:val="22"/>
          <w:szCs w:val="22"/>
        </w:rPr>
        <w:t xml:space="preserve"> (Accessed: 26 February 2026).</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Van Orden, K.A., Witte, T.K., Cukrowicz, K.C., Braithwaite, S.R., Selby, E.A. and Joiner, T.E. (2010) ‘The interpersonal theory of suicide’, </w:t>
      </w:r>
      <w:r w:rsidRPr="006E1F66">
        <w:rPr>
          <w:rStyle w:val="Emphasis"/>
          <w:rFonts w:ascii="Arial" w:hAnsi="Arial" w:cs="Arial"/>
          <w:sz w:val="22"/>
          <w:szCs w:val="22"/>
        </w:rPr>
        <w:t>Psychological Review</w:t>
      </w:r>
      <w:r w:rsidRPr="006E1F66">
        <w:rPr>
          <w:rFonts w:ascii="Arial" w:hAnsi="Arial" w:cs="Arial"/>
          <w:sz w:val="22"/>
          <w:szCs w:val="22"/>
        </w:rPr>
        <w:t>, 117(2), pp. 575–600. doi:10.1037/a0018697.</w:t>
      </w:r>
    </w:p>
    <w:p w:rsidR="00151380" w:rsidRPr="006E1F66" w:rsidRDefault="00151380" w:rsidP="0009182C">
      <w:pPr>
        <w:pStyle w:val="NormalWeb"/>
        <w:spacing w:line="360" w:lineRule="auto"/>
        <w:rPr>
          <w:rFonts w:ascii="Arial" w:hAnsi="Arial" w:cs="Arial"/>
          <w:sz w:val="22"/>
          <w:szCs w:val="22"/>
        </w:rPr>
      </w:pPr>
      <w:r w:rsidRPr="006E1F66">
        <w:rPr>
          <w:rFonts w:ascii="Arial" w:hAnsi="Arial" w:cs="Arial"/>
          <w:sz w:val="22"/>
          <w:szCs w:val="22"/>
        </w:rPr>
        <w:t xml:space="preserve">World Health Organization (WHO) (2021) </w:t>
      </w:r>
      <w:r w:rsidRPr="006E1F66">
        <w:rPr>
          <w:rStyle w:val="Emphasis"/>
          <w:rFonts w:ascii="Arial" w:hAnsi="Arial" w:cs="Arial"/>
          <w:sz w:val="22"/>
          <w:szCs w:val="22"/>
        </w:rPr>
        <w:t>LIVE LIFE: An implementation guide for suicide prevention in countries</w:t>
      </w:r>
      <w:r w:rsidRPr="006E1F66">
        <w:rPr>
          <w:rFonts w:ascii="Arial" w:hAnsi="Arial" w:cs="Arial"/>
          <w:sz w:val="22"/>
          <w:szCs w:val="22"/>
        </w:rPr>
        <w:t xml:space="preserve">. Geneva: WHO. Available at: </w:t>
      </w:r>
      <w:hyperlink r:id="rId43" w:history="1">
        <w:r w:rsidRPr="006E1F66">
          <w:rPr>
            <w:rStyle w:val="Hyperlink"/>
            <w:rFonts w:ascii="Arial" w:eastAsiaTheme="majorEastAsia" w:hAnsi="Arial" w:cs="Arial"/>
            <w:sz w:val="22"/>
            <w:szCs w:val="22"/>
          </w:rPr>
          <w:t>https://www.who.int/publications/i/item/9789240026629</w:t>
        </w:r>
      </w:hyperlink>
      <w:r w:rsidRPr="006E1F66">
        <w:rPr>
          <w:rFonts w:ascii="Arial" w:hAnsi="Arial" w:cs="Arial"/>
          <w:sz w:val="22"/>
          <w:szCs w:val="22"/>
        </w:rPr>
        <w:t xml:space="preserve"> (Accessed: 26 February 2026).</w:t>
      </w:r>
    </w:p>
    <w:p w:rsidR="00151380" w:rsidRPr="007B61FA" w:rsidRDefault="00151380" w:rsidP="00151380">
      <w:pPr>
        <w:rPr>
          <w:rFonts w:asciiTheme="minorBidi" w:hAnsiTheme="minorBidi" w:cstheme="minorBidi"/>
        </w:rPr>
      </w:pPr>
    </w:p>
    <w:p w:rsidR="00151380" w:rsidRPr="00CC6233" w:rsidRDefault="00151380" w:rsidP="00C84759">
      <w:pPr>
        <w:pStyle w:val="HTMLPreformatted"/>
        <w:spacing w:line="360" w:lineRule="auto"/>
        <w:rPr>
          <w:rFonts w:ascii="Arial" w:hAnsi="Arial" w:cs="Arial"/>
          <w:sz w:val="22"/>
          <w:szCs w:val="22"/>
        </w:rPr>
      </w:pPr>
    </w:p>
    <w:sectPr w:rsidR="00151380" w:rsidRPr="00CC6233" w:rsidSect="00935AB0">
      <w:footerReference w:type="default" r:id="rId4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E0784" w:rsidRDefault="000E0784" w:rsidP="00C557FA">
      <w:pPr>
        <w:spacing w:after="0" w:line="240" w:lineRule="auto"/>
      </w:pPr>
      <w:r>
        <w:separator/>
      </w:r>
    </w:p>
  </w:endnote>
  <w:endnote w:type="continuationSeparator" w:id="1">
    <w:p w:rsidR="000E0784" w:rsidRDefault="000E0784" w:rsidP="00C557F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22802266"/>
      <w:docPartObj>
        <w:docPartGallery w:val="Page Numbers (Bottom of Page)"/>
        <w:docPartUnique/>
      </w:docPartObj>
    </w:sdtPr>
    <w:sdtContent>
      <w:p w:rsidR="00C557FA" w:rsidRDefault="008D6A4E">
        <w:pPr>
          <w:pStyle w:val="Footer"/>
          <w:jc w:val="center"/>
        </w:pPr>
        <w:fldSimple w:instr=" PAGE   \* MERGEFORMAT ">
          <w:r w:rsidR="00645129">
            <w:rPr>
              <w:noProof/>
            </w:rPr>
            <w:t>19</w:t>
          </w:r>
        </w:fldSimple>
      </w:p>
    </w:sdtContent>
  </w:sdt>
  <w:p w:rsidR="00C557FA" w:rsidRDefault="00C557F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E0784" w:rsidRDefault="000E0784" w:rsidP="00C557FA">
      <w:pPr>
        <w:spacing w:after="0" w:line="240" w:lineRule="auto"/>
      </w:pPr>
      <w:r>
        <w:separator/>
      </w:r>
    </w:p>
  </w:footnote>
  <w:footnote w:type="continuationSeparator" w:id="1">
    <w:p w:rsidR="000E0784" w:rsidRDefault="000E0784" w:rsidP="00C557F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AF1ED7"/>
    <w:multiLevelType w:val="multilevel"/>
    <w:tmpl w:val="CB80A8A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53773BF"/>
    <w:multiLevelType w:val="multilevel"/>
    <w:tmpl w:val="C2CC882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2D1A02A3"/>
    <w:multiLevelType w:val="hybridMultilevel"/>
    <w:tmpl w:val="A566A5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F284553"/>
    <w:multiLevelType w:val="multilevel"/>
    <w:tmpl w:val="67E07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0975609"/>
    <w:multiLevelType w:val="hybridMultilevel"/>
    <w:tmpl w:val="A1A0F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92A4F05"/>
    <w:multiLevelType w:val="multilevel"/>
    <w:tmpl w:val="E9AC23F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nsid w:val="39D67EA1"/>
    <w:multiLevelType w:val="multilevel"/>
    <w:tmpl w:val="5C8A8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049687D"/>
    <w:multiLevelType w:val="multilevel"/>
    <w:tmpl w:val="A5A2E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17855AD"/>
    <w:multiLevelType w:val="hybridMultilevel"/>
    <w:tmpl w:val="31F86470"/>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C56509D"/>
    <w:multiLevelType w:val="multilevel"/>
    <w:tmpl w:val="A6323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20C65ED"/>
    <w:multiLevelType w:val="hybridMultilevel"/>
    <w:tmpl w:val="E834D614"/>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4ED5190"/>
    <w:multiLevelType w:val="multilevel"/>
    <w:tmpl w:val="7C40FF4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specVanish w: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nsid w:val="61331BAC"/>
    <w:multiLevelType w:val="hybridMultilevel"/>
    <w:tmpl w:val="B3CAE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613B50FD"/>
    <w:multiLevelType w:val="multilevel"/>
    <w:tmpl w:val="3D288EB0"/>
    <w:lvl w:ilvl="0">
      <w:start w:val="2"/>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specVanish w:val="0"/>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4">
    <w:nsid w:val="67C95580"/>
    <w:multiLevelType w:val="multilevel"/>
    <w:tmpl w:val="B846F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73C87DFA"/>
    <w:multiLevelType w:val="multilevel"/>
    <w:tmpl w:val="467ED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9A200C7"/>
    <w:multiLevelType w:val="multilevel"/>
    <w:tmpl w:val="1EB4486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nsid w:val="7C5D5CD1"/>
    <w:multiLevelType w:val="multilevel"/>
    <w:tmpl w:val="F9748D9A"/>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F1510AA"/>
    <w:multiLevelType w:val="hybridMultilevel"/>
    <w:tmpl w:val="009CD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6"/>
  </w:num>
  <w:num w:numId="3">
    <w:abstractNumId w:val="11"/>
  </w:num>
  <w:num w:numId="4">
    <w:abstractNumId w:val="5"/>
  </w:num>
  <w:num w:numId="5">
    <w:abstractNumId w:val="9"/>
  </w:num>
  <w:num w:numId="6">
    <w:abstractNumId w:val="3"/>
  </w:num>
  <w:num w:numId="7">
    <w:abstractNumId w:val="1"/>
  </w:num>
  <w:num w:numId="8">
    <w:abstractNumId w:val="18"/>
  </w:num>
  <w:num w:numId="9">
    <w:abstractNumId w:val="8"/>
  </w:num>
  <w:num w:numId="10">
    <w:abstractNumId w:val="10"/>
  </w:num>
  <w:num w:numId="11">
    <w:abstractNumId w:val="6"/>
  </w:num>
  <w:num w:numId="12">
    <w:abstractNumId w:val="17"/>
  </w:num>
  <w:num w:numId="13">
    <w:abstractNumId w:val="7"/>
  </w:num>
  <w:num w:numId="14">
    <w:abstractNumId w:val="15"/>
  </w:num>
  <w:num w:numId="15">
    <w:abstractNumId w:val="14"/>
  </w:num>
  <w:num w:numId="16">
    <w:abstractNumId w:val="0"/>
  </w:num>
  <w:num w:numId="17">
    <w:abstractNumId w:val="2"/>
  </w:num>
  <w:num w:numId="18">
    <w:abstractNumId w:val="12"/>
  </w:num>
  <w:num w:numId="1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C3F8F"/>
    <w:rsid w:val="000028C2"/>
    <w:rsid w:val="0002175F"/>
    <w:rsid w:val="00024729"/>
    <w:rsid w:val="00054B4D"/>
    <w:rsid w:val="0006007E"/>
    <w:rsid w:val="00075CD9"/>
    <w:rsid w:val="000831FB"/>
    <w:rsid w:val="0009182C"/>
    <w:rsid w:val="000926DD"/>
    <w:rsid w:val="00095CCB"/>
    <w:rsid w:val="00096190"/>
    <w:rsid w:val="000A56B6"/>
    <w:rsid w:val="000C1CFC"/>
    <w:rsid w:val="000D42A5"/>
    <w:rsid w:val="000D5C3A"/>
    <w:rsid w:val="000E0784"/>
    <w:rsid w:val="000E25B8"/>
    <w:rsid w:val="000E36E6"/>
    <w:rsid w:val="000F4EB0"/>
    <w:rsid w:val="00131602"/>
    <w:rsid w:val="00141294"/>
    <w:rsid w:val="00145B62"/>
    <w:rsid w:val="00151380"/>
    <w:rsid w:val="00152DE0"/>
    <w:rsid w:val="00166699"/>
    <w:rsid w:val="00170CAD"/>
    <w:rsid w:val="00171101"/>
    <w:rsid w:val="001736D7"/>
    <w:rsid w:val="00173D27"/>
    <w:rsid w:val="00183B75"/>
    <w:rsid w:val="001C6A3F"/>
    <w:rsid w:val="001D353B"/>
    <w:rsid w:val="001E2803"/>
    <w:rsid w:val="001E4A81"/>
    <w:rsid w:val="001F121F"/>
    <w:rsid w:val="001F347F"/>
    <w:rsid w:val="00200B47"/>
    <w:rsid w:val="002139D8"/>
    <w:rsid w:val="0021455F"/>
    <w:rsid w:val="00214D71"/>
    <w:rsid w:val="00244246"/>
    <w:rsid w:val="00246E77"/>
    <w:rsid w:val="00256850"/>
    <w:rsid w:val="00272739"/>
    <w:rsid w:val="00274F8A"/>
    <w:rsid w:val="00282B13"/>
    <w:rsid w:val="002A6FF4"/>
    <w:rsid w:val="002D7312"/>
    <w:rsid w:val="003311C3"/>
    <w:rsid w:val="00334F98"/>
    <w:rsid w:val="003448C5"/>
    <w:rsid w:val="00345CB8"/>
    <w:rsid w:val="00353F66"/>
    <w:rsid w:val="0035461C"/>
    <w:rsid w:val="00367876"/>
    <w:rsid w:val="00377CF1"/>
    <w:rsid w:val="003972DB"/>
    <w:rsid w:val="003A6AE3"/>
    <w:rsid w:val="003A6F2B"/>
    <w:rsid w:val="003B1EB4"/>
    <w:rsid w:val="003C0641"/>
    <w:rsid w:val="003C7D20"/>
    <w:rsid w:val="003F3781"/>
    <w:rsid w:val="003F43C5"/>
    <w:rsid w:val="00415E2E"/>
    <w:rsid w:val="00481452"/>
    <w:rsid w:val="00494E61"/>
    <w:rsid w:val="004E1244"/>
    <w:rsid w:val="004E4294"/>
    <w:rsid w:val="00504E91"/>
    <w:rsid w:val="00511F9A"/>
    <w:rsid w:val="00530734"/>
    <w:rsid w:val="00551DE2"/>
    <w:rsid w:val="00552276"/>
    <w:rsid w:val="00562966"/>
    <w:rsid w:val="00563F1D"/>
    <w:rsid w:val="00570719"/>
    <w:rsid w:val="005711A3"/>
    <w:rsid w:val="00572328"/>
    <w:rsid w:val="00581774"/>
    <w:rsid w:val="00594586"/>
    <w:rsid w:val="005B2A01"/>
    <w:rsid w:val="005C3F8F"/>
    <w:rsid w:val="005D3F04"/>
    <w:rsid w:val="006033EA"/>
    <w:rsid w:val="00606EA2"/>
    <w:rsid w:val="006163FC"/>
    <w:rsid w:val="006252C3"/>
    <w:rsid w:val="00645129"/>
    <w:rsid w:val="006A4FA5"/>
    <w:rsid w:val="006C48D9"/>
    <w:rsid w:val="006D4BAE"/>
    <w:rsid w:val="006F4242"/>
    <w:rsid w:val="00700D9A"/>
    <w:rsid w:val="0071089C"/>
    <w:rsid w:val="0071494C"/>
    <w:rsid w:val="007158FC"/>
    <w:rsid w:val="00720EFD"/>
    <w:rsid w:val="00731060"/>
    <w:rsid w:val="00736F80"/>
    <w:rsid w:val="00741644"/>
    <w:rsid w:val="00757EA4"/>
    <w:rsid w:val="00761A3B"/>
    <w:rsid w:val="0076624A"/>
    <w:rsid w:val="00785144"/>
    <w:rsid w:val="00796508"/>
    <w:rsid w:val="00797C11"/>
    <w:rsid w:val="007A08DF"/>
    <w:rsid w:val="007A1E05"/>
    <w:rsid w:val="007A268D"/>
    <w:rsid w:val="007B123D"/>
    <w:rsid w:val="007D2C98"/>
    <w:rsid w:val="007D6F6B"/>
    <w:rsid w:val="007F22E5"/>
    <w:rsid w:val="007F35D5"/>
    <w:rsid w:val="007F6664"/>
    <w:rsid w:val="00852C22"/>
    <w:rsid w:val="00861279"/>
    <w:rsid w:val="008672F7"/>
    <w:rsid w:val="00886FD3"/>
    <w:rsid w:val="0089113C"/>
    <w:rsid w:val="008A3F7E"/>
    <w:rsid w:val="008D6A4E"/>
    <w:rsid w:val="008E0469"/>
    <w:rsid w:val="008E3F13"/>
    <w:rsid w:val="008E7D32"/>
    <w:rsid w:val="008F1A34"/>
    <w:rsid w:val="008F1E8A"/>
    <w:rsid w:val="008F1FC4"/>
    <w:rsid w:val="00911FCF"/>
    <w:rsid w:val="00935AB0"/>
    <w:rsid w:val="0094207B"/>
    <w:rsid w:val="00956B89"/>
    <w:rsid w:val="00963D3C"/>
    <w:rsid w:val="0096721B"/>
    <w:rsid w:val="009672B9"/>
    <w:rsid w:val="00987CFF"/>
    <w:rsid w:val="009E6F5A"/>
    <w:rsid w:val="009F10C4"/>
    <w:rsid w:val="00A325D5"/>
    <w:rsid w:val="00A40D25"/>
    <w:rsid w:val="00A5056F"/>
    <w:rsid w:val="00A524F3"/>
    <w:rsid w:val="00A601D9"/>
    <w:rsid w:val="00A62EEE"/>
    <w:rsid w:val="00A737B0"/>
    <w:rsid w:val="00A96FE4"/>
    <w:rsid w:val="00AC709B"/>
    <w:rsid w:val="00AC72EB"/>
    <w:rsid w:val="00AF20E3"/>
    <w:rsid w:val="00B01467"/>
    <w:rsid w:val="00B02012"/>
    <w:rsid w:val="00B15BD6"/>
    <w:rsid w:val="00B162B9"/>
    <w:rsid w:val="00B21A83"/>
    <w:rsid w:val="00B3083F"/>
    <w:rsid w:val="00B31954"/>
    <w:rsid w:val="00B4666D"/>
    <w:rsid w:val="00B51DDF"/>
    <w:rsid w:val="00B842AE"/>
    <w:rsid w:val="00B87009"/>
    <w:rsid w:val="00B91DCA"/>
    <w:rsid w:val="00B92586"/>
    <w:rsid w:val="00BD62B6"/>
    <w:rsid w:val="00BE0362"/>
    <w:rsid w:val="00BF095E"/>
    <w:rsid w:val="00BF6244"/>
    <w:rsid w:val="00C34726"/>
    <w:rsid w:val="00C44B6A"/>
    <w:rsid w:val="00C5008A"/>
    <w:rsid w:val="00C52009"/>
    <w:rsid w:val="00C557FA"/>
    <w:rsid w:val="00C65FCA"/>
    <w:rsid w:val="00C703A5"/>
    <w:rsid w:val="00C71923"/>
    <w:rsid w:val="00C84759"/>
    <w:rsid w:val="00C847EC"/>
    <w:rsid w:val="00C874D4"/>
    <w:rsid w:val="00CA44B4"/>
    <w:rsid w:val="00CA52AC"/>
    <w:rsid w:val="00CB315F"/>
    <w:rsid w:val="00CC4C5C"/>
    <w:rsid w:val="00CC6233"/>
    <w:rsid w:val="00CD4CF1"/>
    <w:rsid w:val="00CE42D6"/>
    <w:rsid w:val="00CE6F94"/>
    <w:rsid w:val="00CF3E5D"/>
    <w:rsid w:val="00D267D2"/>
    <w:rsid w:val="00D270FC"/>
    <w:rsid w:val="00D46A14"/>
    <w:rsid w:val="00D47D67"/>
    <w:rsid w:val="00D620E2"/>
    <w:rsid w:val="00D67519"/>
    <w:rsid w:val="00D843F1"/>
    <w:rsid w:val="00D91737"/>
    <w:rsid w:val="00DA0094"/>
    <w:rsid w:val="00DB5C2F"/>
    <w:rsid w:val="00DC7A8F"/>
    <w:rsid w:val="00DD3284"/>
    <w:rsid w:val="00DD680C"/>
    <w:rsid w:val="00DF3818"/>
    <w:rsid w:val="00E00843"/>
    <w:rsid w:val="00E41E50"/>
    <w:rsid w:val="00E42449"/>
    <w:rsid w:val="00E87C09"/>
    <w:rsid w:val="00E93AF6"/>
    <w:rsid w:val="00EA04D6"/>
    <w:rsid w:val="00EB5381"/>
    <w:rsid w:val="00ED1EF5"/>
    <w:rsid w:val="00EE1923"/>
    <w:rsid w:val="00EE4F54"/>
    <w:rsid w:val="00F511D0"/>
    <w:rsid w:val="00F601E8"/>
    <w:rsid w:val="00F842EE"/>
    <w:rsid w:val="00F96423"/>
    <w:rsid w:val="00FA5726"/>
    <w:rsid w:val="00FB5EC8"/>
    <w:rsid w:val="00FF1A5D"/>
    <w:rsid w:val="00FF6BC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Bidi" w:eastAsiaTheme="minorHAnsi" w:hAnsiTheme="majorBidi" w:cstheme="majorBidi"/>
        <w:b/>
        <w:bCs/>
        <w:kern w:val="2"/>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6699"/>
    <w:rPr>
      <w:lang w:val="en-US"/>
    </w:rPr>
  </w:style>
  <w:style w:type="paragraph" w:styleId="Heading1">
    <w:name w:val="heading 1"/>
    <w:basedOn w:val="Normal"/>
    <w:next w:val="Normal"/>
    <w:link w:val="Heading1Char"/>
    <w:uiPriority w:val="9"/>
    <w:qFormat/>
    <w:rsid w:val="00A524F3"/>
    <w:pPr>
      <w:keepNext/>
      <w:keepLines/>
      <w:numPr>
        <w:numId w:val="7"/>
      </w:numPr>
      <w:spacing w:before="240" w:after="0"/>
      <w:outlineLvl w:val="0"/>
    </w:pPr>
    <w:rPr>
      <w:rFonts w:eastAsiaTheme="majorEastAsia"/>
      <w:color w:val="000000" w:themeColor="text1"/>
      <w:sz w:val="28"/>
      <w:szCs w:val="32"/>
    </w:rPr>
  </w:style>
  <w:style w:type="paragraph" w:styleId="Heading2">
    <w:name w:val="heading 2"/>
    <w:basedOn w:val="Normal"/>
    <w:next w:val="Normal"/>
    <w:link w:val="Heading2Char"/>
    <w:uiPriority w:val="9"/>
    <w:unhideWhenUsed/>
    <w:qFormat/>
    <w:rsid w:val="003A6F2B"/>
    <w:pPr>
      <w:keepNext/>
      <w:keepLines/>
      <w:numPr>
        <w:ilvl w:val="1"/>
        <w:numId w:val="7"/>
      </w:numPr>
      <w:spacing w:before="40" w:after="0"/>
      <w:outlineLvl w:val="1"/>
    </w:pPr>
    <w:rPr>
      <w:rFonts w:eastAsiaTheme="majorEastAsia"/>
      <w:color w:val="000000" w:themeColor="text1"/>
      <w:szCs w:val="26"/>
    </w:rPr>
  </w:style>
  <w:style w:type="paragraph" w:styleId="Heading3">
    <w:name w:val="heading 3"/>
    <w:basedOn w:val="Normal"/>
    <w:link w:val="Heading3Char"/>
    <w:uiPriority w:val="9"/>
    <w:qFormat/>
    <w:rsid w:val="00F511D0"/>
    <w:pPr>
      <w:numPr>
        <w:ilvl w:val="2"/>
        <w:numId w:val="7"/>
      </w:numPr>
      <w:spacing w:before="100" w:beforeAutospacing="1" w:after="100" w:afterAutospacing="1" w:line="240" w:lineRule="auto"/>
      <w:outlineLvl w:val="2"/>
    </w:pPr>
    <w:rPr>
      <w:rFonts w:ascii="Times New Roman" w:eastAsia="Times New Roman" w:hAnsi="Times New Roman" w:cs="Times New Roman"/>
      <w:b w:val="0"/>
      <w:bCs w:val="0"/>
      <w:color w:val="000000" w:themeColor="text1"/>
      <w:kern w:val="0"/>
      <w:szCs w:val="27"/>
      <w:lang w:val="en-GB" w:eastAsia="en-GB"/>
    </w:rPr>
  </w:style>
  <w:style w:type="paragraph" w:styleId="Heading4">
    <w:name w:val="heading 4"/>
    <w:basedOn w:val="Normal"/>
    <w:next w:val="Normal"/>
    <w:link w:val="Heading4Char"/>
    <w:uiPriority w:val="9"/>
    <w:semiHidden/>
    <w:unhideWhenUsed/>
    <w:qFormat/>
    <w:rsid w:val="00166699"/>
    <w:pPr>
      <w:keepNext/>
      <w:keepLines/>
      <w:numPr>
        <w:ilvl w:val="3"/>
        <w:numId w:val="7"/>
      </w:numPr>
      <w:spacing w:before="40" w:after="0"/>
      <w:outlineLvl w:val="3"/>
    </w:pPr>
    <w:rPr>
      <w:rFonts w:asciiTheme="majorHAns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166699"/>
    <w:pPr>
      <w:keepNext/>
      <w:keepLines/>
      <w:numPr>
        <w:ilvl w:val="4"/>
        <w:numId w:val="7"/>
      </w:numPr>
      <w:spacing w:before="40" w:after="0"/>
      <w:outlineLvl w:val="4"/>
    </w:pPr>
    <w:rPr>
      <w:rFonts w:asciiTheme="majorHAns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166699"/>
    <w:pPr>
      <w:keepNext/>
      <w:keepLines/>
      <w:numPr>
        <w:ilvl w:val="5"/>
        <w:numId w:val="7"/>
      </w:numPr>
      <w:spacing w:before="40" w:after="0"/>
      <w:outlineLvl w:val="5"/>
    </w:pPr>
    <w:rPr>
      <w:rFonts w:asciiTheme="majorHAns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166699"/>
    <w:pPr>
      <w:keepNext/>
      <w:keepLines/>
      <w:numPr>
        <w:ilvl w:val="6"/>
        <w:numId w:val="7"/>
      </w:numPr>
      <w:spacing w:before="40" w:after="0"/>
      <w:outlineLvl w:val="6"/>
    </w:pPr>
    <w:rPr>
      <w:rFonts w:asciiTheme="majorHAns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166699"/>
    <w:pPr>
      <w:keepNext/>
      <w:keepLines/>
      <w:numPr>
        <w:ilvl w:val="7"/>
        <w:numId w:val="7"/>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166699"/>
    <w:pPr>
      <w:keepNext/>
      <w:keepLines/>
      <w:numPr>
        <w:ilvl w:val="8"/>
        <w:numId w:val="7"/>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4F3"/>
    <w:rPr>
      <w:rFonts w:eastAsiaTheme="majorEastAsia"/>
      <w:color w:val="000000" w:themeColor="text1"/>
      <w:sz w:val="28"/>
      <w:szCs w:val="32"/>
      <w:lang w:val="en-US"/>
    </w:rPr>
  </w:style>
  <w:style w:type="character" w:customStyle="1" w:styleId="Heading2Char">
    <w:name w:val="Heading 2 Char"/>
    <w:basedOn w:val="DefaultParagraphFont"/>
    <w:link w:val="Heading2"/>
    <w:uiPriority w:val="9"/>
    <w:rsid w:val="003A6F2B"/>
    <w:rPr>
      <w:rFonts w:eastAsiaTheme="majorEastAsia"/>
      <w:color w:val="000000" w:themeColor="text1"/>
      <w:szCs w:val="26"/>
      <w:lang w:val="en-US"/>
    </w:rPr>
  </w:style>
  <w:style w:type="character" w:customStyle="1" w:styleId="Heading3Char">
    <w:name w:val="Heading 3 Char"/>
    <w:basedOn w:val="DefaultParagraphFont"/>
    <w:link w:val="Heading3"/>
    <w:uiPriority w:val="9"/>
    <w:rsid w:val="00F511D0"/>
    <w:rPr>
      <w:rFonts w:ascii="Times New Roman" w:eastAsia="Times New Roman" w:hAnsi="Times New Roman" w:cs="Times New Roman"/>
      <w:b w:val="0"/>
      <w:bCs w:val="0"/>
      <w:color w:val="000000" w:themeColor="text1"/>
      <w:kern w:val="0"/>
      <w:szCs w:val="27"/>
      <w:lang w:eastAsia="en-GB"/>
    </w:rPr>
  </w:style>
  <w:style w:type="character" w:customStyle="1" w:styleId="Heading4Char">
    <w:name w:val="Heading 4 Char"/>
    <w:basedOn w:val="DefaultParagraphFont"/>
    <w:link w:val="Heading4"/>
    <w:uiPriority w:val="9"/>
    <w:semiHidden/>
    <w:rsid w:val="00166699"/>
    <w:rPr>
      <w:rFonts w:asciiTheme="majorHAnsi" w:eastAsiaTheme="majorEastAsia" w:hAnsiTheme="majorHAnsi"/>
      <w:i/>
      <w:iCs/>
      <w:color w:val="2F5496" w:themeColor="accent1" w:themeShade="BF"/>
    </w:rPr>
  </w:style>
  <w:style w:type="character" w:customStyle="1" w:styleId="Heading5Char">
    <w:name w:val="Heading 5 Char"/>
    <w:basedOn w:val="DefaultParagraphFont"/>
    <w:link w:val="Heading5"/>
    <w:uiPriority w:val="9"/>
    <w:semiHidden/>
    <w:rsid w:val="00166699"/>
    <w:rPr>
      <w:rFonts w:asciiTheme="majorHAnsi" w:eastAsiaTheme="majorEastAsia" w:hAnsiTheme="majorHAnsi"/>
      <w:color w:val="2F5496" w:themeColor="accent1" w:themeShade="BF"/>
    </w:rPr>
  </w:style>
  <w:style w:type="character" w:customStyle="1" w:styleId="Heading6Char">
    <w:name w:val="Heading 6 Char"/>
    <w:basedOn w:val="DefaultParagraphFont"/>
    <w:link w:val="Heading6"/>
    <w:uiPriority w:val="9"/>
    <w:semiHidden/>
    <w:rsid w:val="00166699"/>
    <w:rPr>
      <w:rFonts w:asciiTheme="majorHAnsi" w:eastAsiaTheme="majorEastAsia" w:hAnsiTheme="majorHAnsi"/>
      <w:color w:val="1F3763" w:themeColor="accent1" w:themeShade="7F"/>
    </w:rPr>
  </w:style>
  <w:style w:type="character" w:customStyle="1" w:styleId="Heading7Char">
    <w:name w:val="Heading 7 Char"/>
    <w:basedOn w:val="DefaultParagraphFont"/>
    <w:link w:val="Heading7"/>
    <w:uiPriority w:val="9"/>
    <w:semiHidden/>
    <w:rsid w:val="00166699"/>
    <w:rPr>
      <w:rFonts w:asciiTheme="majorHAnsi" w:eastAsiaTheme="majorEastAsia" w:hAnsiTheme="majorHAnsi"/>
      <w:i/>
      <w:iCs/>
      <w:color w:val="1F3763" w:themeColor="accent1" w:themeShade="7F"/>
    </w:rPr>
  </w:style>
  <w:style w:type="character" w:customStyle="1" w:styleId="Heading8Char">
    <w:name w:val="Heading 8 Char"/>
    <w:basedOn w:val="DefaultParagraphFont"/>
    <w:link w:val="Heading8"/>
    <w:uiPriority w:val="9"/>
    <w:semiHidden/>
    <w:rsid w:val="00166699"/>
    <w:rPr>
      <w:rFonts w:asciiTheme="majorHAnsi" w:eastAsiaTheme="majorEastAsia" w:hAnsiTheme="majorHAnsi"/>
      <w:color w:val="272727" w:themeColor="text1" w:themeTint="D8"/>
      <w:sz w:val="21"/>
      <w:szCs w:val="21"/>
    </w:rPr>
  </w:style>
  <w:style w:type="character" w:customStyle="1" w:styleId="Heading9Char">
    <w:name w:val="Heading 9 Char"/>
    <w:basedOn w:val="DefaultParagraphFont"/>
    <w:link w:val="Heading9"/>
    <w:uiPriority w:val="9"/>
    <w:semiHidden/>
    <w:rsid w:val="00166699"/>
    <w:rPr>
      <w:rFonts w:asciiTheme="majorHAnsi" w:eastAsiaTheme="majorEastAsia" w:hAnsiTheme="majorHAnsi"/>
      <w:i/>
      <w:iCs/>
      <w:color w:val="272727" w:themeColor="text1" w:themeTint="D8"/>
      <w:sz w:val="21"/>
      <w:szCs w:val="21"/>
    </w:rPr>
  </w:style>
  <w:style w:type="paragraph" w:styleId="Caption">
    <w:name w:val="caption"/>
    <w:basedOn w:val="Normal"/>
    <w:next w:val="Normal"/>
    <w:uiPriority w:val="35"/>
    <w:semiHidden/>
    <w:unhideWhenUsed/>
    <w:qFormat/>
    <w:rsid w:val="00166699"/>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66699"/>
    <w:pPr>
      <w:spacing w:after="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166699"/>
    <w:rPr>
      <w:rFonts w:asciiTheme="majorHAnsi" w:eastAsiaTheme="majorEastAsia" w:hAnsiTheme="majorHAnsi"/>
      <w:spacing w:val="-10"/>
      <w:kern w:val="28"/>
      <w:sz w:val="56"/>
      <w:szCs w:val="56"/>
    </w:rPr>
  </w:style>
  <w:style w:type="paragraph" w:styleId="Subtitle">
    <w:name w:val="Subtitle"/>
    <w:basedOn w:val="Normal"/>
    <w:next w:val="Normal"/>
    <w:link w:val="SubtitleChar"/>
    <w:uiPriority w:val="11"/>
    <w:qFormat/>
    <w:rsid w:val="00166699"/>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66699"/>
    <w:rPr>
      <w:rFonts w:asciiTheme="minorHAnsi" w:eastAsiaTheme="minorEastAsia" w:hAnsiTheme="minorHAnsi" w:cstheme="minorBidi"/>
      <w:color w:val="5A5A5A" w:themeColor="text1" w:themeTint="A5"/>
      <w:spacing w:val="15"/>
      <w:sz w:val="22"/>
      <w:szCs w:val="22"/>
    </w:rPr>
  </w:style>
  <w:style w:type="character" w:styleId="Strong">
    <w:name w:val="Strong"/>
    <w:uiPriority w:val="22"/>
    <w:qFormat/>
    <w:rsid w:val="00166699"/>
    <w:rPr>
      <w:b w:val="0"/>
      <w:bCs w:val="0"/>
    </w:rPr>
  </w:style>
  <w:style w:type="character" w:styleId="Emphasis">
    <w:name w:val="Emphasis"/>
    <w:uiPriority w:val="20"/>
    <w:qFormat/>
    <w:rsid w:val="00166699"/>
    <w:rPr>
      <w:i/>
      <w:iCs/>
    </w:rPr>
  </w:style>
  <w:style w:type="paragraph" w:styleId="NoSpacing">
    <w:name w:val="No Spacing"/>
    <w:uiPriority w:val="1"/>
    <w:qFormat/>
    <w:rsid w:val="00166699"/>
    <w:pPr>
      <w:spacing w:after="0" w:line="240" w:lineRule="auto"/>
    </w:pPr>
  </w:style>
  <w:style w:type="paragraph" w:styleId="ListParagraph">
    <w:name w:val="List Paragraph"/>
    <w:basedOn w:val="Normal"/>
    <w:uiPriority w:val="34"/>
    <w:qFormat/>
    <w:rsid w:val="00166699"/>
    <w:pPr>
      <w:ind w:left="720"/>
      <w:contextualSpacing/>
    </w:pPr>
  </w:style>
  <w:style w:type="paragraph" w:styleId="Quote">
    <w:name w:val="Quote"/>
    <w:basedOn w:val="Normal"/>
    <w:next w:val="Normal"/>
    <w:link w:val="QuoteChar"/>
    <w:uiPriority w:val="29"/>
    <w:qFormat/>
    <w:rsid w:val="0016669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66699"/>
    <w:rPr>
      <w:i/>
      <w:iCs/>
      <w:color w:val="404040" w:themeColor="text1" w:themeTint="BF"/>
    </w:rPr>
  </w:style>
  <w:style w:type="paragraph" w:styleId="IntenseQuote">
    <w:name w:val="Intense Quote"/>
    <w:basedOn w:val="Normal"/>
    <w:next w:val="Normal"/>
    <w:link w:val="IntenseQuoteChar"/>
    <w:uiPriority w:val="30"/>
    <w:qFormat/>
    <w:rsid w:val="0016669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66699"/>
    <w:rPr>
      <w:i/>
      <w:iCs/>
      <w:color w:val="4472C4" w:themeColor="accent1"/>
    </w:rPr>
  </w:style>
  <w:style w:type="character" w:styleId="SubtleEmphasis">
    <w:name w:val="Subtle Emphasis"/>
    <w:uiPriority w:val="19"/>
    <w:qFormat/>
    <w:rsid w:val="00166699"/>
    <w:rPr>
      <w:i/>
      <w:iCs/>
      <w:color w:val="404040" w:themeColor="text1" w:themeTint="BF"/>
    </w:rPr>
  </w:style>
  <w:style w:type="character" w:styleId="IntenseEmphasis">
    <w:name w:val="Intense Emphasis"/>
    <w:uiPriority w:val="21"/>
    <w:qFormat/>
    <w:rsid w:val="00166699"/>
    <w:rPr>
      <w:i/>
      <w:iCs/>
      <w:color w:val="4472C4" w:themeColor="accent1"/>
    </w:rPr>
  </w:style>
  <w:style w:type="character" w:styleId="SubtleReference">
    <w:name w:val="Subtle Reference"/>
    <w:uiPriority w:val="31"/>
    <w:qFormat/>
    <w:rsid w:val="00166699"/>
    <w:rPr>
      <w:smallCaps/>
      <w:color w:val="5A5A5A" w:themeColor="text1" w:themeTint="A5"/>
    </w:rPr>
  </w:style>
  <w:style w:type="character" w:styleId="IntenseReference">
    <w:name w:val="Intense Reference"/>
    <w:uiPriority w:val="32"/>
    <w:qFormat/>
    <w:rsid w:val="00166699"/>
    <w:rPr>
      <w:b w:val="0"/>
      <w:bCs w:val="0"/>
      <w:smallCaps/>
      <w:color w:val="4472C4" w:themeColor="accent1"/>
      <w:spacing w:val="5"/>
    </w:rPr>
  </w:style>
  <w:style w:type="character" w:styleId="BookTitle">
    <w:name w:val="Book Title"/>
    <w:uiPriority w:val="33"/>
    <w:qFormat/>
    <w:rsid w:val="00166699"/>
    <w:rPr>
      <w:b w:val="0"/>
      <w:bCs w:val="0"/>
      <w:i/>
      <w:iCs/>
      <w:spacing w:val="5"/>
    </w:rPr>
  </w:style>
  <w:style w:type="paragraph" w:styleId="TOCHeading">
    <w:name w:val="TOC Heading"/>
    <w:basedOn w:val="Heading1"/>
    <w:next w:val="Normal"/>
    <w:uiPriority w:val="39"/>
    <w:semiHidden/>
    <w:unhideWhenUsed/>
    <w:qFormat/>
    <w:rsid w:val="00166699"/>
    <w:pPr>
      <w:outlineLvl w:val="9"/>
    </w:pPr>
  </w:style>
  <w:style w:type="paragraph" w:styleId="NormalWeb">
    <w:name w:val="Normal (Web)"/>
    <w:basedOn w:val="Normal"/>
    <w:uiPriority w:val="99"/>
    <w:unhideWhenUsed/>
    <w:rsid w:val="005C3F8F"/>
    <w:pPr>
      <w:spacing w:before="100" w:beforeAutospacing="1" w:after="100" w:afterAutospacing="1" w:line="240" w:lineRule="auto"/>
    </w:pPr>
    <w:rPr>
      <w:rFonts w:ascii="Times New Roman" w:eastAsia="Times New Roman" w:hAnsi="Times New Roman" w:cs="Times New Roman"/>
      <w:b w:val="0"/>
      <w:bCs w:val="0"/>
      <w:kern w:val="0"/>
    </w:rPr>
  </w:style>
  <w:style w:type="character" w:styleId="Hyperlink">
    <w:name w:val="Hyperlink"/>
    <w:basedOn w:val="DefaultParagraphFont"/>
    <w:uiPriority w:val="99"/>
    <w:unhideWhenUsed/>
    <w:rsid w:val="005C3F8F"/>
    <w:rPr>
      <w:color w:val="0000FF"/>
      <w:u w:val="single"/>
    </w:rPr>
  </w:style>
  <w:style w:type="paragraph" w:styleId="HTMLPreformatted">
    <w:name w:val="HTML Preformatted"/>
    <w:basedOn w:val="Normal"/>
    <w:link w:val="HTMLPreformattedChar"/>
    <w:uiPriority w:val="99"/>
    <w:semiHidden/>
    <w:unhideWhenUsed/>
    <w:rsid w:val="00CA52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b w:val="0"/>
      <w:bCs w:val="0"/>
      <w:kern w:val="0"/>
      <w:sz w:val="20"/>
      <w:szCs w:val="20"/>
    </w:rPr>
  </w:style>
  <w:style w:type="character" w:customStyle="1" w:styleId="HTMLPreformattedChar">
    <w:name w:val="HTML Preformatted Char"/>
    <w:basedOn w:val="DefaultParagraphFont"/>
    <w:link w:val="HTMLPreformatted"/>
    <w:uiPriority w:val="99"/>
    <w:semiHidden/>
    <w:rsid w:val="00CA52AC"/>
    <w:rPr>
      <w:rFonts w:ascii="Courier New" w:eastAsia="Times New Roman" w:hAnsi="Courier New" w:cs="Courier New"/>
      <w:b w:val="0"/>
      <w:bCs w:val="0"/>
      <w:kern w:val="0"/>
      <w:sz w:val="20"/>
      <w:szCs w:val="20"/>
      <w:lang w:val="en-US"/>
    </w:rPr>
  </w:style>
  <w:style w:type="character" w:styleId="HTMLCode">
    <w:name w:val="HTML Code"/>
    <w:basedOn w:val="DefaultParagraphFont"/>
    <w:uiPriority w:val="99"/>
    <w:semiHidden/>
    <w:unhideWhenUsed/>
    <w:rsid w:val="00CA52AC"/>
    <w:rPr>
      <w:rFonts w:ascii="Courier New" w:eastAsia="Times New Roman" w:hAnsi="Courier New" w:cs="Courier New"/>
      <w:sz w:val="20"/>
      <w:szCs w:val="20"/>
    </w:rPr>
  </w:style>
  <w:style w:type="character" w:customStyle="1" w:styleId="whitespace-normal">
    <w:name w:val="whitespace-normal"/>
    <w:basedOn w:val="DefaultParagraphFont"/>
    <w:rsid w:val="00096190"/>
  </w:style>
  <w:style w:type="table" w:styleId="TableGrid">
    <w:name w:val="Table Grid"/>
    <w:basedOn w:val="TableNormal"/>
    <w:uiPriority w:val="39"/>
    <w:rsid w:val="006D4BA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font-claude-response-body">
    <w:name w:val="font-claude-response-body"/>
    <w:basedOn w:val="Normal"/>
    <w:rsid w:val="003F3781"/>
    <w:pPr>
      <w:spacing w:before="100" w:beforeAutospacing="1" w:after="100" w:afterAutospacing="1" w:line="240" w:lineRule="auto"/>
    </w:pPr>
    <w:rPr>
      <w:rFonts w:ascii="Times New Roman" w:eastAsia="Times New Roman" w:hAnsi="Times New Roman" w:cs="Times New Roman"/>
      <w:b w:val="0"/>
      <w:bCs w:val="0"/>
      <w:kern w:val="0"/>
    </w:rPr>
  </w:style>
  <w:style w:type="paragraph" w:styleId="Header">
    <w:name w:val="header"/>
    <w:basedOn w:val="Normal"/>
    <w:link w:val="HeaderChar"/>
    <w:uiPriority w:val="99"/>
    <w:semiHidden/>
    <w:unhideWhenUsed/>
    <w:rsid w:val="00C557F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557FA"/>
    <w:rPr>
      <w:lang w:val="en-US"/>
    </w:rPr>
  </w:style>
  <w:style w:type="paragraph" w:styleId="Footer">
    <w:name w:val="footer"/>
    <w:basedOn w:val="Normal"/>
    <w:link w:val="FooterChar"/>
    <w:uiPriority w:val="99"/>
    <w:unhideWhenUsed/>
    <w:rsid w:val="00C55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7FA"/>
    <w:rPr>
      <w:lang w:val="en-US"/>
    </w:rPr>
  </w:style>
  <w:style w:type="character" w:styleId="FollowedHyperlink">
    <w:name w:val="FollowedHyperlink"/>
    <w:basedOn w:val="DefaultParagraphFont"/>
    <w:uiPriority w:val="99"/>
    <w:semiHidden/>
    <w:unhideWhenUsed/>
    <w:rsid w:val="00E87C09"/>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150562123">
      <w:bodyDiv w:val="1"/>
      <w:marLeft w:val="0"/>
      <w:marRight w:val="0"/>
      <w:marTop w:val="0"/>
      <w:marBottom w:val="0"/>
      <w:divBdr>
        <w:top w:val="none" w:sz="0" w:space="0" w:color="auto"/>
        <w:left w:val="none" w:sz="0" w:space="0" w:color="auto"/>
        <w:bottom w:val="none" w:sz="0" w:space="0" w:color="auto"/>
        <w:right w:val="none" w:sz="0" w:space="0" w:color="auto"/>
      </w:divBdr>
    </w:div>
    <w:div w:id="280721895">
      <w:bodyDiv w:val="1"/>
      <w:marLeft w:val="0"/>
      <w:marRight w:val="0"/>
      <w:marTop w:val="0"/>
      <w:marBottom w:val="0"/>
      <w:divBdr>
        <w:top w:val="none" w:sz="0" w:space="0" w:color="auto"/>
        <w:left w:val="none" w:sz="0" w:space="0" w:color="auto"/>
        <w:bottom w:val="none" w:sz="0" w:space="0" w:color="auto"/>
        <w:right w:val="none" w:sz="0" w:space="0" w:color="auto"/>
      </w:divBdr>
    </w:div>
    <w:div w:id="395513582">
      <w:bodyDiv w:val="1"/>
      <w:marLeft w:val="0"/>
      <w:marRight w:val="0"/>
      <w:marTop w:val="0"/>
      <w:marBottom w:val="0"/>
      <w:divBdr>
        <w:top w:val="none" w:sz="0" w:space="0" w:color="auto"/>
        <w:left w:val="none" w:sz="0" w:space="0" w:color="auto"/>
        <w:bottom w:val="none" w:sz="0" w:space="0" w:color="auto"/>
        <w:right w:val="none" w:sz="0" w:space="0" w:color="auto"/>
      </w:divBdr>
    </w:div>
    <w:div w:id="547378862">
      <w:bodyDiv w:val="1"/>
      <w:marLeft w:val="0"/>
      <w:marRight w:val="0"/>
      <w:marTop w:val="0"/>
      <w:marBottom w:val="0"/>
      <w:divBdr>
        <w:top w:val="none" w:sz="0" w:space="0" w:color="auto"/>
        <w:left w:val="none" w:sz="0" w:space="0" w:color="auto"/>
        <w:bottom w:val="none" w:sz="0" w:space="0" w:color="auto"/>
        <w:right w:val="none" w:sz="0" w:space="0" w:color="auto"/>
      </w:divBdr>
    </w:div>
    <w:div w:id="596905700">
      <w:bodyDiv w:val="1"/>
      <w:marLeft w:val="0"/>
      <w:marRight w:val="0"/>
      <w:marTop w:val="0"/>
      <w:marBottom w:val="0"/>
      <w:divBdr>
        <w:top w:val="none" w:sz="0" w:space="0" w:color="auto"/>
        <w:left w:val="none" w:sz="0" w:space="0" w:color="auto"/>
        <w:bottom w:val="none" w:sz="0" w:space="0" w:color="auto"/>
        <w:right w:val="none" w:sz="0" w:space="0" w:color="auto"/>
      </w:divBdr>
    </w:div>
    <w:div w:id="754673119">
      <w:bodyDiv w:val="1"/>
      <w:marLeft w:val="0"/>
      <w:marRight w:val="0"/>
      <w:marTop w:val="0"/>
      <w:marBottom w:val="0"/>
      <w:divBdr>
        <w:top w:val="none" w:sz="0" w:space="0" w:color="auto"/>
        <w:left w:val="none" w:sz="0" w:space="0" w:color="auto"/>
        <w:bottom w:val="none" w:sz="0" w:space="0" w:color="auto"/>
        <w:right w:val="none" w:sz="0" w:space="0" w:color="auto"/>
      </w:divBdr>
    </w:div>
    <w:div w:id="1345664582">
      <w:bodyDiv w:val="1"/>
      <w:marLeft w:val="0"/>
      <w:marRight w:val="0"/>
      <w:marTop w:val="0"/>
      <w:marBottom w:val="0"/>
      <w:divBdr>
        <w:top w:val="none" w:sz="0" w:space="0" w:color="auto"/>
        <w:left w:val="none" w:sz="0" w:space="0" w:color="auto"/>
        <w:bottom w:val="none" w:sz="0" w:space="0" w:color="auto"/>
        <w:right w:val="none" w:sz="0" w:space="0" w:color="auto"/>
      </w:divBdr>
    </w:div>
    <w:div w:id="1418791668">
      <w:bodyDiv w:val="1"/>
      <w:marLeft w:val="0"/>
      <w:marRight w:val="0"/>
      <w:marTop w:val="0"/>
      <w:marBottom w:val="0"/>
      <w:divBdr>
        <w:top w:val="none" w:sz="0" w:space="0" w:color="auto"/>
        <w:left w:val="none" w:sz="0" w:space="0" w:color="auto"/>
        <w:bottom w:val="none" w:sz="0" w:space="0" w:color="auto"/>
        <w:right w:val="none" w:sz="0" w:space="0" w:color="auto"/>
      </w:divBdr>
    </w:div>
    <w:div w:id="1478911824">
      <w:bodyDiv w:val="1"/>
      <w:marLeft w:val="0"/>
      <w:marRight w:val="0"/>
      <w:marTop w:val="0"/>
      <w:marBottom w:val="0"/>
      <w:divBdr>
        <w:top w:val="none" w:sz="0" w:space="0" w:color="auto"/>
        <w:left w:val="none" w:sz="0" w:space="0" w:color="auto"/>
        <w:bottom w:val="none" w:sz="0" w:space="0" w:color="auto"/>
        <w:right w:val="none" w:sz="0" w:space="0" w:color="auto"/>
      </w:divBdr>
    </w:div>
    <w:div w:id="1621297948">
      <w:bodyDiv w:val="1"/>
      <w:marLeft w:val="0"/>
      <w:marRight w:val="0"/>
      <w:marTop w:val="0"/>
      <w:marBottom w:val="0"/>
      <w:divBdr>
        <w:top w:val="none" w:sz="0" w:space="0" w:color="auto"/>
        <w:left w:val="none" w:sz="0" w:space="0" w:color="auto"/>
        <w:bottom w:val="none" w:sz="0" w:space="0" w:color="auto"/>
        <w:right w:val="none" w:sz="0" w:space="0" w:color="auto"/>
      </w:divBdr>
    </w:div>
    <w:div w:id="1882478603">
      <w:bodyDiv w:val="1"/>
      <w:marLeft w:val="0"/>
      <w:marRight w:val="0"/>
      <w:marTop w:val="0"/>
      <w:marBottom w:val="0"/>
      <w:divBdr>
        <w:top w:val="none" w:sz="0" w:space="0" w:color="auto"/>
        <w:left w:val="none" w:sz="0" w:space="0" w:color="auto"/>
        <w:bottom w:val="none" w:sz="0" w:space="0" w:color="auto"/>
        <w:right w:val="none" w:sz="0" w:space="0" w:color="auto"/>
      </w:divBdr>
    </w:div>
    <w:div w:id="1946766357">
      <w:bodyDiv w:val="1"/>
      <w:marLeft w:val="0"/>
      <w:marRight w:val="0"/>
      <w:marTop w:val="0"/>
      <w:marBottom w:val="0"/>
      <w:divBdr>
        <w:top w:val="none" w:sz="0" w:space="0" w:color="auto"/>
        <w:left w:val="none" w:sz="0" w:space="0" w:color="auto"/>
        <w:bottom w:val="none" w:sz="0" w:space="0" w:color="auto"/>
        <w:right w:val="none" w:sz="0" w:space="0" w:color="auto"/>
      </w:divBdr>
    </w:div>
    <w:div w:id="2119829572">
      <w:bodyDiv w:val="1"/>
      <w:marLeft w:val="0"/>
      <w:marRight w:val="0"/>
      <w:marTop w:val="0"/>
      <w:marBottom w:val="0"/>
      <w:divBdr>
        <w:top w:val="none" w:sz="0" w:space="0" w:color="auto"/>
        <w:left w:val="none" w:sz="0" w:space="0" w:color="auto"/>
        <w:bottom w:val="none" w:sz="0" w:space="0" w:color="auto"/>
        <w:right w:val="none" w:sz="0" w:space="0" w:color="auto"/>
      </w:divBdr>
    </w:div>
    <w:div w:id="2140687174">
      <w:bodyDiv w:val="1"/>
      <w:marLeft w:val="0"/>
      <w:marRight w:val="0"/>
      <w:marTop w:val="0"/>
      <w:marBottom w:val="0"/>
      <w:divBdr>
        <w:top w:val="none" w:sz="0" w:space="0" w:color="auto"/>
        <w:left w:val="none" w:sz="0" w:space="0" w:color="auto"/>
        <w:bottom w:val="none" w:sz="0" w:space="0" w:color="auto"/>
        <w:right w:val="none" w:sz="0" w:space="0" w:color="auto"/>
      </w:divBdr>
      <w:divsChild>
        <w:div w:id="1861816157">
          <w:marLeft w:val="0"/>
          <w:marRight w:val="0"/>
          <w:marTop w:val="0"/>
          <w:marBottom w:val="0"/>
          <w:divBdr>
            <w:top w:val="none" w:sz="0" w:space="0" w:color="auto"/>
            <w:left w:val="none" w:sz="0" w:space="0" w:color="auto"/>
            <w:bottom w:val="none" w:sz="0" w:space="0" w:color="auto"/>
            <w:right w:val="none" w:sz="0" w:space="0" w:color="auto"/>
          </w:divBdr>
          <w:divsChild>
            <w:div w:id="432211588">
              <w:marLeft w:val="0"/>
              <w:marRight w:val="0"/>
              <w:marTop w:val="0"/>
              <w:marBottom w:val="0"/>
              <w:divBdr>
                <w:top w:val="none" w:sz="0" w:space="0" w:color="auto"/>
                <w:left w:val="none" w:sz="0" w:space="0" w:color="auto"/>
                <w:bottom w:val="none" w:sz="0" w:space="0" w:color="auto"/>
                <w:right w:val="none" w:sz="0" w:space="0" w:color="auto"/>
              </w:divBdr>
              <w:divsChild>
                <w:div w:id="2028829949">
                  <w:marLeft w:val="0"/>
                  <w:marRight w:val="0"/>
                  <w:marTop w:val="0"/>
                  <w:marBottom w:val="0"/>
                  <w:divBdr>
                    <w:top w:val="none" w:sz="0" w:space="0" w:color="auto"/>
                    <w:left w:val="none" w:sz="0" w:space="0" w:color="auto"/>
                    <w:bottom w:val="none" w:sz="0" w:space="0" w:color="auto"/>
                    <w:right w:val="none" w:sz="0" w:space="0" w:color="auto"/>
                  </w:divBdr>
                  <w:divsChild>
                    <w:div w:id="1974560508">
                      <w:marLeft w:val="0"/>
                      <w:marRight w:val="0"/>
                      <w:marTop w:val="0"/>
                      <w:marBottom w:val="0"/>
                      <w:divBdr>
                        <w:top w:val="none" w:sz="0" w:space="0" w:color="auto"/>
                        <w:left w:val="none" w:sz="0" w:space="0" w:color="auto"/>
                        <w:bottom w:val="none" w:sz="0" w:space="0" w:color="auto"/>
                        <w:right w:val="none" w:sz="0" w:space="0" w:color="auto"/>
                      </w:divBdr>
                      <w:divsChild>
                        <w:div w:id="2145151747">
                          <w:marLeft w:val="0"/>
                          <w:marRight w:val="0"/>
                          <w:marTop w:val="0"/>
                          <w:marBottom w:val="0"/>
                          <w:divBdr>
                            <w:top w:val="none" w:sz="0" w:space="0" w:color="auto"/>
                            <w:left w:val="none" w:sz="0" w:space="0" w:color="auto"/>
                            <w:bottom w:val="none" w:sz="0" w:space="0" w:color="auto"/>
                            <w:right w:val="none" w:sz="0" w:space="0" w:color="auto"/>
                          </w:divBdr>
                          <w:divsChild>
                            <w:div w:id="212947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10.3390/ijerph15061235" TargetMode="External"/><Relationship Id="rId13" Type="http://schemas.openxmlformats.org/officeDocument/2006/relationships/hyperlink" Target="https://www.england.nhs.uk/long-read/trauma-informed-harm-aware-inpatient-care/" TargetMode="External"/><Relationship Id="rId18" Type="http://schemas.openxmlformats.org/officeDocument/2006/relationships/hyperlink" Target="https://www.doi:10.1037/0003-066X.55.5.469" TargetMode="External"/><Relationship Id="rId26" Type="http://schemas.openxmlformats.org/officeDocument/2006/relationships/hyperlink" Target="https://www.doi:10.1016/j.jad.2014.12.062" TargetMode="External"/><Relationship Id="rId39" Type="http://schemas.openxmlformats.org/officeDocument/2006/relationships/hyperlink" Target="https://www.doi:10.1016/j.cpr.2016.09.002" TargetMode="External"/><Relationship Id="rId3" Type="http://schemas.openxmlformats.org/officeDocument/2006/relationships/settings" Target="settings.xml"/><Relationship Id="rId21" Type="http://schemas.openxmlformats.org/officeDocument/2006/relationships/hyperlink" Target="https://www.doi:10.1016/j.amepre.2015.02.001" TargetMode="External"/><Relationship Id="rId34" Type="http://schemas.openxmlformats.org/officeDocument/2006/relationships/hyperlink" Target="https://www.england.nhs.uk/mental-health/adults/cmhs/" TargetMode="External"/><Relationship Id="rId42" Type="http://schemas.openxmlformats.org/officeDocument/2006/relationships/hyperlink" Target="https://www.legislation.gov.uk/ukpga/Eliz2/9-10/60" TargetMode="External"/><Relationship Id="rId7" Type="http://schemas.openxmlformats.org/officeDocument/2006/relationships/hyperlink" Target="https://www.cdc.gov/aces/about/index.html" TargetMode="External"/><Relationship Id="rId12" Type="http://schemas.openxmlformats.org/officeDocument/2006/relationships/hyperlink" Target="https://www.nice.org.uk/guidance/ng225" TargetMode="External"/><Relationship Id="rId17" Type="http://schemas.openxmlformats.org/officeDocument/2006/relationships/hyperlink" Target="https://www.doi:10.1037/0003-066X.58.1.5" TargetMode="External"/><Relationship Id="rId25" Type="http://schemas.openxmlformats.org/officeDocument/2006/relationships/hyperlink" Target="https://www.doi:10.1016/j.chiabu.2015.07.011" TargetMode="External"/><Relationship Id="rId33" Type="http://schemas.openxmlformats.org/officeDocument/2006/relationships/hyperlink" Target="https://www.england.nhs.uk/long-read/trauma-informed-harm-aware-inpatient-care/" TargetMode="External"/><Relationship Id="rId38" Type="http://schemas.openxmlformats.org/officeDocument/2006/relationships/hyperlink" Target="https://www.samaritans.org/how-we-can-help/contact-samaritan/talk-us-phone/"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tore.samhsa.gov/shin/content/SMA14-4884/SMA14-4884.pdf" TargetMode="External"/><Relationship Id="rId20" Type="http://schemas.openxmlformats.org/officeDocument/2006/relationships/hyperlink" Target="https://www.cdc.gov/aces/about/index.html" TargetMode="External"/><Relationship Id="rId29" Type="http://schemas.openxmlformats.org/officeDocument/2006/relationships/hyperlink" Target="https://www.nice.org.uk/guidance/ng225" TargetMode="External"/><Relationship Id="rId41" Type="http://schemas.openxmlformats.org/officeDocument/2006/relationships/hyperlink" Target="https://store.samhsa.gov/product/SAMHSA-s-Concept-of-Trauma-and-Guidance-for-a-Trauma-Informed-Approach/SMA14-488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10.1016/S2468-2667(17)30118-4" TargetMode="External"/><Relationship Id="rId24" Type="http://schemas.openxmlformats.org/officeDocument/2006/relationships/hyperlink" Target="https://www.doi:10.1016/S0749-3797(98)00017-8" TargetMode="External"/><Relationship Id="rId32" Type="http://schemas.openxmlformats.org/officeDocument/2006/relationships/hyperlink" Target="https://digital.nhs.uk/data-and-information/publications/statistical/adult-psychiatric-morbidity-survey/survey-of-mental-health-and-wellbeing-england-2023-24/suicidal-thoughts-suicide-attempts-and-self-harm" TargetMode="External"/><Relationship Id="rId37" Type="http://schemas.openxmlformats.org/officeDocument/2006/relationships/hyperlink" Target="https://www.rcpsych.ac.uk/docs/default-source/improving-care/better-mh-policy/policy/nhs-long-term-plan-briefing.pdf" TargetMode="External"/><Relationship Id="rId40" Type="http://schemas.openxmlformats.org/officeDocument/2006/relationships/hyperlink" Target="https://www.doi:10.1542/peds.2011-2663"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ons.gov.uk/peoplepopulationandcommunity/birthsdeathsandmarriages/deaths/bulletins/suicidesintheunitedkingdom/2024registrations" TargetMode="External"/><Relationship Id="rId23" Type="http://schemas.openxmlformats.org/officeDocument/2006/relationships/hyperlink" Target="https://www.gov.uk/government/publications/suicide-prevention-strategy-for-england-2023-to-2028" TargetMode="External"/><Relationship Id="rId28" Type="http://schemas.openxmlformats.org/officeDocument/2006/relationships/hyperlink" Target="https://www.naccho.org/uploads/downloadable-resources/SPACECAT_Issue-Brief_Final_LINK.pdf" TargetMode="External"/><Relationship Id="rId36" Type="http://schemas.openxmlformats.org/officeDocument/2006/relationships/hyperlink" Target="https://pmc.ncbi.nlm.nih.gov/articles/PMC10313045/" TargetMode="External"/><Relationship Id="rId10" Type="http://schemas.openxmlformats.org/officeDocument/2006/relationships/hyperlink" Target="https://doi:10.1016/S0749-3797(98)00017-8" TargetMode="External"/><Relationship Id="rId19" Type="http://schemas.openxmlformats.org/officeDocument/2006/relationships/hyperlink" Target="https://www.doi:10.1186/1741-7015-12-72" TargetMode="External"/><Relationship Id="rId31" Type="http://schemas.openxmlformats.org/officeDocument/2006/relationships/hyperlink" Target="https://www.nhs.uk/tests-and-treatments/talking-therapies/"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researchbriefings.files.parliament.uk/documents/CBP-7749/CBP-7749.pdf" TargetMode="External"/><Relationship Id="rId14" Type="http://schemas.openxmlformats.org/officeDocument/2006/relationships/hyperlink" Target="https://www.longtermplan.nhs.uk" TargetMode="External"/><Relationship Id="rId22" Type="http://schemas.openxmlformats.org/officeDocument/2006/relationships/hyperlink" Target="https://assets.publishing.service.gov.uk/media/6849a7b67cba25f610c7db3f/Working_together_to_safeguard_children_2023_-_statutory_guidance.pdf" TargetMode="External"/><Relationship Id="rId27" Type="http://schemas.openxmlformats.org/officeDocument/2006/relationships/hyperlink" Target="https://researchbriefings.files.parliament.uk/documents/CBP-7749/CBP-7749.pdf" TargetMode="External"/><Relationship Id="rId30" Type="http://schemas.openxmlformats.org/officeDocument/2006/relationships/hyperlink" Target="https://www.nhs.uk/nhs-services/mental-health-services/where-to-get-urgent-help-for-mental-health/" TargetMode="External"/><Relationship Id="rId35" Type="http://schemas.openxmlformats.org/officeDocument/2006/relationships/hyperlink" Target="https://www.ons.gov.uk/peoplepopulationandcommunity/birthsdeathsandmarriages/deaths/bulletins/suicidesintheunitedkingdom/2024registrations" TargetMode="External"/><Relationship Id="rId43" Type="http://schemas.openxmlformats.org/officeDocument/2006/relationships/hyperlink" Target="https://www.who.int/publications/i/item/97892400266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20</Pages>
  <Words>6340</Words>
  <Characters>36139</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Saima Ijaz</cp:lastModifiedBy>
  <cp:revision>192</cp:revision>
  <dcterms:created xsi:type="dcterms:W3CDTF">2026-02-19T03:38:00Z</dcterms:created>
  <dcterms:modified xsi:type="dcterms:W3CDTF">2026-04-02T22:53:00Z</dcterms:modified>
</cp:coreProperties>
</file>