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870A044" w14:textId="77777777" w:rsidR="00FC322A" w:rsidRDefault="00FC322A" w:rsidP="00FC322A">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Name: Daniel Stoica </w:t>
      </w:r>
    </w:p>
    <w:p w14:paraId="63C10F1E" w14:textId="77777777" w:rsidR="00FC322A" w:rsidRDefault="00FC322A" w:rsidP="00FC322A">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Student ID: 2516172</w:t>
      </w:r>
    </w:p>
    <w:p w14:paraId="006DD781" w14:textId="5956EC3C" w:rsidR="00FC322A" w:rsidRDefault="00FC322A" w:rsidP="00FC322A">
      <w:pPr>
        <w:rPr>
          <w:rFonts w:ascii="Times New Roman" w:hAnsi="Times New Roman" w:cs="Times New Roman"/>
          <w:sz w:val="32"/>
          <w:szCs w:val="32"/>
        </w:rPr>
      </w:pPr>
      <w:r w:rsidRPr="0083162C">
        <w:rPr>
          <w:rStyle w:val="s1"/>
          <w:rFonts w:ascii="Times New Roman" w:hAnsi="Times New Roman" w:cs="Times New Roman"/>
          <w:sz w:val="32"/>
          <w:szCs w:val="32"/>
        </w:rPr>
        <w:t xml:space="preserve">Module: </w:t>
      </w:r>
      <w:r w:rsidRPr="00FC322A">
        <w:rPr>
          <w:rFonts w:ascii="Times New Roman" w:hAnsi="Times New Roman" w:cs="Times New Roman"/>
          <w:bCs/>
          <w:sz w:val="32"/>
          <w:szCs w:val="32"/>
        </w:rPr>
        <w:t>Global Business Environment</w:t>
      </w:r>
    </w:p>
    <w:p w14:paraId="10F12F08" w14:textId="77777777" w:rsidR="00FC322A" w:rsidRDefault="00FC322A" w:rsidP="00FC322A">
      <w:pPr>
        <w:pStyle w:val="p1"/>
        <w:rPr>
          <w:rFonts w:ascii="Times New Roman" w:hAnsi="Times New Roman" w:cs="Times New Roman"/>
          <w:sz w:val="32"/>
          <w:szCs w:val="32"/>
        </w:rPr>
      </w:pPr>
      <w:r>
        <w:rPr>
          <w:rFonts w:ascii="Times New Roman" w:hAnsi="Times New Roman" w:cs="Times New Roman"/>
          <w:sz w:val="32"/>
          <w:szCs w:val="32"/>
        </w:rPr>
        <w:t>Words: 1500</w:t>
      </w:r>
      <w:r w:rsidRPr="003E4838">
        <w:rPr>
          <w:rFonts w:ascii="Times New Roman" w:hAnsi="Times New Roman" w:cs="Times New Roman"/>
          <w:sz w:val="32"/>
          <w:szCs w:val="32"/>
        </w:rPr>
        <w:t xml:space="preserve"> (+/-10%)</w:t>
      </w:r>
    </w:p>
    <w:p w14:paraId="0FA5FE1B" w14:textId="77777777" w:rsidR="00FC322A" w:rsidRPr="003E4838" w:rsidRDefault="00FC322A" w:rsidP="00FC322A">
      <w:pPr>
        <w:pStyle w:val="p1"/>
        <w:rPr>
          <w:rFonts w:ascii="Times New Roman" w:hAnsi="Times New Roman" w:cs="Times New Roman"/>
          <w:sz w:val="32"/>
          <w:szCs w:val="32"/>
        </w:rPr>
      </w:pPr>
    </w:p>
    <w:p w14:paraId="6E1219A0" w14:textId="6F748BC1" w:rsidR="00FC322A" w:rsidRPr="00B40091" w:rsidRDefault="00FC322A" w:rsidP="00FC322A">
      <w:pPr>
        <w:pStyle w:val="p1"/>
        <w:rPr>
          <w:sz w:val="17"/>
          <w:szCs w:val="17"/>
        </w:rPr>
      </w:pPr>
      <w:r w:rsidRPr="00B40091">
        <w:rPr>
          <w:rFonts w:ascii="Times New Roman" w:hAnsi="Times New Roman" w:cs="Times New Roman"/>
          <w:sz w:val="32"/>
          <w:szCs w:val="32"/>
        </w:rPr>
        <w:t>Lecturer: </w:t>
      </w:r>
      <w:r w:rsidRPr="00FC322A">
        <w:rPr>
          <w:rFonts w:ascii="Times New Roman" w:hAnsi="Times New Roman" w:cs="Times New Roman"/>
          <w:sz w:val="32"/>
          <w:szCs w:val="32"/>
        </w:rPr>
        <w:t>Said Usman</w:t>
      </w:r>
    </w:p>
    <w:p w14:paraId="57F40CFD" w14:textId="07BAA8D1" w:rsidR="007467EE" w:rsidRPr="0052293D" w:rsidRDefault="0052293D" w:rsidP="007467EE">
      <w:pPr>
        <w:spacing w:before="100" w:beforeAutospacing="1" w:after="100" w:afterAutospacing="1" w:line="240" w:lineRule="auto"/>
        <w:outlineLvl w:val="0"/>
        <w:rPr>
          <w:rFonts w:ascii="Times New Roman" w:eastAsia="Times New Roman" w:hAnsi="Times New Roman" w:cs="Times New Roman"/>
          <w:color w:val="000000" w:themeColor="text1"/>
          <w:kern w:val="36"/>
          <w:sz w:val="32"/>
          <w:szCs w:val="32"/>
          <w:lang w:eastAsia="en-GB"/>
          <w14:ligatures w14:val="none"/>
        </w:rPr>
      </w:pPr>
      <w:r w:rsidRPr="0052293D">
        <w:rPr>
          <w:rFonts w:ascii="Times New Roman" w:eastAsia="Times New Roman" w:hAnsi="Times New Roman" w:cs="Times New Roman"/>
          <w:color w:val="000000" w:themeColor="text1"/>
          <w:kern w:val="36"/>
          <w:sz w:val="32"/>
          <w:szCs w:val="32"/>
          <w:lang w:eastAsia="en-GB"/>
          <w14:ligatures w14:val="none"/>
        </w:rPr>
        <w:t xml:space="preserve">Module code: </w:t>
      </w:r>
      <w:r w:rsidRPr="0052293D">
        <w:rPr>
          <w:rFonts w:ascii="Times New Roman" w:eastAsia="Times New Roman" w:hAnsi="Times New Roman" w:cs="Times New Roman"/>
          <w:color w:val="000000" w:themeColor="text1"/>
          <w:kern w:val="36"/>
          <w:sz w:val="32"/>
          <w:szCs w:val="32"/>
          <w:lang w:eastAsia="en-GB"/>
          <w14:ligatures w14:val="none"/>
        </w:rPr>
        <w:t>LCBB4016</w:t>
      </w:r>
    </w:p>
    <w:p w14:paraId="33E9473A" w14:textId="77777777" w:rsidR="007467EE" w:rsidRPr="00E91F1B" w:rsidRDefault="007467EE"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p>
    <w:p w14:paraId="424E2748" w14:textId="77777777" w:rsidR="00E91F1B" w:rsidRPr="00E91F1B" w:rsidRDefault="00E91F1B"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p>
    <w:p w14:paraId="521427EF" w14:textId="77777777" w:rsidR="00E91F1B" w:rsidRPr="00E91F1B" w:rsidRDefault="00E91F1B"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p>
    <w:p w14:paraId="4A48BE52" w14:textId="77777777" w:rsidR="00E91F1B" w:rsidRPr="00E91F1B" w:rsidRDefault="00E91F1B" w:rsidP="00E91F1B">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r w:rsidRPr="00E91F1B">
        <w:rPr>
          <w:rFonts w:ascii="Times New Roman" w:eastAsia="Times New Roman" w:hAnsi="Times New Roman" w:cs="Times New Roman"/>
          <w:b/>
          <w:bCs/>
          <w:color w:val="000000" w:themeColor="text1"/>
          <w:kern w:val="36"/>
          <w:sz w:val="32"/>
          <w:szCs w:val="32"/>
          <w:lang w:eastAsia="en-GB"/>
          <w14:ligatures w14:val="none"/>
        </w:rPr>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633"/>
        <w:gridCol w:w="733"/>
      </w:tblGrid>
      <w:tr w:rsidR="00E91F1B" w:rsidRPr="00E91F1B" w14:paraId="63B1B53F" w14:textId="77777777">
        <w:trPr>
          <w:tblCellSpacing w:w="15" w:type="dxa"/>
        </w:trPr>
        <w:tc>
          <w:tcPr>
            <w:tcW w:w="0" w:type="auto"/>
            <w:vAlign w:val="center"/>
            <w:hideMark/>
          </w:tcPr>
          <w:p w14:paraId="63BA1EB0" w14:textId="77777777" w:rsidR="00E91F1B" w:rsidRPr="00E91F1B" w:rsidRDefault="00E91F1B" w:rsidP="00E91F1B">
            <w:pPr>
              <w:spacing w:after="0" w:line="240" w:lineRule="auto"/>
              <w:jc w:val="center"/>
              <w:rPr>
                <w:rFonts w:ascii="Times New Roman" w:eastAsia="Times New Roman" w:hAnsi="Times New Roman" w:cs="Times New Roman"/>
                <w:b/>
                <w:bCs/>
                <w:color w:val="000000" w:themeColor="text1"/>
                <w:kern w:val="0"/>
                <w:sz w:val="32"/>
                <w:szCs w:val="32"/>
                <w:lang w:eastAsia="en-GB"/>
                <w14:ligatures w14:val="none"/>
              </w:rPr>
            </w:pPr>
            <w:r w:rsidRPr="00E91F1B">
              <w:rPr>
                <w:rFonts w:ascii="Times New Roman" w:eastAsia="Times New Roman" w:hAnsi="Times New Roman" w:cs="Times New Roman"/>
                <w:b/>
                <w:bCs/>
                <w:color w:val="000000" w:themeColor="text1"/>
                <w:kern w:val="0"/>
                <w:sz w:val="32"/>
                <w:szCs w:val="32"/>
                <w:lang w:eastAsia="en-GB"/>
                <w14:ligatures w14:val="none"/>
              </w:rPr>
              <w:t>Contents</w:t>
            </w:r>
          </w:p>
        </w:tc>
        <w:tc>
          <w:tcPr>
            <w:tcW w:w="0" w:type="auto"/>
            <w:vAlign w:val="center"/>
            <w:hideMark/>
          </w:tcPr>
          <w:p w14:paraId="76382A0A" w14:textId="77777777" w:rsidR="00E91F1B" w:rsidRPr="00E91F1B" w:rsidRDefault="00E91F1B" w:rsidP="00E91F1B">
            <w:pPr>
              <w:spacing w:after="0" w:line="240" w:lineRule="auto"/>
              <w:jc w:val="center"/>
              <w:rPr>
                <w:rFonts w:ascii="Times New Roman" w:eastAsia="Times New Roman" w:hAnsi="Times New Roman" w:cs="Times New Roman"/>
                <w:b/>
                <w:bCs/>
                <w:color w:val="000000" w:themeColor="text1"/>
                <w:kern w:val="0"/>
                <w:sz w:val="32"/>
                <w:szCs w:val="32"/>
                <w:lang w:eastAsia="en-GB"/>
                <w14:ligatures w14:val="none"/>
              </w:rPr>
            </w:pPr>
            <w:r w:rsidRPr="00E91F1B">
              <w:rPr>
                <w:rFonts w:ascii="Times New Roman" w:eastAsia="Times New Roman" w:hAnsi="Times New Roman" w:cs="Times New Roman"/>
                <w:b/>
                <w:bCs/>
                <w:color w:val="000000" w:themeColor="text1"/>
                <w:kern w:val="0"/>
                <w:sz w:val="32"/>
                <w:szCs w:val="32"/>
                <w:lang w:eastAsia="en-GB"/>
                <w14:ligatures w14:val="none"/>
              </w:rPr>
              <w:t>Page</w:t>
            </w:r>
          </w:p>
        </w:tc>
      </w:tr>
      <w:tr w:rsidR="00E91F1B" w:rsidRPr="00E91F1B" w14:paraId="37A8FC9B" w14:textId="77777777">
        <w:trPr>
          <w:tblCellSpacing w:w="15" w:type="dxa"/>
        </w:trPr>
        <w:tc>
          <w:tcPr>
            <w:tcW w:w="0" w:type="auto"/>
            <w:vAlign w:val="center"/>
            <w:hideMark/>
          </w:tcPr>
          <w:p w14:paraId="33831637"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Introduction</w:t>
            </w:r>
          </w:p>
        </w:tc>
        <w:tc>
          <w:tcPr>
            <w:tcW w:w="0" w:type="auto"/>
            <w:vAlign w:val="center"/>
            <w:hideMark/>
          </w:tcPr>
          <w:p w14:paraId="46F81E23"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1</w:t>
            </w:r>
          </w:p>
        </w:tc>
      </w:tr>
      <w:tr w:rsidR="00E91F1B" w:rsidRPr="00E91F1B" w14:paraId="14A2FF1B" w14:textId="77777777">
        <w:trPr>
          <w:tblCellSpacing w:w="15" w:type="dxa"/>
        </w:trPr>
        <w:tc>
          <w:tcPr>
            <w:tcW w:w="0" w:type="auto"/>
            <w:vAlign w:val="center"/>
            <w:hideMark/>
          </w:tcPr>
          <w:p w14:paraId="68EFA29E" w14:textId="77777777" w:rsidR="00E91F1B" w:rsidRPr="00FC322A"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FC322A">
              <w:rPr>
                <w:rFonts w:ascii="Times New Roman" w:eastAsia="Times New Roman" w:hAnsi="Times New Roman" w:cs="Times New Roman"/>
                <w:color w:val="000000" w:themeColor="text1"/>
                <w:kern w:val="0"/>
                <w:sz w:val="32"/>
                <w:szCs w:val="32"/>
                <w:lang w:eastAsia="en-GB"/>
                <w14:ligatures w14:val="none"/>
              </w:rPr>
              <w:t>1. Opportunities and Challenges</w:t>
            </w:r>
          </w:p>
        </w:tc>
        <w:tc>
          <w:tcPr>
            <w:tcW w:w="0" w:type="auto"/>
            <w:vAlign w:val="center"/>
            <w:hideMark/>
          </w:tcPr>
          <w:p w14:paraId="4C3E7F35"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2</w:t>
            </w:r>
          </w:p>
        </w:tc>
      </w:tr>
      <w:tr w:rsidR="00E91F1B" w:rsidRPr="00E91F1B" w14:paraId="51D1C019" w14:textId="77777777">
        <w:trPr>
          <w:tblCellSpacing w:w="15" w:type="dxa"/>
        </w:trPr>
        <w:tc>
          <w:tcPr>
            <w:tcW w:w="0" w:type="auto"/>
            <w:vAlign w:val="center"/>
            <w:hideMark/>
          </w:tcPr>
          <w:p w14:paraId="4C216308"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1.1 Opportunities Created by Artificial Intelligence</w:t>
            </w:r>
          </w:p>
        </w:tc>
        <w:tc>
          <w:tcPr>
            <w:tcW w:w="0" w:type="auto"/>
            <w:vAlign w:val="center"/>
            <w:hideMark/>
          </w:tcPr>
          <w:p w14:paraId="37E11AE6"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2</w:t>
            </w:r>
          </w:p>
        </w:tc>
      </w:tr>
      <w:tr w:rsidR="00E91F1B" w:rsidRPr="00E91F1B" w14:paraId="070E2BBB" w14:textId="77777777">
        <w:trPr>
          <w:tblCellSpacing w:w="15" w:type="dxa"/>
        </w:trPr>
        <w:tc>
          <w:tcPr>
            <w:tcW w:w="0" w:type="auto"/>
            <w:vAlign w:val="center"/>
            <w:hideMark/>
          </w:tcPr>
          <w:p w14:paraId="76C3510D"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1.2 Supply Chain Opportunities and Challenges</w:t>
            </w:r>
          </w:p>
        </w:tc>
        <w:tc>
          <w:tcPr>
            <w:tcW w:w="0" w:type="auto"/>
            <w:vAlign w:val="center"/>
            <w:hideMark/>
          </w:tcPr>
          <w:p w14:paraId="3E0954FC"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3</w:t>
            </w:r>
          </w:p>
        </w:tc>
      </w:tr>
      <w:tr w:rsidR="00E91F1B" w:rsidRPr="00E91F1B" w14:paraId="73457683" w14:textId="77777777">
        <w:trPr>
          <w:tblCellSpacing w:w="15" w:type="dxa"/>
        </w:trPr>
        <w:tc>
          <w:tcPr>
            <w:tcW w:w="0" w:type="auto"/>
            <w:vAlign w:val="center"/>
            <w:hideMark/>
          </w:tcPr>
          <w:p w14:paraId="45B052CA"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1.3 Sustainability Requirements</w:t>
            </w:r>
          </w:p>
        </w:tc>
        <w:tc>
          <w:tcPr>
            <w:tcW w:w="0" w:type="auto"/>
            <w:vAlign w:val="center"/>
            <w:hideMark/>
          </w:tcPr>
          <w:p w14:paraId="1864EF85"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4</w:t>
            </w:r>
          </w:p>
        </w:tc>
      </w:tr>
      <w:tr w:rsidR="00E91F1B" w:rsidRPr="00FC322A" w14:paraId="6CF63019" w14:textId="77777777">
        <w:trPr>
          <w:tblCellSpacing w:w="15" w:type="dxa"/>
        </w:trPr>
        <w:tc>
          <w:tcPr>
            <w:tcW w:w="0" w:type="auto"/>
            <w:vAlign w:val="center"/>
            <w:hideMark/>
          </w:tcPr>
          <w:p w14:paraId="4AE07E71" w14:textId="77777777" w:rsidR="00E91F1B" w:rsidRPr="00FC322A"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FC322A">
              <w:rPr>
                <w:rFonts w:ascii="Times New Roman" w:eastAsia="Times New Roman" w:hAnsi="Times New Roman" w:cs="Times New Roman"/>
                <w:color w:val="000000" w:themeColor="text1"/>
                <w:kern w:val="0"/>
                <w:sz w:val="32"/>
                <w:szCs w:val="32"/>
                <w:lang w:eastAsia="en-GB"/>
                <w14:ligatures w14:val="none"/>
              </w:rPr>
              <w:t>2. Impact on BP</w:t>
            </w:r>
          </w:p>
        </w:tc>
        <w:tc>
          <w:tcPr>
            <w:tcW w:w="0" w:type="auto"/>
            <w:vAlign w:val="center"/>
            <w:hideMark/>
          </w:tcPr>
          <w:p w14:paraId="215FA2D3" w14:textId="77777777" w:rsidR="00E91F1B" w:rsidRPr="00FC322A"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FC322A">
              <w:rPr>
                <w:rFonts w:ascii="Times New Roman" w:eastAsia="Times New Roman" w:hAnsi="Times New Roman" w:cs="Times New Roman"/>
                <w:color w:val="000000" w:themeColor="text1"/>
                <w:kern w:val="0"/>
                <w:sz w:val="32"/>
                <w:szCs w:val="32"/>
                <w:lang w:eastAsia="en-GB"/>
                <w14:ligatures w14:val="none"/>
              </w:rPr>
              <w:t>5</w:t>
            </w:r>
          </w:p>
        </w:tc>
      </w:tr>
      <w:tr w:rsidR="00E91F1B" w:rsidRPr="00E91F1B" w14:paraId="63785ADC" w14:textId="77777777">
        <w:trPr>
          <w:tblCellSpacing w:w="15" w:type="dxa"/>
        </w:trPr>
        <w:tc>
          <w:tcPr>
            <w:tcW w:w="0" w:type="auto"/>
            <w:vAlign w:val="center"/>
            <w:hideMark/>
          </w:tcPr>
          <w:p w14:paraId="3BA018CE"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2.1 Market Positioning</w:t>
            </w:r>
          </w:p>
        </w:tc>
        <w:tc>
          <w:tcPr>
            <w:tcW w:w="0" w:type="auto"/>
            <w:vAlign w:val="center"/>
            <w:hideMark/>
          </w:tcPr>
          <w:p w14:paraId="07E47C11"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5</w:t>
            </w:r>
          </w:p>
        </w:tc>
      </w:tr>
      <w:tr w:rsidR="00E91F1B" w:rsidRPr="00E91F1B" w14:paraId="0EC9C707" w14:textId="77777777">
        <w:trPr>
          <w:tblCellSpacing w:w="15" w:type="dxa"/>
        </w:trPr>
        <w:tc>
          <w:tcPr>
            <w:tcW w:w="0" w:type="auto"/>
            <w:vAlign w:val="center"/>
            <w:hideMark/>
          </w:tcPr>
          <w:p w14:paraId="1B429D17"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2.2 Innovation</w:t>
            </w:r>
          </w:p>
        </w:tc>
        <w:tc>
          <w:tcPr>
            <w:tcW w:w="0" w:type="auto"/>
            <w:vAlign w:val="center"/>
            <w:hideMark/>
          </w:tcPr>
          <w:p w14:paraId="659135CC"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6</w:t>
            </w:r>
          </w:p>
        </w:tc>
      </w:tr>
      <w:tr w:rsidR="00E91F1B" w:rsidRPr="00E91F1B" w14:paraId="1B417AFD" w14:textId="77777777">
        <w:trPr>
          <w:tblCellSpacing w:w="15" w:type="dxa"/>
        </w:trPr>
        <w:tc>
          <w:tcPr>
            <w:tcW w:w="0" w:type="auto"/>
            <w:vAlign w:val="center"/>
            <w:hideMark/>
          </w:tcPr>
          <w:p w14:paraId="6DE50AF1"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2.3 Talent Management</w:t>
            </w:r>
          </w:p>
        </w:tc>
        <w:tc>
          <w:tcPr>
            <w:tcW w:w="0" w:type="auto"/>
            <w:vAlign w:val="center"/>
            <w:hideMark/>
          </w:tcPr>
          <w:p w14:paraId="06E1B09F"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6</w:t>
            </w:r>
          </w:p>
        </w:tc>
      </w:tr>
      <w:tr w:rsidR="00E91F1B" w:rsidRPr="00E91F1B" w14:paraId="4BCAE1EE" w14:textId="77777777">
        <w:trPr>
          <w:tblCellSpacing w:w="15" w:type="dxa"/>
        </w:trPr>
        <w:tc>
          <w:tcPr>
            <w:tcW w:w="0" w:type="auto"/>
            <w:vAlign w:val="center"/>
            <w:hideMark/>
          </w:tcPr>
          <w:p w14:paraId="3A17EA5E"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2.4 Competitiveness</w:t>
            </w:r>
          </w:p>
        </w:tc>
        <w:tc>
          <w:tcPr>
            <w:tcW w:w="0" w:type="auto"/>
            <w:vAlign w:val="center"/>
            <w:hideMark/>
          </w:tcPr>
          <w:p w14:paraId="4286E34D"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7</w:t>
            </w:r>
          </w:p>
        </w:tc>
      </w:tr>
      <w:tr w:rsidR="00E91F1B" w:rsidRPr="00E91F1B" w14:paraId="1ED7C4EE" w14:textId="77777777">
        <w:trPr>
          <w:tblCellSpacing w:w="15" w:type="dxa"/>
        </w:trPr>
        <w:tc>
          <w:tcPr>
            <w:tcW w:w="0" w:type="auto"/>
            <w:vAlign w:val="center"/>
            <w:hideMark/>
          </w:tcPr>
          <w:p w14:paraId="414A42F3" w14:textId="77777777" w:rsidR="00E91F1B" w:rsidRPr="00FC322A"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FC322A">
              <w:rPr>
                <w:rFonts w:ascii="Times New Roman" w:eastAsia="Times New Roman" w:hAnsi="Times New Roman" w:cs="Times New Roman"/>
                <w:color w:val="000000" w:themeColor="text1"/>
                <w:kern w:val="0"/>
                <w:sz w:val="32"/>
                <w:szCs w:val="32"/>
                <w:lang w:eastAsia="en-GB"/>
                <w14:ligatures w14:val="none"/>
              </w:rPr>
              <w:t>3. Strategic Recommendations</w:t>
            </w:r>
          </w:p>
        </w:tc>
        <w:tc>
          <w:tcPr>
            <w:tcW w:w="0" w:type="auto"/>
            <w:vAlign w:val="center"/>
            <w:hideMark/>
          </w:tcPr>
          <w:p w14:paraId="58F735CC"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8</w:t>
            </w:r>
          </w:p>
        </w:tc>
      </w:tr>
      <w:tr w:rsidR="00E91F1B" w:rsidRPr="00E91F1B" w14:paraId="7F2EB53A" w14:textId="77777777">
        <w:trPr>
          <w:tblCellSpacing w:w="15" w:type="dxa"/>
        </w:trPr>
        <w:tc>
          <w:tcPr>
            <w:tcW w:w="0" w:type="auto"/>
            <w:vAlign w:val="center"/>
            <w:hideMark/>
          </w:tcPr>
          <w:p w14:paraId="56AA8E90"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Conclusion</w:t>
            </w:r>
          </w:p>
        </w:tc>
        <w:tc>
          <w:tcPr>
            <w:tcW w:w="0" w:type="auto"/>
            <w:vAlign w:val="center"/>
            <w:hideMark/>
          </w:tcPr>
          <w:p w14:paraId="682C1BAD"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9</w:t>
            </w:r>
          </w:p>
        </w:tc>
      </w:tr>
      <w:tr w:rsidR="00E91F1B" w:rsidRPr="00E91F1B" w14:paraId="439A6D46" w14:textId="77777777">
        <w:trPr>
          <w:tblCellSpacing w:w="15" w:type="dxa"/>
        </w:trPr>
        <w:tc>
          <w:tcPr>
            <w:tcW w:w="0" w:type="auto"/>
            <w:vAlign w:val="center"/>
            <w:hideMark/>
          </w:tcPr>
          <w:p w14:paraId="3DEB7C2A"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References</w:t>
            </w:r>
          </w:p>
        </w:tc>
        <w:tc>
          <w:tcPr>
            <w:tcW w:w="0" w:type="auto"/>
            <w:vAlign w:val="center"/>
            <w:hideMark/>
          </w:tcPr>
          <w:p w14:paraId="0E07281C" w14:textId="77777777" w:rsidR="00E91F1B" w:rsidRPr="00E91F1B" w:rsidRDefault="00E91F1B" w:rsidP="00E91F1B">
            <w:pPr>
              <w:spacing w:after="0"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10</w:t>
            </w:r>
          </w:p>
        </w:tc>
      </w:tr>
    </w:tbl>
    <w:p w14:paraId="3CA57A04" w14:textId="77777777" w:rsidR="007467EE" w:rsidRPr="00E91F1B" w:rsidRDefault="007467EE"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p>
    <w:p w14:paraId="3F0E28C5" w14:textId="77777777" w:rsidR="007467EE" w:rsidRPr="00E91F1B" w:rsidRDefault="007467EE"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p>
    <w:p w14:paraId="0FDEC25D" w14:textId="77777777" w:rsidR="007467EE" w:rsidRPr="00E91F1B" w:rsidRDefault="007467EE"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p>
    <w:p w14:paraId="3A2E323E" w14:textId="77777777" w:rsidR="00E91F1B" w:rsidRDefault="00E91F1B"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32"/>
          <w:szCs w:val="32"/>
          <w:lang w:eastAsia="en-GB"/>
          <w14:ligatures w14:val="none"/>
        </w:rPr>
      </w:pPr>
    </w:p>
    <w:p w14:paraId="772EDA7B" w14:textId="194A50B0" w:rsidR="007467EE" w:rsidRDefault="007467EE"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40"/>
          <w:szCs w:val="40"/>
          <w:lang w:eastAsia="en-GB"/>
          <w14:ligatures w14:val="none"/>
        </w:rPr>
      </w:pPr>
      <w:r w:rsidRPr="00E91F1B">
        <w:rPr>
          <w:rFonts w:ascii="Times New Roman" w:eastAsia="Times New Roman" w:hAnsi="Times New Roman" w:cs="Times New Roman"/>
          <w:b/>
          <w:bCs/>
          <w:color w:val="000000" w:themeColor="text1"/>
          <w:kern w:val="36"/>
          <w:sz w:val="40"/>
          <w:szCs w:val="40"/>
          <w:lang w:eastAsia="en-GB"/>
          <w14:ligatures w14:val="none"/>
        </w:rPr>
        <w:t>The Impact of Artificial Intelligence, Geopolitical Supply Chain Disruptions, and Sustainability Regulations on BP's International Business Strategy</w:t>
      </w:r>
    </w:p>
    <w:p w14:paraId="5E3FF21B" w14:textId="77777777" w:rsidR="00FC322A" w:rsidRDefault="00FC322A"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40"/>
          <w:szCs w:val="40"/>
          <w:lang w:eastAsia="en-GB"/>
          <w14:ligatures w14:val="none"/>
        </w:rPr>
      </w:pPr>
    </w:p>
    <w:p w14:paraId="39DA7A4D" w14:textId="77777777" w:rsidR="00FC322A" w:rsidRPr="00E91F1B" w:rsidRDefault="00FC322A" w:rsidP="007467EE">
      <w:pPr>
        <w:spacing w:before="100" w:beforeAutospacing="1" w:after="100" w:afterAutospacing="1" w:line="240" w:lineRule="auto"/>
        <w:outlineLvl w:val="0"/>
        <w:rPr>
          <w:rFonts w:ascii="Times New Roman" w:eastAsia="Times New Roman" w:hAnsi="Times New Roman" w:cs="Times New Roman"/>
          <w:b/>
          <w:bCs/>
          <w:color w:val="000000" w:themeColor="text1"/>
          <w:kern w:val="36"/>
          <w:sz w:val="40"/>
          <w:szCs w:val="40"/>
          <w:lang w:eastAsia="en-GB"/>
          <w14:ligatures w14:val="none"/>
        </w:rPr>
      </w:pPr>
    </w:p>
    <w:p w14:paraId="5B80A920" w14:textId="77777777" w:rsidR="007467EE" w:rsidRPr="00E91F1B" w:rsidRDefault="007467EE" w:rsidP="007467EE">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Introduction</w:t>
      </w:r>
    </w:p>
    <w:p w14:paraId="71E527FC"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Globalisation refers to the increasing integration of economies, markets, technologies, cultures, and businesses across national borders. It enables organisations to access international markets, source resources globally, and compete on a worldwide scale (Hill, 2024). Advances in digital technologies, transportation, and communication have accelerated globalisation, creating significant opportunities for multinational corporations (MNCs). However, the global business environment has become increasingly complex due to technological disruption, geopolitical uncertainty, and evolving regulatory expectations (Johnson, Scholes and Whittington, 2023). During 2024–2025, organisations face major changes driven by the rapid adoption of artificial intelligence (AI), supply chain disruptions caused by geopolitical tensions such as the Red Sea shipping crisis and China–Taiwan relations, and stricter sustainability regulations, including the European Union's Corporate Sustainability Reporting Directive (European Commission, 2023).</w:t>
      </w:r>
    </w:p>
    <w:p w14:paraId="7F3BD5F2"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 xml:space="preserve">BP plc is one of the world's largest multinational energy companies, headquartered in London, United Kingdom. Operating in more than 60 countries, BP is involved in oil and gas exploration, production, refining, trading, and increasingly renewable energy investments (BP, 2024). As a global organisation, BP depends on complex international supply chains, advanced technologies, and compliance with environmental regulations. The company is also undergoing a </w:t>
      </w:r>
      <w:r w:rsidRPr="00E91F1B">
        <w:rPr>
          <w:rFonts w:ascii="Times New Roman" w:eastAsia="Times New Roman" w:hAnsi="Times New Roman" w:cs="Times New Roman"/>
          <w:color w:val="000000" w:themeColor="text1"/>
          <w:kern w:val="0"/>
          <w:sz w:val="32"/>
          <w:szCs w:val="32"/>
          <w:lang w:eastAsia="en-GB"/>
          <w14:ligatures w14:val="none"/>
        </w:rPr>
        <w:lastRenderedPageBreak/>
        <w:t>strategic transition towards becoming an integrated energy company while maintaining profitability in traditional energy markets (BP, 2024).</w:t>
      </w:r>
    </w:p>
    <w:p w14:paraId="358B983B"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This essay critically examines how AI adoption, geopolitical supply chain challenges, and sustainability requirements influence BP's international strategy and operations. It evaluates the opportunities and challenges created by these global forces, assesses their impact on BP's competitiveness, innovation, talent management, and market position, and provides strategic recommendations to strengthen the company's long-term global success.</w:t>
      </w:r>
    </w:p>
    <w:p w14:paraId="475BD7E4" w14:textId="1193BC5A" w:rsidR="007467EE" w:rsidRPr="00E91F1B" w:rsidRDefault="007467EE" w:rsidP="007467EE">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Opportunities and Challenges</w:t>
      </w:r>
    </w:p>
    <w:p w14:paraId="2976121B" w14:textId="116E2040" w:rsidR="007467EE" w:rsidRPr="00E91F1B" w:rsidRDefault="007467EE" w:rsidP="007467EE">
      <w:pPr>
        <w:spacing w:before="100" w:beforeAutospacing="1" w:after="100" w:afterAutospacing="1" w:line="240" w:lineRule="auto"/>
        <w:outlineLvl w:val="2"/>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 xml:space="preserve">    1.1 </w:t>
      </w:r>
      <w:r w:rsidRPr="00E91F1B">
        <w:rPr>
          <w:rFonts w:ascii="Times New Roman" w:eastAsia="Times New Roman" w:hAnsi="Times New Roman" w:cs="Times New Roman"/>
          <w:b/>
          <w:bCs/>
          <w:color w:val="000000" w:themeColor="text1"/>
          <w:kern w:val="0"/>
          <w:sz w:val="36"/>
          <w:szCs w:val="36"/>
          <w:lang w:eastAsia="en-GB"/>
          <w14:ligatures w14:val="none"/>
        </w:rPr>
        <w:t>Opportunities Created by Artificial Intelligence</w:t>
      </w:r>
    </w:p>
    <w:p w14:paraId="31A16C34"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Artificial intelligence presents significant opportunities for BP by improving operational efficiency, reducing costs, and enhancing decision-making (Laudon and Laudon, 2024). The energy industry produces enormous volumes of operational data from drilling platforms, pipelines, refineries, and renewable energy facilities. AI enables BP to analyse these datasets in real time, allowing predictive maintenance that identifies equipment failures before they occur. This reduces downtime, improves safety, and lowers maintenance costs (World Economic Forum, 2024).</w:t>
      </w:r>
    </w:p>
    <w:p w14:paraId="18C0CAEE"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AI also enhances exploration activities through advanced geological modelling. Machine learning algorithms can analyse seismic data more accurately than traditional methods, increasing the probability of discovering commercially viable energy reserves while reducing exploration costs (Laudon and Laudon, 2024). In addition, AI supports optimisation of energy trading by forecasting market prices, analysing global demand, and identifying trading opportunities faster than conventional systems.</w:t>
      </w:r>
    </w:p>
    <w:p w14:paraId="3735BD3D"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 xml:space="preserve">Customer service also benefits from AI. Intelligent digital assistants and personalised energy management systems improve customer experience while supporting BP's expansion into electric vehicle charging and renewable energy services (BP, 2024). Furthermore, </w:t>
      </w:r>
      <w:r w:rsidRPr="00E91F1B">
        <w:rPr>
          <w:rFonts w:ascii="Times New Roman" w:eastAsia="Times New Roman" w:hAnsi="Times New Roman" w:cs="Times New Roman"/>
          <w:color w:val="000000" w:themeColor="text1"/>
          <w:kern w:val="0"/>
          <w:sz w:val="32"/>
          <w:szCs w:val="32"/>
          <w:lang w:eastAsia="en-GB"/>
          <w14:ligatures w14:val="none"/>
        </w:rPr>
        <w:lastRenderedPageBreak/>
        <w:t>automation enables employees to focus on higher-value strategic activities instead of repetitive administrative tasks.</w:t>
      </w:r>
    </w:p>
    <w:p w14:paraId="23A9B084"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These technological improvements strengthen BP's competitiveness by increasing productivity while supporting its transition towards a more digitally integrated energy business (Johnson, Scholes and Whittington, 2023).</w:t>
      </w:r>
    </w:p>
    <w:p w14:paraId="3FE58C3F" w14:textId="2D79F179" w:rsidR="007467EE" w:rsidRPr="00E91F1B" w:rsidRDefault="007467EE" w:rsidP="007467EE">
      <w:pPr>
        <w:spacing w:before="100" w:beforeAutospacing="1" w:after="100" w:afterAutospacing="1" w:line="240" w:lineRule="auto"/>
        <w:outlineLvl w:val="2"/>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 xml:space="preserve">1.2 </w:t>
      </w:r>
      <w:r w:rsidRPr="00E91F1B">
        <w:rPr>
          <w:rFonts w:ascii="Times New Roman" w:eastAsia="Times New Roman" w:hAnsi="Times New Roman" w:cs="Times New Roman"/>
          <w:b/>
          <w:bCs/>
          <w:color w:val="000000" w:themeColor="text1"/>
          <w:kern w:val="0"/>
          <w:sz w:val="36"/>
          <w:szCs w:val="36"/>
          <w:lang w:eastAsia="en-GB"/>
          <w14:ligatures w14:val="none"/>
        </w:rPr>
        <w:t>Supply Chain Opportunities and Challenges</w:t>
      </w:r>
    </w:p>
    <w:p w14:paraId="644233FC"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Global supply chains allow BP to source equipment, technology, and specialist services from suppliers across multiple continents. International sourcing reduces procurement costs and provides access to advanced engineering expertise unavailable in domestic markets alone (Hill, 2024).</w:t>
      </w:r>
    </w:p>
    <w:p w14:paraId="5AD1485A"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However, geopolitical instability has significantly disrupted global supply chains during 2024–2025. Attacks on commercial vessels in the Red Sea have forced shipping companies to reroute cargo around the Cape of Good Hope, increasing transportation costs, delivery times, and fuel consumption (International Energy Agency, 2024). For BP, delays in receiving drilling equipment, refinery components, and renewable energy infrastructure can postpone projects and increase operational expenses.</w:t>
      </w:r>
    </w:p>
    <w:p w14:paraId="29D17D90"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Similarly, tensions between China and Taiwan create uncertainty because Taiwan plays a crucial role in global semiconductor manufacturing. Modern energy infrastructure increasingly relies on advanced microchips for automation, sensors, digital monitoring systems, and AI applications (World Economic Forum, 2024). Any disruption to semiconductor production could delay BP's digital transformation projects and increase procurement costs.</w:t>
      </w:r>
    </w:p>
    <w:p w14:paraId="64CAC11F"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Geopolitical sanctions, changing trade policies, and resource nationalism also create uncertainty in international energy markets (Hill, 2024). BP must continuously reassess supplier relationships and investment decisions to reduce exposure to political risks.</w:t>
      </w:r>
    </w:p>
    <w:p w14:paraId="515FAADC"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lastRenderedPageBreak/>
        <w:t>Nevertheless, these challenges create opportunities for BP to diversify suppliers, strengthen regional supply chains, and invest in supply chain resilience through digital monitoring technologies and strategic partnerships (Johnson, Scholes and Whittington, 2023).</w:t>
      </w:r>
    </w:p>
    <w:p w14:paraId="7FA4BAFC"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21F50FC2"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5E2AA9A3" w14:textId="3AD23B70" w:rsidR="007467EE" w:rsidRPr="00E91F1B" w:rsidRDefault="007467EE" w:rsidP="007467EE">
      <w:pPr>
        <w:spacing w:before="100" w:beforeAutospacing="1" w:after="100" w:afterAutospacing="1" w:line="240" w:lineRule="auto"/>
        <w:outlineLvl w:val="2"/>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 xml:space="preserve">1.3 </w:t>
      </w:r>
      <w:r w:rsidRPr="00E91F1B">
        <w:rPr>
          <w:rFonts w:ascii="Times New Roman" w:eastAsia="Times New Roman" w:hAnsi="Times New Roman" w:cs="Times New Roman"/>
          <w:b/>
          <w:bCs/>
          <w:color w:val="000000" w:themeColor="text1"/>
          <w:kern w:val="0"/>
          <w:sz w:val="36"/>
          <w:szCs w:val="36"/>
          <w:lang w:eastAsia="en-GB"/>
          <w14:ligatures w14:val="none"/>
        </w:rPr>
        <w:t>Sustainability Requirements</w:t>
      </w:r>
    </w:p>
    <w:p w14:paraId="25BACBC0"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Sustainability has become a central consideration for multinational corporations. The European Union's Corporate Sustainability Reporting Directive (CSRD) requires companies operating within its scope to provide detailed disclosures regarding environmental, social, and governance (ESG) performance (European Commission, 2023). Although headquartered in the UK, BP has substantial operations and investors connected to European markets, making compliance strategically important.</w:t>
      </w:r>
    </w:p>
    <w:p w14:paraId="0A27500E"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Greater sustainability reporting can strengthen investor confidence by increasing transparency regarding climate risks, emissions reduction targets, governance, and long-term environmental performance (European Commission, 2023). Institutional investors increasingly favour companies demonstrating credible sustainability strategies, making effective ESG reporting a competitive advantage.</w:t>
      </w:r>
    </w:p>
    <w:p w14:paraId="2136F19E"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Furthermore, sustainability encourages innovation. BP's investments in offshore wind, hydrogen, biofuels, electric vehicle charging infrastructure, and carbon capture technologies position the company to benefit from the global transition towards cleaner energy (BP, 2024; International Energy Agency, 2024).</w:t>
      </w:r>
    </w:p>
    <w:p w14:paraId="53E00DA5"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 xml:space="preserve">However, compliance with CSRD involves significant costs. Collecting, verifying, and reporting sustainability data across international operations requires sophisticated information systems, specialised expertise, and comprehensive governance structures (European Commission, 2023). Failure to comply could damage BP's </w:t>
      </w:r>
      <w:r w:rsidRPr="00E91F1B">
        <w:rPr>
          <w:rFonts w:ascii="Times New Roman" w:eastAsia="Times New Roman" w:hAnsi="Times New Roman" w:cs="Times New Roman"/>
          <w:color w:val="000000" w:themeColor="text1"/>
          <w:kern w:val="0"/>
          <w:sz w:val="32"/>
          <w:szCs w:val="32"/>
          <w:lang w:eastAsia="en-GB"/>
          <w14:ligatures w14:val="none"/>
        </w:rPr>
        <w:lastRenderedPageBreak/>
        <w:t>reputation, reduce investor confidence, and expose the company to regulatory penalties.</w:t>
      </w:r>
    </w:p>
    <w:p w14:paraId="55784536"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Additionally, BP continues to face criticism regarding the balance between maintaining oil and gas production while pursuing sustainability objectives. Stakeholders often question whether the company's transition strategy aligns sufficiently with global climate goals (BP, 2024).</w:t>
      </w:r>
    </w:p>
    <w:p w14:paraId="1BD58153"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6ADBD530"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0E2F343E"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02041365" w14:textId="0D612FAF" w:rsidR="007467EE" w:rsidRPr="00E91F1B" w:rsidRDefault="007467EE" w:rsidP="007467EE">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Impact on BP</w:t>
      </w:r>
    </w:p>
    <w:p w14:paraId="7168B6F2" w14:textId="601E54CA" w:rsidR="007467EE" w:rsidRPr="00E91F1B" w:rsidRDefault="007467EE" w:rsidP="007467EE">
      <w:pPr>
        <w:spacing w:before="100" w:beforeAutospacing="1" w:after="100" w:afterAutospacing="1" w:line="240" w:lineRule="auto"/>
        <w:outlineLvl w:val="2"/>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 xml:space="preserve">2.1 </w:t>
      </w:r>
      <w:r w:rsidRPr="00E91F1B">
        <w:rPr>
          <w:rFonts w:ascii="Times New Roman" w:eastAsia="Times New Roman" w:hAnsi="Times New Roman" w:cs="Times New Roman"/>
          <w:b/>
          <w:bCs/>
          <w:color w:val="000000" w:themeColor="text1"/>
          <w:kern w:val="0"/>
          <w:sz w:val="36"/>
          <w:szCs w:val="36"/>
          <w:lang w:eastAsia="en-GB"/>
          <w14:ligatures w14:val="none"/>
        </w:rPr>
        <w:t>Market Positioning</w:t>
      </w:r>
    </w:p>
    <w:p w14:paraId="593F5707"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AI, sustainability initiatives, and supply chain resilience collectively shape BP's position within the global energy market. Digital technologies enable BP to improve operational performance while differentiating itself through more efficient and reliable services (Laudon and Laudon, 2024). Investments in renewable energy also allow the company to compete in rapidly expanding low-carbon markets (International Energy Agency, 2024).</w:t>
      </w:r>
    </w:p>
    <w:p w14:paraId="6DFA94B6"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However, increased competition from renewable energy companies and technological firms entering the energy sector challenges BP's traditional market dominance. Consumers and investors increasingly favour organisations demonstrating stronger environmental commitments, making sustainability a significant competitive factor (Porter, 1985).</w:t>
      </w:r>
    </w:p>
    <w:p w14:paraId="4127FCE8" w14:textId="50C8E54D" w:rsidR="007467EE" w:rsidRPr="00E91F1B" w:rsidRDefault="007467EE" w:rsidP="007467EE">
      <w:pPr>
        <w:spacing w:before="100" w:beforeAutospacing="1" w:after="100" w:afterAutospacing="1" w:line="240" w:lineRule="auto"/>
        <w:outlineLvl w:val="2"/>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 xml:space="preserve">2.2 </w:t>
      </w:r>
      <w:r w:rsidRPr="00E91F1B">
        <w:rPr>
          <w:rFonts w:ascii="Times New Roman" w:eastAsia="Times New Roman" w:hAnsi="Times New Roman" w:cs="Times New Roman"/>
          <w:b/>
          <w:bCs/>
          <w:color w:val="000000" w:themeColor="text1"/>
          <w:kern w:val="0"/>
          <w:sz w:val="36"/>
          <w:szCs w:val="36"/>
          <w:lang w:eastAsia="en-GB"/>
          <w14:ligatures w14:val="none"/>
        </w:rPr>
        <w:t>Innovation</w:t>
      </w:r>
    </w:p>
    <w:p w14:paraId="361E349C"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 xml:space="preserve">Innovation has become essential for BP's long-term strategy. AI accelerates research, improves engineering efficiency, and supports intelligent asset management. Digital twins, predictive analytics, </w:t>
      </w:r>
      <w:r w:rsidRPr="00E91F1B">
        <w:rPr>
          <w:rFonts w:ascii="Times New Roman" w:eastAsia="Times New Roman" w:hAnsi="Times New Roman" w:cs="Times New Roman"/>
          <w:color w:val="000000" w:themeColor="text1"/>
          <w:kern w:val="0"/>
          <w:sz w:val="32"/>
          <w:szCs w:val="32"/>
          <w:lang w:eastAsia="en-GB"/>
          <w14:ligatures w14:val="none"/>
        </w:rPr>
        <w:lastRenderedPageBreak/>
        <w:t>robotics, and automated inspection systems reduce operational risks while improving productivity (Laudon and Laudon, 2024).</w:t>
      </w:r>
    </w:p>
    <w:p w14:paraId="3FD526D4"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At the same time, sustainability regulations encourage investment in innovative low-carbon technologies such as hydrogen production, offshore wind farms, carbon capture and storage, and sustainable aviation fuel (International Energy Agency, 2024). These innovations diversify BP's business portfolio and reduce dependence on fossil fuels.</w:t>
      </w:r>
    </w:p>
    <w:p w14:paraId="6F3F6AE7"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Nevertheless, innovation requires substantial financial investment. Developing new technologies while maintaining profitability from existing operations presents strategic challenges, particularly during periods of volatile oil prices (BP, 2024).</w:t>
      </w:r>
    </w:p>
    <w:p w14:paraId="6EF52297" w14:textId="43CD8A8A" w:rsidR="007467EE" w:rsidRPr="00E91F1B" w:rsidRDefault="007467EE" w:rsidP="007467EE">
      <w:pPr>
        <w:spacing w:before="100" w:beforeAutospacing="1" w:after="100" w:afterAutospacing="1" w:line="240" w:lineRule="auto"/>
        <w:outlineLvl w:val="2"/>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 xml:space="preserve">2.3 </w:t>
      </w:r>
      <w:r w:rsidRPr="00E91F1B">
        <w:rPr>
          <w:rFonts w:ascii="Times New Roman" w:eastAsia="Times New Roman" w:hAnsi="Times New Roman" w:cs="Times New Roman"/>
          <w:b/>
          <w:bCs/>
          <w:color w:val="000000" w:themeColor="text1"/>
          <w:kern w:val="0"/>
          <w:sz w:val="36"/>
          <w:szCs w:val="36"/>
          <w:lang w:eastAsia="en-GB"/>
          <w14:ligatures w14:val="none"/>
        </w:rPr>
        <w:t>Talent Management</w:t>
      </w:r>
    </w:p>
    <w:p w14:paraId="4D3CF2AA"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Global business transformation requires highly skilled employees capable of working with advanced digital technologies and sustainability frameworks (World Economic Forum, 2024). BP must compete internationally for professionals specialising in artificial intelligence, cybersecurity, renewable energy engineering, data science, and ESG reporting.</w:t>
      </w:r>
    </w:p>
    <w:p w14:paraId="36364EAE"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Investment in employee training supports successful digital transformation while increasing workforce productivity. AI also assists human resource management through recruitment analytics, workforce planning, and employee development programmes (Laudon and Laudon, 2024).</w:t>
      </w:r>
    </w:p>
    <w:p w14:paraId="5C754AC4" w14:textId="77777777" w:rsidR="007467EE"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However, automation may reduce demand for some traditional operational roles, creating concerns regarding workforce restructuring. Managing organisational change effectively is therefore essential to maintain employee engagement and organisational stability (Johnson, Scholes and Whittington, 2023).</w:t>
      </w:r>
    </w:p>
    <w:p w14:paraId="5F1C0D17" w14:textId="77777777" w:rsidR="0052293D" w:rsidRDefault="0052293D"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73F21DC9" w14:textId="77777777" w:rsidR="0052293D" w:rsidRPr="00E91F1B" w:rsidRDefault="0052293D"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1AC22E14" w14:textId="0C8C2CEF" w:rsidR="007467EE" w:rsidRPr="0052293D" w:rsidRDefault="007467EE" w:rsidP="007467EE">
      <w:pPr>
        <w:spacing w:before="100" w:beforeAutospacing="1" w:after="100" w:afterAutospacing="1" w:line="240" w:lineRule="auto"/>
        <w:outlineLvl w:val="2"/>
        <w:rPr>
          <w:rFonts w:ascii="Times New Roman" w:eastAsia="Times New Roman" w:hAnsi="Times New Roman" w:cs="Times New Roman"/>
          <w:b/>
          <w:bCs/>
          <w:color w:val="000000" w:themeColor="text1"/>
          <w:kern w:val="0"/>
          <w:sz w:val="36"/>
          <w:szCs w:val="36"/>
          <w:lang w:eastAsia="en-GB"/>
          <w14:ligatures w14:val="none"/>
        </w:rPr>
      </w:pPr>
      <w:r w:rsidRPr="0052293D">
        <w:rPr>
          <w:rFonts w:ascii="Times New Roman" w:eastAsia="Times New Roman" w:hAnsi="Times New Roman" w:cs="Times New Roman"/>
          <w:b/>
          <w:bCs/>
          <w:color w:val="000000" w:themeColor="text1"/>
          <w:kern w:val="0"/>
          <w:sz w:val="36"/>
          <w:szCs w:val="36"/>
          <w:lang w:eastAsia="en-GB"/>
          <w14:ligatures w14:val="none"/>
        </w:rPr>
        <w:lastRenderedPageBreak/>
        <w:t xml:space="preserve">2.4 </w:t>
      </w:r>
      <w:r w:rsidRPr="0052293D">
        <w:rPr>
          <w:rFonts w:ascii="Times New Roman" w:eastAsia="Times New Roman" w:hAnsi="Times New Roman" w:cs="Times New Roman"/>
          <w:b/>
          <w:bCs/>
          <w:color w:val="000000" w:themeColor="text1"/>
          <w:kern w:val="0"/>
          <w:sz w:val="36"/>
          <w:szCs w:val="36"/>
          <w:lang w:eastAsia="en-GB"/>
          <w14:ligatures w14:val="none"/>
        </w:rPr>
        <w:t>Competitiveness</w:t>
      </w:r>
    </w:p>
    <w:p w14:paraId="266E65D2"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Collectively, AI adoption, sustainability initiatives, and resilient supply chains strengthen BP's competitive position when effectively managed. Operational efficiency reduces production costs, while sustainability enhances corporate reputation and attracts environmentally conscious investors (Porter, 1985).</w:t>
      </w:r>
    </w:p>
    <w:p w14:paraId="7444F7BC"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Conversely, geopolitical instability creates uncertainty regarding investment planning, resource availability, and operational continuity. Companies capable of adapting rapidly to changing global conditions gain competitive advantages over less flexible competitors (Hill, 2024).</w:t>
      </w:r>
    </w:p>
    <w:p w14:paraId="14E0EE52"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BP's future competitiveness therefore depends not only on its energy production capabilities but also on its technological innovation, sustainability performance, and ability to manage international risks effectively (BP, 2024).</w:t>
      </w:r>
    </w:p>
    <w:p w14:paraId="2A8CDEE3"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781DF254"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14237F68" w14:textId="0360D5F1" w:rsidR="007467EE" w:rsidRPr="00E91F1B" w:rsidRDefault="007467EE" w:rsidP="007467EE">
      <w:pPr>
        <w:pStyle w:val="ListParagraph"/>
        <w:numPr>
          <w:ilvl w:val="0"/>
          <w:numId w:val="2"/>
        </w:numPr>
        <w:spacing w:before="100" w:beforeAutospacing="1" w:after="100" w:afterAutospacing="1" w:line="240" w:lineRule="auto"/>
        <w:outlineLvl w:val="1"/>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Strategic Recommendations</w:t>
      </w:r>
    </w:p>
    <w:p w14:paraId="30DB746D"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To enhance its international success, BP should accelerate investment in AI technologies, diversify global suppliers, continue expanding renewable energy investments, strengthen ESG reporting systems to ensure CSRD compliance, and provide continuous employee training in digital technologies and sustainability (BP, 2024; European Commission, 2023; Johnson, Scholes and Whittington, 2023). Collectively, these initiatives would improve resilience, support innovation, and strengthen BP's long-term competitive advantage.</w:t>
      </w:r>
    </w:p>
    <w:p w14:paraId="6E0E438D" w14:textId="77777777" w:rsidR="007467EE" w:rsidRPr="00E91F1B" w:rsidRDefault="007467EE" w:rsidP="007467EE">
      <w:pPr>
        <w:spacing w:before="100" w:beforeAutospacing="1" w:after="100" w:afterAutospacing="1" w:line="240" w:lineRule="auto"/>
        <w:outlineLvl w:val="1"/>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Conclusion</w:t>
      </w:r>
    </w:p>
    <w:p w14:paraId="34425CC7"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 xml:space="preserve">Globalisation continues to create opportunities for multinational corporations while exposing them to increasingly complex international challenges (Hill, 2024). For BP, the rapid adoption of </w:t>
      </w:r>
      <w:r w:rsidRPr="00E91F1B">
        <w:rPr>
          <w:rFonts w:ascii="Times New Roman" w:eastAsia="Times New Roman" w:hAnsi="Times New Roman" w:cs="Times New Roman"/>
          <w:color w:val="000000" w:themeColor="text1"/>
          <w:kern w:val="0"/>
          <w:sz w:val="32"/>
          <w:szCs w:val="32"/>
          <w:lang w:eastAsia="en-GB"/>
          <w14:ligatures w14:val="none"/>
        </w:rPr>
        <w:lastRenderedPageBreak/>
        <w:t>artificial intelligence, geopolitical supply chain disruptions, and evolving sustainability regulations are reshaping strategic priorities and operational decision-making.</w:t>
      </w:r>
    </w:p>
    <w:p w14:paraId="70EE0EFD"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Artificial intelligence improves efficiency, safety, innovation, and decision-making, while geopolitical tensions increase operational risks and sustainability regulations encourage greater transparency and investment in low-carbon technologies (International Energy Agency, 2024; European Commission, 2023). BP's long-term success depends on balancing these opportunities and challenges through technological innovation, resilient supply chain management, sustainable business transformation, and workforce development. Understanding these global dynamics is therefore essential for developing effective international business strategies that ensure long-term competitiveness and sustainable growth (Johnson, Scholes and Whittington, 2023).</w:t>
      </w:r>
    </w:p>
    <w:p w14:paraId="06D11B7A"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6C22846E"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30915188"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3B4CAA0B" w14:textId="77777777" w:rsidR="007467EE" w:rsidRPr="00E91F1B" w:rsidRDefault="007467EE" w:rsidP="007467EE">
      <w:p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p>
    <w:p w14:paraId="77A647B7" w14:textId="072429DD" w:rsidR="007467EE" w:rsidRPr="00E91F1B" w:rsidRDefault="007467EE" w:rsidP="007467EE">
      <w:pPr>
        <w:spacing w:before="100" w:beforeAutospacing="1" w:after="100" w:afterAutospacing="1" w:line="240" w:lineRule="auto"/>
        <w:outlineLvl w:val="2"/>
        <w:rPr>
          <w:rFonts w:ascii="Times New Roman" w:eastAsia="Times New Roman" w:hAnsi="Times New Roman" w:cs="Times New Roman"/>
          <w:b/>
          <w:bCs/>
          <w:color w:val="000000" w:themeColor="text1"/>
          <w:kern w:val="0"/>
          <w:sz w:val="36"/>
          <w:szCs w:val="36"/>
          <w:lang w:eastAsia="en-GB"/>
          <w14:ligatures w14:val="none"/>
        </w:rPr>
      </w:pPr>
      <w:r w:rsidRPr="00E91F1B">
        <w:rPr>
          <w:rFonts w:ascii="Times New Roman" w:eastAsia="Times New Roman" w:hAnsi="Times New Roman" w:cs="Times New Roman"/>
          <w:b/>
          <w:bCs/>
          <w:color w:val="000000" w:themeColor="text1"/>
          <w:kern w:val="0"/>
          <w:sz w:val="36"/>
          <w:szCs w:val="36"/>
          <w:lang w:eastAsia="en-GB"/>
          <w14:ligatures w14:val="none"/>
        </w:rPr>
        <w:t>References</w:t>
      </w:r>
      <w:r w:rsidRPr="00E91F1B">
        <w:rPr>
          <w:rFonts w:ascii="Times New Roman" w:eastAsia="Times New Roman" w:hAnsi="Times New Roman" w:cs="Times New Roman"/>
          <w:b/>
          <w:bCs/>
          <w:color w:val="000000" w:themeColor="text1"/>
          <w:kern w:val="0"/>
          <w:sz w:val="36"/>
          <w:szCs w:val="36"/>
          <w:lang w:eastAsia="en-GB"/>
          <w14:ligatures w14:val="none"/>
        </w:rPr>
        <w:t>:</w:t>
      </w:r>
    </w:p>
    <w:p w14:paraId="411A34FC" w14:textId="77777777" w:rsidR="007467EE" w:rsidRPr="00E91F1B" w:rsidRDefault="007467EE" w:rsidP="007467EE">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BP plc. (2024) </w:t>
      </w:r>
      <w:r w:rsidRPr="00E91F1B">
        <w:rPr>
          <w:rFonts w:ascii="Times New Roman" w:eastAsia="Times New Roman" w:hAnsi="Times New Roman" w:cs="Times New Roman"/>
          <w:i/>
          <w:iCs/>
          <w:color w:val="000000" w:themeColor="text1"/>
          <w:kern w:val="0"/>
          <w:sz w:val="32"/>
          <w:szCs w:val="32"/>
          <w:lang w:eastAsia="en-GB"/>
          <w14:ligatures w14:val="none"/>
        </w:rPr>
        <w:t>Annual Report and Form 20-F 2024</w:t>
      </w:r>
      <w:r w:rsidRPr="00E91F1B">
        <w:rPr>
          <w:rFonts w:ascii="Times New Roman" w:eastAsia="Times New Roman" w:hAnsi="Times New Roman" w:cs="Times New Roman"/>
          <w:color w:val="000000" w:themeColor="text1"/>
          <w:kern w:val="0"/>
          <w:sz w:val="32"/>
          <w:szCs w:val="32"/>
          <w:lang w:eastAsia="en-GB"/>
          <w14:ligatures w14:val="none"/>
        </w:rPr>
        <w:t>. London: BP plc.</w:t>
      </w:r>
    </w:p>
    <w:p w14:paraId="256F8AFB" w14:textId="77777777" w:rsidR="007467EE" w:rsidRPr="00E91F1B" w:rsidRDefault="007467EE" w:rsidP="007467EE">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European Commission. (2023) </w:t>
      </w:r>
      <w:r w:rsidRPr="00E91F1B">
        <w:rPr>
          <w:rFonts w:ascii="Times New Roman" w:eastAsia="Times New Roman" w:hAnsi="Times New Roman" w:cs="Times New Roman"/>
          <w:i/>
          <w:iCs/>
          <w:color w:val="000000" w:themeColor="text1"/>
          <w:kern w:val="0"/>
          <w:sz w:val="32"/>
          <w:szCs w:val="32"/>
          <w:lang w:eastAsia="en-GB"/>
          <w14:ligatures w14:val="none"/>
        </w:rPr>
        <w:t>Corporate Sustainability Reporting Directive (CSRD)</w:t>
      </w:r>
      <w:r w:rsidRPr="00E91F1B">
        <w:rPr>
          <w:rFonts w:ascii="Times New Roman" w:eastAsia="Times New Roman" w:hAnsi="Times New Roman" w:cs="Times New Roman"/>
          <w:color w:val="000000" w:themeColor="text1"/>
          <w:kern w:val="0"/>
          <w:sz w:val="32"/>
          <w:szCs w:val="32"/>
          <w:lang w:eastAsia="en-GB"/>
          <w14:ligatures w14:val="none"/>
        </w:rPr>
        <w:t>. Brussels: European Commission.</w:t>
      </w:r>
    </w:p>
    <w:p w14:paraId="43337415" w14:textId="77777777" w:rsidR="007467EE" w:rsidRPr="00E91F1B" w:rsidRDefault="007467EE" w:rsidP="007467EE">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Hill, C.W.L. (2024) </w:t>
      </w:r>
      <w:r w:rsidRPr="00E91F1B">
        <w:rPr>
          <w:rFonts w:ascii="Times New Roman" w:eastAsia="Times New Roman" w:hAnsi="Times New Roman" w:cs="Times New Roman"/>
          <w:i/>
          <w:iCs/>
          <w:color w:val="000000" w:themeColor="text1"/>
          <w:kern w:val="0"/>
          <w:sz w:val="32"/>
          <w:szCs w:val="32"/>
          <w:lang w:eastAsia="en-GB"/>
          <w14:ligatures w14:val="none"/>
        </w:rPr>
        <w:t>International Business: Competing in the Global Marketplace</w:t>
      </w:r>
      <w:r w:rsidRPr="00E91F1B">
        <w:rPr>
          <w:rFonts w:ascii="Times New Roman" w:eastAsia="Times New Roman" w:hAnsi="Times New Roman" w:cs="Times New Roman"/>
          <w:color w:val="000000" w:themeColor="text1"/>
          <w:kern w:val="0"/>
          <w:sz w:val="32"/>
          <w:szCs w:val="32"/>
          <w:lang w:eastAsia="en-GB"/>
          <w14:ligatures w14:val="none"/>
        </w:rPr>
        <w:t>. 14th ed. New York: McGraw-Hill.</w:t>
      </w:r>
    </w:p>
    <w:p w14:paraId="27F92C9C" w14:textId="77777777" w:rsidR="007467EE" w:rsidRPr="00E91F1B" w:rsidRDefault="007467EE" w:rsidP="007467EE">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International Energy Agency (IEA). (2024) </w:t>
      </w:r>
      <w:r w:rsidRPr="00E91F1B">
        <w:rPr>
          <w:rFonts w:ascii="Times New Roman" w:eastAsia="Times New Roman" w:hAnsi="Times New Roman" w:cs="Times New Roman"/>
          <w:i/>
          <w:iCs/>
          <w:color w:val="000000" w:themeColor="text1"/>
          <w:kern w:val="0"/>
          <w:sz w:val="32"/>
          <w:szCs w:val="32"/>
          <w:lang w:eastAsia="en-GB"/>
          <w14:ligatures w14:val="none"/>
        </w:rPr>
        <w:t>World Energy Outlook 2024</w:t>
      </w:r>
      <w:r w:rsidRPr="00E91F1B">
        <w:rPr>
          <w:rFonts w:ascii="Times New Roman" w:eastAsia="Times New Roman" w:hAnsi="Times New Roman" w:cs="Times New Roman"/>
          <w:color w:val="000000" w:themeColor="text1"/>
          <w:kern w:val="0"/>
          <w:sz w:val="32"/>
          <w:szCs w:val="32"/>
          <w:lang w:eastAsia="en-GB"/>
          <w14:ligatures w14:val="none"/>
        </w:rPr>
        <w:t>. Paris: IEA.</w:t>
      </w:r>
    </w:p>
    <w:p w14:paraId="1D31347E" w14:textId="77777777" w:rsidR="007467EE" w:rsidRPr="00E91F1B" w:rsidRDefault="007467EE" w:rsidP="007467EE">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Johnson, G., Scholes, K. and Whittington, R. (2023) </w:t>
      </w:r>
      <w:r w:rsidRPr="00E91F1B">
        <w:rPr>
          <w:rFonts w:ascii="Times New Roman" w:eastAsia="Times New Roman" w:hAnsi="Times New Roman" w:cs="Times New Roman"/>
          <w:i/>
          <w:iCs/>
          <w:color w:val="000000" w:themeColor="text1"/>
          <w:kern w:val="0"/>
          <w:sz w:val="32"/>
          <w:szCs w:val="32"/>
          <w:lang w:eastAsia="en-GB"/>
          <w14:ligatures w14:val="none"/>
        </w:rPr>
        <w:t>Exploring Strategy</w:t>
      </w:r>
      <w:r w:rsidRPr="00E91F1B">
        <w:rPr>
          <w:rFonts w:ascii="Times New Roman" w:eastAsia="Times New Roman" w:hAnsi="Times New Roman" w:cs="Times New Roman"/>
          <w:color w:val="000000" w:themeColor="text1"/>
          <w:kern w:val="0"/>
          <w:sz w:val="32"/>
          <w:szCs w:val="32"/>
          <w:lang w:eastAsia="en-GB"/>
          <w14:ligatures w14:val="none"/>
        </w:rPr>
        <w:t>. 13th ed. Harlow: Pearson.</w:t>
      </w:r>
    </w:p>
    <w:p w14:paraId="03B774C2" w14:textId="77777777" w:rsidR="007467EE" w:rsidRPr="00E91F1B" w:rsidRDefault="007467EE" w:rsidP="007467EE">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Laudon, K.C. and Laudon, J.P. (2024) </w:t>
      </w:r>
      <w:r w:rsidRPr="00E91F1B">
        <w:rPr>
          <w:rFonts w:ascii="Times New Roman" w:eastAsia="Times New Roman" w:hAnsi="Times New Roman" w:cs="Times New Roman"/>
          <w:i/>
          <w:iCs/>
          <w:color w:val="000000" w:themeColor="text1"/>
          <w:kern w:val="0"/>
          <w:sz w:val="32"/>
          <w:szCs w:val="32"/>
          <w:lang w:eastAsia="en-GB"/>
          <w14:ligatures w14:val="none"/>
        </w:rPr>
        <w:t>Management Information Systems</w:t>
      </w:r>
      <w:r w:rsidRPr="00E91F1B">
        <w:rPr>
          <w:rFonts w:ascii="Times New Roman" w:eastAsia="Times New Roman" w:hAnsi="Times New Roman" w:cs="Times New Roman"/>
          <w:color w:val="000000" w:themeColor="text1"/>
          <w:kern w:val="0"/>
          <w:sz w:val="32"/>
          <w:szCs w:val="32"/>
          <w:lang w:eastAsia="en-GB"/>
          <w14:ligatures w14:val="none"/>
        </w:rPr>
        <w:t>. 18th ed. Harlow: Pearson.</w:t>
      </w:r>
    </w:p>
    <w:p w14:paraId="3006E5AF" w14:textId="77777777" w:rsidR="007467EE" w:rsidRPr="00E91F1B" w:rsidRDefault="007467EE" w:rsidP="007467EE">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lastRenderedPageBreak/>
        <w:t>Porter, M.E. (1985) </w:t>
      </w:r>
      <w:r w:rsidRPr="00E91F1B">
        <w:rPr>
          <w:rFonts w:ascii="Times New Roman" w:eastAsia="Times New Roman" w:hAnsi="Times New Roman" w:cs="Times New Roman"/>
          <w:i/>
          <w:iCs/>
          <w:color w:val="000000" w:themeColor="text1"/>
          <w:kern w:val="0"/>
          <w:sz w:val="32"/>
          <w:szCs w:val="32"/>
          <w:lang w:eastAsia="en-GB"/>
          <w14:ligatures w14:val="none"/>
        </w:rPr>
        <w:t>Competitive Advantage: Creating and Sustaining Superior Performance</w:t>
      </w:r>
      <w:r w:rsidRPr="00E91F1B">
        <w:rPr>
          <w:rFonts w:ascii="Times New Roman" w:eastAsia="Times New Roman" w:hAnsi="Times New Roman" w:cs="Times New Roman"/>
          <w:color w:val="000000" w:themeColor="text1"/>
          <w:kern w:val="0"/>
          <w:sz w:val="32"/>
          <w:szCs w:val="32"/>
          <w:lang w:eastAsia="en-GB"/>
          <w14:ligatures w14:val="none"/>
        </w:rPr>
        <w:t>. New York: Free Press.</w:t>
      </w:r>
    </w:p>
    <w:p w14:paraId="13A62EB0" w14:textId="77777777" w:rsidR="007467EE" w:rsidRPr="00E91F1B" w:rsidRDefault="007467EE" w:rsidP="007467EE">
      <w:pPr>
        <w:numPr>
          <w:ilvl w:val="0"/>
          <w:numId w:val="1"/>
        </w:numPr>
        <w:spacing w:before="100" w:beforeAutospacing="1" w:after="100" w:afterAutospacing="1" w:line="240" w:lineRule="auto"/>
        <w:rPr>
          <w:rFonts w:ascii="Times New Roman" w:eastAsia="Times New Roman" w:hAnsi="Times New Roman" w:cs="Times New Roman"/>
          <w:color w:val="000000" w:themeColor="text1"/>
          <w:kern w:val="0"/>
          <w:sz w:val="32"/>
          <w:szCs w:val="32"/>
          <w:lang w:eastAsia="en-GB"/>
          <w14:ligatures w14:val="none"/>
        </w:rPr>
      </w:pPr>
      <w:r w:rsidRPr="00E91F1B">
        <w:rPr>
          <w:rFonts w:ascii="Times New Roman" w:eastAsia="Times New Roman" w:hAnsi="Times New Roman" w:cs="Times New Roman"/>
          <w:color w:val="000000" w:themeColor="text1"/>
          <w:kern w:val="0"/>
          <w:sz w:val="32"/>
          <w:szCs w:val="32"/>
          <w:lang w:eastAsia="en-GB"/>
          <w14:ligatures w14:val="none"/>
        </w:rPr>
        <w:t>World Economic Forum. (2024) </w:t>
      </w:r>
      <w:r w:rsidRPr="00E91F1B">
        <w:rPr>
          <w:rFonts w:ascii="Times New Roman" w:eastAsia="Times New Roman" w:hAnsi="Times New Roman" w:cs="Times New Roman"/>
          <w:i/>
          <w:iCs/>
          <w:color w:val="000000" w:themeColor="text1"/>
          <w:kern w:val="0"/>
          <w:sz w:val="32"/>
          <w:szCs w:val="32"/>
          <w:lang w:eastAsia="en-GB"/>
          <w14:ligatures w14:val="none"/>
        </w:rPr>
        <w:t>The Future of Jobs Report 2024</w:t>
      </w:r>
      <w:r w:rsidRPr="00E91F1B">
        <w:rPr>
          <w:rFonts w:ascii="Times New Roman" w:eastAsia="Times New Roman" w:hAnsi="Times New Roman" w:cs="Times New Roman"/>
          <w:color w:val="000000" w:themeColor="text1"/>
          <w:kern w:val="0"/>
          <w:sz w:val="32"/>
          <w:szCs w:val="32"/>
          <w:lang w:eastAsia="en-GB"/>
          <w14:ligatures w14:val="none"/>
        </w:rPr>
        <w:t>. Geneva: World Economic Forum.</w:t>
      </w:r>
    </w:p>
    <w:p w14:paraId="751D9A88" w14:textId="77777777" w:rsidR="007467EE" w:rsidRPr="00E91F1B" w:rsidRDefault="007467EE">
      <w:pPr>
        <w:rPr>
          <w:rFonts w:ascii="Times New Roman" w:hAnsi="Times New Roman" w:cs="Times New Roman"/>
          <w:color w:val="000000" w:themeColor="text1"/>
          <w:sz w:val="32"/>
          <w:szCs w:val="32"/>
        </w:rPr>
      </w:pPr>
    </w:p>
    <w:sectPr w:rsidR="007467EE" w:rsidRPr="00E91F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D050761"/>
    <w:multiLevelType w:val="hybridMultilevel"/>
    <w:tmpl w:val="83FA88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7C7D42"/>
    <w:multiLevelType w:val="multilevel"/>
    <w:tmpl w:val="72CC8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4539555">
    <w:abstractNumId w:val="1"/>
  </w:num>
  <w:num w:numId="2" w16cid:durableId="19551077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7EE"/>
    <w:rsid w:val="0052293D"/>
    <w:rsid w:val="00731C10"/>
    <w:rsid w:val="007467EE"/>
    <w:rsid w:val="00E91F1B"/>
    <w:rsid w:val="00FC32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A89DC5"/>
  <w15:chartTrackingRefBased/>
  <w15:docId w15:val="{418A7709-29ED-3F42-B025-48812F611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7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67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67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67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67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67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67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67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67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7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67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67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7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7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7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7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7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7EE"/>
    <w:rPr>
      <w:rFonts w:eastAsiaTheme="majorEastAsia" w:cstheme="majorBidi"/>
      <w:color w:val="272727" w:themeColor="text1" w:themeTint="D8"/>
    </w:rPr>
  </w:style>
  <w:style w:type="paragraph" w:styleId="Title">
    <w:name w:val="Title"/>
    <w:basedOn w:val="Normal"/>
    <w:next w:val="Normal"/>
    <w:link w:val="TitleChar"/>
    <w:uiPriority w:val="10"/>
    <w:qFormat/>
    <w:rsid w:val="007467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67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7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67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7EE"/>
    <w:pPr>
      <w:spacing w:before="160"/>
      <w:jc w:val="center"/>
    </w:pPr>
    <w:rPr>
      <w:i/>
      <w:iCs/>
      <w:color w:val="404040" w:themeColor="text1" w:themeTint="BF"/>
    </w:rPr>
  </w:style>
  <w:style w:type="character" w:customStyle="1" w:styleId="QuoteChar">
    <w:name w:val="Quote Char"/>
    <w:basedOn w:val="DefaultParagraphFont"/>
    <w:link w:val="Quote"/>
    <w:uiPriority w:val="29"/>
    <w:rsid w:val="007467EE"/>
    <w:rPr>
      <w:i/>
      <w:iCs/>
      <w:color w:val="404040" w:themeColor="text1" w:themeTint="BF"/>
    </w:rPr>
  </w:style>
  <w:style w:type="paragraph" w:styleId="ListParagraph">
    <w:name w:val="List Paragraph"/>
    <w:basedOn w:val="Normal"/>
    <w:uiPriority w:val="34"/>
    <w:qFormat/>
    <w:rsid w:val="007467EE"/>
    <w:pPr>
      <w:ind w:left="720"/>
      <w:contextualSpacing/>
    </w:pPr>
  </w:style>
  <w:style w:type="character" w:styleId="IntenseEmphasis">
    <w:name w:val="Intense Emphasis"/>
    <w:basedOn w:val="DefaultParagraphFont"/>
    <w:uiPriority w:val="21"/>
    <w:qFormat/>
    <w:rsid w:val="007467EE"/>
    <w:rPr>
      <w:i/>
      <w:iCs/>
      <w:color w:val="0F4761" w:themeColor="accent1" w:themeShade="BF"/>
    </w:rPr>
  </w:style>
  <w:style w:type="paragraph" w:styleId="IntenseQuote">
    <w:name w:val="Intense Quote"/>
    <w:basedOn w:val="Normal"/>
    <w:next w:val="Normal"/>
    <w:link w:val="IntenseQuoteChar"/>
    <w:uiPriority w:val="30"/>
    <w:qFormat/>
    <w:rsid w:val="007467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67EE"/>
    <w:rPr>
      <w:i/>
      <w:iCs/>
      <w:color w:val="0F4761" w:themeColor="accent1" w:themeShade="BF"/>
    </w:rPr>
  </w:style>
  <w:style w:type="character" w:styleId="IntenseReference">
    <w:name w:val="Intense Reference"/>
    <w:basedOn w:val="DefaultParagraphFont"/>
    <w:uiPriority w:val="32"/>
    <w:qFormat/>
    <w:rsid w:val="007467EE"/>
    <w:rPr>
      <w:b/>
      <w:bCs/>
      <w:smallCaps/>
      <w:color w:val="0F4761" w:themeColor="accent1" w:themeShade="BF"/>
      <w:spacing w:val="5"/>
    </w:rPr>
  </w:style>
  <w:style w:type="paragraph" w:customStyle="1" w:styleId="isselectedend">
    <w:name w:val="isselectedend"/>
    <w:basedOn w:val="Normal"/>
    <w:rsid w:val="007467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7467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467EE"/>
  </w:style>
  <w:style w:type="character" w:styleId="Emphasis">
    <w:name w:val="Emphasis"/>
    <w:basedOn w:val="DefaultParagraphFont"/>
    <w:uiPriority w:val="20"/>
    <w:qFormat/>
    <w:rsid w:val="007467EE"/>
    <w:rPr>
      <w:i/>
      <w:iCs/>
    </w:rPr>
  </w:style>
  <w:style w:type="character" w:styleId="Strong">
    <w:name w:val="Strong"/>
    <w:basedOn w:val="DefaultParagraphFont"/>
    <w:uiPriority w:val="22"/>
    <w:qFormat/>
    <w:rsid w:val="00E91F1B"/>
    <w:rPr>
      <w:b/>
      <w:bCs/>
    </w:rPr>
  </w:style>
  <w:style w:type="paragraph" w:customStyle="1" w:styleId="p1">
    <w:name w:val="p1"/>
    <w:basedOn w:val="Normal"/>
    <w:rsid w:val="00FC322A"/>
    <w:pPr>
      <w:spacing w:after="0" w:line="240" w:lineRule="auto"/>
    </w:pPr>
    <w:rPr>
      <w:rFonts w:ascii="Arial" w:eastAsia="Times New Roman" w:hAnsi="Arial" w:cs="Arial"/>
      <w:color w:val="000000"/>
      <w:kern w:val="0"/>
      <w:sz w:val="15"/>
      <w:szCs w:val="15"/>
      <w:lang w:eastAsia="en-GB"/>
      <w14:ligatures w14:val="none"/>
    </w:rPr>
  </w:style>
  <w:style w:type="character" w:customStyle="1" w:styleId="s1">
    <w:name w:val="s1"/>
    <w:basedOn w:val="DefaultParagraphFont"/>
    <w:rsid w:val="00FC322A"/>
    <w:rPr>
      <w:rFonts w:ascii="Arial" w:hAnsi="Arial" w:cs="Arial" w:hint="default"/>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10</Pages>
  <Words>2029</Words>
  <Characters>12157</Characters>
  <Application>Microsoft Office Word</Application>
  <DocSecurity>0</DocSecurity>
  <Lines>715</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Emrah Badulescu</dc:creator>
  <cp:keywords/>
  <dc:description/>
  <cp:lastModifiedBy>Florin Emrah Badulescu</cp:lastModifiedBy>
  <cp:revision>1</cp:revision>
  <dcterms:created xsi:type="dcterms:W3CDTF">2026-08-07T20:40:00Z</dcterms:created>
  <dcterms:modified xsi:type="dcterms:W3CDTF">2026-08-07T21:21:00Z</dcterms:modified>
</cp:coreProperties>
</file>