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A58EE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7535E">
              <w:rPr>
                <w:rFonts w:ascii="Times New Roman" w:hAnsi="Times New Roman" w:cs="Times New Roman"/>
                <w:b/>
                <w:color w:val="auto"/>
                <w:sz w:val="48"/>
              </w:rPr>
              <w:t xml:space="preserve">Victoria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203ACCC2" w:rsidR="00986B43" w:rsidRDefault="0017535E" w:rsidP="005D3F07">
            <w:pPr>
              <w:overflowPunct/>
              <w:autoSpaceDE/>
              <w:autoSpaceDN/>
              <w:adjustRightInd/>
              <w:ind w:right="-957"/>
              <w:textAlignment w:val="auto"/>
              <w:rPr>
                <w:rFonts w:ascii="Times New Roman" w:hAnsi="Times New Roman" w:cs="Times New Roman"/>
                <w:b/>
                <w:color w:val="auto"/>
                <w:sz w:val="48"/>
              </w:rPr>
            </w:pPr>
            <w:hyperlink r:id="rId12" w:history="1">
              <w:r w:rsidRPr="00E91954">
                <w:rPr>
                  <w:rStyle w:val="Hyperlink"/>
                  <w:rFonts w:ascii="Times New Roman" w:hAnsi="Times New Roman" w:cs="Times New Roman"/>
                  <w:b/>
                  <w:sz w:val="48"/>
                </w:rPr>
                <w:t>Victoria.hughes@conwy.gov.uk</w:t>
              </w:r>
            </w:hyperlink>
            <w:r>
              <w:rPr>
                <w:rFonts w:ascii="Times New Roman" w:hAnsi="Times New Roman" w:cs="Times New Roman"/>
                <w:b/>
                <w:color w:val="auto"/>
                <w:sz w:val="48"/>
              </w:rPr>
              <w:t xml:space="preserve"> </w:t>
            </w:r>
          </w:p>
          <w:p w14:paraId="43DCCB94" w14:textId="77777777" w:rsidR="0017535E" w:rsidRDefault="0017535E"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AE70592" w:rsidR="0085230E" w:rsidRPr="005D3F07" w:rsidRDefault="0017535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2420862</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B785714" w14:textId="77777777" w:rsidR="0018395C" w:rsidRDefault="0018395C" w:rsidP="00FF7EBB">
            <w:pPr>
              <w:jc w:val="both"/>
              <w:rPr>
                <w:sz w:val="24"/>
                <w:szCs w:val="24"/>
              </w:rPr>
            </w:pPr>
          </w:p>
          <w:p w14:paraId="5CC0017B" w14:textId="77777777" w:rsidR="0018395C" w:rsidRDefault="0018395C" w:rsidP="00FF7EBB">
            <w:pPr>
              <w:jc w:val="both"/>
              <w:rPr>
                <w:sz w:val="24"/>
                <w:szCs w:val="24"/>
              </w:rPr>
            </w:pPr>
          </w:p>
          <w:p w14:paraId="097E0A6C" w14:textId="77777777" w:rsidR="0018395C" w:rsidRPr="0018395C" w:rsidRDefault="0018395C" w:rsidP="0018395C">
            <w:pPr>
              <w:spacing w:line="360" w:lineRule="auto"/>
              <w:jc w:val="both"/>
              <w:rPr>
                <w:sz w:val="24"/>
                <w:szCs w:val="24"/>
              </w:rPr>
            </w:pPr>
            <w:r w:rsidRPr="0018395C">
              <w:rPr>
                <w:sz w:val="24"/>
                <w:szCs w:val="24"/>
              </w:rPr>
              <w:t xml:space="preserve">Safeguarding in Wales is primarily underpinned by Welsh legislation, that being The Social Services and Well-being (Wales) Act 2014 (SSWBA2014) and the Wales Safeguarding Procedures 2019 (WSP). These frameworks define an </w:t>
            </w:r>
            <w:r w:rsidRPr="0018395C">
              <w:rPr>
                <w:i/>
                <w:iCs/>
                <w:sz w:val="24"/>
                <w:szCs w:val="24"/>
              </w:rPr>
              <w:t>Adult at Risk</w:t>
            </w:r>
            <w:r w:rsidRPr="0018395C">
              <w:rPr>
                <w:sz w:val="24"/>
                <w:szCs w:val="24"/>
              </w:rPr>
              <w:t xml:space="preserve"> as an adult who is experiencing or at risk of abuse or neglect, and has care and support needs, and is unable to protect themselves due to those needs. Abuse may be emotional, psychological, sexual, physical, or financial, while neglect refers to the failure to meet basic needs, potentially harming their wellbeing.</w:t>
            </w:r>
          </w:p>
          <w:p w14:paraId="436278CC" w14:textId="77777777" w:rsidR="0018395C" w:rsidRPr="0018395C" w:rsidRDefault="0018395C" w:rsidP="0018395C">
            <w:pPr>
              <w:spacing w:line="360" w:lineRule="auto"/>
              <w:jc w:val="both"/>
              <w:rPr>
                <w:sz w:val="24"/>
                <w:szCs w:val="24"/>
              </w:rPr>
            </w:pPr>
            <w:r w:rsidRPr="0018395C">
              <w:rPr>
                <w:sz w:val="24"/>
                <w:szCs w:val="24"/>
              </w:rPr>
              <w:t>The SSWBA2014 promotes early intervention, aiming to prevent abuse before it occurs. The concept of being “at risk” allows professionals to act proactively, even if abuse has not yet happened. Risk factors may stem from personal circumstances, such as living in a domestic abuse environment, or from multiple concerns accumulating over time.</w:t>
            </w:r>
          </w:p>
          <w:p w14:paraId="33C1005A" w14:textId="77777777" w:rsidR="0018395C" w:rsidRPr="0018395C" w:rsidRDefault="0018395C" w:rsidP="0018395C">
            <w:pPr>
              <w:spacing w:line="360" w:lineRule="auto"/>
              <w:jc w:val="both"/>
              <w:rPr>
                <w:sz w:val="24"/>
                <w:szCs w:val="24"/>
              </w:rPr>
            </w:pPr>
            <w:r w:rsidRPr="0018395C">
              <w:rPr>
                <w:sz w:val="24"/>
                <w:szCs w:val="24"/>
              </w:rPr>
              <w:t xml:space="preserve">Safeguarding is supported by additional legislation to ensure adults rights are respected and offer protection against the different forms of harm including the Domestic Abuse and Sexual Violence (Wales) Act 2015, Human Rights Act 1998, Mental Capacity Act 2005, Modern Slavery Act 2015, and the Violence against Women, Domestic Abuse and Sexual Violence (Wales) Act 2015. These laws uphold adult rights and offer protection against various forms of harm. International frameworks such as the United Nations Principles for Older Persons </w:t>
            </w:r>
            <w:r w:rsidRPr="0018395C">
              <w:rPr>
                <w:sz w:val="24"/>
                <w:szCs w:val="24"/>
              </w:rPr>
              <w:lastRenderedPageBreak/>
              <w:t>and the Convention on the Rights of Persons with Disabilities also inform safeguarding practices.</w:t>
            </w:r>
          </w:p>
          <w:p w14:paraId="0E375929" w14:textId="77777777" w:rsidR="0018395C" w:rsidRPr="0018395C" w:rsidRDefault="0018395C" w:rsidP="0018395C">
            <w:pPr>
              <w:spacing w:line="360" w:lineRule="auto"/>
              <w:jc w:val="both"/>
              <w:rPr>
                <w:sz w:val="24"/>
                <w:szCs w:val="24"/>
              </w:rPr>
            </w:pPr>
            <w:r w:rsidRPr="0018395C">
              <w:rPr>
                <w:sz w:val="24"/>
                <w:szCs w:val="24"/>
              </w:rPr>
              <w:t>Under Section 162 of the SSWBA2014, Relevant Partners—including health boards, police, and other agencies—have a statutory duty to report concerns about adults at risk to the Local Authority (LA). The LA must then conduct initial enquiries and, if there is reasonable cause, initiate a Section 126 enquiry to determine whether safeguarding action is needed. If barriers arise during this process, Adult Protection and Support Orders can be used to facilitate access and information gathering.</w:t>
            </w:r>
          </w:p>
          <w:p w14:paraId="7C6432E9" w14:textId="77777777" w:rsidR="0018395C" w:rsidRPr="0018395C" w:rsidRDefault="0018395C" w:rsidP="0018395C">
            <w:pPr>
              <w:spacing w:line="360" w:lineRule="auto"/>
              <w:jc w:val="both"/>
              <w:rPr>
                <w:sz w:val="24"/>
                <w:szCs w:val="24"/>
              </w:rPr>
            </w:pPr>
            <w:r w:rsidRPr="0018395C">
              <w:rPr>
                <w:sz w:val="24"/>
                <w:szCs w:val="24"/>
              </w:rPr>
              <w:t>A person-centred approach is essential throughout safeguarding enquiries. Assessing mental capacity is a critical component, especially when individuals may not be able to make decisions independently. In such cases, decisions must be made in their best interests, balancing autonomy with safety. This requires professional judgement and sensitivity to the complexities of choice versus control and risk versus protection.</w:t>
            </w:r>
          </w:p>
          <w:p w14:paraId="2B021D9D" w14:textId="77777777" w:rsidR="0018395C" w:rsidRPr="0018395C" w:rsidRDefault="0018395C" w:rsidP="0018395C">
            <w:pPr>
              <w:spacing w:line="360" w:lineRule="auto"/>
              <w:jc w:val="both"/>
              <w:rPr>
                <w:sz w:val="24"/>
                <w:szCs w:val="24"/>
              </w:rPr>
            </w:pPr>
            <w:r w:rsidRPr="0018395C">
              <w:rPr>
                <w:sz w:val="24"/>
                <w:szCs w:val="24"/>
              </w:rPr>
              <w:t>Since April 2016, the SSWBA2014 has mandated the creation of Regional Safeguarding Adult Boards to oversee adult protection. These boards, such as the XXXX Safeguarding Board (XXSB), coordinate efforts across local authorities, focusing on training, policy development, performance monitoring, and serious case reviews. They also produce regional protocols, including guidance on self-neglect and hoarding, to support consistent practice.</w:t>
            </w:r>
          </w:p>
          <w:p w14:paraId="0B36EB60" w14:textId="77777777" w:rsidR="0018395C" w:rsidRPr="0018395C" w:rsidRDefault="0018395C" w:rsidP="0018395C">
            <w:pPr>
              <w:spacing w:line="360" w:lineRule="auto"/>
              <w:jc w:val="both"/>
              <w:rPr>
                <w:sz w:val="24"/>
                <w:szCs w:val="24"/>
              </w:rPr>
            </w:pPr>
            <w:r w:rsidRPr="0018395C">
              <w:rPr>
                <w:sz w:val="24"/>
                <w:szCs w:val="24"/>
              </w:rPr>
              <w:t>The safeguarding landscape in Wales is multifaceted, reflecting the complexity of adult protection. It integrates statutory duties, legal safeguards, and ethical principles to ensure that all adults—particularly those most vulnerable—can live free from fear and harm, with their rights and choices respected.</w:t>
            </w:r>
          </w:p>
          <w:p w14:paraId="54F08576" w14:textId="77777777" w:rsidR="0018395C" w:rsidRPr="0018395C" w:rsidRDefault="0018395C" w:rsidP="0018395C">
            <w:pPr>
              <w:spacing w:line="360" w:lineRule="auto"/>
              <w:jc w:val="both"/>
              <w:rPr>
                <w:sz w:val="24"/>
                <w:szCs w:val="24"/>
              </w:rPr>
            </w:pPr>
          </w:p>
          <w:p w14:paraId="2A3CD390" w14:textId="14A015F3" w:rsidR="0018395C" w:rsidRPr="0018395C" w:rsidRDefault="0018395C" w:rsidP="0018395C">
            <w:pPr>
              <w:spacing w:line="360" w:lineRule="auto"/>
              <w:jc w:val="both"/>
              <w:rPr>
                <w:sz w:val="24"/>
                <w:szCs w:val="24"/>
              </w:rPr>
            </w:pPr>
            <w:r w:rsidRPr="0018395C">
              <w:rPr>
                <w:sz w:val="24"/>
                <w:szCs w:val="24"/>
              </w:rPr>
              <w:t>(46</w:t>
            </w:r>
            <w:r>
              <w:rPr>
                <w:sz w:val="24"/>
                <w:szCs w:val="24"/>
              </w:rPr>
              <w:t>9</w:t>
            </w:r>
            <w:r w:rsidRPr="0018395C">
              <w:rPr>
                <w:sz w:val="24"/>
                <w:szCs w:val="24"/>
              </w:rPr>
              <w:t xml:space="preserve">) </w:t>
            </w:r>
          </w:p>
          <w:p w14:paraId="6C9A9820" w14:textId="77777777" w:rsidR="0018395C" w:rsidRDefault="0018395C"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D806C9D" w14:textId="77777777" w:rsidR="0018395C" w:rsidRDefault="0018395C" w:rsidP="0018395C">
            <w:pPr>
              <w:jc w:val="both"/>
              <w:rPr>
                <w:i/>
                <w:sz w:val="24"/>
                <w:szCs w:val="24"/>
              </w:rPr>
            </w:pPr>
          </w:p>
          <w:p w14:paraId="05685B59" w14:textId="0F850794" w:rsidR="0018395C" w:rsidRDefault="0018395C" w:rsidP="0018395C">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EED6C80" w14:textId="77777777" w:rsidR="0018395C" w:rsidRDefault="0018395C" w:rsidP="00FC0334">
            <w:pPr>
              <w:jc w:val="both"/>
              <w:rPr>
                <w:sz w:val="24"/>
                <w:szCs w:val="24"/>
              </w:rPr>
            </w:pPr>
          </w:p>
          <w:p w14:paraId="4CABE426" w14:textId="77777777" w:rsidR="00FC0334" w:rsidRDefault="00FC0334" w:rsidP="00FC0334">
            <w:pPr>
              <w:jc w:val="both"/>
              <w:rPr>
                <w:sz w:val="24"/>
                <w:szCs w:val="24"/>
              </w:rPr>
            </w:pPr>
          </w:p>
          <w:p w14:paraId="2DDBD799" w14:textId="77777777" w:rsidR="005A2CDD" w:rsidRPr="005A2CDD" w:rsidRDefault="005A2CDD" w:rsidP="005A2CDD">
            <w:pPr>
              <w:spacing w:line="360" w:lineRule="auto"/>
              <w:jc w:val="both"/>
              <w:rPr>
                <w:sz w:val="24"/>
                <w:szCs w:val="24"/>
              </w:rPr>
            </w:pPr>
            <w:r w:rsidRPr="005A2CDD">
              <w:rPr>
                <w:sz w:val="24"/>
                <w:szCs w:val="24"/>
              </w:rPr>
              <w:t>In Wales, safeguarding practice for both adults and children is governed by the Social Services and Well-being (Wales) Act 2014 (SSWBA2014), unlike other UK regions which use separate legislative frameworks. The Wales Safeguarding Procedures (WSP) (Welsh Government, 2019b) provide practical guidance for working with both groups, promoting consistency while recognising their distinct needs.</w:t>
            </w:r>
          </w:p>
          <w:p w14:paraId="65EACD70" w14:textId="77777777" w:rsidR="005A2CDD" w:rsidRPr="005A2CDD" w:rsidRDefault="005A2CDD" w:rsidP="005A2CDD">
            <w:pPr>
              <w:spacing w:line="360" w:lineRule="auto"/>
              <w:jc w:val="both"/>
              <w:rPr>
                <w:sz w:val="24"/>
                <w:szCs w:val="24"/>
              </w:rPr>
            </w:pPr>
            <w:r w:rsidRPr="005A2CDD">
              <w:rPr>
                <w:sz w:val="24"/>
                <w:szCs w:val="24"/>
              </w:rPr>
              <w:t xml:space="preserve">The SSWBA2014 outlines shared duties, including the requirement to report concerns and the emphasis on advocacy. A common definition of </w:t>
            </w:r>
            <w:r w:rsidRPr="005A2CDD">
              <w:rPr>
                <w:i/>
                <w:iCs/>
                <w:sz w:val="24"/>
                <w:szCs w:val="24"/>
              </w:rPr>
              <w:t>well-being</w:t>
            </w:r>
            <w:r w:rsidRPr="005A2CDD">
              <w:rPr>
                <w:sz w:val="24"/>
                <w:szCs w:val="24"/>
              </w:rPr>
              <w:t xml:space="preserve"> applies to both adults and children, though tailored to each group. For children, it includes overall development and welfare (Children Act 1989), while for adults it includes control over day-to-day life and participation in work (s2(2)).</w:t>
            </w:r>
          </w:p>
          <w:p w14:paraId="7BD83F1D" w14:textId="77777777" w:rsidR="005A2CDD" w:rsidRPr="005A2CDD" w:rsidRDefault="005A2CDD" w:rsidP="005A2CDD">
            <w:pPr>
              <w:spacing w:line="360" w:lineRule="auto"/>
              <w:jc w:val="both"/>
              <w:rPr>
                <w:sz w:val="24"/>
                <w:szCs w:val="24"/>
              </w:rPr>
            </w:pPr>
            <w:r w:rsidRPr="005A2CDD">
              <w:rPr>
                <w:sz w:val="24"/>
                <w:szCs w:val="24"/>
              </w:rPr>
              <w:t xml:space="preserve">Both groups are considered </w:t>
            </w:r>
            <w:r w:rsidRPr="005A2CDD">
              <w:rPr>
                <w:i/>
                <w:iCs/>
                <w:sz w:val="24"/>
                <w:szCs w:val="24"/>
              </w:rPr>
              <w:t>at risk</w:t>
            </w:r>
            <w:r w:rsidRPr="005A2CDD">
              <w:rPr>
                <w:sz w:val="24"/>
                <w:szCs w:val="24"/>
              </w:rPr>
              <w:t xml:space="preserve"> if they are experiencing or at risk of abuse or neglect and have care and support needs. However, for adults, it is additionally specified that they must be unable to protect themselves, reflecting their autonomy. In contrast, children are inherently vulnerable, and their welfare is the responsibility of their primary carers.</w:t>
            </w:r>
          </w:p>
          <w:p w14:paraId="31FA3E49" w14:textId="77777777" w:rsidR="005A2CDD" w:rsidRPr="005A2CDD" w:rsidRDefault="005A2CDD" w:rsidP="005A2CDD">
            <w:pPr>
              <w:spacing w:line="360" w:lineRule="auto"/>
              <w:jc w:val="both"/>
              <w:rPr>
                <w:sz w:val="24"/>
                <w:szCs w:val="24"/>
              </w:rPr>
            </w:pPr>
            <w:r w:rsidRPr="005A2CDD">
              <w:rPr>
                <w:sz w:val="24"/>
                <w:szCs w:val="24"/>
              </w:rPr>
              <w:t xml:space="preserve">Consent is a key consideration in safeguarding. For adults with capacity, a report should not be made without their consent unless there is an overriding public interest, such as risk of serious harm or death. These decisions must be clearly documented. If an adult refuses to engage, the Local Authority must assess the situation using all available information from partner agencies. This can create uncertainty for social workers, especially when balancing autonomy with protection (McLaughlin et al., 2018). Adults are presumed to have mental capacity unless assessed otherwise. They have the right to make decisions, even if considered unwise by others. Professionals must ensure the adult is fully informed, understands all options, and is aware of consequences. Autonomy is </w:t>
            </w:r>
            <w:proofErr w:type="gramStart"/>
            <w:r w:rsidRPr="005A2CDD">
              <w:rPr>
                <w:sz w:val="24"/>
                <w:szCs w:val="24"/>
              </w:rPr>
              <w:t>key—adults</w:t>
            </w:r>
            <w:proofErr w:type="gramEnd"/>
            <w:r w:rsidRPr="005A2CDD">
              <w:rPr>
                <w:sz w:val="24"/>
                <w:szCs w:val="24"/>
              </w:rPr>
              <w:t xml:space="preserve"> cannot be forced into decisions. Respecting their choices supports their dignity, human right and independence, provided they can understand and weigh the information.</w:t>
            </w:r>
          </w:p>
          <w:p w14:paraId="68344F02" w14:textId="77777777" w:rsidR="005A2CDD" w:rsidRPr="005A2CDD" w:rsidRDefault="005A2CDD" w:rsidP="005A2CDD">
            <w:pPr>
              <w:spacing w:line="360" w:lineRule="auto"/>
              <w:jc w:val="both"/>
              <w:rPr>
                <w:sz w:val="24"/>
                <w:szCs w:val="24"/>
              </w:rPr>
            </w:pPr>
          </w:p>
          <w:p w14:paraId="39C7ED6C" w14:textId="77777777" w:rsidR="005A2CDD" w:rsidRPr="005A2CDD" w:rsidRDefault="005A2CDD" w:rsidP="005A2CDD">
            <w:pPr>
              <w:spacing w:line="360" w:lineRule="auto"/>
              <w:jc w:val="both"/>
              <w:rPr>
                <w:sz w:val="24"/>
                <w:szCs w:val="24"/>
              </w:rPr>
            </w:pPr>
            <w:r w:rsidRPr="005A2CDD">
              <w:rPr>
                <w:sz w:val="24"/>
                <w:szCs w:val="24"/>
              </w:rPr>
              <w:t xml:space="preserve">For children, Gillick competency is used to assess decision-making capacity. However, safeguarding concerns must be reported regardless of the child’s wishes. Practitioners should seek parental consent unless doing so increases the risk of harm. Parental consent can be overridden if the child is at risk, the parent lacks capacity, or the child (aged 16 or over) is </w:t>
            </w:r>
            <w:r w:rsidRPr="005A2CDD">
              <w:rPr>
                <w:sz w:val="24"/>
                <w:szCs w:val="24"/>
              </w:rPr>
              <w:lastRenderedPageBreak/>
              <w:t>competent and disagrees. The WSP emphasises that the welfare and safety of the child is paramount. In cases where the parent is the alleged abuser or the child may be coerced into silence, practitioners may speak to the child without parental consent.</w:t>
            </w:r>
          </w:p>
          <w:p w14:paraId="45EC1F14" w14:textId="77777777" w:rsidR="005A2CDD" w:rsidRPr="005A2CDD" w:rsidRDefault="005A2CDD" w:rsidP="005A2CDD">
            <w:pPr>
              <w:spacing w:line="360" w:lineRule="auto"/>
              <w:jc w:val="both"/>
              <w:rPr>
                <w:sz w:val="24"/>
                <w:szCs w:val="24"/>
              </w:rPr>
            </w:pPr>
            <w:r w:rsidRPr="005A2CDD">
              <w:rPr>
                <w:sz w:val="24"/>
                <w:szCs w:val="24"/>
              </w:rPr>
              <w:t>Overall, Welsh Safeguarding practice reflects a unified legal foundation while recognising the differing vulnerabilities, rights, and responsibilities associated with adults and children.</w:t>
            </w:r>
          </w:p>
          <w:p w14:paraId="0E7109C0" w14:textId="77777777" w:rsidR="005A2CDD" w:rsidRPr="005A2CDD" w:rsidRDefault="005A2CDD" w:rsidP="005A2CDD">
            <w:pPr>
              <w:spacing w:line="360" w:lineRule="auto"/>
              <w:jc w:val="both"/>
              <w:rPr>
                <w:sz w:val="24"/>
                <w:szCs w:val="24"/>
              </w:rPr>
            </w:pPr>
          </w:p>
          <w:p w14:paraId="08760B3D" w14:textId="7E7E9C22" w:rsidR="00FC0334" w:rsidRPr="006108C9" w:rsidRDefault="005A2CDD" w:rsidP="0018395C">
            <w:pPr>
              <w:spacing w:line="360" w:lineRule="auto"/>
              <w:jc w:val="both"/>
              <w:rPr>
                <w:sz w:val="24"/>
                <w:szCs w:val="24"/>
              </w:rPr>
            </w:pPr>
            <w:r w:rsidRPr="005A2CDD">
              <w:rPr>
                <w:sz w:val="24"/>
                <w:szCs w:val="24"/>
              </w:rPr>
              <w:t>(432)</w:t>
            </w: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1BD9F7A4" w:rsidR="00A5656A" w:rsidRDefault="00A5656A">
    <w:pPr>
      <w:pStyle w:val="Footer"/>
      <w:jc w:val="right"/>
    </w:pPr>
    <w:r>
      <w:fldChar w:fldCharType="begin"/>
    </w:r>
    <w:r>
      <w:instrText xml:space="preserve"> PAGE   \* MERGEFORMAT </w:instrText>
    </w:r>
    <w:r>
      <w:fldChar w:fldCharType="separate"/>
    </w:r>
    <w:r w:rsidR="00B8793D">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3551310">
    <w:abstractNumId w:val="1"/>
    <w:lvlOverride w:ilvl="0">
      <w:lvl w:ilvl="0">
        <w:start w:val="1"/>
        <w:numFmt w:val="bullet"/>
        <w:lvlText w:val=""/>
        <w:lvlJc w:val="left"/>
        <w:pPr>
          <w:ind w:left="720" w:hanging="360"/>
        </w:pPr>
        <w:rPr>
          <w:rFonts w:ascii="Symbol" w:hAnsi="Symbol" w:hint="default"/>
        </w:rPr>
      </w:lvl>
    </w:lvlOverride>
  </w:num>
  <w:num w:numId="2" w16cid:durableId="583806729">
    <w:abstractNumId w:val="22"/>
  </w:num>
  <w:num w:numId="3" w16cid:durableId="434056978">
    <w:abstractNumId w:val="45"/>
  </w:num>
  <w:num w:numId="4" w16cid:durableId="768499972">
    <w:abstractNumId w:val="47"/>
  </w:num>
  <w:num w:numId="5" w16cid:durableId="1519659936">
    <w:abstractNumId w:val="34"/>
  </w:num>
  <w:num w:numId="6" w16cid:durableId="2094399762">
    <w:abstractNumId w:val="32"/>
  </w:num>
  <w:num w:numId="7" w16cid:durableId="1943371199">
    <w:abstractNumId w:val="29"/>
  </w:num>
  <w:num w:numId="8" w16cid:durableId="1621183929">
    <w:abstractNumId w:val="30"/>
  </w:num>
  <w:num w:numId="9" w16cid:durableId="913397610">
    <w:abstractNumId w:val="10"/>
  </w:num>
  <w:num w:numId="10" w16cid:durableId="1353604085">
    <w:abstractNumId w:val="33"/>
  </w:num>
  <w:num w:numId="11" w16cid:durableId="1266160193">
    <w:abstractNumId w:val="17"/>
  </w:num>
  <w:num w:numId="12" w16cid:durableId="1372144410">
    <w:abstractNumId w:val="16"/>
  </w:num>
  <w:num w:numId="13" w16cid:durableId="483593530">
    <w:abstractNumId w:val="27"/>
  </w:num>
  <w:num w:numId="14" w16cid:durableId="540745096">
    <w:abstractNumId w:val="8"/>
  </w:num>
  <w:num w:numId="15" w16cid:durableId="1314335195">
    <w:abstractNumId w:val="26"/>
  </w:num>
  <w:num w:numId="16" w16cid:durableId="2035425993">
    <w:abstractNumId w:val="15"/>
  </w:num>
  <w:num w:numId="17" w16cid:durableId="1846629092">
    <w:abstractNumId w:val="13"/>
  </w:num>
  <w:num w:numId="18" w16cid:durableId="189064914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94493607">
    <w:abstractNumId w:val="23"/>
  </w:num>
  <w:num w:numId="20" w16cid:durableId="1916352109">
    <w:abstractNumId w:val="18"/>
  </w:num>
  <w:num w:numId="21" w16cid:durableId="978608830">
    <w:abstractNumId w:val="14"/>
  </w:num>
  <w:num w:numId="22" w16cid:durableId="1225487854">
    <w:abstractNumId w:val="11"/>
  </w:num>
  <w:num w:numId="23" w16cid:durableId="194540611">
    <w:abstractNumId w:val="28"/>
  </w:num>
  <w:num w:numId="24" w16cid:durableId="2139757920">
    <w:abstractNumId w:val="19"/>
  </w:num>
  <w:num w:numId="25" w16cid:durableId="1340812259">
    <w:abstractNumId w:val="41"/>
  </w:num>
  <w:num w:numId="26" w16cid:durableId="1552956443">
    <w:abstractNumId w:val="35"/>
  </w:num>
  <w:num w:numId="27" w16cid:durableId="629633720">
    <w:abstractNumId w:val="40"/>
  </w:num>
  <w:num w:numId="28" w16cid:durableId="515458625">
    <w:abstractNumId w:val="20"/>
  </w:num>
  <w:num w:numId="29" w16cid:durableId="378558497">
    <w:abstractNumId w:val="43"/>
  </w:num>
  <w:num w:numId="30" w16cid:durableId="1206332428">
    <w:abstractNumId w:val="31"/>
  </w:num>
  <w:num w:numId="31" w16cid:durableId="1338848337">
    <w:abstractNumId w:val="12"/>
  </w:num>
  <w:num w:numId="32" w16cid:durableId="895556194">
    <w:abstractNumId w:val="44"/>
  </w:num>
  <w:num w:numId="33" w16cid:durableId="901987377">
    <w:abstractNumId w:val="39"/>
  </w:num>
  <w:num w:numId="34" w16cid:durableId="453207676">
    <w:abstractNumId w:val="5"/>
  </w:num>
  <w:num w:numId="35" w16cid:durableId="556354449">
    <w:abstractNumId w:val="46"/>
  </w:num>
  <w:num w:numId="36" w16cid:durableId="2080248051">
    <w:abstractNumId w:val="42"/>
  </w:num>
  <w:num w:numId="37" w16cid:durableId="1301425687">
    <w:abstractNumId w:val="36"/>
  </w:num>
  <w:num w:numId="38" w16cid:durableId="1503079939">
    <w:abstractNumId w:val="37"/>
  </w:num>
  <w:num w:numId="39" w16cid:durableId="970135822">
    <w:abstractNumId w:val="4"/>
  </w:num>
  <w:num w:numId="40" w16cid:durableId="1520193751">
    <w:abstractNumId w:val="6"/>
  </w:num>
  <w:num w:numId="41" w16cid:durableId="1848474751">
    <w:abstractNumId w:val="25"/>
  </w:num>
  <w:num w:numId="42" w16cid:durableId="115832430">
    <w:abstractNumId w:val="7"/>
  </w:num>
  <w:num w:numId="43" w16cid:durableId="253900594">
    <w:abstractNumId w:val="3"/>
  </w:num>
  <w:num w:numId="44" w16cid:durableId="1799110190">
    <w:abstractNumId w:val="38"/>
  </w:num>
  <w:num w:numId="45" w16cid:durableId="1184708132">
    <w:abstractNumId w:val="0"/>
  </w:num>
  <w:num w:numId="46" w16cid:durableId="475495114">
    <w:abstractNumId w:val="14"/>
  </w:num>
  <w:num w:numId="47" w16cid:durableId="1574580594">
    <w:abstractNumId w:val="48"/>
  </w:num>
  <w:num w:numId="48" w16cid:durableId="208452658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749893308">
    <w:abstractNumId w:val="11"/>
  </w:num>
  <w:num w:numId="50" w16cid:durableId="2142724846">
    <w:abstractNumId w:val="28"/>
  </w:num>
  <w:num w:numId="51" w16cid:durableId="675809364">
    <w:abstractNumId w:val="24"/>
  </w:num>
  <w:num w:numId="52" w16cid:durableId="1763378476">
    <w:abstractNumId w:val="21"/>
  </w:num>
  <w:num w:numId="53" w16cid:durableId="101358003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373"/>
    <w:rsid w:val="00130119"/>
    <w:rsid w:val="00132812"/>
    <w:rsid w:val="001347F8"/>
    <w:rsid w:val="001359EE"/>
    <w:rsid w:val="00137BB5"/>
    <w:rsid w:val="00137E05"/>
    <w:rsid w:val="001447F6"/>
    <w:rsid w:val="00147DE3"/>
    <w:rsid w:val="00150794"/>
    <w:rsid w:val="00151DA6"/>
    <w:rsid w:val="001608C4"/>
    <w:rsid w:val="00164832"/>
    <w:rsid w:val="00171418"/>
    <w:rsid w:val="0017535E"/>
    <w:rsid w:val="001772BF"/>
    <w:rsid w:val="001772DE"/>
    <w:rsid w:val="0018395C"/>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C28"/>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BF5"/>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2CDD"/>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C24"/>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793D"/>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1753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9575602">
      <w:bodyDiv w:val="1"/>
      <w:marLeft w:val="0"/>
      <w:marRight w:val="0"/>
      <w:marTop w:val="0"/>
      <w:marBottom w:val="0"/>
      <w:divBdr>
        <w:top w:val="none" w:sz="0" w:space="0" w:color="auto"/>
        <w:left w:val="none" w:sz="0" w:space="0" w:color="auto"/>
        <w:bottom w:val="none" w:sz="0" w:space="0" w:color="auto"/>
        <w:right w:val="none" w:sz="0" w:space="0" w:color="auto"/>
      </w:divBdr>
    </w:div>
    <w:div w:id="375277220">
      <w:bodyDiv w:val="1"/>
      <w:marLeft w:val="0"/>
      <w:marRight w:val="0"/>
      <w:marTop w:val="0"/>
      <w:marBottom w:val="0"/>
      <w:divBdr>
        <w:top w:val="none" w:sz="0" w:space="0" w:color="auto"/>
        <w:left w:val="none" w:sz="0" w:space="0" w:color="auto"/>
        <w:bottom w:val="none" w:sz="0" w:space="0" w:color="auto"/>
        <w:right w:val="none" w:sz="0" w:space="0" w:color="auto"/>
      </w:divBdr>
    </w:div>
    <w:div w:id="85119108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9731557">
      <w:bodyDiv w:val="1"/>
      <w:marLeft w:val="0"/>
      <w:marRight w:val="0"/>
      <w:marTop w:val="0"/>
      <w:marBottom w:val="0"/>
      <w:divBdr>
        <w:top w:val="none" w:sz="0" w:space="0" w:color="auto"/>
        <w:left w:val="none" w:sz="0" w:space="0" w:color="auto"/>
        <w:bottom w:val="none" w:sz="0" w:space="0" w:color="auto"/>
        <w:right w:val="none" w:sz="0" w:space="0" w:color="auto"/>
      </w:divBdr>
    </w:div>
    <w:div w:id="1584416840">
      <w:bodyDiv w:val="1"/>
      <w:marLeft w:val="0"/>
      <w:marRight w:val="0"/>
      <w:marTop w:val="0"/>
      <w:marBottom w:val="0"/>
      <w:divBdr>
        <w:top w:val="none" w:sz="0" w:space="0" w:color="auto"/>
        <w:left w:val="none" w:sz="0" w:space="0" w:color="auto"/>
        <w:bottom w:val="none" w:sz="0" w:space="0" w:color="auto"/>
        <w:right w:val="none" w:sz="0" w:space="0" w:color="auto"/>
      </w:divBdr>
    </w:div>
    <w:div w:id="19729783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Victoria.hughes@conwy.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1b97bfc6-b7f9-4f97-bda1-3491dbcf9c0d"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9" ma:contentTypeDescription="Create a new document." ma:contentTypeScope="" ma:versionID="46e15b06097508c144a9f14b42b36766">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fc95c6ea7d79455af962c08c16777490"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DateTaken" minOccurs="0"/>
                <xsd:element ref="ns3:MediaLengthInSeconds"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_activity" ma:index="2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65B8A2-0763-4D66-B43F-2601E49D40B3}">
  <ds:schemaRefs>
    <ds:schemaRef ds:uri="http://purl.org/dc/elements/1.1/"/>
    <ds:schemaRef ds:uri="http://schemas.microsoft.com/sharepoint/v3"/>
    <ds:schemaRef ds:uri="http://schemas.openxmlformats.org/package/2006/metadata/core-properties"/>
    <ds:schemaRef ds:uri="http://purl.org/dc/terms/"/>
    <ds:schemaRef ds:uri="http://purl.org/dc/dcmitype/"/>
    <ds:schemaRef ds:uri="http://schemas.microsoft.com/office/infopath/2007/PartnerControls"/>
    <ds:schemaRef ds:uri="http://schemas.microsoft.com/office/2006/documentManagement/types"/>
    <ds:schemaRef ds:uri="abb439bd-a363-4333-83d0-f95c527ffab9"/>
    <ds:schemaRef ds:uri="http://schemas.microsoft.com/office/2006/metadata/properties"/>
    <ds:schemaRef ds:uri="1b97bfc6-b7f9-4f97-bda1-3491dbcf9c0d"/>
    <ds:schemaRef ds:uri="http://www.w3.org/XML/1998/namespace"/>
  </ds:schemaRefs>
</ds:datastoreItem>
</file>

<file path=customXml/itemProps2.xml><?xml version="1.0" encoding="utf-8"?>
<ds:datastoreItem xmlns:ds="http://schemas.openxmlformats.org/officeDocument/2006/customXml" ds:itemID="{0DDBB513-4850-4C5C-A575-ADD4EA3B2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ACC62C1E-0B57-48E5-AF42-950DEDC7C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5</Pages>
  <Words>1102</Words>
  <Characters>6397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Victoria Hughes</cp:lastModifiedBy>
  <cp:revision>8</cp:revision>
  <cp:lastPrinted>2020-02-11T19:20:00Z</cp:lastPrinted>
  <dcterms:created xsi:type="dcterms:W3CDTF">2024-09-27T14:21:00Z</dcterms:created>
  <dcterms:modified xsi:type="dcterms:W3CDTF">2025-10-05T22:56:00Z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